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89C6DC"/>
        </w:rPr>
        <w:t>Inflation Report</w:t>
      </w:r>
    </w:p>
    <w:p>
      <w:pPr>
        <w:spacing w:before="656"/>
        <w:ind w:left="3619" w:right="0" w:firstLine="0"/>
        <w:jc w:val="left"/>
        <w:rPr>
          <w:rFonts w:ascii="Trebuchet MS"/>
          <w:sz w:val="40"/>
        </w:rPr>
      </w:pPr>
      <w:r>
        <w:rPr>
          <w:rFonts w:ascii="Trebuchet MS"/>
          <w:color w:val="89C6DC"/>
          <w:spacing w:val="-15"/>
          <w:w w:val="88"/>
          <w:sz w:val="40"/>
        </w:rPr>
        <w:t>F</w:t>
      </w:r>
      <w:r>
        <w:rPr>
          <w:rFonts w:ascii="Trebuchet MS"/>
          <w:color w:val="89C6DC"/>
          <w:spacing w:val="-1"/>
          <w:w w:val="92"/>
          <w:sz w:val="40"/>
        </w:rPr>
        <w:t>ebruar</w:t>
      </w:r>
      <w:r>
        <w:rPr>
          <w:rFonts w:ascii="Trebuchet MS"/>
          <w:color w:val="89C6DC"/>
          <w:w w:val="92"/>
          <w:sz w:val="40"/>
        </w:rPr>
        <w:t>y</w:t>
      </w:r>
      <w:r>
        <w:rPr>
          <w:rFonts w:ascii="Trebuchet MS"/>
          <w:color w:val="89C6DC"/>
          <w:spacing w:val="12"/>
          <w:sz w:val="40"/>
        </w:rPr>
        <w:t> </w:t>
      </w:r>
      <w:r>
        <w:rPr>
          <w:rFonts w:ascii="Trebuchet MS"/>
          <w:smallCaps/>
          <w:color w:val="89C6DC"/>
          <w:spacing w:val="-1"/>
          <w:w w:val="95"/>
          <w:sz w:val="40"/>
        </w:rPr>
        <w:t>2001</w:t>
      </w:r>
    </w:p>
    <w:p>
      <w:pPr>
        <w:pStyle w:val="BodyText"/>
        <w:rPr>
          <w:rFonts w:ascii="Trebuchet MS"/>
          <w:sz w:val="44"/>
        </w:rPr>
      </w:pPr>
    </w:p>
    <w:p>
      <w:pPr>
        <w:pStyle w:val="BodyText"/>
        <w:spacing w:line="292" w:lineRule="auto" w:before="334"/>
        <w:ind w:left="3619" w:right="1156"/>
      </w:pPr>
      <w:r>
        <w:rPr>
          <w:w w:val="110"/>
        </w:rPr>
        <w:t>The</w:t>
      </w:r>
      <w:r>
        <w:rPr>
          <w:spacing w:val="-17"/>
          <w:w w:val="110"/>
        </w:rPr>
        <w:t> </w:t>
      </w:r>
      <w:r>
        <w:rPr>
          <w:i/>
          <w:w w:val="110"/>
        </w:rPr>
        <w:t>Inflation</w:t>
      </w:r>
      <w:r>
        <w:rPr>
          <w:i/>
          <w:spacing w:val="-17"/>
          <w:w w:val="110"/>
        </w:rPr>
        <w:t> </w:t>
      </w:r>
      <w:r>
        <w:rPr>
          <w:i/>
          <w:w w:val="110"/>
        </w:rPr>
        <w:t>Report</w:t>
      </w:r>
      <w:r>
        <w:rPr>
          <w:i/>
          <w:spacing w:val="-17"/>
          <w:w w:val="110"/>
        </w:rPr>
        <w:t> </w:t>
      </w:r>
      <w:r>
        <w:rPr>
          <w:w w:val="110"/>
        </w:rPr>
        <w:t>is</w:t>
      </w:r>
      <w:r>
        <w:rPr>
          <w:spacing w:val="-17"/>
          <w:w w:val="110"/>
        </w:rPr>
        <w:t> </w:t>
      </w:r>
      <w:r>
        <w:rPr>
          <w:w w:val="110"/>
        </w:rPr>
        <w:t>produced</w:t>
      </w:r>
      <w:r>
        <w:rPr>
          <w:spacing w:val="-17"/>
          <w:w w:val="110"/>
        </w:rPr>
        <w:t> </w:t>
      </w:r>
      <w:r>
        <w:rPr>
          <w:w w:val="110"/>
        </w:rPr>
        <w:t>quarterly</w:t>
      </w:r>
      <w:r>
        <w:rPr>
          <w:spacing w:val="-16"/>
          <w:w w:val="110"/>
        </w:rPr>
        <w:t> </w:t>
      </w:r>
      <w:r>
        <w:rPr>
          <w:w w:val="110"/>
        </w:rPr>
        <w:t>by</w:t>
      </w:r>
      <w:r>
        <w:rPr>
          <w:spacing w:val="-17"/>
          <w:w w:val="110"/>
        </w:rPr>
        <w:t> </w:t>
      </w:r>
      <w:r>
        <w:rPr>
          <w:w w:val="110"/>
        </w:rPr>
        <w:t>Bank</w:t>
      </w:r>
      <w:r>
        <w:rPr>
          <w:spacing w:val="-17"/>
          <w:w w:val="110"/>
        </w:rPr>
        <w:t> </w:t>
      </w:r>
      <w:r>
        <w:rPr>
          <w:w w:val="110"/>
        </w:rPr>
        <w:t>staff</w:t>
      </w:r>
      <w:r>
        <w:rPr>
          <w:spacing w:val="-17"/>
          <w:w w:val="110"/>
        </w:rPr>
        <w:t> </w:t>
      </w:r>
      <w:r>
        <w:rPr>
          <w:w w:val="110"/>
        </w:rPr>
        <w:t>under</w:t>
      </w:r>
      <w:r>
        <w:rPr>
          <w:spacing w:val="-17"/>
          <w:w w:val="110"/>
        </w:rPr>
        <w:t> </w:t>
      </w:r>
      <w:r>
        <w:rPr>
          <w:w w:val="110"/>
        </w:rPr>
        <w:t>the guidance of the members of the Monetary </w:t>
      </w:r>
      <w:r>
        <w:rPr>
          <w:spacing w:val="-3"/>
          <w:w w:val="110"/>
        </w:rPr>
        <w:t>Policy </w:t>
      </w:r>
      <w:r>
        <w:rPr>
          <w:w w:val="110"/>
        </w:rPr>
        <w:t>Committee. It serves</w:t>
      </w:r>
      <w:r>
        <w:rPr>
          <w:spacing w:val="-27"/>
          <w:w w:val="110"/>
        </w:rPr>
        <w:t> </w:t>
      </w:r>
      <w:r>
        <w:rPr>
          <w:spacing w:val="-5"/>
          <w:w w:val="110"/>
        </w:rPr>
        <w:t>two</w:t>
      </w:r>
      <w:r>
        <w:rPr>
          <w:spacing w:val="-27"/>
          <w:w w:val="110"/>
        </w:rPr>
        <w:t> </w:t>
      </w:r>
      <w:r>
        <w:rPr>
          <w:w w:val="110"/>
        </w:rPr>
        <w:t>purposes.</w:t>
      </w:r>
      <w:r>
        <w:rPr>
          <w:spacing w:val="3"/>
          <w:w w:val="110"/>
        </w:rPr>
        <w:t> </w:t>
      </w:r>
      <w:r>
        <w:rPr>
          <w:spacing w:val="-3"/>
          <w:w w:val="110"/>
        </w:rPr>
        <w:t>First,</w:t>
      </w:r>
      <w:r>
        <w:rPr>
          <w:spacing w:val="-27"/>
          <w:w w:val="110"/>
        </w:rPr>
        <w:t> </w:t>
      </w:r>
      <w:r>
        <w:rPr>
          <w:w w:val="110"/>
        </w:rPr>
        <w:t>its</w:t>
      </w:r>
      <w:r>
        <w:rPr>
          <w:spacing w:val="-27"/>
          <w:w w:val="110"/>
        </w:rPr>
        <w:t> </w:t>
      </w:r>
      <w:r>
        <w:rPr>
          <w:w w:val="110"/>
        </w:rPr>
        <w:t>preparation</w:t>
      </w:r>
      <w:r>
        <w:rPr>
          <w:spacing w:val="-26"/>
          <w:w w:val="110"/>
        </w:rPr>
        <w:t> </w:t>
      </w:r>
      <w:r>
        <w:rPr>
          <w:w w:val="110"/>
        </w:rPr>
        <w:t>provides</w:t>
      </w:r>
      <w:r>
        <w:rPr>
          <w:spacing w:val="-27"/>
          <w:w w:val="110"/>
        </w:rPr>
        <w:t> </w:t>
      </w:r>
      <w:r>
        <w:rPr>
          <w:w w:val="110"/>
        </w:rPr>
        <w:t>a</w:t>
      </w:r>
      <w:r>
        <w:rPr>
          <w:spacing w:val="-27"/>
          <w:w w:val="110"/>
        </w:rPr>
        <w:t> </w:t>
      </w:r>
      <w:r>
        <w:rPr>
          <w:w w:val="110"/>
        </w:rPr>
        <w:t>comprehensive </w:t>
      </w:r>
      <w:r>
        <w:rPr>
          <w:w w:val="105"/>
        </w:rPr>
        <w:t>and forward-looking </w:t>
      </w:r>
      <w:r>
        <w:rPr>
          <w:spacing w:val="-3"/>
          <w:w w:val="105"/>
        </w:rPr>
        <w:t>framework </w:t>
      </w:r>
      <w:r>
        <w:rPr>
          <w:w w:val="105"/>
        </w:rPr>
        <w:t>for discussion among MPC</w:t>
      </w:r>
      <w:r>
        <w:rPr>
          <w:spacing w:val="-19"/>
          <w:w w:val="105"/>
        </w:rPr>
        <w:t> </w:t>
      </w:r>
      <w:r>
        <w:rPr>
          <w:w w:val="105"/>
        </w:rPr>
        <w:t>members </w:t>
      </w:r>
      <w:r>
        <w:rPr>
          <w:w w:val="110"/>
        </w:rPr>
        <w:t>as</w:t>
      </w:r>
      <w:r>
        <w:rPr>
          <w:spacing w:val="-18"/>
          <w:w w:val="110"/>
        </w:rPr>
        <w:t> </w:t>
      </w:r>
      <w:r>
        <w:rPr>
          <w:w w:val="110"/>
        </w:rPr>
        <w:t>an</w:t>
      </w:r>
      <w:r>
        <w:rPr>
          <w:spacing w:val="-17"/>
          <w:w w:val="110"/>
        </w:rPr>
        <w:t> </w:t>
      </w:r>
      <w:r>
        <w:rPr>
          <w:w w:val="110"/>
        </w:rPr>
        <w:t>aid</w:t>
      </w:r>
      <w:r>
        <w:rPr>
          <w:spacing w:val="-17"/>
          <w:w w:val="110"/>
        </w:rPr>
        <w:t> </w:t>
      </w:r>
      <w:r>
        <w:rPr>
          <w:spacing w:val="-4"/>
          <w:w w:val="110"/>
        </w:rPr>
        <w:t>to</w:t>
      </w:r>
      <w:r>
        <w:rPr>
          <w:spacing w:val="-17"/>
          <w:w w:val="110"/>
        </w:rPr>
        <w:t> </w:t>
      </w:r>
      <w:r>
        <w:rPr>
          <w:w w:val="110"/>
        </w:rPr>
        <w:t>our</w:t>
      </w:r>
      <w:r>
        <w:rPr>
          <w:spacing w:val="-17"/>
          <w:w w:val="110"/>
        </w:rPr>
        <w:t> </w:t>
      </w:r>
      <w:r>
        <w:rPr>
          <w:w w:val="110"/>
        </w:rPr>
        <w:t>decision</w:t>
      </w:r>
      <w:r>
        <w:rPr>
          <w:spacing w:val="-17"/>
          <w:w w:val="110"/>
        </w:rPr>
        <w:t> </w:t>
      </w:r>
      <w:r>
        <w:rPr>
          <w:w w:val="110"/>
        </w:rPr>
        <w:t>making.</w:t>
      </w:r>
      <w:r>
        <w:rPr>
          <w:spacing w:val="22"/>
          <w:w w:val="110"/>
        </w:rPr>
        <w:t> </w:t>
      </w:r>
      <w:r>
        <w:rPr>
          <w:w w:val="110"/>
        </w:rPr>
        <w:t>Second,</w:t>
      </w:r>
      <w:r>
        <w:rPr>
          <w:spacing w:val="-17"/>
          <w:w w:val="110"/>
        </w:rPr>
        <w:t> </w:t>
      </w:r>
      <w:r>
        <w:rPr>
          <w:w w:val="110"/>
        </w:rPr>
        <w:t>its</w:t>
      </w:r>
      <w:r>
        <w:rPr>
          <w:spacing w:val="-17"/>
          <w:w w:val="110"/>
        </w:rPr>
        <w:t> </w:t>
      </w:r>
      <w:r>
        <w:rPr>
          <w:w w:val="110"/>
        </w:rPr>
        <w:t>publication</w:t>
      </w:r>
      <w:r>
        <w:rPr>
          <w:spacing w:val="-17"/>
          <w:w w:val="110"/>
        </w:rPr>
        <w:t> </w:t>
      </w:r>
      <w:r>
        <w:rPr>
          <w:w w:val="110"/>
        </w:rPr>
        <w:t>allows</w:t>
      </w:r>
      <w:r>
        <w:rPr>
          <w:spacing w:val="-17"/>
          <w:w w:val="110"/>
        </w:rPr>
        <w:t> </w:t>
      </w:r>
      <w:r>
        <w:rPr>
          <w:w w:val="110"/>
        </w:rPr>
        <w:t>us </w:t>
      </w:r>
      <w:r>
        <w:rPr>
          <w:spacing w:val="-4"/>
          <w:w w:val="110"/>
        </w:rPr>
        <w:t>to </w:t>
      </w:r>
      <w:r>
        <w:rPr>
          <w:w w:val="110"/>
        </w:rPr>
        <w:t>share our thinking and explain the reasons for our decisions </w:t>
      </w:r>
      <w:r>
        <w:rPr>
          <w:spacing w:val="-4"/>
          <w:w w:val="110"/>
        </w:rPr>
        <w:t>to </w:t>
      </w:r>
      <w:r>
        <w:rPr>
          <w:w w:val="110"/>
        </w:rPr>
        <w:t>those whom they</w:t>
      </w:r>
      <w:r>
        <w:rPr>
          <w:spacing w:val="-18"/>
          <w:w w:val="110"/>
        </w:rPr>
        <w:t> </w:t>
      </w:r>
      <w:r>
        <w:rPr>
          <w:w w:val="110"/>
        </w:rPr>
        <w:t>affect.</w:t>
      </w:r>
    </w:p>
    <w:p>
      <w:pPr>
        <w:pStyle w:val="BodyText"/>
        <w:rPr>
          <w:sz w:val="24"/>
        </w:rPr>
      </w:pPr>
    </w:p>
    <w:p>
      <w:pPr>
        <w:pStyle w:val="BodyText"/>
        <w:spacing w:line="292" w:lineRule="auto"/>
        <w:ind w:left="3619" w:right="1089"/>
      </w:pPr>
      <w:r>
        <w:rPr>
          <w:w w:val="110"/>
        </w:rPr>
        <w:t>Although not </w:t>
      </w:r>
      <w:r>
        <w:rPr>
          <w:spacing w:val="-3"/>
          <w:w w:val="110"/>
        </w:rPr>
        <w:t>every </w:t>
      </w:r>
      <w:r>
        <w:rPr>
          <w:w w:val="110"/>
        </w:rPr>
        <w:t>member will agree with </w:t>
      </w:r>
      <w:r>
        <w:rPr>
          <w:spacing w:val="-3"/>
          <w:w w:val="110"/>
        </w:rPr>
        <w:t>every </w:t>
      </w:r>
      <w:r>
        <w:rPr>
          <w:w w:val="110"/>
        </w:rPr>
        <w:t>assumption on which</w:t>
      </w:r>
      <w:r>
        <w:rPr>
          <w:spacing w:val="-16"/>
          <w:w w:val="110"/>
        </w:rPr>
        <w:t> </w:t>
      </w:r>
      <w:r>
        <w:rPr>
          <w:w w:val="110"/>
        </w:rPr>
        <w:t>our</w:t>
      </w:r>
      <w:r>
        <w:rPr>
          <w:spacing w:val="-16"/>
          <w:w w:val="110"/>
        </w:rPr>
        <w:t> </w:t>
      </w:r>
      <w:r>
        <w:rPr>
          <w:w w:val="110"/>
        </w:rPr>
        <w:t>projections</w:t>
      </w:r>
      <w:r>
        <w:rPr>
          <w:spacing w:val="-16"/>
          <w:w w:val="110"/>
        </w:rPr>
        <w:t> </w:t>
      </w:r>
      <w:r>
        <w:rPr>
          <w:w w:val="110"/>
        </w:rPr>
        <w:t>are</w:t>
      </w:r>
      <w:r>
        <w:rPr>
          <w:spacing w:val="-16"/>
          <w:w w:val="110"/>
        </w:rPr>
        <w:t> </w:t>
      </w:r>
      <w:r>
        <w:rPr>
          <w:w w:val="110"/>
        </w:rPr>
        <w:t>based,</w:t>
      </w:r>
      <w:r>
        <w:rPr>
          <w:spacing w:val="-15"/>
          <w:w w:val="110"/>
        </w:rPr>
        <w:t> </w:t>
      </w:r>
      <w:r>
        <w:rPr>
          <w:w w:val="110"/>
        </w:rPr>
        <w:t>the</w:t>
      </w:r>
      <w:r>
        <w:rPr>
          <w:spacing w:val="-16"/>
          <w:w w:val="110"/>
        </w:rPr>
        <w:t> </w:t>
      </w:r>
      <w:r>
        <w:rPr>
          <w:w w:val="110"/>
        </w:rPr>
        <w:t>fan</w:t>
      </w:r>
      <w:r>
        <w:rPr>
          <w:spacing w:val="-16"/>
          <w:w w:val="110"/>
        </w:rPr>
        <w:t> </w:t>
      </w:r>
      <w:r>
        <w:rPr>
          <w:w w:val="110"/>
        </w:rPr>
        <w:t>charts</w:t>
      </w:r>
      <w:r>
        <w:rPr>
          <w:spacing w:val="-16"/>
          <w:w w:val="110"/>
        </w:rPr>
        <w:t> </w:t>
      </w:r>
      <w:r>
        <w:rPr>
          <w:w w:val="110"/>
        </w:rPr>
        <w:t>represent</w:t>
      </w:r>
      <w:r>
        <w:rPr>
          <w:spacing w:val="-15"/>
          <w:w w:val="110"/>
        </w:rPr>
        <w:t> </w:t>
      </w:r>
      <w:r>
        <w:rPr>
          <w:w w:val="110"/>
        </w:rPr>
        <w:t>the</w:t>
      </w:r>
      <w:r>
        <w:rPr>
          <w:spacing w:val="-16"/>
          <w:w w:val="110"/>
        </w:rPr>
        <w:t> </w:t>
      </w:r>
      <w:r>
        <w:rPr>
          <w:spacing w:val="-4"/>
          <w:w w:val="110"/>
        </w:rPr>
        <w:t>MPC’s </w:t>
      </w:r>
      <w:r>
        <w:rPr>
          <w:w w:val="110"/>
        </w:rPr>
        <w:t>best</w:t>
      </w:r>
      <w:r>
        <w:rPr>
          <w:spacing w:val="-20"/>
          <w:w w:val="110"/>
        </w:rPr>
        <w:t> </w:t>
      </w:r>
      <w:r>
        <w:rPr>
          <w:w w:val="110"/>
        </w:rPr>
        <w:t>collective</w:t>
      </w:r>
      <w:r>
        <w:rPr>
          <w:spacing w:val="-19"/>
          <w:w w:val="110"/>
        </w:rPr>
        <w:t> </w:t>
      </w:r>
      <w:r>
        <w:rPr>
          <w:w w:val="110"/>
        </w:rPr>
        <w:t>judgment</w:t>
      </w:r>
      <w:r>
        <w:rPr>
          <w:spacing w:val="-19"/>
          <w:w w:val="110"/>
        </w:rPr>
        <w:t> </w:t>
      </w:r>
      <w:r>
        <w:rPr>
          <w:w w:val="110"/>
        </w:rPr>
        <w:t>about</w:t>
      </w:r>
      <w:r>
        <w:rPr>
          <w:spacing w:val="-19"/>
          <w:w w:val="110"/>
        </w:rPr>
        <w:t> </w:t>
      </w:r>
      <w:r>
        <w:rPr>
          <w:w w:val="110"/>
        </w:rPr>
        <w:t>the</w:t>
      </w:r>
      <w:r>
        <w:rPr>
          <w:spacing w:val="-19"/>
          <w:w w:val="110"/>
        </w:rPr>
        <w:t> </w:t>
      </w:r>
      <w:r>
        <w:rPr>
          <w:w w:val="110"/>
        </w:rPr>
        <w:t>most</w:t>
      </w:r>
      <w:r>
        <w:rPr>
          <w:spacing w:val="-19"/>
          <w:w w:val="110"/>
        </w:rPr>
        <w:t> </w:t>
      </w:r>
      <w:r>
        <w:rPr>
          <w:w w:val="110"/>
        </w:rPr>
        <w:t>likely</w:t>
      </w:r>
      <w:r>
        <w:rPr>
          <w:spacing w:val="-19"/>
          <w:w w:val="110"/>
        </w:rPr>
        <w:t> </w:t>
      </w:r>
      <w:r>
        <w:rPr>
          <w:w w:val="110"/>
        </w:rPr>
        <w:t>paths</w:t>
      </w:r>
      <w:r>
        <w:rPr>
          <w:spacing w:val="-19"/>
          <w:w w:val="110"/>
        </w:rPr>
        <w:t> </w:t>
      </w:r>
      <w:r>
        <w:rPr>
          <w:w w:val="110"/>
        </w:rPr>
        <w:t>for</w:t>
      </w:r>
      <w:r>
        <w:rPr>
          <w:spacing w:val="-19"/>
          <w:w w:val="110"/>
        </w:rPr>
        <w:t> </w:t>
      </w:r>
      <w:r>
        <w:rPr>
          <w:w w:val="110"/>
        </w:rPr>
        <w:t>inflation</w:t>
      </w:r>
      <w:r>
        <w:rPr>
          <w:spacing w:val="-19"/>
          <w:w w:val="110"/>
        </w:rPr>
        <w:t> </w:t>
      </w:r>
      <w:r>
        <w:rPr>
          <w:w w:val="110"/>
        </w:rPr>
        <w:t>and output,</w:t>
      </w:r>
      <w:r>
        <w:rPr>
          <w:spacing w:val="-8"/>
          <w:w w:val="110"/>
        </w:rPr>
        <w:t> </w:t>
      </w:r>
      <w:r>
        <w:rPr>
          <w:w w:val="110"/>
        </w:rPr>
        <w:t>and</w:t>
      </w:r>
      <w:r>
        <w:rPr>
          <w:spacing w:val="-8"/>
          <w:w w:val="110"/>
        </w:rPr>
        <w:t> </w:t>
      </w:r>
      <w:r>
        <w:rPr>
          <w:w w:val="110"/>
        </w:rPr>
        <w:t>the</w:t>
      </w:r>
      <w:r>
        <w:rPr>
          <w:spacing w:val="-8"/>
          <w:w w:val="110"/>
        </w:rPr>
        <w:t> </w:t>
      </w:r>
      <w:r>
        <w:rPr>
          <w:w w:val="110"/>
        </w:rPr>
        <w:t>uncertainties</w:t>
      </w:r>
      <w:r>
        <w:rPr>
          <w:spacing w:val="-8"/>
          <w:w w:val="110"/>
        </w:rPr>
        <w:t> </w:t>
      </w:r>
      <w:r>
        <w:rPr>
          <w:w w:val="110"/>
        </w:rPr>
        <w:t>surrounding</w:t>
      </w:r>
      <w:r>
        <w:rPr>
          <w:spacing w:val="-8"/>
          <w:w w:val="110"/>
        </w:rPr>
        <w:t> </w:t>
      </w:r>
      <w:r>
        <w:rPr>
          <w:w w:val="110"/>
        </w:rPr>
        <w:t>those</w:t>
      </w:r>
      <w:r>
        <w:rPr>
          <w:spacing w:val="-8"/>
          <w:w w:val="110"/>
        </w:rPr>
        <w:t> </w:t>
      </w:r>
      <w:r>
        <w:rPr>
          <w:w w:val="110"/>
        </w:rPr>
        <w:t>central</w:t>
      </w:r>
      <w:r>
        <w:rPr>
          <w:spacing w:val="-8"/>
          <w:w w:val="110"/>
        </w:rPr>
        <w:t> </w:t>
      </w:r>
      <w:r>
        <w:rPr>
          <w:w w:val="110"/>
        </w:rPr>
        <w:t>projections.</w:t>
      </w:r>
    </w:p>
    <w:p>
      <w:pPr>
        <w:pStyle w:val="BodyText"/>
        <w:spacing w:before="1"/>
        <w:rPr>
          <w:sz w:val="24"/>
        </w:rPr>
      </w:pPr>
    </w:p>
    <w:p>
      <w:pPr>
        <w:pStyle w:val="BodyText"/>
        <w:spacing w:line="292" w:lineRule="auto" w:before="1"/>
        <w:ind w:left="3619" w:right="2420"/>
      </w:pPr>
      <w:r>
        <w:rPr>
          <w:w w:val="110"/>
        </w:rPr>
        <w:t>This </w:t>
      </w:r>
      <w:r>
        <w:rPr>
          <w:i/>
          <w:w w:val="110"/>
        </w:rPr>
        <w:t>Report </w:t>
      </w:r>
      <w:r>
        <w:rPr>
          <w:w w:val="110"/>
        </w:rPr>
        <w:t>has been prepared and published </w:t>
      </w:r>
      <w:r>
        <w:rPr>
          <w:spacing w:val="-3"/>
          <w:w w:val="110"/>
        </w:rPr>
        <w:t>by </w:t>
      </w:r>
      <w:r>
        <w:rPr>
          <w:w w:val="110"/>
        </w:rPr>
        <w:t>the Bank</w:t>
      </w:r>
      <w:r>
        <w:rPr>
          <w:spacing w:val="-17"/>
          <w:w w:val="110"/>
        </w:rPr>
        <w:t> </w:t>
      </w:r>
      <w:r>
        <w:rPr>
          <w:w w:val="110"/>
        </w:rPr>
        <w:t>of</w:t>
      </w:r>
      <w:r>
        <w:rPr>
          <w:spacing w:val="-16"/>
          <w:w w:val="110"/>
        </w:rPr>
        <w:t> </w:t>
      </w:r>
      <w:r>
        <w:rPr>
          <w:w w:val="110"/>
        </w:rPr>
        <w:t>England</w:t>
      </w:r>
      <w:r>
        <w:rPr>
          <w:spacing w:val="-16"/>
          <w:w w:val="110"/>
        </w:rPr>
        <w:t> </w:t>
      </w:r>
      <w:r>
        <w:rPr>
          <w:w w:val="110"/>
        </w:rPr>
        <w:t>in</w:t>
      </w:r>
      <w:r>
        <w:rPr>
          <w:spacing w:val="-17"/>
          <w:w w:val="110"/>
        </w:rPr>
        <w:t> </w:t>
      </w:r>
      <w:r>
        <w:rPr>
          <w:w w:val="110"/>
        </w:rPr>
        <w:t>accordance</w:t>
      </w:r>
      <w:r>
        <w:rPr>
          <w:spacing w:val="-16"/>
          <w:w w:val="110"/>
        </w:rPr>
        <w:t> </w:t>
      </w:r>
      <w:r>
        <w:rPr>
          <w:w w:val="110"/>
        </w:rPr>
        <w:t>with</w:t>
      </w:r>
      <w:r>
        <w:rPr>
          <w:spacing w:val="-16"/>
          <w:w w:val="110"/>
        </w:rPr>
        <w:t> </w:t>
      </w:r>
      <w:r>
        <w:rPr>
          <w:w w:val="110"/>
        </w:rPr>
        <w:t>section</w:t>
      </w:r>
      <w:r>
        <w:rPr>
          <w:spacing w:val="-17"/>
          <w:w w:val="110"/>
        </w:rPr>
        <w:t> 18</w:t>
      </w:r>
      <w:r>
        <w:rPr>
          <w:spacing w:val="-16"/>
          <w:w w:val="110"/>
        </w:rPr>
        <w:t> </w:t>
      </w:r>
      <w:r>
        <w:rPr>
          <w:w w:val="110"/>
        </w:rPr>
        <w:t>of</w:t>
      </w:r>
      <w:r>
        <w:rPr>
          <w:spacing w:val="-16"/>
          <w:w w:val="110"/>
        </w:rPr>
        <w:t> </w:t>
      </w:r>
      <w:r>
        <w:rPr>
          <w:w w:val="110"/>
        </w:rPr>
        <w:t>the Bank of England Act</w:t>
      </w:r>
      <w:r>
        <w:rPr>
          <w:spacing w:val="-28"/>
          <w:w w:val="110"/>
        </w:rPr>
        <w:t> </w:t>
      </w:r>
      <w:r>
        <w:rPr>
          <w:spacing w:val="-14"/>
          <w:w w:val="110"/>
        </w:rPr>
        <w:t>1998.</w:t>
      </w:r>
    </w:p>
    <w:p>
      <w:pPr>
        <w:pStyle w:val="BodyText"/>
        <w:spacing w:before="10"/>
        <w:rPr>
          <w:sz w:val="23"/>
        </w:rPr>
      </w:pPr>
    </w:p>
    <w:p>
      <w:pPr>
        <w:pStyle w:val="BodyText"/>
        <w:ind w:left="3622"/>
      </w:pPr>
      <w:r>
        <w:rPr>
          <w:w w:val="105"/>
        </w:rPr>
        <w:t>The Monetary Policy Committee:</w:t>
      </w:r>
    </w:p>
    <w:p>
      <w:pPr>
        <w:pStyle w:val="BodyText"/>
        <w:spacing w:before="53"/>
        <w:ind w:left="3619"/>
      </w:pPr>
      <w:r>
        <w:rPr>
          <w:w w:val="105"/>
        </w:rPr>
        <w:t>Eddie George, Governor</w:t>
      </w:r>
    </w:p>
    <w:p>
      <w:pPr>
        <w:pStyle w:val="BodyText"/>
        <w:spacing w:line="292" w:lineRule="auto" w:before="50"/>
        <w:ind w:left="3619" w:right="1156"/>
      </w:pPr>
      <w:r>
        <w:rPr>
          <w:w w:val="105"/>
        </w:rPr>
        <w:t>Mervyn King, Deputy Governor responsible for monetary policy David Clementi, Deputy Governor responsible for financial stability Christopher Allsopp</w:t>
      </w:r>
    </w:p>
    <w:p>
      <w:pPr>
        <w:pStyle w:val="BodyText"/>
        <w:spacing w:line="292" w:lineRule="auto"/>
        <w:ind w:left="3619" w:right="5493"/>
      </w:pPr>
      <w:r>
        <w:rPr>
          <w:w w:val="105"/>
        </w:rPr>
        <w:t>Charles Bean DeAnne Julius Stephen Nickell Ian Plenderleith Sushil Wadhwani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312" w:lineRule="auto" w:before="163"/>
        <w:ind w:left="3619" w:right="1089" w:firstLine="0"/>
        <w:jc w:val="left"/>
        <w:rPr>
          <w:sz w:val="16"/>
        </w:rPr>
      </w:pPr>
      <w:r>
        <w:rPr>
          <w:w w:val="110"/>
          <w:sz w:val="16"/>
        </w:rPr>
        <w:t>The Overview of this </w:t>
      </w:r>
      <w:r>
        <w:rPr>
          <w:i/>
          <w:w w:val="110"/>
          <w:sz w:val="16"/>
        </w:rPr>
        <w:t>Inflation Report </w:t>
      </w:r>
      <w:r>
        <w:rPr>
          <w:w w:val="110"/>
          <w:sz w:val="16"/>
        </w:rPr>
        <w:t>is available on the </w:t>
      </w:r>
      <w:r>
        <w:rPr>
          <w:spacing w:val="-3"/>
          <w:w w:val="110"/>
          <w:sz w:val="16"/>
        </w:rPr>
        <w:t>Bank’s </w:t>
      </w:r>
      <w:r>
        <w:rPr>
          <w:w w:val="110"/>
          <w:sz w:val="16"/>
        </w:rPr>
        <w:t>web site at </w:t>
      </w:r>
      <w:hyperlink r:id="rId5">
        <w:r>
          <w:rPr>
            <w:w w:val="110"/>
            <w:sz w:val="16"/>
          </w:rPr>
          <w:t>www.bankofengland.co.uk/inflationreport/infrep.htm</w:t>
        </w:r>
      </w:hyperlink>
      <w:r>
        <w:rPr>
          <w:spacing w:val="-17"/>
          <w:w w:val="110"/>
          <w:sz w:val="16"/>
        </w:rPr>
        <w:t> </w:t>
      </w:r>
      <w:r>
        <w:rPr>
          <w:w w:val="110"/>
          <w:sz w:val="16"/>
        </w:rPr>
        <w:t>The</w:t>
      </w:r>
      <w:r>
        <w:rPr>
          <w:spacing w:val="-31"/>
          <w:w w:val="110"/>
          <w:sz w:val="16"/>
        </w:rPr>
        <w:t> </w:t>
      </w:r>
      <w:r>
        <w:rPr>
          <w:w w:val="110"/>
          <w:sz w:val="16"/>
        </w:rPr>
        <w:t>entire</w:t>
      </w:r>
      <w:r>
        <w:rPr>
          <w:spacing w:val="-30"/>
          <w:w w:val="110"/>
          <w:sz w:val="16"/>
        </w:rPr>
        <w:t> </w:t>
      </w:r>
      <w:r>
        <w:rPr>
          <w:i/>
          <w:w w:val="110"/>
          <w:sz w:val="16"/>
        </w:rPr>
        <w:t>Report</w:t>
      </w:r>
      <w:r>
        <w:rPr>
          <w:i/>
          <w:spacing w:val="-30"/>
          <w:w w:val="110"/>
          <w:sz w:val="16"/>
        </w:rPr>
        <w:t> </w:t>
      </w:r>
      <w:r>
        <w:rPr>
          <w:w w:val="110"/>
          <w:sz w:val="16"/>
        </w:rPr>
        <w:t>is</w:t>
      </w:r>
      <w:r>
        <w:rPr>
          <w:spacing w:val="-31"/>
          <w:w w:val="110"/>
          <w:sz w:val="16"/>
        </w:rPr>
        <w:t> </w:t>
      </w:r>
      <w:r>
        <w:rPr>
          <w:w w:val="110"/>
          <w:sz w:val="16"/>
        </w:rPr>
        <w:t>available</w:t>
      </w:r>
      <w:r>
        <w:rPr>
          <w:spacing w:val="-30"/>
          <w:w w:val="110"/>
          <w:sz w:val="16"/>
        </w:rPr>
        <w:t> </w:t>
      </w:r>
      <w:r>
        <w:rPr>
          <w:w w:val="110"/>
          <w:sz w:val="16"/>
        </w:rPr>
        <w:t>in PDF format at</w:t>
      </w:r>
      <w:r>
        <w:rPr>
          <w:spacing w:val="-32"/>
          <w:w w:val="110"/>
          <w:sz w:val="16"/>
        </w:rPr>
        <w:t> </w:t>
      </w:r>
      <w:hyperlink r:id="rId6">
        <w:r>
          <w:rPr>
            <w:w w:val="110"/>
            <w:sz w:val="16"/>
          </w:rPr>
          <w:t>www.bankofengland.co.uk/inflationreport/index.htm</w:t>
        </w:r>
      </w:hyperlink>
    </w:p>
    <w:p>
      <w:pPr>
        <w:spacing w:after="0" w:line="312" w:lineRule="auto"/>
        <w:jc w:val="left"/>
        <w:rPr>
          <w:sz w:val="16"/>
        </w:rPr>
        <w:sectPr>
          <w:type w:val="continuous"/>
          <w:pgSz w:w="11900" w:h="16840"/>
          <w:pgMar w:top="1260" w:bottom="280" w:left="640" w:right="640"/>
        </w:sectPr>
      </w:pPr>
    </w:p>
    <w:p>
      <w:pPr>
        <w:pStyle w:val="BodyText"/>
        <w:spacing w:line="20" w:lineRule="exact"/>
        <w:ind w:left="158"/>
        <w:rPr>
          <w:sz w:val="2"/>
        </w:rPr>
      </w:pPr>
      <w:r>
        <w:rPr>
          <w:sz w:val="2"/>
        </w:rPr>
        <w:pict>
          <v:group style="width:516pt;height:.15pt;mso-position-horizontal-relative:char;mso-position-vertical-relative:line" coordorigin="0,0" coordsize="10320,3">
            <v:shape style="position:absolute;left:0;top:1;width:10320;height:2" coordorigin="0,1" coordsize="10320,0" path="m0,1l10320,1m0,1l10320,1e" filled="false" stroked="true" strokeweight=".125pt" strokecolor="#000000">
              <v:path arrowok="t"/>
              <v:stroke dashstyle="solid"/>
            </v:shape>
          </v:group>
        </w:pict>
      </w:r>
      <w:r>
        <w:rPr>
          <w:sz w:val="2"/>
        </w:rPr>
      </w:r>
    </w:p>
    <w:p>
      <w:pPr>
        <w:pStyle w:val="BodyText"/>
      </w:pPr>
    </w:p>
    <w:p>
      <w:pPr>
        <w:spacing w:before="218"/>
        <w:ind w:left="896" w:right="0" w:firstLine="0"/>
        <w:jc w:val="center"/>
        <w:rPr>
          <w:rFonts w:ascii="Trebuchet MS"/>
          <w:sz w:val="40"/>
        </w:rPr>
      </w:pPr>
      <w:bookmarkStart w:name="_bookmark0" w:id="1"/>
      <w:bookmarkEnd w:id="1"/>
      <w:r>
        <w:rPr/>
      </w:r>
      <w:r>
        <w:rPr>
          <w:rFonts w:ascii="Trebuchet MS"/>
          <w:color w:val="89C6DC"/>
          <w:sz w:val="40"/>
        </w:rPr>
        <w:t>Overview</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1"/>
        <w:rPr>
          <w:rFonts w:ascii="Trebuchet MS"/>
        </w:rPr>
      </w:pPr>
    </w:p>
    <w:p>
      <w:pPr>
        <w:pStyle w:val="BodyText"/>
        <w:spacing w:line="292" w:lineRule="auto" w:before="62"/>
        <w:ind w:left="4980" w:right="172"/>
      </w:pPr>
      <w:r>
        <w:rPr>
          <w:w w:val="110"/>
        </w:rPr>
        <w:t>In the United Kingdom, growth has </w:t>
      </w:r>
      <w:r>
        <w:rPr>
          <w:spacing w:val="-2"/>
          <w:w w:val="110"/>
        </w:rPr>
        <w:t>slowed </w:t>
      </w:r>
      <w:r>
        <w:rPr>
          <w:spacing w:val="-4"/>
          <w:w w:val="110"/>
        </w:rPr>
        <w:t>to </w:t>
      </w:r>
      <w:r>
        <w:rPr>
          <w:w w:val="110"/>
        </w:rPr>
        <w:t>around trend, while inflation has remained subdued. Output in the fourth quarter is provisionally estimated </w:t>
      </w:r>
      <w:r>
        <w:rPr>
          <w:spacing w:val="-4"/>
          <w:w w:val="110"/>
        </w:rPr>
        <w:t>to </w:t>
      </w:r>
      <w:r>
        <w:rPr>
          <w:spacing w:val="-3"/>
          <w:w w:val="110"/>
        </w:rPr>
        <w:t>have </w:t>
      </w:r>
      <w:r>
        <w:rPr>
          <w:w w:val="110"/>
        </w:rPr>
        <w:t>been 2.4% higher than a year ago, while RPIX inflation </w:t>
      </w:r>
      <w:r>
        <w:rPr>
          <w:spacing w:val="-3"/>
          <w:w w:val="110"/>
        </w:rPr>
        <w:t>was </w:t>
      </w:r>
      <w:r>
        <w:rPr>
          <w:w w:val="110"/>
        </w:rPr>
        <w:t>2.0% in the year </w:t>
      </w:r>
      <w:r>
        <w:rPr>
          <w:spacing w:val="-4"/>
          <w:w w:val="110"/>
        </w:rPr>
        <w:t>to </w:t>
      </w:r>
      <w:r>
        <w:rPr>
          <w:spacing w:val="-2"/>
          <w:w w:val="110"/>
        </w:rPr>
        <w:t>December,</w:t>
      </w:r>
      <w:r>
        <w:rPr>
          <w:spacing w:val="-12"/>
          <w:w w:val="110"/>
        </w:rPr>
        <w:t> </w:t>
      </w:r>
      <w:r>
        <w:rPr>
          <w:w w:val="110"/>
        </w:rPr>
        <w:t>a</w:t>
      </w:r>
      <w:r>
        <w:rPr>
          <w:spacing w:val="-11"/>
          <w:w w:val="110"/>
        </w:rPr>
        <w:t> </w:t>
      </w:r>
      <w:r>
        <w:rPr>
          <w:w w:val="110"/>
        </w:rPr>
        <w:t>little</w:t>
      </w:r>
      <w:r>
        <w:rPr>
          <w:spacing w:val="-12"/>
          <w:w w:val="110"/>
        </w:rPr>
        <w:t> </w:t>
      </w:r>
      <w:r>
        <w:rPr>
          <w:w w:val="110"/>
        </w:rPr>
        <w:t>below</w:t>
      </w:r>
      <w:r>
        <w:rPr>
          <w:spacing w:val="-11"/>
          <w:w w:val="110"/>
        </w:rPr>
        <w:t> </w:t>
      </w:r>
      <w:r>
        <w:rPr>
          <w:w w:val="110"/>
        </w:rPr>
        <w:t>the</w:t>
      </w:r>
      <w:r>
        <w:rPr>
          <w:spacing w:val="-12"/>
          <w:w w:val="110"/>
        </w:rPr>
        <w:t> </w:t>
      </w:r>
      <w:r>
        <w:rPr>
          <w:spacing w:val="-3"/>
          <w:w w:val="110"/>
        </w:rPr>
        <w:t>target</w:t>
      </w:r>
      <w:r>
        <w:rPr>
          <w:spacing w:val="-11"/>
          <w:w w:val="110"/>
        </w:rPr>
        <w:t> </w:t>
      </w:r>
      <w:r>
        <w:rPr>
          <w:spacing w:val="-4"/>
          <w:w w:val="110"/>
        </w:rPr>
        <w:t>rate</w:t>
      </w:r>
      <w:r>
        <w:rPr>
          <w:spacing w:val="-12"/>
          <w:w w:val="110"/>
        </w:rPr>
        <w:t> </w:t>
      </w:r>
      <w:r>
        <w:rPr>
          <w:w w:val="110"/>
        </w:rPr>
        <w:t>of</w:t>
      </w:r>
      <w:r>
        <w:rPr>
          <w:spacing w:val="-11"/>
          <w:w w:val="110"/>
        </w:rPr>
        <w:t> </w:t>
      </w:r>
      <w:r>
        <w:rPr>
          <w:w w:val="110"/>
        </w:rPr>
        <w:t>2</w:t>
      </w:r>
      <w:r>
        <w:rPr>
          <w:w w:val="110"/>
          <w:position w:val="7"/>
          <w:sz w:val="10"/>
        </w:rPr>
        <w:t>1</w:t>
      </w:r>
      <w:r>
        <w:rPr>
          <w:w w:val="110"/>
        </w:rPr>
        <w:t>/</w:t>
      </w:r>
      <w:r>
        <w:rPr>
          <w:w w:val="110"/>
          <w:position w:val="1"/>
          <w:sz w:val="10"/>
        </w:rPr>
        <w:t>2</w:t>
      </w:r>
      <w:r>
        <w:rPr>
          <w:w w:val="110"/>
        </w:rPr>
        <w:t>%.</w:t>
      </w:r>
      <w:r>
        <w:rPr>
          <w:spacing w:val="33"/>
          <w:w w:val="110"/>
        </w:rPr>
        <w:t> </w:t>
      </w:r>
      <w:r>
        <w:rPr>
          <w:w w:val="110"/>
        </w:rPr>
        <w:t>Growth</w:t>
      </w:r>
      <w:r>
        <w:rPr>
          <w:spacing w:val="-12"/>
          <w:w w:val="110"/>
        </w:rPr>
        <w:t> </w:t>
      </w:r>
      <w:r>
        <w:rPr>
          <w:w w:val="110"/>
        </w:rPr>
        <w:t>in</w:t>
      </w:r>
      <w:r>
        <w:rPr>
          <w:spacing w:val="-11"/>
          <w:w w:val="110"/>
        </w:rPr>
        <w:t> </w:t>
      </w:r>
      <w:r>
        <w:rPr>
          <w:w w:val="110"/>
        </w:rPr>
        <w:t>the </w:t>
      </w:r>
      <w:r>
        <w:rPr>
          <w:spacing w:val="-3"/>
          <w:w w:val="110"/>
        </w:rPr>
        <w:t>rest</w:t>
      </w:r>
      <w:r>
        <w:rPr>
          <w:spacing w:val="-17"/>
          <w:w w:val="110"/>
        </w:rPr>
        <w:t> </w:t>
      </w:r>
      <w:r>
        <w:rPr>
          <w:w w:val="110"/>
        </w:rPr>
        <w:t>of</w:t>
      </w:r>
      <w:r>
        <w:rPr>
          <w:spacing w:val="-17"/>
          <w:w w:val="110"/>
        </w:rPr>
        <w:t> </w:t>
      </w:r>
      <w:r>
        <w:rPr>
          <w:w w:val="110"/>
        </w:rPr>
        <w:t>the</w:t>
      </w:r>
      <w:r>
        <w:rPr>
          <w:spacing w:val="-17"/>
          <w:w w:val="110"/>
        </w:rPr>
        <w:t> </w:t>
      </w:r>
      <w:r>
        <w:rPr>
          <w:spacing w:val="-3"/>
          <w:w w:val="110"/>
        </w:rPr>
        <w:t>world</w:t>
      </w:r>
      <w:r>
        <w:rPr>
          <w:spacing w:val="-17"/>
          <w:w w:val="110"/>
        </w:rPr>
        <w:t> </w:t>
      </w:r>
      <w:r>
        <w:rPr>
          <w:w w:val="110"/>
        </w:rPr>
        <w:t>is</w:t>
      </w:r>
      <w:r>
        <w:rPr>
          <w:spacing w:val="-16"/>
          <w:w w:val="110"/>
        </w:rPr>
        <w:t> </w:t>
      </w:r>
      <w:r>
        <w:rPr>
          <w:w w:val="110"/>
        </w:rPr>
        <w:t>now</w:t>
      </w:r>
      <w:r>
        <w:rPr>
          <w:spacing w:val="-17"/>
          <w:w w:val="110"/>
        </w:rPr>
        <w:t> </w:t>
      </w:r>
      <w:r>
        <w:rPr>
          <w:w w:val="110"/>
        </w:rPr>
        <w:t>beginning</w:t>
      </w:r>
      <w:r>
        <w:rPr>
          <w:spacing w:val="-17"/>
          <w:w w:val="110"/>
        </w:rPr>
        <w:t> </w:t>
      </w:r>
      <w:r>
        <w:rPr>
          <w:spacing w:val="-4"/>
          <w:w w:val="110"/>
        </w:rPr>
        <w:t>to</w:t>
      </w:r>
      <w:r>
        <w:rPr>
          <w:spacing w:val="-17"/>
          <w:w w:val="110"/>
        </w:rPr>
        <w:t> </w:t>
      </w:r>
      <w:r>
        <w:rPr>
          <w:w w:val="110"/>
        </w:rPr>
        <w:t>slacken,</w:t>
      </w:r>
      <w:r>
        <w:rPr>
          <w:spacing w:val="-16"/>
          <w:w w:val="110"/>
        </w:rPr>
        <w:t> </w:t>
      </w:r>
      <w:r>
        <w:rPr>
          <w:w w:val="110"/>
        </w:rPr>
        <w:t>particularly</w:t>
      </w:r>
      <w:r>
        <w:rPr>
          <w:spacing w:val="-17"/>
          <w:w w:val="110"/>
        </w:rPr>
        <w:t> </w:t>
      </w:r>
      <w:r>
        <w:rPr>
          <w:w w:val="110"/>
        </w:rPr>
        <w:t>in</w:t>
      </w:r>
      <w:r>
        <w:rPr>
          <w:spacing w:val="-17"/>
          <w:w w:val="110"/>
        </w:rPr>
        <w:t> </w:t>
      </w:r>
      <w:r>
        <w:rPr>
          <w:w w:val="110"/>
        </w:rPr>
        <w:t>the United </w:t>
      </w:r>
      <w:r>
        <w:rPr>
          <w:spacing w:val="-3"/>
          <w:w w:val="110"/>
        </w:rPr>
        <w:t>States </w:t>
      </w:r>
      <w:r>
        <w:rPr>
          <w:w w:val="110"/>
        </w:rPr>
        <w:t>where the deceleration in activity has been sharper than </w:t>
      </w:r>
      <w:r>
        <w:rPr>
          <w:spacing w:val="-3"/>
          <w:w w:val="110"/>
        </w:rPr>
        <w:t>expected. </w:t>
      </w:r>
      <w:r>
        <w:rPr>
          <w:w w:val="110"/>
        </w:rPr>
        <w:t>The euro has </w:t>
      </w:r>
      <w:r>
        <w:rPr>
          <w:spacing w:val="-3"/>
          <w:w w:val="110"/>
        </w:rPr>
        <w:t>recovered </w:t>
      </w:r>
      <w:r>
        <w:rPr>
          <w:w w:val="110"/>
        </w:rPr>
        <w:t>against the dollar</w:t>
      </w:r>
      <w:r>
        <w:rPr>
          <w:spacing w:val="-17"/>
          <w:w w:val="110"/>
        </w:rPr>
        <w:t> </w:t>
      </w:r>
      <w:r>
        <w:rPr>
          <w:w w:val="110"/>
        </w:rPr>
        <w:t>and</w:t>
      </w:r>
      <w:r>
        <w:rPr>
          <w:spacing w:val="-17"/>
          <w:w w:val="110"/>
        </w:rPr>
        <w:t> </w:t>
      </w:r>
      <w:r>
        <w:rPr>
          <w:w w:val="110"/>
        </w:rPr>
        <w:t>the</w:t>
      </w:r>
      <w:r>
        <w:rPr>
          <w:spacing w:val="-17"/>
          <w:w w:val="110"/>
        </w:rPr>
        <w:t> </w:t>
      </w:r>
      <w:r>
        <w:rPr>
          <w:w w:val="110"/>
        </w:rPr>
        <w:t>effective</w:t>
      </w:r>
      <w:r>
        <w:rPr>
          <w:spacing w:val="-17"/>
          <w:w w:val="110"/>
        </w:rPr>
        <w:t> </w:t>
      </w:r>
      <w:r>
        <w:rPr>
          <w:spacing w:val="-3"/>
          <w:w w:val="110"/>
        </w:rPr>
        <w:t>exchange</w:t>
      </w:r>
      <w:r>
        <w:rPr>
          <w:spacing w:val="-16"/>
          <w:w w:val="110"/>
        </w:rPr>
        <w:t> </w:t>
      </w:r>
      <w:r>
        <w:rPr>
          <w:spacing w:val="-4"/>
          <w:w w:val="110"/>
        </w:rPr>
        <w:t>rate</w:t>
      </w:r>
      <w:r>
        <w:rPr>
          <w:spacing w:val="-17"/>
          <w:w w:val="110"/>
        </w:rPr>
        <w:t> </w:t>
      </w:r>
      <w:r>
        <w:rPr>
          <w:w w:val="110"/>
        </w:rPr>
        <w:t>for</w:t>
      </w:r>
      <w:r>
        <w:rPr>
          <w:spacing w:val="-17"/>
          <w:w w:val="110"/>
        </w:rPr>
        <w:t> </w:t>
      </w:r>
      <w:r>
        <w:rPr>
          <w:w w:val="110"/>
        </w:rPr>
        <w:t>sterling</w:t>
      </w:r>
      <w:r>
        <w:rPr>
          <w:spacing w:val="-17"/>
          <w:w w:val="110"/>
        </w:rPr>
        <w:t> </w:t>
      </w:r>
      <w:r>
        <w:rPr>
          <w:w w:val="110"/>
        </w:rPr>
        <w:t>has</w:t>
      </w:r>
      <w:r>
        <w:rPr>
          <w:spacing w:val="-16"/>
          <w:w w:val="110"/>
        </w:rPr>
        <w:t> </w:t>
      </w:r>
      <w:r>
        <w:rPr>
          <w:w w:val="110"/>
        </w:rPr>
        <w:t>declined. At home, output growth in the fourth quarter is likely </w:t>
      </w:r>
      <w:r>
        <w:rPr>
          <w:spacing w:val="-4"/>
          <w:w w:val="110"/>
        </w:rPr>
        <w:t>to </w:t>
      </w:r>
      <w:r>
        <w:rPr>
          <w:spacing w:val="-3"/>
          <w:w w:val="110"/>
        </w:rPr>
        <w:t>have </w:t>
      </w:r>
      <w:r>
        <w:rPr>
          <w:w w:val="110"/>
        </w:rPr>
        <w:t>been</w:t>
      </w:r>
      <w:r>
        <w:rPr>
          <w:spacing w:val="-21"/>
          <w:w w:val="110"/>
        </w:rPr>
        <w:t> </w:t>
      </w:r>
      <w:r>
        <w:rPr>
          <w:w w:val="110"/>
        </w:rPr>
        <w:t>depressed</w:t>
      </w:r>
      <w:r>
        <w:rPr>
          <w:spacing w:val="-21"/>
          <w:w w:val="110"/>
        </w:rPr>
        <w:t> </w:t>
      </w:r>
      <w:r>
        <w:rPr>
          <w:w w:val="110"/>
        </w:rPr>
        <w:t>somewhat</w:t>
      </w:r>
      <w:r>
        <w:rPr>
          <w:spacing w:val="-20"/>
          <w:w w:val="110"/>
        </w:rPr>
        <w:t> </w:t>
      </w:r>
      <w:r>
        <w:rPr>
          <w:spacing w:val="-3"/>
          <w:w w:val="110"/>
        </w:rPr>
        <w:t>by</w:t>
      </w:r>
      <w:r>
        <w:rPr>
          <w:spacing w:val="-21"/>
          <w:w w:val="110"/>
        </w:rPr>
        <w:t> </w:t>
      </w:r>
      <w:r>
        <w:rPr>
          <w:w w:val="110"/>
        </w:rPr>
        <w:t>special</w:t>
      </w:r>
      <w:r>
        <w:rPr>
          <w:spacing w:val="-20"/>
          <w:w w:val="110"/>
        </w:rPr>
        <w:t> </w:t>
      </w:r>
      <w:r>
        <w:rPr>
          <w:spacing w:val="-3"/>
          <w:w w:val="110"/>
        </w:rPr>
        <w:t>factors</w:t>
      </w:r>
      <w:r>
        <w:rPr>
          <w:spacing w:val="-21"/>
          <w:w w:val="110"/>
        </w:rPr>
        <w:t> </w:t>
      </w:r>
      <w:r>
        <w:rPr>
          <w:w w:val="110"/>
        </w:rPr>
        <w:t>that</w:t>
      </w:r>
      <w:r>
        <w:rPr>
          <w:spacing w:val="-20"/>
          <w:w w:val="110"/>
        </w:rPr>
        <w:t> </w:t>
      </w:r>
      <w:r>
        <w:rPr>
          <w:spacing w:val="-3"/>
          <w:w w:val="110"/>
        </w:rPr>
        <w:t>may</w:t>
      </w:r>
      <w:r>
        <w:rPr>
          <w:spacing w:val="-21"/>
          <w:w w:val="110"/>
        </w:rPr>
        <w:t> </w:t>
      </w:r>
      <w:r>
        <w:rPr>
          <w:w w:val="110"/>
        </w:rPr>
        <w:t>unwind</w:t>
      </w:r>
      <w:r>
        <w:rPr>
          <w:spacing w:val="-20"/>
          <w:w w:val="110"/>
        </w:rPr>
        <w:t> </w:t>
      </w:r>
      <w:r>
        <w:rPr>
          <w:w w:val="110"/>
        </w:rPr>
        <w:t>in the first part of this </w:t>
      </w:r>
      <w:r>
        <w:rPr>
          <w:spacing w:val="-4"/>
          <w:w w:val="110"/>
        </w:rPr>
        <w:t>year. </w:t>
      </w:r>
      <w:r>
        <w:rPr>
          <w:spacing w:val="-3"/>
          <w:w w:val="110"/>
        </w:rPr>
        <w:t>Private </w:t>
      </w:r>
      <w:r>
        <w:rPr>
          <w:w w:val="110"/>
        </w:rPr>
        <w:t>consumption growth has remained buoyant, while the </w:t>
      </w:r>
      <w:r>
        <w:rPr>
          <w:spacing w:val="-3"/>
          <w:w w:val="110"/>
        </w:rPr>
        <w:t>level </w:t>
      </w:r>
      <w:r>
        <w:rPr>
          <w:w w:val="110"/>
        </w:rPr>
        <w:t>of </w:t>
      </w:r>
      <w:r>
        <w:rPr>
          <w:spacing w:val="-3"/>
          <w:w w:val="110"/>
        </w:rPr>
        <w:t>private investment </w:t>
      </w:r>
      <w:r>
        <w:rPr>
          <w:w w:val="110"/>
        </w:rPr>
        <w:t>has been</w:t>
      </w:r>
      <w:r>
        <w:rPr>
          <w:spacing w:val="-24"/>
          <w:w w:val="110"/>
        </w:rPr>
        <w:t> </w:t>
      </w:r>
      <w:r>
        <w:rPr>
          <w:w w:val="110"/>
        </w:rPr>
        <w:t>fairly</w:t>
      </w:r>
      <w:r>
        <w:rPr>
          <w:spacing w:val="-24"/>
          <w:w w:val="110"/>
        </w:rPr>
        <w:t> </w:t>
      </w:r>
      <w:r>
        <w:rPr>
          <w:w w:val="110"/>
        </w:rPr>
        <w:t>flat.</w:t>
      </w:r>
      <w:r>
        <w:rPr>
          <w:spacing w:val="8"/>
          <w:w w:val="110"/>
        </w:rPr>
        <w:t> </w:t>
      </w:r>
      <w:r>
        <w:rPr>
          <w:w w:val="110"/>
        </w:rPr>
        <w:t>Although</w:t>
      </w:r>
      <w:r>
        <w:rPr>
          <w:spacing w:val="-23"/>
          <w:w w:val="110"/>
        </w:rPr>
        <w:t> </w:t>
      </w:r>
      <w:r>
        <w:rPr>
          <w:w w:val="110"/>
        </w:rPr>
        <w:t>export</w:t>
      </w:r>
      <w:r>
        <w:rPr>
          <w:spacing w:val="-24"/>
          <w:w w:val="110"/>
        </w:rPr>
        <w:t> </w:t>
      </w:r>
      <w:r>
        <w:rPr>
          <w:w w:val="110"/>
        </w:rPr>
        <w:t>growth</w:t>
      </w:r>
      <w:r>
        <w:rPr>
          <w:spacing w:val="-24"/>
          <w:w w:val="110"/>
        </w:rPr>
        <w:t> </w:t>
      </w:r>
      <w:r>
        <w:rPr>
          <w:w w:val="110"/>
        </w:rPr>
        <w:t>has</w:t>
      </w:r>
      <w:r>
        <w:rPr>
          <w:spacing w:val="-23"/>
          <w:w w:val="110"/>
        </w:rPr>
        <w:t> </w:t>
      </w:r>
      <w:r>
        <w:rPr>
          <w:w w:val="110"/>
        </w:rPr>
        <w:t>remained</w:t>
      </w:r>
      <w:r>
        <w:rPr>
          <w:spacing w:val="-24"/>
          <w:w w:val="110"/>
        </w:rPr>
        <w:t> </w:t>
      </w:r>
      <w:r>
        <w:rPr>
          <w:w w:val="110"/>
        </w:rPr>
        <w:t>strong,</w:t>
      </w:r>
      <w:r>
        <w:rPr>
          <w:spacing w:val="-24"/>
          <w:w w:val="110"/>
        </w:rPr>
        <w:t> </w:t>
      </w:r>
      <w:r>
        <w:rPr>
          <w:w w:val="110"/>
        </w:rPr>
        <w:t>it has</w:t>
      </w:r>
      <w:r>
        <w:rPr>
          <w:spacing w:val="-10"/>
          <w:w w:val="110"/>
        </w:rPr>
        <w:t> </w:t>
      </w:r>
      <w:r>
        <w:rPr>
          <w:w w:val="110"/>
        </w:rPr>
        <w:t>been</w:t>
      </w:r>
      <w:r>
        <w:rPr>
          <w:spacing w:val="-10"/>
          <w:w w:val="110"/>
        </w:rPr>
        <w:t> </w:t>
      </w:r>
      <w:r>
        <w:rPr>
          <w:w w:val="110"/>
        </w:rPr>
        <w:t>more</w:t>
      </w:r>
      <w:r>
        <w:rPr>
          <w:spacing w:val="-9"/>
          <w:w w:val="110"/>
        </w:rPr>
        <w:t> </w:t>
      </w:r>
      <w:r>
        <w:rPr>
          <w:w w:val="110"/>
        </w:rPr>
        <w:t>than</w:t>
      </w:r>
      <w:r>
        <w:rPr>
          <w:spacing w:val="-10"/>
          <w:w w:val="110"/>
        </w:rPr>
        <w:t> </w:t>
      </w:r>
      <w:r>
        <w:rPr>
          <w:w w:val="110"/>
        </w:rPr>
        <w:t>matched</w:t>
      </w:r>
      <w:r>
        <w:rPr>
          <w:spacing w:val="-10"/>
          <w:w w:val="110"/>
        </w:rPr>
        <w:t> </w:t>
      </w:r>
      <w:r>
        <w:rPr>
          <w:w w:val="110"/>
        </w:rPr>
        <w:t>by</w:t>
      </w:r>
      <w:r>
        <w:rPr>
          <w:spacing w:val="-9"/>
          <w:w w:val="110"/>
        </w:rPr>
        <w:t> </w:t>
      </w:r>
      <w:r>
        <w:rPr>
          <w:w w:val="110"/>
        </w:rPr>
        <w:t>higher</w:t>
      </w:r>
      <w:r>
        <w:rPr>
          <w:spacing w:val="-10"/>
          <w:w w:val="110"/>
        </w:rPr>
        <w:t> </w:t>
      </w:r>
      <w:r>
        <w:rPr>
          <w:spacing w:val="-2"/>
          <w:w w:val="110"/>
        </w:rPr>
        <w:t>growth</w:t>
      </w:r>
      <w:r>
        <w:rPr>
          <w:spacing w:val="-10"/>
          <w:w w:val="110"/>
        </w:rPr>
        <w:t> </w:t>
      </w:r>
      <w:r>
        <w:rPr>
          <w:w w:val="110"/>
        </w:rPr>
        <w:t>in</w:t>
      </w:r>
      <w:r>
        <w:rPr>
          <w:spacing w:val="-9"/>
          <w:w w:val="110"/>
        </w:rPr>
        <w:t> </w:t>
      </w:r>
      <w:r>
        <w:rPr>
          <w:w w:val="110"/>
        </w:rPr>
        <w:t>imports.</w:t>
      </w:r>
    </w:p>
    <w:p>
      <w:pPr>
        <w:pStyle w:val="BodyText"/>
        <w:spacing w:line="292" w:lineRule="auto"/>
        <w:ind w:left="4980" w:right="172"/>
      </w:pPr>
      <w:r>
        <w:rPr>
          <w:w w:val="110"/>
        </w:rPr>
        <w:t>Employment</w:t>
      </w:r>
      <w:r>
        <w:rPr>
          <w:spacing w:val="-21"/>
          <w:w w:val="110"/>
        </w:rPr>
        <w:t> </w:t>
      </w:r>
      <w:r>
        <w:rPr>
          <w:w w:val="110"/>
        </w:rPr>
        <w:t>has</w:t>
      </w:r>
      <w:r>
        <w:rPr>
          <w:spacing w:val="-21"/>
          <w:w w:val="110"/>
        </w:rPr>
        <w:t> </w:t>
      </w:r>
      <w:r>
        <w:rPr>
          <w:w w:val="110"/>
        </w:rPr>
        <w:t>levelled</w:t>
      </w:r>
      <w:r>
        <w:rPr>
          <w:spacing w:val="-21"/>
          <w:w w:val="110"/>
        </w:rPr>
        <w:t> </w:t>
      </w:r>
      <w:r>
        <w:rPr>
          <w:w w:val="110"/>
        </w:rPr>
        <w:t>off</w:t>
      </w:r>
      <w:r>
        <w:rPr>
          <w:spacing w:val="-21"/>
          <w:w w:val="110"/>
        </w:rPr>
        <w:t> </w:t>
      </w:r>
      <w:r>
        <w:rPr>
          <w:w w:val="110"/>
        </w:rPr>
        <w:t>and</w:t>
      </w:r>
      <w:r>
        <w:rPr>
          <w:spacing w:val="-21"/>
          <w:w w:val="110"/>
        </w:rPr>
        <w:t> </w:t>
      </w:r>
      <w:r>
        <w:rPr>
          <w:w w:val="110"/>
        </w:rPr>
        <w:t>the</w:t>
      </w:r>
      <w:r>
        <w:rPr>
          <w:spacing w:val="-21"/>
          <w:w w:val="110"/>
        </w:rPr>
        <w:t> </w:t>
      </w:r>
      <w:r>
        <w:rPr>
          <w:w w:val="110"/>
        </w:rPr>
        <w:t>unemployment</w:t>
      </w:r>
      <w:r>
        <w:rPr>
          <w:spacing w:val="-21"/>
          <w:w w:val="110"/>
        </w:rPr>
        <w:t> </w:t>
      </w:r>
      <w:r>
        <w:rPr>
          <w:spacing w:val="-4"/>
          <w:w w:val="110"/>
        </w:rPr>
        <w:t>rate</w:t>
      </w:r>
      <w:r>
        <w:rPr>
          <w:spacing w:val="-21"/>
          <w:w w:val="110"/>
        </w:rPr>
        <w:t> </w:t>
      </w:r>
      <w:r>
        <w:rPr>
          <w:w w:val="110"/>
        </w:rPr>
        <w:t>has remained at a </w:t>
      </w:r>
      <w:r>
        <w:rPr>
          <w:spacing w:val="-7"/>
          <w:w w:val="110"/>
        </w:rPr>
        <w:t>25-year </w:t>
      </w:r>
      <w:r>
        <w:rPr>
          <w:spacing w:val="-6"/>
          <w:w w:val="110"/>
        </w:rPr>
        <w:t>low. </w:t>
      </w:r>
      <w:r>
        <w:rPr>
          <w:w w:val="110"/>
        </w:rPr>
        <w:t>The labour </w:t>
      </w:r>
      <w:r>
        <w:rPr>
          <w:spacing w:val="-2"/>
          <w:w w:val="110"/>
        </w:rPr>
        <w:t>market </w:t>
      </w:r>
      <w:r>
        <w:rPr>
          <w:w w:val="110"/>
        </w:rPr>
        <w:t>remains tight, although </w:t>
      </w:r>
      <w:r>
        <w:rPr>
          <w:spacing w:val="-4"/>
          <w:w w:val="110"/>
        </w:rPr>
        <w:t>to </w:t>
      </w:r>
      <w:r>
        <w:rPr>
          <w:spacing w:val="-3"/>
          <w:w w:val="110"/>
        </w:rPr>
        <w:t>date </w:t>
      </w:r>
      <w:r>
        <w:rPr>
          <w:w w:val="110"/>
        </w:rPr>
        <w:t>this has not led </w:t>
      </w:r>
      <w:r>
        <w:rPr>
          <w:spacing w:val="-4"/>
          <w:w w:val="110"/>
        </w:rPr>
        <w:t>to </w:t>
      </w:r>
      <w:r>
        <w:rPr>
          <w:w w:val="110"/>
        </w:rPr>
        <w:t>a significant increase in earnings growth. Recent above-trend growth in productivity has</w:t>
      </w:r>
      <w:r>
        <w:rPr>
          <w:spacing w:val="-16"/>
          <w:w w:val="110"/>
        </w:rPr>
        <w:t> </w:t>
      </w:r>
      <w:r>
        <w:rPr>
          <w:w w:val="110"/>
        </w:rPr>
        <w:t>held</w:t>
      </w:r>
      <w:r>
        <w:rPr>
          <w:spacing w:val="-16"/>
          <w:w w:val="110"/>
        </w:rPr>
        <w:t> </w:t>
      </w:r>
      <w:r>
        <w:rPr>
          <w:w w:val="110"/>
        </w:rPr>
        <w:t>down</w:t>
      </w:r>
      <w:r>
        <w:rPr>
          <w:spacing w:val="-15"/>
          <w:w w:val="110"/>
        </w:rPr>
        <w:t> </w:t>
      </w:r>
      <w:r>
        <w:rPr>
          <w:w w:val="110"/>
        </w:rPr>
        <w:t>unit</w:t>
      </w:r>
      <w:r>
        <w:rPr>
          <w:spacing w:val="-16"/>
          <w:w w:val="110"/>
        </w:rPr>
        <w:t> </w:t>
      </w:r>
      <w:r>
        <w:rPr>
          <w:w w:val="110"/>
        </w:rPr>
        <w:t>labour</w:t>
      </w:r>
      <w:r>
        <w:rPr>
          <w:spacing w:val="-16"/>
          <w:w w:val="110"/>
        </w:rPr>
        <w:t> </w:t>
      </w:r>
      <w:r>
        <w:rPr>
          <w:w w:val="110"/>
        </w:rPr>
        <w:t>costs</w:t>
      </w:r>
      <w:r>
        <w:rPr>
          <w:spacing w:val="-15"/>
          <w:w w:val="110"/>
        </w:rPr>
        <w:t> </w:t>
      </w:r>
      <w:r>
        <w:rPr>
          <w:w w:val="110"/>
        </w:rPr>
        <w:t>and</w:t>
      </w:r>
      <w:r>
        <w:rPr>
          <w:spacing w:val="-16"/>
          <w:w w:val="110"/>
        </w:rPr>
        <w:t> </w:t>
      </w:r>
      <w:r>
        <w:rPr>
          <w:w w:val="110"/>
        </w:rPr>
        <w:t>import</w:t>
      </w:r>
      <w:r>
        <w:rPr>
          <w:spacing w:val="-16"/>
          <w:w w:val="110"/>
        </w:rPr>
        <w:t> </w:t>
      </w:r>
      <w:r>
        <w:rPr>
          <w:w w:val="110"/>
        </w:rPr>
        <w:t>prices</w:t>
      </w:r>
      <w:r>
        <w:rPr>
          <w:spacing w:val="-15"/>
          <w:w w:val="110"/>
        </w:rPr>
        <w:t> </w:t>
      </w:r>
      <w:r>
        <w:rPr>
          <w:spacing w:val="-3"/>
          <w:w w:val="110"/>
        </w:rPr>
        <w:t>have</w:t>
      </w:r>
      <w:r>
        <w:rPr>
          <w:spacing w:val="-16"/>
          <w:w w:val="110"/>
        </w:rPr>
        <w:t> </w:t>
      </w:r>
      <w:r>
        <w:rPr>
          <w:w w:val="110"/>
        </w:rPr>
        <w:t>barely changed.</w:t>
      </w:r>
    </w:p>
    <w:p>
      <w:pPr>
        <w:pStyle w:val="BodyText"/>
        <w:spacing w:before="3"/>
        <w:rPr>
          <w:sz w:val="23"/>
        </w:rPr>
      </w:pPr>
    </w:p>
    <w:p>
      <w:pPr>
        <w:pStyle w:val="BodyText"/>
        <w:spacing w:line="292" w:lineRule="auto"/>
        <w:ind w:left="4980"/>
      </w:pPr>
      <w:r>
        <w:rPr>
          <w:spacing w:val="-4"/>
          <w:w w:val="110"/>
        </w:rPr>
        <w:t>World</w:t>
      </w:r>
      <w:r>
        <w:rPr>
          <w:spacing w:val="-17"/>
          <w:w w:val="110"/>
        </w:rPr>
        <w:t> </w:t>
      </w:r>
      <w:r>
        <w:rPr>
          <w:w w:val="110"/>
        </w:rPr>
        <w:t>output</w:t>
      </w:r>
      <w:r>
        <w:rPr>
          <w:spacing w:val="-17"/>
          <w:w w:val="110"/>
        </w:rPr>
        <w:t> </w:t>
      </w:r>
      <w:r>
        <w:rPr>
          <w:w w:val="110"/>
        </w:rPr>
        <w:t>is</w:t>
      </w:r>
      <w:r>
        <w:rPr>
          <w:spacing w:val="-16"/>
          <w:w w:val="110"/>
        </w:rPr>
        <w:t> </w:t>
      </w:r>
      <w:r>
        <w:rPr>
          <w:w w:val="110"/>
        </w:rPr>
        <w:t>likely</w:t>
      </w:r>
      <w:r>
        <w:rPr>
          <w:spacing w:val="-17"/>
          <w:w w:val="110"/>
        </w:rPr>
        <w:t> </w:t>
      </w:r>
      <w:r>
        <w:rPr>
          <w:spacing w:val="-4"/>
          <w:w w:val="110"/>
        </w:rPr>
        <w:t>to</w:t>
      </w:r>
      <w:r>
        <w:rPr>
          <w:spacing w:val="-17"/>
          <w:w w:val="110"/>
        </w:rPr>
        <w:t> </w:t>
      </w:r>
      <w:r>
        <w:rPr>
          <w:spacing w:val="-3"/>
          <w:w w:val="110"/>
        </w:rPr>
        <w:t>have</w:t>
      </w:r>
      <w:r>
        <w:rPr>
          <w:spacing w:val="-16"/>
          <w:w w:val="110"/>
        </w:rPr>
        <w:t> </w:t>
      </w:r>
      <w:r>
        <w:rPr>
          <w:spacing w:val="-3"/>
          <w:w w:val="110"/>
        </w:rPr>
        <w:t>grown</w:t>
      </w:r>
      <w:r>
        <w:rPr>
          <w:spacing w:val="-17"/>
          <w:w w:val="110"/>
        </w:rPr>
        <w:t> </w:t>
      </w:r>
      <w:r>
        <w:rPr>
          <w:w w:val="110"/>
        </w:rPr>
        <w:t>at</w:t>
      </w:r>
      <w:r>
        <w:rPr>
          <w:spacing w:val="-16"/>
          <w:w w:val="110"/>
        </w:rPr>
        <w:t> </w:t>
      </w:r>
      <w:r>
        <w:rPr>
          <w:w w:val="110"/>
        </w:rPr>
        <w:t>its</w:t>
      </w:r>
      <w:r>
        <w:rPr>
          <w:spacing w:val="-17"/>
          <w:w w:val="110"/>
        </w:rPr>
        <w:t> </w:t>
      </w:r>
      <w:r>
        <w:rPr>
          <w:w w:val="110"/>
        </w:rPr>
        <w:t>highest</w:t>
      </w:r>
      <w:r>
        <w:rPr>
          <w:spacing w:val="-17"/>
          <w:w w:val="110"/>
        </w:rPr>
        <w:t> </w:t>
      </w:r>
      <w:r>
        <w:rPr>
          <w:spacing w:val="-4"/>
          <w:w w:val="110"/>
        </w:rPr>
        <w:t>rate</w:t>
      </w:r>
      <w:r>
        <w:rPr>
          <w:spacing w:val="-16"/>
          <w:w w:val="110"/>
        </w:rPr>
        <w:t> </w:t>
      </w:r>
      <w:r>
        <w:rPr>
          <w:w w:val="110"/>
        </w:rPr>
        <w:t>for</w:t>
      </w:r>
      <w:r>
        <w:rPr>
          <w:spacing w:val="-17"/>
          <w:w w:val="110"/>
        </w:rPr>
        <w:t> </w:t>
      </w:r>
      <w:r>
        <w:rPr>
          <w:w w:val="110"/>
        </w:rPr>
        <w:t>more than a decade in </w:t>
      </w:r>
      <w:r>
        <w:rPr>
          <w:spacing w:val="-4"/>
          <w:w w:val="110"/>
        </w:rPr>
        <w:t>2000, </w:t>
      </w:r>
      <w:r>
        <w:rPr>
          <w:w w:val="110"/>
        </w:rPr>
        <w:t>underpinned </w:t>
      </w:r>
      <w:r>
        <w:rPr>
          <w:spacing w:val="-3"/>
          <w:w w:val="110"/>
        </w:rPr>
        <w:t>by </w:t>
      </w:r>
      <w:r>
        <w:rPr>
          <w:w w:val="110"/>
        </w:rPr>
        <w:t>strong growth in the United</w:t>
      </w:r>
      <w:r>
        <w:rPr>
          <w:spacing w:val="-14"/>
          <w:w w:val="110"/>
        </w:rPr>
        <w:t> </w:t>
      </w:r>
      <w:r>
        <w:rPr>
          <w:spacing w:val="-3"/>
          <w:w w:val="110"/>
        </w:rPr>
        <w:t>States.</w:t>
      </w:r>
      <w:r>
        <w:rPr>
          <w:spacing w:val="29"/>
          <w:w w:val="110"/>
        </w:rPr>
        <w:t> </w:t>
      </w:r>
      <w:r>
        <w:rPr>
          <w:spacing w:val="-3"/>
          <w:w w:val="110"/>
        </w:rPr>
        <w:t>With</w:t>
      </w:r>
      <w:r>
        <w:rPr>
          <w:spacing w:val="-13"/>
          <w:w w:val="110"/>
        </w:rPr>
        <w:t> </w:t>
      </w:r>
      <w:r>
        <w:rPr>
          <w:w w:val="110"/>
        </w:rPr>
        <w:t>the</w:t>
      </w:r>
      <w:r>
        <w:rPr>
          <w:spacing w:val="-14"/>
          <w:w w:val="110"/>
        </w:rPr>
        <w:t> </w:t>
      </w:r>
      <w:r>
        <w:rPr>
          <w:w w:val="110"/>
        </w:rPr>
        <w:t>US</w:t>
      </w:r>
      <w:r>
        <w:rPr>
          <w:spacing w:val="-13"/>
          <w:w w:val="110"/>
        </w:rPr>
        <w:t> </w:t>
      </w:r>
      <w:r>
        <w:rPr>
          <w:w w:val="110"/>
        </w:rPr>
        <w:t>unemployment</w:t>
      </w:r>
      <w:r>
        <w:rPr>
          <w:spacing w:val="-13"/>
          <w:w w:val="110"/>
        </w:rPr>
        <w:t> </w:t>
      </w:r>
      <w:r>
        <w:rPr>
          <w:spacing w:val="-4"/>
          <w:w w:val="110"/>
        </w:rPr>
        <w:t>rate</w:t>
      </w:r>
      <w:r>
        <w:rPr>
          <w:spacing w:val="-14"/>
          <w:w w:val="110"/>
        </w:rPr>
        <w:t> </w:t>
      </w:r>
      <w:r>
        <w:rPr>
          <w:w w:val="110"/>
        </w:rPr>
        <w:t>falling</w:t>
      </w:r>
      <w:r>
        <w:rPr>
          <w:spacing w:val="-13"/>
          <w:w w:val="110"/>
        </w:rPr>
        <w:t> </w:t>
      </w:r>
      <w:r>
        <w:rPr>
          <w:spacing w:val="-4"/>
          <w:w w:val="110"/>
        </w:rPr>
        <w:t>to</w:t>
      </w:r>
      <w:r>
        <w:rPr>
          <w:spacing w:val="-13"/>
          <w:w w:val="110"/>
        </w:rPr>
        <w:t> </w:t>
      </w:r>
      <w:r>
        <w:rPr>
          <w:w w:val="110"/>
        </w:rPr>
        <w:t>a</w:t>
      </w:r>
    </w:p>
    <w:p>
      <w:pPr>
        <w:pStyle w:val="BodyText"/>
        <w:spacing w:line="292" w:lineRule="auto"/>
        <w:ind w:left="4980" w:right="172"/>
      </w:pPr>
      <w:r>
        <w:rPr>
          <w:spacing w:val="-6"/>
          <w:w w:val="110"/>
        </w:rPr>
        <w:t>30-year </w:t>
      </w:r>
      <w:r>
        <w:rPr>
          <w:w w:val="110"/>
        </w:rPr>
        <w:t>low and signs of </w:t>
      </w:r>
      <w:r>
        <w:rPr>
          <w:spacing w:val="-3"/>
          <w:w w:val="110"/>
        </w:rPr>
        <w:t>upward pressure </w:t>
      </w:r>
      <w:r>
        <w:rPr>
          <w:w w:val="110"/>
        </w:rPr>
        <w:t>on inflation, some reduction in the pace of US </w:t>
      </w:r>
      <w:r>
        <w:rPr>
          <w:spacing w:val="-2"/>
          <w:w w:val="110"/>
        </w:rPr>
        <w:t>growth </w:t>
      </w:r>
      <w:r>
        <w:rPr>
          <w:spacing w:val="-3"/>
          <w:w w:val="110"/>
        </w:rPr>
        <w:t>was </w:t>
      </w:r>
      <w:r>
        <w:rPr>
          <w:w w:val="110"/>
        </w:rPr>
        <w:t>both necessary and predicted.</w:t>
      </w:r>
      <w:r>
        <w:rPr>
          <w:spacing w:val="22"/>
          <w:w w:val="110"/>
        </w:rPr>
        <w:t> </w:t>
      </w:r>
      <w:r>
        <w:rPr>
          <w:w w:val="110"/>
        </w:rPr>
        <w:t>But</w:t>
      </w:r>
      <w:r>
        <w:rPr>
          <w:spacing w:val="-17"/>
          <w:w w:val="110"/>
        </w:rPr>
        <w:t> </w:t>
      </w:r>
      <w:r>
        <w:rPr>
          <w:w w:val="110"/>
        </w:rPr>
        <w:t>with</w:t>
      </w:r>
      <w:r>
        <w:rPr>
          <w:spacing w:val="-17"/>
          <w:w w:val="110"/>
        </w:rPr>
        <w:t> </w:t>
      </w:r>
      <w:r>
        <w:rPr>
          <w:w w:val="110"/>
        </w:rPr>
        <w:t>quarterly</w:t>
      </w:r>
      <w:r>
        <w:rPr>
          <w:spacing w:val="-16"/>
          <w:w w:val="110"/>
        </w:rPr>
        <w:t> </w:t>
      </w:r>
      <w:r>
        <w:rPr>
          <w:w w:val="110"/>
        </w:rPr>
        <w:t>growth</w:t>
      </w:r>
      <w:r>
        <w:rPr>
          <w:spacing w:val="-17"/>
          <w:w w:val="110"/>
        </w:rPr>
        <w:t> </w:t>
      </w:r>
      <w:r>
        <w:rPr>
          <w:w w:val="110"/>
        </w:rPr>
        <w:t>of</w:t>
      </w:r>
      <w:r>
        <w:rPr>
          <w:spacing w:val="-17"/>
          <w:w w:val="110"/>
        </w:rPr>
        <w:t> </w:t>
      </w:r>
      <w:r>
        <w:rPr>
          <w:w w:val="110"/>
        </w:rPr>
        <w:t>just</w:t>
      </w:r>
      <w:r>
        <w:rPr>
          <w:spacing w:val="-16"/>
          <w:w w:val="110"/>
        </w:rPr>
        <w:t> </w:t>
      </w:r>
      <w:r>
        <w:rPr>
          <w:w w:val="110"/>
        </w:rPr>
        <w:t>0.3%</w:t>
      </w:r>
      <w:r>
        <w:rPr>
          <w:spacing w:val="-17"/>
          <w:w w:val="110"/>
        </w:rPr>
        <w:t> </w:t>
      </w:r>
      <w:r>
        <w:rPr>
          <w:w w:val="110"/>
        </w:rPr>
        <w:t>in</w:t>
      </w:r>
      <w:r>
        <w:rPr>
          <w:spacing w:val="-17"/>
          <w:w w:val="110"/>
        </w:rPr>
        <w:t> </w:t>
      </w:r>
      <w:r>
        <w:rPr>
          <w:w w:val="110"/>
        </w:rPr>
        <w:t>the</w:t>
      </w:r>
      <w:r>
        <w:rPr>
          <w:spacing w:val="-17"/>
          <w:w w:val="110"/>
        </w:rPr>
        <w:t> </w:t>
      </w:r>
      <w:r>
        <w:rPr>
          <w:w w:val="110"/>
        </w:rPr>
        <w:t>fourth </w:t>
      </w:r>
      <w:r>
        <w:rPr>
          <w:spacing w:val="-3"/>
          <w:w w:val="110"/>
        </w:rPr>
        <w:t>quarter, </w:t>
      </w:r>
      <w:r>
        <w:rPr>
          <w:w w:val="110"/>
        </w:rPr>
        <w:t>and consumer and business sentiment weakening </w:t>
      </w:r>
      <w:r>
        <w:rPr>
          <w:spacing w:val="-3"/>
          <w:w w:val="110"/>
        </w:rPr>
        <w:t>sharply,</w:t>
      </w:r>
      <w:r>
        <w:rPr>
          <w:spacing w:val="-26"/>
          <w:w w:val="110"/>
        </w:rPr>
        <w:t> </w:t>
      </w:r>
      <w:r>
        <w:rPr>
          <w:w w:val="110"/>
        </w:rPr>
        <w:t>growth</w:t>
      </w:r>
      <w:r>
        <w:rPr>
          <w:spacing w:val="-26"/>
          <w:w w:val="110"/>
        </w:rPr>
        <w:t> </w:t>
      </w:r>
      <w:r>
        <w:rPr>
          <w:w w:val="110"/>
        </w:rPr>
        <w:t>is</w:t>
      </w:r>
      <w:r>
        <w:rPr>
          <w:spacing w:val="-26"/>
          <w:w w:val="110"/>
        </w:rPr>
        <w:t> </w:t>
      </w:r>
      <w:r>
        <w:rPr>
          <w:w w:val="110"/>
        </w:rPr>
        <w:t>slowing</w:t>
      </w:r>
      <w:r>
        <w:rPr>
          <w:spacing w:val="-25"/>
          <w:w w:val="110"/>
        </w:rPr>
        <w:t> </w:t>
      </w:r>
      <w:r>
        <w:rPr>
          <w:w w:val="110"/>
        </w:rPr>
        <w:t>more</w:t>
      </w:r>
      <w:r>
        <w:rPr>
          <w:spacing w:val="-26"/>
          <w:w w:val="110"/>
        </w:rPr>
        <w:t> </w:t>
      </w:r>
      <w:r>
        <w:rPr>
          <w:w w:val="110"/>
        </w:rPr>
        <w:t>rapidly</w:t>
      </w:r>
      <w:r>
        <w:rPr>
          <w:spacing w:val="-26"/>
          <w:w w:val="110"/>
        </w:rPr>
        <w:t> </w:t>
      </w:r>
      <w:r>
        <w:rPr>
          <w:w w:val="110"/>
        </w:rPr>
        <w:t>than</w:t>
      </w:r>
      <w:r>
        <w:rPr>
          <w:spacing w:val="-25"/>
          <w:w w:val="110"/>
        </w:rPr>
        <w:t> </w:t>
      </w:r>
      <w:r>
        <w:rPr>
          <w:spacing w:val="-3"/>
          <w:w w:val="110"/>
        </w:rPr>
        <w:t>expected.</w:t>
      </w:r>
      <w:r>
        <w:rPr>
          <w:spacing w:val="4"/>
          <w:w w:val="110"/>
        </w:rPr>
        <w:t> </w:t>
      </w:r>
      <w:r>
        <w:rPr>
          <w:w w:val="110"/>
        </w:rPr>
        <w:t>The</w:t>
      </w:r>
      <w:r>
        <w:rPr>
          <w:spacing w:val="-26"/>
          <w:w w:val="110"/>
        </w:rPr>
        <w:t> </w:t>
      </w:r>
      <w:r>
        <w:rPr>
          <w:w w:val="110"/>
        </w:rPr>
        <w:t>US </w:t>
      </w:r>
      <w:r>
        <w:rPr>
          <w:spacing w:val="-3"/>
          <w:w w:val="110"/>
        </w:rPr>
        <w:t>Federal</w:t>
      </w:r>
      <w:r>
        <w:rPr>
          <w:spacing w:val="-13"/>
          <w:w w:val="110"/>
        </w:rPr>
        <w:t> </w:t>
      </w:r>
      <w:r>
        <w:rPr>
          <w:spacing w:val="-3"/>
          <w:w w:val="110"/>
        </w:rPr>
        <w:t>Reserve</w:t>
      </w:r>
      <w:r>
        <w:rPr>
          <w:spacing w:val="-12"/>
          <w:w w:val="110"/>
        </w:rPr>
        <w:t> </w:t>
      </w:r>
      <w:r>
        <w:rPr>
          <w:w w:val="110"/>
        </w:rPr>
        <w:t>cut</w:t>
      </w:r>
      <w:r>
        <w:rPr>
          <w:spacing w:val="-12"/>
          <w:w w:val="110"/>
        </w:rPr>
        <w:t> </w:t>
      </w:r>
      <w:r>
        <w:rPr>
          <w:w w:val="110"/>
        </w:rPr>
        <w:t>official</w:t>
      </w:r>
      <w:r>
        <w:rPr>
          <w:spacing w:val="-12"/>
          <w:w w:val="110"/>
        </w:rPr>
        <w:t> </w:t>
      </w:r>
      <w:r>
        <w:rPr>
          <w:spacing w:val="-3"/>
          <w:w w:val="110"/>
        </w:rPr>
        <w:t>interest</w:t>
      </w:r>
      <w:r>
        <w:rPr>
          <w:spacing w:val="-12"/>
          <w:w w:val="110"/>
        </w:rPr>
        <w:t> </w:t>
      </w:r>
      <w:r>
        <w:rPr>
          <w:spacing w:val="-4"/>
          <w:w w:val="110"/>
        </w:rPr>
        <w:t>rates</w:t>
      </w:r>
      <w:r>
        <w:rPr>
          <w:spacing w:val="-13"/>
          <w:w w:val="110"/>
        </w:rPr>
        <w:t> </w:t>
      </w:r>
      <w:r>
        <w:rPr>
          <w:spacing w:val="-3"/>
          <w:w w:val="110"/>
        </w:rPr>
        <w:t>by</w:t>
      </w:r>
      <w:r>
        <w:rPr>
          <w:spacing w:val="-12"/>
          <w:w w:val="110"/>
        </w:rPr>
        <w:t> </w:t>
      </w:r>
      <w:r>
        <w:rPr>
          <w:w w:val="110"/>
        </w:rPr>
        <w:t>a</w:t>
      </w:r>
      <w:r>
        <w:rPr>
          <w:spacing w:val="-12"/>
          <w:w w:val="110"/>
        </w:rPr>
        <w:t> </w:t>
      </w:r>
      <w:r>
        <w:rPr>
          <w:spacing w:val="-3"/>
          <w:w w:val="110"/>
        </w:rPr>
        <w:t>total</w:t>
      </w:r>
      <w:r>
        <w:rPr>
          <w:spacing w:val="-12"/>
          <w:w w:val="110"/>
        </w:rPr>
        <w:t> </w:t>
      </w:r>
      <w:r>
        <w:rPr>
          <w:w w:val="110"/>
        </w:rPr>
        <w:t>of</w:t>
      </w:r>
      <w:r>
        <w:rPr>
          <w:spacing w:val="-12"/>
          <w:w w:val="110"/>
        </w:rPr>
        <w:t> </w:t>
      </w:r>
      <w:r>
        <w:rPr>
          <w:spacing w:val="-9"/>
          <w:w w:val="110"/>
        </w:rPr>
        <w:t>100</w:t>
      </w:r>
      <w:r>
        <w:rPr>
          <w:spacing w:val="-13"/>
          <w:w w:val="110"/>
        </w:rPr>
        <w:t> </w:t>
      </w:r>
      <w:r>
        <w:rPr>
          <w:w w:val="110"/>
        </w:rPr>
        <w:t>basis points</w:t>
      </w:r>
      <w:r>
        <w:rPr>
          <w:spacing w:val="-18"/>
          <w:w w:val="110"/>
        </w:rPr>
        <w:t> </w:t>
      </w:r>
      <w:r>
        <w:rPr>
          <w:w w:val="110"/>
        </w:rPr>
        <w:t>during</w:t>
      </w:r>
      <w:r>
        <w:rPr>
          <w:spacing w:val="-18"/>
          <w:w w:val="110"/>
        </w:rPr>
        <w:t> </w:t>
      </w:r>
      <w:r>
        <w:rPr>
          <w:spacing w:val="-3"/>
          <w:w w:val="110"/>
        </w:rPr>
        <w:t>January,</w:t>
      </w:r>
      <w:r>
        <w:rPr>
          <w:spacing w:val="-18"/>
          <w:w w:val="110"/>
        </w:rPr>
        <w:t> </w:t>
      </w:r>
      <w:r>
        <w:rPr>
          <w:w w:val="110"/>
        </w:rPr>
        <w:t>and</w:t>
      </w:r>
      <w:r>
        <w:rPr>
          <w:spacing w:val="-18"/>
          <w:w w:val="110"/>
        </w:rPr>
        <w:t> </w:t>
      </w:r>
      <w:r>
        <w:rPr>
          <w:w w:val="110"/>
        </w:rPr>
        <w:t>the</w:t>
      </w:r>
      <w:r>
        <w:rPr>
          <w:spacing w:val="-18"/>
          <w:w w:val="110"/>
        </w:rPr>
        <w:t> </w:t>
      </w:r>
      <w:r>
        <w:rPr>
          <w:w w:val="110"/>
        </w:rPr>
        <w:t>financial</w:t>
      </w:r>
      <w:r>
        <w:rPr>
          <w:spacing w:val="-18"/>
          <w:w w:val="110"/>
        </w:rPr>
        <w:t> </w:t>
      </w:r>
      <w:r>
        <w:rPr>
          <w:w w:val="110"/>
        </w:rPr>
        <w:t>markets</w:t>
      </w:r>
      <w:r>
        <w:rPr>
          <w:spacing w:val="-18"/>
          <w:w w:val="110"/>
        </w:rPr>
        <w:t> </w:t>
      </w:r>
      <w:r>
        <w:rPr>
          <w:w w:val="110"/>
        </w:rPr>
        <w:t>expect</w:t>
      </w:r>
      <w:r>
        <w:rPr>
          <w:spacing w:val="-18"/>
          <w:w w:val="110"/>
        </w:rPr>
        <w:t> </w:t>
      </w:r>
      <w:r>
        <w:rPr>
          <w:w w:val="110"/>
        </w:rPr>
        <w:t>further cuts</w:t>
      </w:r>
      <w:r>
        <w:rPr>
          <w:spacing w:val="-14"/>
          <w:w w:val="110"/>
        </w:rPr>
        <w:t> </w:t>
      </w:r>
      <w:r>
        <w:rPr>
          <w:w w:val="110"/>
        </w:rPr>
        <w:t>in</w:t>
      </w:r>
      <w:r>
        <w:rPr>
          <w:spacing w:val="-14"/>
          <w:w w:val="110"/>
        </w:rPr>
        <w:t> </w:t>
      </w:r>
      <w:r>
        <w:rPr>
          <w:w w:val="110"/>
        </w:rPr>
        <w:t>the</w:t>
      </w:r>
      <w:r>
        <w:rPr>
          <w:spacing w:val="-13"/>
          <w:w w:val="110"/>
        </w:rPr>
        <w:t> </w:t>
      </w:r>
      <w:r>
        <w:rPr>
          <w:w w:val="110"/>
        </w:rPr>
        <w:t>near</w:t>
      </w:r>
      <w:r>
        <w:rPr>
          <w:spacing w:val="-14"/>
          <w:w w:val="110"/>
        </w:rPr>
        <w:t> </w:t>
      </w:r>
      <w:r>
        <w:rPr>
          <w:w w:val="110"/>
        </w:rPr>
        <w:t>future.</w:t>
      </w:r>
      <w:r>
        <w:rPr>
          <w:spacing w:val="29"/>
          <w:w w:val="110"/>
        </w:rPr>
        <w:t> </w:t>
      </w:r>
      <w:r>
        <w:rPr>
          <w:w w:val="110"/>
        </w:rPr>
        <w:t>Although</w:t>
      </w:r>
      <w:r>
        <w:rPr>
          <w:spacing w:val="-14"/>
          <w:w w:val="110"/>
        </w:rPr>
        <w:t> </w:t>
      </w:r>
      <w:r>
        <w:rPr>
          <w:w w:val="110"/>
        </w:rPr>
        <w:t>growth</w:t>
      </w:r>
      <w:r>
        <w:rPr>
          <w:spacing w:val="-13"/>
          <w:w w:val="110"/>
        </w:rPr>
        <w:t> </w:t>
      </w:r>
      <w:r>
        <w:rPr>
          <w:w w:val="110"/>
        </w:rPr>
        <w:t>in</w:t>
      </w:r>
      <w:r>
        <w:rPr>
          <w:spacing w:val="-14"/>
          <w:w w:val="110"/>
        </w:rPr>
        <w:t> </w:t>
      </w:r>
      <w:r>
        <w:rPr>
          <w:w w:val="110"/>
        </w:rPr>
        <w:t>the</w:t>
      </w:r>
      <w:r>
        <w:rPr>
          <w:spacing w:val="-13"/>
          <w:w w:val="110"/>
        </w:rPr>
        <w:t> </w:t>
      </w:r>
      <w:r>
        <w:rPr>
          <w:w w:val="110"/>
        </w:rPr>
        <w:t>first</w:t>
      </w:r>
      <w:r>
        <w:rPr>
          <w:spacing w:val="-14"/>
          <w:w w:val="110"/>
        </w:rPr>
        <w:t> </w:t>
      </w:r>
      <w:r>
        <w:rPr>
          <w:w w:val="110"/>
        </w:rPr>
        <w:t>half</w:t>
      </w:r>
      <w:r>
        <w:rPr>
          <w:spacing w:val="-14"/>
          <w:w w:val="110"/>
        </w:rPr>
        <w:t> </w:t>
      </w:r>
      <w:r>
        <w:rPr>
          <w:w w:val="110"/>
        </w:rPr>
        <w:t>of</w:t>
      </w:r>
      <w:r>
        <w:rPr>
          <w:spacing w:val="-13"/>
          <w:w w:val="110"/>
        </w:rPr>
        <w:t> </w:t>
      </w:r>
      <w:r>
        <w:rPr>
          <w:w w:val="110"/>
        </w:rPr>
        <w:t>the year</w:t>
      </w:r>
      <w:r>
        <w:rPr>
          <w:spacing w:val="-27"/>
          <w:w w:val="110"/>
        </w:rPr>
        <w:t> </w:t>
      </w:r>
      <w:r>
        <w:rPr>
          <w:w w:val="110"/>
        </w:rPr>
        <w:t>is</w:t>
      </w:r>
      <w:r>
        <w:rPr>
          <w:spacing w:val="-26"/>
          <w:w w:val="110"/>
        </w:rPr>
        <w:t> </w:t>
      </w:r>
      <w:r>
        <w:rPr>
          <w:w w:val="110"/>
        </w:rPr>
        <w:t>likely</w:t>
      </w:r>
      <w:r>
        <w:rPr>
          <w:spacing w:val="-27"/>
          <w:w w:val="110"/>
        </w:rPr>
        <w:t> </w:t>
      </w:r>
      <w:r>
        <w:rPr>
          <w:spacing w:val="-4"/>
          <w:w w:val="110"/>
        </w:rPr>
        <w:t>to</w:t>
      </w:r>
      <w:r>
        <w:rPr>
          <w:spacing w:val="-26"/>
          <w:w w:val="110"/>
        </w:rPr>
        <w:t> </w:t>
      </w:r>
      <w:r>
        <w:rPr>
          <w:w w:val="110"/>
        </w:rPr>
        <w:t>be</w:t>
      </w:r>
      <w:r>
        <w:rPr>
          <w:spacing w:val="-27"/>
          <w:w w:val="110"/>
        </w:rPr>
        <w:t> </w:t>
      </w:r>
      <w:r>
        <w:rPr>
          <w:w w:val="110"/>
        </w:rPr>
        <w:t>very</w:t>
      </w:r>
      <w:r>
        <w:rPr>
          <w:spacing w:val="-26"/>
          <w:w w:val="110"/>
        </w:rPr>
        <w:t> </w:t>
      </w:r>
      <w:r>
        <w:rPr>
          <w:w w:val="110"/>
        </w:rPr>
        <w:t>weak,</w:t>
      </w:r>
      <w:r>
        <w:rPr>
          <w:spacing w:val="-27"/>
          <w:w w:val="110"/>
        </w:rPr>
        <w:t> </w:t>
      </w:r>
      <w:r>
        <w:rPr>
          <w:w w:val="110"/>
        </w:rPr>
        <w:t>the</w:t>
      </w:r>
      <w:r>
        <w:rPr>
          <w:spacing w:val="-26"/>
          <w:w w:val="110"/>
        </w:rPr>
        <w:t> </w:t>
      </w:r>
      <w:r>
        <w:rPr>
          <w:w w:val="110"/>
        </w:rPr>
        <w:t>relaxation</w:t>
      </w:r>
      <w:r>
        <w:rPr>
          <w:spacing w:val="-27"/>
          <w:w w:val="110"/>
        </w:rPr>
        <w:t> </w:t>
      </w:r>
      <w:r>
        <w:rPr>
          <w:w w:val="110"/>
        </w:rPr>
        <w:t>in</w:t>
      </w:r>
      <w:r>
        <w:rPr>
          <w:spacing w:val="-26"/>
          <w:w w:val="110"/>
        </w:rPr>
        <w:t> </w:t>
      </w:r>
      <w:r>
        <w:rPr>
          <w:w w:val="110"/>
        </w:rPr>
        <w:t>monetary</w:t>
      </w:r>
      <w:r>
        <w:rPr>
          <w:spacing w:val="-27"/>
          <w:w w:val="110"/>
        </w:rPr>
        <w:t> </w:t>
      </w:r>
      <w:r>
        <w:rPr>
          <w:spacing w:val="-4"/>
          <w:w w:val="110"/>
        </w:rPr>
        <w:t>policy, </w:t>
      </w:r>
      <w:r>
        <w:rPr>
          <w:w w:val="110"/>
        </w:rPr>
        <w:t>together with prospective fiscal easing, a somewhat </w:t>
      </w:r>
      <w:r>
        <w:rPr>
          <w:spacing w:val="-3"/>
          <w:w w:val="110"/>
        </w:rPr>
        <w:t>weaker </w:t>
      </w:r>
      <w:r>
        <w:rPr>
          <w:w w:val="110"/>
        </w:rPr>
        <w:t>dollar and continuing strong underlying productivity </w:t>
      </w:r>
      <w:r>
        <w:rPr>
          <w:spacing w:val="-3"/>
          <w:w w:val="110"/>
        </w:rPr>
        <w:t>growth </w:t>
      </w:r>
      <w:r>
        <w:rPr>
          <w:w w:val="110"/>
        </w:rPr>
        <w:t>should bring about a return </w:t>
      </w:r>
      <w:r>
        <w:rPr>
          <w:spacing w:val="-4"/>
          <w:w w:val="110"/>
        </w:rPr>
        <w:t>to </w:t>
      </w:r>
      <w:r>
        <w:rPr>
          <w:spacing w:val="-3"/>
          <w:w w:val="110"/>
        </w:rPr>
        <w:t>moderate </w:t>
      </w:r>
      <w:r>
        <w:rPr>
          <w:spacing w:val="-2"/>
          <w:w w:val="110"/>
        </w:rPr>
        <w:t>growth </w:t>
      </w:r>
      <w:r>
        <w:rPr>
          <w:w w:val="110"/>
        </w:rPr>
        <w:t>in the </w:t>
      </w:r>
      <w:r>
        <w:rPr>
          <w:spacing w:val="-3"/>
          <w:w w:val="110"/>
        </w:rPr>
        <w:t>latter </w:t>
      </w:r>
      <w:r>
        <w:rPr>
          <w:w w:val="110"/>
        </w:rPr>
        <w:t>part of the</w:t>
      </w:r>
      <w:r>
        <w:rPr>
          <w:spacing w:val="-16"/>
          <w:w w:val="110"/>
        </w:rPr>
        <w:t> </w:t>
      </w:r>
      <w:r>
        <w:rPr>
          <w:spacing w:val="-4"/>
          <w:w w:val="110"/>
        </w:rPr>
        <w:t>year.</w:t>
      </w:r>
    </w:p>
    <w:p>
      <w:pPr>
        <w:pStyle w:val="BodyText"/>
        <w:spacing w:before="6"/>
        <w:rPr>
          <w:sz w:val="23"/>
        </w:rPr>
      </w:pPr>
    </w:p>
    <w:p>
      <w:pPr>
        <w:pStyle w:val="BodyText"/>
        <w:spacing w:line="292" w:lineRule="auto"/>
        <w:ind w:left="4980" w:right="234"/>
      </w:pPr>
      <w:r>
        <w:rPr>
          <w:w w:val="110"/>
        </w:rPr>
        <w:t>In the euro area, growth has also </w:t>
      </w:r>
      <w:r>
        <w:rPr>
          <w:spacing w:val="-3"/>
          <w:w w:val="110"/>
        </w:rPr>
        <w:t>slowed </w:t>
      </w:r>
      <w:r>
        <w:rPr>
          <w:w w:val="110"/>
        </w:rPr>
        <w:t>a little. But the strengthening of the euro and a fall in oil prices since </w:t>
      </w:r>
      <w:r>
        <w:rPr>
          <w:spacing w:val="-3"/>
          <w:w w:val="110"/>
        </w:rPr>
        <w:t>November’s</w:t>
      </w:r>
      <w:r>
        <w:rPr>
          <w:spacing w:val="-23"/>
          <w:w w:val="110"/>
        </w:rPr>
        <w:t> </w:t>
      </w:r>
      <w:r>
        <w:rPr>
          <w:i/>
          <w:w w:val="110"/>
        </w:rPr>
        <w:t>Report</w:t>
      </w:r>
      <w:r>
        <w:rPr>
          <w:i/>
          <w:spacing w:val="-22"/>
          <w:w w:val="110"/>
        </w:rPr>
        <w:t> </w:t>
      </w:r>
      <w:r>
        <w:rPr>
          <w:w w:val="110"/>
        </w:rPr>
        <w:t>will</w:t>
      </w:r>
      <w:r>
        <w:rPr>
          <w:spacing w:val="-22"/>
          <w:w w:val="110"/>
        </w:rPr>
        <w:t> </w:t>
      </w:r>
      <w:r>
        <w:rPr>
          <w:w w:val="110"/>
        </w:rPr>
        <w:t>help</w:t>
      </w:r>
      <w:r>
        <w:rPr>
          <w:spacing w:val="-22"/>
          <w:w w:val="110"/>
        </w:rPr>
        <w:t> </w:t>
      </w:r>
      <w:r>
        <w:rPr>
          <w:spacing w:val="-4"/>
          <w:w w:val="110"/>
        </w:rPr>
        <w:t>to</w:t>
      </w:r>
      <w:r>
        <w:rPr>
          <w:spacing w:val="-22"/>
          <w:w w:val="110"/>
        </w:rPr>
        <w:t> </w:t>
      </w:r>
      <w:r>
        <w:rPr>
          <w:w w:val="110"/>
        </w:rPr>
        <w:t>contain</w:t>
      </w:r>
      <w:r>
        <w:rPr>
          <w:spacing w:val="-22"/>
          <w:w w:val="110"/>
        </w:rPr>
        <w:t> </w:t>
      </w:r>
      <w:r>
        <w:rPr>
          <w:w w:val="110"/>
        </w:rPr>
        <w:t>inflationary</w:t>
      </w:r>
      <w:r>
        <w:rPr>
          <w:spacing w:val="-22"/>
          <w:w w:val="110"/>
        </w:rPr>
        <w:t> </w:t>
      </w:r>
      <w:r>
        <w:rPr>
          <w:spacing w:val="-3"/>
          <w:w w:val="110"/>
        </w:rPr>
        <w:t>pressures, </w:t>
      </w:r>
      <w:r>
        <w:rPr>
          <w:w w:val="110"/>
        </w:rPr>
        <w:t>and firm consumption should underpin </w:t>
      </w:r>
      <w:r>
        <w:rPr>
          <w:spacing w:val="-3"/>
          <w:w w:val="110"/>
        </w:rPr>
        <w:t>steady </w:t>
      </w:r>
      <w:r>
        <w:rPr>
          <w:w w:val="110"/>
        </w:rPr>
        <w:t>growth. The mild</w:t>
      </w:r>
      <w:r>
        <w:rPr>
          <w:spacing w:val="-22"/>
          <w:w w:val="110"/>
        </w:rPr>
        <w:t> </w:t>
      </w:r>
      <w:r>
        <w:rPr>
          <w:w w:val="110"/>
        </w:rPr>
        <w:t>recovery</w:t>
      </w:r>
      <w:r>
        <w:rPr>
          <w:spacing w:val="-22"/>
          <w:w w:val="110"/>
        </w:rPr>
        <w:t> </w:t>
      </w:r>
      <w:r>
        <w:rPr>
          <w:w w:val="110"/>
        </w:rPr>
        <w:t>in</w:t>
      </w:r>
      <w:r>
        <w:rPr>
          <w:spacing w:val="-22"/>
          <w:w w:val="110"/>
        </w:rPr>
        <w:t> </w:t>
      </w:r>
      <w:r>
        <w:rPr>
          <w:w w:val="110"/>
        </w:rPr>
        <w:t>Japan</w:t>
      </w:r>
      <w:r>
        <w:rPr>
          <w:spacing w:val="-22"/>
          <w:w w:val="110"/>
        </w:rPr>
        <w:t> </w:t>
      </w:r>
      <w:r>
        <w:rPr>
          <w:spacing w:val="-3"/>
          <w:w w:val="110"/>
        </w:rPr>
        <w:t>may</w:t>
      </w:r>
      <w:r>
        <w:rPr>
          <w:spacing w:val="-22"/>
          <w:w w:val="110"/>
        </w:rPr>
        <w:t> </w:t>
      </w:r>
      <w:r>
        <w:rPr>
          <w:w w:val="110"/>
        </w:rPr>
        <w:t>be</w:t>
      </w:r>
      <w:r>
        <w:rPr>
          <w:spacing w:val="-22"/>
          <w:w w:val="110"/>
        </w:rPr>
        <w:t> </w:t>
      </w:r>
      <w:r>
        <w:rPr>
          <w:w w:val="110"/>
        </w:rPr>
        <w:t>petering</w:t>
      </w:r>
      <w:r>
        <w:rPr>
          <w:spacing w:val="-22"/>
          <w:w w:val="110"/>
        </w:rPr>
        <w:t> </w:t>
      </w:r>
      <w:r>
        <w:rPr>
          <w:w w:val="110"/>
        </w:rPr>
        <w:t>out,</w:t>
      </w:r>
      <w:r>
        <w:rPr>
          <w:spacing w:val="-22"/>
          <w:w w:val="110"/>
        </w:rPr>
        <w:t> </w:t>
      </w:r>
      <w:r>
        <w:rPr>
          <w:w w:val="110"/>
        </w:rPr>
        <w:t>while</w:t>
      </w:r>
      <w:r>
        <w:rPr>
          <w:spacing w:val="-22"/>
          <w:w w:val="110"/>
        </w:rPr>
        <w:t> </w:t>
      </w:r>
      <w:r>
        <w:rPr>
          <w:w w:val="110"/>
        </w:rPr>
        <w:t>prospects</w:t>
      </w:r>
      <w:r>
        <w:rPr>
          <w:spacing w:val="-22"/>
          <w:w w:val="110"/>
        </w:rPr>
        <w:t> </w:t>
      </w:r>
      <w:r>
        <w:rPr>
          <w:w w:val="110"/>
        </w:rPr>
        <w:t>for the</w:t>
      </w:r>
      <w:r>
        <w:rPr>
          <w:spacing w:val="-10"/>
          <w:w w:val="110"/>
        </w:rPr>
        <w:t> </w:t>
      </w:r>
      <w:r>
        <w:rPr>
          <w:w w:val="110"/>
        </w:rPr>
        <w:t>emerging</w:t>
      </w:r>
      <w:r>
        <w:rPr>
          <w:spacing w:val="-9"/>
          <w:w w:val="110"/>
        </w:rPr>
        <w:t> </w:t>
      </w:r>
      <w:r>
        <w:rPr>
          <w:w w:val="110"/>
        </w:rPr>
        <w:t>market</w:t>
      </w:r>
      <w:r>
        <w:rPr>
          <w:spacing w:val="-9"/>
          <w:w w:val="110"/>
        </w:rPr>
        <w:t> </w:t>
      </w:r>
      <w:r>
        <w:rPr>
          <w:w w:val="110"/>
        </w:rPr>
        <w:t>economies</w:t>
      </w:r>
      <w:r>
        <w:rPr>
          <w:spacing w:val="-9"/>
          <w:w w:val="110"/>
        </w:rPr>
        <w:t> </w:t>
      </w:r>
      <w:r>
        <w:rPr>
          <w:w w:val="110"/>
        </w:rPr>
        <w:t>depend</w:t>
      </w:r>
      <w:r>
        <w:rPr>
          <w:spacing w:val="-9"/>
          <w:w w:val="110"/>
        </w:rPr>
        <w:t> </w:t>
      </w:r>
      <w:r>
        <w:rPr>
          <w:w w:val="110"/>
        </w:rPr>
        <w:t>heavily</w:t>
      </w:r>
      <w:r>
        <w:rPr>
          <w:spacing w:val="-9"/>
          <w:w w:val="110"/>
        </w:rPr>
        <w:t> </w:t>
      </w:r>
      <w:r>
        <w:rPr>
          <w:w w:val="110"/>
        </w:rPr>
        <w:t>on</w:t>
      </w:r>
    </w:p>
    <w:p>
      <w:pPr>
        <w:spacing w:after="0" w:line="292" w:lineRule="auto"/>
        <w:sectPr>
          <w:footerReference w:type="default" r:id="rId7"/>
          <w:footerReference w:type="even" r:id="rId8"/>
          <w:pgSz w:w="11900" w:h="16840"/>
          <w:pgMar w:footer="594" w:header="0" w:top="800" w:bottom="780" w:left="640" w:right="640"/>
          <w:pgNumType w:start="1"/>
        </w:sectPr>
      </w:pPr>
    </w:p>
    <w:p>
      <w:pPr>
        <w:pStyle w:val="BodyText"/>
      </w:pPr>
    </w:p>
    <w:p>
      <w:pPr>
        <w:pStyle w:val="BodyText"/>
        <w:spacing w:before="6"/>
        <w:rPr>
          <w:sz w:val="19"/>
        </w:rPr>
      </w:pPr>
    </w:p>
    <w:p>
      <w:pPr>
        <w:pStyle w:val="BodyText"/>
        <w:spacing w:line="292" w:lineRule="auto" w:before="1"/>
        <w:ind w:left="4985" w:right="296"/>
      </w:pPr>
      <w:r>
        <w:rPr>
          <w:w w:val="105"/>
        </w:rPr>
        <w:t>developments in their major export markets, especially the United States. The impact on UK economic growth of the overall deterioration in global economic prospects is expected to be moderate.</w:t>
      </w:r>
    </w:p>
    <w:p>
      <w:pPr>
        <w:pStyle w:val="BodyText"/>
        <w:spacing w:before="1"/>
        <w:rPr>
          <w:sz w:val="24"/>
        </w:rPr>
      </w:pPr>
    </w:p>
    <w:p>
      <w:pPr>
        <w:pStyle w:val="BodyText"/>
        <w:spacing w:line="292" w:lineRule="auto"/>
        <w:ind w:left="4985" w:right="172"/>
      </w:pPr>
      <w:r>
        <w:rPr>
          <w:w w:val="105"/>
        </w:rPr>
        <w:t>But it is possible that the pause in US growth may be deeper or more prolonged than expected, leading to further falls in equity prices and a tightening of credit conditions in the United States and abroad. A more severe slowdown could also have adverse effects on confidence in other countries, including the United Kingdom. Consequently the MPC judges that the risks from the global environment are weighted firmly on the downside.</w:t>
      </w:r>
    </w:p>
    <w:p>
      <w:pPr>
        <w:pStyle w:val="BodyText"/>
        <w:rPr>
          <w:sz w:val="24"/>
        </w:rPr>
      </w:pPr>
    </w:p>
    <w:p>
      <w:pPr>
        <w:pStyle w:val="BodyText"/>
        <w:spacing w:line="292" w:lineRule="auto"/>
        <w:ind w:left="4985" w:right="140"/>
      </w:pPr>
      <w:r>
        <w:rPr>
          <w:w w:val="110"/>
        </w:rPr>
        <w:t>Output</w:t>
      </w:r>
      <w:r>
        <w:rPr>
          <w:spacing w:val="-21"/>
          <w:w w:val="110"/>
        </w:rPr>
        <w:t> </w:t>
      </w:r>
      <w:r>
        <w:rPr>
          <w:w w:val="110"/>
        </w:rPr>
        <w:t>in</w:t>
      </w:r>
      <w:r>
        <w:rPr>
          <w:spacing w:val="-21"/>
          <w:w w:val="110"/>
        </w:rPr>
        <w:t> </w:t>
      </w:r>
      <w:r>
        <w:rPr>
          <w:w w:val="110"/>
        </w:rPr>
        <w:t>the</w:t>
      </w:r>
      <w:r>
        <w:rPr>
          <w:spacing w:val="-20"/>
          <w:w w:val="110"/>
        </w:rPr>
        <w:t> </w:t>
      </w:r>
      <w:r>
        <w:rPr>
          <w:w w:val="110"/>
        </w:rPr>
        <w:t>United</w:t>
      </w:r>
      <w:r>
        <w:rPr>
          <w:spacing w:val="-21"/>
          <w:w w:val="110"/>
        </w:rPr>
        <w:t> </w:t>
      </w:r>
      <w:r>
        <w:rPr>
          <w:w w:val="110"/>
        </w:rPr>
        <w:t>Kingdom</w:t>
      </w:r>
      <w:r>
        <w:rPr>
          <w:spacing w:val="-20"/>
          <w:w w:val="110"/>
        </w:rPr>
        <w:t> </w:t>
      </w:r>
      <w:r>
        <w:rPr>
          <w:w w:val="110"/>
        </w:rPr>
        <w:t>is</w:t>
      </w:r>
      <w:r>
        <w:rPr>
          <w:spacing w:val="-21"/>
          <w:w w:val="110"/>
        </w:rPr>
        <w:t> </w:t>
      </w:r>
      <w:r>
        <w:rPr>
          <w:w w:val="110"/>
        </w:rPr>
        <w:t>provisionally</w:t>
      </w:r>
      <w:r>
        <w:rPr>
          <w:spacing w:val="-20"/>
          <w:w w:val="110"/>
        </w:rPr>
        <w:t> </w:t>
      </w:r>
      <w:r>
        <w:rPr>
          <w:w w:val="110"/>
        </w:rPr>
        <w:t>estimated</w:t>
      </w:r>
      <w:r>
        <w:rPr>
          <w:spacing w:val="-21"/>
          <w:w w:val="110"/>
        </w:rPr>
        <w:t> </w:t>
      </w:r>
      <w:r>
        <w:rPr>
          <w:spacing w:val="-3"/>
          <w:w w:val="110"/>
        </w:rPr>
        <w:t>by</w:t>
      </w:r>
      <w:r>
        <w:rPr>
          <w:spacing w:val="-21"/>
          <w:w w:val="110"/>
        </w:rPr>
        <w:t> </w:t>
      </w:r>
      <w:r>
        <w:rPr>
          <w:w w:val="110"/>
        </w:rPr>
        <w:t>the ONS</w:t>
      </w:r>
      <w:r>
        <w:rPr>
          <w:spacing w:val="-15"/>
          <w:w w:val="110"/>
        </w:rPr>
        <w:t> </w:t>
      </w:r>
      <w:r>
        <w:rPr>
          <w:spacing w:val="-4"/>
          <w:w w:val="110"/>
        </w:rPr>
        <w:t>to</w:t>
      </w:r>
      <w:r>
        <w:rPr>
          <w:spacing w:val="-14"/>
          <w:w w:val="110"/>
        </w:rPr>
        <w:t> </w:t>
      </w:r>
      <w:r>
        <w:rPr>
          <w:spacing w:val="-3"/>
          <w:w w:val="110"/>
        </w:rPr>
        <w:t>have</w:t>
      </w:r>
      <w:r>
        <w:rPr>
          <w:spacing w:val="-14"/>
          <w:w w:val="110"/>
        </w:rPr>
        <w:t> </w:t>
      </w:r>
      <w:r>
        <w:rPr>
          <w:w w:val="110"/>
        </w:rPr>
        <w:t>risen</w:t>
      </w:r>
      <w:r>
        <w:rPr>
          <w:spacing w:val="-15"/>
          <w:w w:val="110"/>
        </w:rPr>
        <w:t> </w:t>
      </w:r>
      <w:r>
        <w:rPr>
          <w:w w:val="110"/>
        </w:rPr>
        <w:t>by</w:t>
      </w:r>
      <w:r>
        <w:rPr>
          <w:spacing w:val="-14"/>
          <w:w w:val="110"/>
        </w:rPr>
        <w:t> </w:t>
      </w:r>
      <w:r>
        <w:rPr>
          <w:w w:val="110"/>
        </w:rPr>
        <w:t>0.3%</w:t>
      </w:r>
      <w:r>
        <w:rPr>
          <w:spacing w:val="-14"/>
          <w:w w:val="110"/>
        </w:rPr>
        <w:t> </w:t>
      </w:r>
      <w:r>
        <w:rPr>
          <w:w w:val="110"/>
        </w:rPr>
        <w:t>in</w:t>
      </w:r>
      <w:r>
        <w:rPr>
          <w:spacing w:val="-15"/>
          <w:w w:val="110"/>
        </w:rPr>
        <w:t> </w:t>
      </w:r>
      <w:r>
        <w:rPr>
          <w:w w:val="110"/>
        </w:rPr>
        <w:t>the</w:t>
      </w:r>
      <w:r>
        <w:rPr>
          <w:spacing w:val="-14"/>
          <w:w w:val="110"/>
        </w:rPr>
        <w:t> </w:t>
      </w:r>
      <w:r>
        <w:rPr>
          <w:w w:val="110"/>
        </w:rPr>
        <w:t>fourth</w:t>
      </w:r>
      <w:r>
        <w:rPr>
          <w:spacing w:val="-14"/>
          <w:w w:val="110"/>
        </w:rPr>
        <w:t> </w:t>
      </w:r>
      <w:r>
        <w:rPr>
          <w:spacing w:val="-3"/>
          <w:w w:val="110"/>
        </w:rPr>
        <w:t>quarter,</w:t>
      </w:r>
      <w:r>
        <w:rPr>
          <w:spacing w:val="-15"/>
          <w:w w:val="110"/>
        </w:rPr>
        <w:t> </w:t>
      </w:r>
      <w:r>
        <w:rPr>
          <w:w w:val="110"/>
        </w:rPr>
        <w:t>compared</w:t>
      </w:r>
      <w:r>
        <w:rPr>
          <w:spacing w:val="-14"/>
          <w:w w:val="110"/>
        </w:rPr>
        <w:t> </w:t>
      </w:r>
      <w:r>
        <w:rPr>
          <w:w w:val="110"/>
        </w:rPr>
        <w:t>with 0.7%</w:t>
      </w:r>
      <w:r>
        <w:rPr>
          <w:spacing w:val="-21"/>
          <w:w w:val="110"/>
        </w:rPr>
        <w:t> </w:t>
      </w:r>
      <w:r>
        <w:rPr>
          <w:w w:val="110"/>
        </w:rPr>
        <w:t>in</w:t>
      </w:r>
      <w:r>
        <w:rPr>
          <w:spacing w:val="-20"/>
          <w:w w:val="110"/>
        </w:rPr>
        <w:t> </w:t>
      </w:r>
      <w:r>
        <w:rPr>
          <w:w w:val="110"/>
        </w:rPr>
        <w:t>the</w:t>
      </w:r>
      <w:r>
        <w:rPr>
          <w:spacing w:val="-21"/>
          <w:w w:val="110"/>
        </w:rPr>
        <w:t> </w:t>
      </w:r>
      <w:r>
        <w:rPr>
          <w:w w:val="110"/>
        </w:rPr>
        <w:t>previous</w:t>
      </w:r>
      <w:r>
        <w:rPr>
          <w:spacing w:val="-20"/>
          <w:w w:val="110"/>
        </w:rPr>
        <w:t> </w:t>
      </w:r>
      <w:r>
        <w:rPr>
          <w:spacing w:val="-3"/>
          <w:w w:val="110"/>
        </w:rPr>
        <w:t>quarter.</w:t>
      </w:r>
      <w:r>
        <w:rPr>
          <w:spacing w:val="15"/>
          <w:w w:val="110"/>
        </w:rPr>
        <w:t> </w:t>
      </w:r>
      <w:r>
        <w:rPr>
          <w:w w:val="110"/>
        </w:rPr>
        <w:t>Some</w:t>
      </w:r>
      <w:r>
        <w:rPr>
          <w:spacing w:val="-20"/>
          <w:w w:val="110"/>
        </w:rPr>
        <w:t> </w:t>
      </w:r>
      <w:r>
        <w:rPr>
          <w:w w:val="110"/>
        </w:rPr>
        <w:t>of</w:t>
      </w:r>
      <w:r>
        <w:rPr>
          <w:spacing w:val="-21"/>
          <w:w w:val="110"/>
        </w:rPr>
        <w:t> </w:t>
      </w:r>
      <w:r>
        <w:rPr>
          <w:w w:val="110"/>
        </w:rPr>
        <w:t>this</w:t>
      </w:r>
      <w:r>
        <w:rPr>
          <w:spacing w:val="-20"/>
          <w:w w:val="110"/>
        </w:rPr>
        <w:t> </w:t>
      </w:r>
      <w:r>
        <w:rPr>
          <w:spacing w:val="-3"/>
          <w:w w:val="110"/>
        </w:rPr>
        <w:t>slowdown</w:t>
      </w:r>
      <w:r>
        <w:rPr>
          <w:spacing w:val="-20"/>
          <w:w w:val="110"/>
        </w:rPr>
        <w:t> </w:t>
      </w:r>
      <w:r>
        <w:rPr>
          <w:w w:val="110"/>
        </w:rPr>
        <w:t>is</w:t>
      </w:r>
      <w:r>
        <w:rPr>
          <w:spacing w:val="-21"/>
          <w:w w:val="110"/>
        </w:rPr>
        <w:t> </w:t>
      </w:r>
      <w:r>
        <w:rPr>
          <w:w w:val="110"/>
        </w:rPr>
        <w:t>likely</w:t>
      </w:r>
      <w:r>
        <w:rPr>
          <w:spacing w:val="-20"/>
          <w:w w:val="110"/>
        </w:rPr>
        <w:t> </w:t>
      </w:r>
      <w:r>
        <w:rPr>
          <w:spacing w:val="-4"/>
          <w:w w:val="110"/>
        </w:rPr>
        <w:t>to </w:t>
      </w:r>
      <w:r>
        <w:rPr>
          <w:w w:val="110"/>
        </w:rPr>
        <w:t>be </w:t>
      </w:r>
      <w:r>
        <w:rPr>
          <w:spacing w:val="-4"/>
          <w:w w:val="110"/>
        </w:rPr>
        <w:t>temporary. </w:t>
      </w:r>
      <w:r>
        <w:rPr>
          <w:spacing w:val="-3"/>
          <w:w w:val="110"/>
        </w:rPr>
        <w:t>Overall </w:t>
      </w:r>
      <w:r>
        <w:rPr>
          <w:w w:val="110"/>
        </w:rPr>
        <w:t>the MPC judges that the underlying growth </w:t>
      </w:r>
      <w:r>
        <w:rPr>
          <w:spacing w:val="-4"/>
          <w:w w:val="110"/>
        </w:rPr>
        <w:t>rate </w:t>
      </w:r>
      <w:r>
        <w:rPr>
          <w:w w:val="110"/>
        </w:rPr>
        <w:t>of the economy is close </w:t>
      </w:r>
      <w:r>
        <w:rPr>
          <w:spacing w:val="-4"/>
          <w:w w:val="110"/>
        </w:rPr>
        <w:t>to </w:t>
      </w:r>
      <w:r>
        <w:rPr>
          <w:w w:val="110"/>
        </w:rPr>
        <w:t>its trend </w:t>
      </w:r>
      <w:r>
        <w:rPr>
          <w:spacing w:val="-4"/>
          <w:w w:val="110"/>
        </w:rPr>
        <w:t>rate. </w:t>
      </w:r>
      <w:r>
        <w:rPr>
          <w:spacing w:val="-2"/>
          <w:w w:val="110"/>
        </w:rPr>
        <w:t>Growth </w:t>
      </w:r>
      <w:r>
        <w:rPr>
          <w:w w:val="110"/>
        </w:rPr>
        <w:t>in the services sector has </w:t>
      </w:r>
      <w:r>
        <w:rPr>
          <w:spacing w:val="-3"/>
          <w:w w:val="110"/>
        </w:rPr>
        <w:t>slowed </w:t>
      </w:r>
      <w:r>
        <w:rPr>
          <w:w w:val="110"/>
        </w:rPr>
        <w:t>a little, but remains robust. The </w:t>
      </w:r>
      <w:r>
        <w:rPr>
          <w:spacing w:val="-3"/>
          <w:w w:val="110"/>
        </w:rPr>
        <w:t>recovery </w:t>
      </w:r>
      <w:r>
        <w:rPr>
          <w:w w:val="110"/>
        </w:rPr>
        <w:t>in manufacturing has continued, driven especially by the high-technology industries, and </w:t>
      </w:r>
      <w:r>
        <w:rPr>
          <w:spacing w:val="-3"/>
          <w:w w:val="110"/>
        </w:rPr>
        <w:t>survey </w:t>
      </w:r>
      <w:r>
        <w:rPr>
          <w:w w:val="110"/>
        </w:rPr>
        <w:t>evidence suggests this</w:t>
      </w:r>
      <w:r>
        <w:rPr>
          <w:spacing w:val="-15"/>
          <w:w w:val="110"/>
        </w:rPr>
        <w:t> </w:t>
      </w:r>
      <w:r>
        <w:rPr>
          <w:w w:val="110"/>
        </w:rPr>
        <w:t>will</w:t>
      </w:r>
      <w:r>
        <w:rPr>
          <w:spacing w:val="-14"/>
          <w:w w:val="110"/>
        </w:rPr>
        <w:t> </w:t>
      </w:r>
      <w:r>
        <w:rPr>
          <w:w w:val="110"/>
        </w:rPr>
        <w:t>continue,</w:t>
      </w:r>
      <w:r>
        <w:rPr>
          <w:spacing w:val="-14"/>
          <w:w w:val="110"/>
        </w:rPr>
        <w:t> </w:t>
      </w:r>
      <w:r>
        <w:rPr>
          <w:w w:val="110"/>
        </w:rPr>
        <w:t>despite</w:t>
      </w:r>
      <w:r>
        <w:rPr>
          <w:spacing w:val="-14"/>
          <w:w w:val="110"/>
        </w:rPr>
        <w:t> </w:t>
      </w:r>
      <w:r>
        <w:rPr>
          <w:w w:val="110"/>
        </w:rPr>
        <w:t>the</w:t>
      </w:r>
      <w:r>
        <w:rPr>
          <w:spacing w:val="-14"/>
          <w:w w:val="110"/>
        </w:rPr>
        <w:t> </w:t>
      </w:r>
      <w:r>
        <w:rPr>
          <w:spacing w:val="-3"/>
          <w:w w:val="110"/>
        </w:rPr>
        <w:t>slowdown</w:t>
      </w:r>
      <w:r>
        <w:rPr>
          <w:spacing w:val="-15"/>
          <w:w w:val="110"/>
        </w:rPr>
        <w:t> </w:t>
      </w:r>
      <w:r>
        <w:rPr>
          <w:w w:val="110"/>
        </w:rPr>
        <w:t>in</w:t>
      </w:r>
      <w:r>
        <w:rPr>
          <w:spacing w:val="-14"/>
          <w:w w:val="110"/>
        </w:rPr>
        <w:t> </w:t>
      </w:r>
      <w:r>
        <w:rPr>
          <w:w w:val="110"/>
        </w:rPr>
        <w:t>the</w:t>
      </w:r>
      <w:r>
        <w:rPr>
          <w:spacing w:val="-14"/>
          <w:w w:val="110"/>
        </w:rPr>
        <w:t> </w:t>
      </w:r>
      <w:r>
        <w:rPr>
          <w:w w:val="110"/>
        </w:rPr>
        <w:t>United</w:t>
      </w:r>
      <w:r>
        <w:rPr>
          <w:spacing w:val="-14"/>
          <w:w w:val="110"/>
        </w:rPr>
        <w:t> </w:t>
      </w:r>
      <w:r>
        <w:rPr>
          <w:spacing w:val="-3"/>
          <w:w w:val="110"/>
        </w:rPr>
        <w:t>States.</w:t>
      </w:r>
    </w:p>
    <w:p>
      <w:pPr>
        <w:pStyle w:val="BodyText"/>
        <w:spacing w:before="10"/>
        <w:rPr>
          <w:sz w:val="23"/>
        </w:rPr>
      </w:pPr>
    </w:p>
    <w:p>
      <w:pPr>
        <w:pStyle w:val="BodyText"/>
        <w:spacing w:line="292" w:lineRule="auto" w:before="1"/>
        <w:ind w:left="4985"/>
      </w:pPr>
      <w:r>
        <w:rPr>
          <w:w w:val="110"/>
        </w:rPr>
        <w:t>Growth in consumer spending in the third quarter </w:t>
      </w:r>
      <w:r>
        <w:rPr>
          <w:spacing w:val="-3"/>
          <w:w w:val="110"/>
        </w:rPr>
        <w:t>was </w:t>
      </w:r>
      <w:r>
        <w:rPr>
          <w:w w:val="110"/>
        </w:rPr>
        <w:t>unchanged from Q2 at 1.0%. Strong growth in retail sales volumes and in </w:t>
      </w:r>
      <w:r>
        <w:rPr>
          <w:spacing w:val="-3"/>
          <w:w w:val="110"/>
        </w:rPr>
        <w:t>private </w:t>
      </w:r>
      <w:r>
        <w:rPr>
          <w:w w:val="110"/>
        </w:rPr>
        <w:t>new car registrations all point </w:t>
      </w:r>
      <w:r>
        <w:rPr>
          <w:spacing w:val="-4"/>
          <w:w w:val="110"/>
        </w:rPr>
        <w:t>to </w:t>
      </w:r>
      <w:r>
        <w:rPr>
          <w:w w:val="110"/>
        </w:rPr>
        <w:t>a continuation of this robust </w:t>
      </w:r>
      <w:r>
        <w:rPr>
          <w:spacing w:val="-2"/>
          <w:w w:val="110"/>
        </w:rPr>
        <w:t>growth </w:t>
      </w:r>
      <w:r>
        <w:rPr>
          <w:spacing w:val="-3"/>
          <w:w w:val="110"/>
        </w:rPr>
        <w:t>into </w:t>
      </w:r>
      <w:r>
        <w:rPr>
          <w:w w:val="110"/>
        </w:rPr>
        <w:t>Q4. Consumer confidence</w:t>
      </w:r>
      <w:r>
        <w:rPr>
          <w:spacing w:val="-15"/>
          <w:w w:val="110"/>
        </w:rPr>
        <w:t> </w:t>
      </w:r>
      <w:r>
        <w:rPr>
          <w:w w:val="110"/>
        </w:rPr>
        <w:t>remains</w:t>
      </w:r>
      <w:r>
        <w:rPr>
          <w:spacing w:val="-15"/>
          <w:w w:val="110"/>
        </w:rPr>
        <w:t> </w:t>
      </w:r>
      <w:r>
        <w:rPr>
          <w:w w:val="110"/>
        </w:rPr>
        <w:t>strong</w:t>
      </w:r>
      <w:r>
        <w:rPr>
          <w:spacing w:val="-15"/>
          <w:w w:val="110"/>
        </w:rPr>
        <w:t> </w:t>
      </w:r>
      <w:r>
        <w:rPr>
          <w:w w:val="110"/>
        </w:rPr>
        <w:t>and</w:t>
      </w:r>
      <w:r>
        <w:rPr>
          <w:spacing w:val="-15"/>
          <w:w w:val="110"/>
        </w:rPr>
        <w:t> </w:t>
      </w:r>
      <w:r>
        <w:rPr>
          <w:w w:val="110"/>
        </w:rPr>
        <w:t>the</w:t>
      </w:r>
      <w:r>
        <w:rPr>
          <w:spacing w:val="-15"/>
          <w:w w:val="110"/>
        </w:rPr>
        <w:t> </w:t>
      </w:r>
      <w:r>
        <w:rPr>
          <w:w w:val="110"/>
        </w:rPr>
        <w:t>MPC</w:t>
      </w:r>
      <w:r>
        <w:rPr>
          <w:spacing w:val="-14"/>
          <w:w w:val="110"/>
        </w:rPr>
        <w:t> </w:t>
      </w:r>
      <w:r>
        <w:rPr>
          <w:w w:val="110"/>
        </w:rPr>
        <w:t>expects</w:t>
      </w:r>
      <w:r>
        <w:rPr>
          <w:spacing w:val="-15"/>
          <w:w w:val="110"/>
        </w:rPr>
        <w:t> </w:t>
      </w:r>
      <w:r>
        <w:rPr>
          <w:w w:val="110"/>
        </w:rPr>
        <w:t>that</w:t>
      </w:r>
      <w:r>
        <w:rPr>
          <w:spacing w:val="-15"/>
          <w:w w:val="110"/>
        </w:rPr>
        <w:t> </w:t>
      </w:r>
      <w:r>
        <w:rPr>
          <w:w w:val="110"/>
        </w:rPr>
        <w:t>consumer spending</w:t>
      </w:r>
      <w:r>
        <w:rPr>
          <w:spacing w:val="-22"/>
          <w:w w:val="110"/>
        </w:rPr>
        <w:t> </w:t>
      </w:r>
      <w:r>
        <w:rPr>
          <w:w w:val="110"/>
        </w:rPr>
        <w:t>will</w:t>
      </w:r>
      <w:r>
        <w:rPr>
          <w:spacing w:val="-21"/>
          <w:w w:val="110"/>
        </w:rPr>
        <w:t> </w:t>
      </w:r>
      <w:r>
        <w:rPr>
          <w:w w:val="110"/>
        </w:rPr>
        <w:t>continue</w:t>
      </w:r>
      <w:r>
        <w:rPr>
          <w:spacing w:val="-21"/>
          <w:w w:val="110"/>
        </w:rPr>
        <w:t> </w:t>
      </w:r>
      <w:r>
        <w:rPr>
          <w:spacing w:val="-4"/>
          <w:w w:val="110"/>
        </w:rPr>
        <w:t>to</w:t>
      </w:r>
      <w:r>
        <w:rPr>
          <w:spacing w:val="-22"/>
          <w:w w:val="110"/>
        </w:rPr>
        <w:t> </w:t>
      </w:r>
      <w:r>
        <w:rPr>
          <w:spacing w:val="-3"/>
          <w:w w:val="110"/>
        </w:rPr>
        <w:t>grow</w:t>
      </w:r>
      <w:r>
        <w:rPr>
          <w:spacing w:val="-21"/>
          <w:w w:val="110"/>
        </w:rPr>
        <w:t> </w:t>
      </w:r>
      <w:r>
        <w:rPr>
          <w:spacing w:val="-3"/>
          <w:w w:val="110"/>
        </w:rPr>
        <w:t>briskly,</w:t>
      </w:r>
      <w:r>
        <w:rPr>
          <w:spacing w:val="-21"/>
          <w:w w:val="110"/>
        </w:rPr>
        <w:t> </w:t>
      </w:r>
      <w:r>
        <w:rPr>
          <w:w w:val="110"/>
        </w:rPr>
        <w:t>although</w:t>
      </w:r>
      <w:r>
        <w:rPr>
          <w:spacing w:val="-22"/>
          <w:w w:val="110"/>
        </w:rPr>
        <w:t> </w:t>
      </w:r>
      <w:r>
        <w:rPr>
          <w:w w:val="110"/>
        </w:rPr>
        <w:t>past</w:t>
      </w:r>
      <w:r>
        <w:rPr>
          <w:spacing w:val="-21"/>
          <w:w w:val="110"/>
        </w:rPr>
        <w:t> </w:t>
      </w:r>
      <w:r>
        <w:rPr>
          <w:w w:val="110"/>
        </w:rPr>
        <w:t>declines</w:t>
      </w:r>
      <w:r>
        <w:rPr>
          <w:spacing w:val="-21"/>
          <w:w w:val="110"/>
        </w:rPr>
        <w:t> </w:t>
      </w:r>
      <w:r>
        <w:rPr>
          <w:w w:val="110"/>
        </w:rPr>
        <w:t>in financial wealth and slowing employment growth point </w:t>
      </w:r>
      <w:r>
        <w:rPr>
          <w:spacing w:val="-4"/>
          <w:w w:val="110"/>
        </w:rPr>
        <w:t>to </w:t>
      </w:r>
      <w:r>
        <w:rPr>
          <w:w w:val="110"/>
        </w:rPr>
        <w:t>a </w:t>
      </w:r>
      <w:r>
        <w:rPr>
          <w:spacing w:val="-3"/>
          <w:w w:val="110"/>
        </w:rPr>
        <w:t>moderate</w:t>
      </w:r>
      <w:r>
        <w:rPr>
          <w:spacing w:val="-18"/>
          <w:w w:val="110"/>
        </w:rPr>
        <w:t> </w:t>
      </w:r>
      <w:r>
        <w:rPr>
          <w:w w:val="110"/>
        </w:rPr>
        <w:t>deceleration.</w:t>
      </w:r>
      <w:r>
        <w:rPr>
          <w:spacing w:val="20"/>
          <w:w w:val="110"/>
        </w:rPr>
        <w:t> </w:t>
      </w:r>
      <w:r>
        <w:rPr>
          <w:w w:val="110"/>
        </w:rPr>
        <w:t>Government</w:t>
      </w:r>
      <w:r>
        <w:rPr>
          <w:spacing w:val="-18"/>
          <w:w w:val="110"/>
        </w:rPr>
        <w:t> </w:t>
      </w:r>
      <w:r>
        <w:rPr>
          <w:w w:val="110"/>
        </w:rPr>
        <w:t>consumption</w:t>
      </w:r>
      <w:r>
        <w:rPr>
          <w:spacing w:val="-18"/>
          <w:w w:val="110"/>
        </w:rPr>
        <w:t> </w:t>
      </w:r>
      <w:r>
        <w:rPr>
          <w:w w:val="110"/>
        </w:rPr>
        <w:t>is</w:t>
      </w:r>
      <w:r>
        <w:rPr>
          <w:spacing w:val="-18"/>
          <w:w w:val="110"/>
        </w:rPr>
        <w:t> </w:t>
      </w:r>
      <w:r>
        <w:rPr>
          <w:w w:val="110"/>
        </w:rPr>
        <w:t>set</w:t>
      </w:r>
      <w:r>
        <w:rPr>
          <w:spacing w:val="-18"/>
          <w:w w:val="110"/>
        </w:rPr>
        <w:t> </w:t>
      </w:r>
      <w:r>
        <w:rPr>
          <w:spacing w:val="-4"/>
          <w:w w:val="110"/>
        </w:rPr>
        <w:t>to</w:t>
      </w:r>
      <w:r>
        <w:rPr>
          <w:spacing w:val="-17"/>
          <w:w w:val="110"/>
        </w:rPr>
        <w:t> </w:t>
      </w:r>
      <w:r>
        <w:rPr>
          <w:spacing w:val="-3"/>
          <w:w w:val="110"/>
        </w:rPr>
        <w:t>grow </w:t>
      </w:r>
      <w:r>
        <w:rPr>
          <w:w w:val="110"/>
        </w:rPr>
        <w:t>strongly under plans already</w:t>
      </w:r>
      <w:r>
        <w:rPr>
          <w:spacing w:val="-28"/>
          <w:w w:val="110"/>
        </w:rPr>
        <w:t> </w:t>
      </w:r>
      <w:r>
        <w:rPr>
          <w:w w:val="110"/>
        </w:rPr>
        <w:t>announced.</w:t>
      </w:r>
    </w:p>
    <w:p>
      <w:pPr>
        <w:pStyle w:val="BodyText"/>
        <w:spacing w:before="10"/>
        <w:rPr>
          <w:sz w:val="23"/>
        </w:rPr>
      </w:pPr>
    </w:p>
    <w:p>
      <w:pPr>
        <w:pStyle w:val="BodyText"/>
        <w:spacing w:line="292" w:lineRule="auto"/>
        <w:ind w:left="4985" w:right="140"/>
      </w:pPr>
      <w:r>
        <w:rPr>
          <w:spacing w:val="-3"/>
          <w:w w:val="110"/>
        </w:rPr>
        <w:t>Investment </w:t>
      </w:r>
      <w:r>
        <w:rPr>
          <w:w w:val="110"/>
        </w:rPr>
        <w:t>outturns </w:t>
      </w:r>
      <w:r>
        <w:rPr>
          <w:spacing w:val="-3"/>
          <w:w w:val="110"/>
        </w:rPr>
        <w:t>have </w:t>
      </w:r>
      <w:r>
        <w:rPr>
          <w:w w:val="110"/>
        </w:rPr>
        <w:t>continued </w:t>
      </w:r>
      <w:r>
        <w:rPr>
          <w:spacing w:val="-4"/>
          <w:w w:val="110"/>
        </w:rPr>
        <w:t>to </w:t>
      </w:r>
      <w:r>
        <w:rPr>
          <w:w w:val="110"/>
        </w:rPr>
        <w:t>be </w:t>
      </w:r>
      <w:r>
        <w:rPr>
          <w:spacing w:val="-3"/>
          <w:w w:val="110"/>
        </w:rPr>
        <w:t>weaker </w:t>
      </w:r>
      <w:r>
        <w:rPr>
          <w:w w:val="110"/>
        </w:rPr>
        <w:t>than expected. The business component declined slightly in the third </w:t>
      </w:r>
      <w:r>
        <w:rPr>
          <w:spacing w:val="-3"/>
          <w:w w:val="110"/>
        </w:rPr>
        <w:t>quarter, </w:t>
      </w:r>
      <w:r>
        <w:rPr>
          <w:w w:val="110"/>
        </w:rPr>
        <w:t>despite relatively strong </w:t>
      </w:r>
      <w:r>
        <w:rPr>
          <w:spacing w:val="-3"/>
          <w:w w:val="110"/>
        </w:rPr>
        <w:t>survey </w:t>
      </w:r>
      <w:r>
        <w:rPr>
          <w:w w:val="110"/>
        </w:rPr>
        <w:t>data on </w:t>
      </w:r>
      <w:r>
        <w:rPr>
          <w:spacing w:val="-3"/>
          <w:w w:val="110"/>
        </w:rPr>
        <w:t>investment</w:t>
      </w:r>
      <w:r>
        <w:rPr>
          <w:spacing w:val="-17"/>
          <w:w w:val="110"/>
        </w:rPr>
        <w:t> </w:t>
      </w:r>
      <w:r>
        <w:rPr>
          <w:w w:val="110"/>
        </w:rPr>
        <w:t>intentions.</w:t>
      </w:r>
      <w:r>
        <w:rPr>
          <w:spacing w:val="22"/>
          <w:w w:val="110"/>
        </w:rPr>
        <w:t> </w:t>
      </w:r>
      <w:r>
        <w:rPr>
          <w:w w:val="110"/>
        </w:rPr>
        <w:t>The</w:t>
      </w:r>
      <w:r>
        <w:rPr>
          <w:spacing w:val="-16"/>
          <w:w w:val="110"/>
        </w:rPr>
        <w:t> </w:t>
      </w:r>
      <w:r>
        <w:rPr>
          <w:w w:val="110"/>
        </w:rPr>
        <w:t>MPC</w:t>
      </w:r>
      <w:r>
        <w:rPr>
          <w:spacing w:val="-17"/>
          <w:w w:val="110"/>
        </w:rPr>
        <w:t> </w:t>
      </w:r>
      <w:r>
        <w:rPr>
          <w:w w:val="110"/>
        </w:rPr>
        <w:t>continues</w:t>
      </w:r>
      <w:r>
        <w:rPr>
          <w:spacing w:val="-16"/>
          <w:w w:val="110"/>
        </w:rPr>
        <w:t> </w:t>
      </w:r>
      <w:r>
        <w:rPr>
          <w:spacing w:val="-4"/>
          <w:w w:val="110"/>
        </w:rPr>
        <w:t>to</w:t>
      </w:r>
      <w:r>
        <w:rPr>
          <w:spacing w:val="-17"/>
          <w:w w:val="110"/>
        </w:rPr>
        <w:t> </w:t>
      </w:r>
      <w:r>
        <w:rPr>
          <w:spacing w:val="-3"/>
          <w:w w:val="110"/>
        </w:rPr>
        <w:t>take</w:t>
      </w:r>
      <w:r>
        <w:rPr>
          <w:spacing w:val="-17"/>
          <w:w w:val="110"/>
        </w:rPr>
        <w:t> </w:t>
      </w:r>
      <w:r>
        <w:rPr>
          <w:w w:val="110"/>
        </w:rPr>
        <w:t>the</w:t>
      </w:r>
      <w:r>
        <w:rPr>
          <w:spacing w:val="-16"/>
          <w:w w:val="110"/>
        </w:rPr>
        <w:t> </w:t>
      </w:r>
      <w:r>
        <w:rPr>
          <w:w w:val="110"/>
        </w:rPr>
        <w:t>view</w:t>
      </w:r>
      <w:r>
        <w:rPr>
          <w:spacing w:val="-17"/>
          <w:w w:val="110"/>
        </w:rPr>
        <w:t> </w:t>
      </w:r>
      <w:r>
        <w:rPr>
          <w:w w:val="110"/>
        </w:rPr>
        <w:t>that some</w:t>
      </w:r>
      <w:r>
        <w:rPr>
          <w:spacing w:val="-10"/>
          <w:w w:val="110"/>
        </w:rPr>
        <w:t> </w:t>
      </w:r>
      <w:r>
        <w:rPr>
          <w:w w:val="110"/>
        </w:rPr>
        <w:t>of</w:t>
      </w:r>
      <w:r>
        <w:rPr>
          <w:spacing w:val="-10"/>
          <w:w w:val="110"/>
        </w:rPr>
        <w:t> </w:t>
      </w:r>
      <w:r>
        <w:rPr>
          <w:w w:val="110"/>
        </w:rPr>
        <w:t>this</w:t>
      </w:r>
      <w:r>
        <w:rPr>
          <w:spacing w:val="-10"/>
          <w:w w:val="110"/>
        </w:rPr>
        <w:t> </w:t>
      </w:r>
      <w:r>
        <w:rPr>
          <w:w w:val="110"/>
        </w:rPr>
        <w:t>weakness</w:t>
      </w:r>
      <w:r>
        <w:rPr>
          <w:spacing w:val="-10"/>
          <w:w w:val="110"/>
        </w:rPr>
        <w:t> </w:t>
      </w:r>
      <w:r>
        <w:rPr>
          <w:w w:val="110"/>
        </w:rPr>
        <w:t>is</w:t>
      </w:r>
      <w:r>
        <w:rPr>
          <w:spacing w:val="-10"/>
          <w:w w:val="110"/>
        </w:rPr>
        <w:t> </w:t>
      </w:r>
      <w:r>
        <w:rPr>
          <w:w w:val="110"/>
        </w:rPr>
        <w:t>likely</w:t>
      </w:r>
      <w:r>
        <w:rPr>
          <w:spacing w:val="-10"/>
          <w:w w:val="110"/>
        </w:rPr>
        <w:t> </w:t>
      </w:r>
      <w:r>
        <w:rPr>
          <w:spacing w:val="-4"/>
          <w:w w:val="110"/>
        </w:rPr>
        <w:t>to</w:t>
      </w:r>
      <w:r>
        <w:rPr>
          <w:spacing w:val="-10"/>
          <w:w w:val="110"/>
        </w:rPr>
        <w:t> </w:t>
      </w:r>
      <w:r>
        <w:rPr>
          <w:w w:val="110"/>
        </w:rPr>
        <w:t>be</w:t>
      </w:r>
      <w:r>
        <w:rPr>
          <w:spacing w:val="-9"/>
          <w:w w:val="110"/>
        </w:rPr>
        <w:t> </w:t>
      </w:r>
      <w:r>
        <w:rPr>
          <w:spacing w:val="-4"/>
          <w:w w:val="110"/>
        </w:rPr>
        <w:t>temporary.</w:t>
      </w:r>
    </w:p>
    <w:p>
      <w:pPr>
        <w:pStyle w:val="BodyText"/>
        <w:spacing w:before="1"/>
        <w:rPr>
          <w:sz w:val="24"/>
        </w:rPr>
      </w:pPr>
    </w:p>
    <w:p>
      <w:pPr>
        <w:pStyle w:val="BodyText"/>
        <w:spacing w:line="292" w:lineRule="auto"/>
        <w:ind w:left="4985" w:right="172"/>
      </w:pPr>
      <w:r>
        <w:rPr>
          <w:w w:val="110"/>
        </w:rPr>
        <w:t>Exports </w:t>
      </w:r>
      <w:r>
        <w:rPr>
          <w:spacing w:val="-3"/>
          <w:w w:val="110"/>
        </w:rPr>
        <w:t>grew </w:t>
      </w:r>
      <w:r>
        <w:rPr>
          <w:w w:val="110"/>
        </w:rPr>
        <w:t>strongly in Q3, but </w:t>
      </w:r>
      <w:r>
        <w:rPr>
          <w:spacing w:val="-3"/>
          <w:w w:val="110"/>
        </w:rPr>
        <w:t>were </w:t>
      </w:r>
      <w:r>
        <w:rPr>
          <w:w w:val="110"/>
        </w:rPr>
        <w:t>outpaced </w:t>
      </w:r>
      <w:r>
        <w:rPr>
          <w:spacing w:val="-3"/>
          <w:w w:val="110"/>
        </w:rPr>
        <w:t>by </w:t>
      </w:r>
      <w:r>
        <w:rPr>
          <w:w w:val="110"/>
        </w:rPr>
        <w:t>increased imports so the net trade contribution </w:t>
      </w:r>
      <w:r>
        <w:rPr>
          <w:spacing w:val="-4"/>
          <w:w w:val="110"/>
        </w:rPr>
        <w:t>to </w:t>
      </w:r>
      <w:r>
        <w:rPr>
          <w:w w:val="110"/>
        </w:rPr>
        <w:t>GDP </w:t>
      </w:r>
      <w:r>
        <w:rPr>
          <w:spacing w:val="-2"/>
          <w:w w:val="110"/>
        </w:rPr>
        <w:t>growth </w:t>
      </w:r>
      <w:r>
        <w:rPr>
          <w:spacing w:val="-3"/>
          <w:w w:val="110"/>
        </w:rPr>
        <w:t>was </w:t>
      </w:r>
      <w:r>
        <w:rPr>
          <w:w w:val="110"/>
        </w:rPr>
        <w:t>negative.</w:t>
      </w:r>
      <w:r>
        <w:rPr>
          <w:spacing w:val="7"/>
          <w:w w:val="110"/>
        </w:rPr>
        <w:t> </w:t>
      </w:r>
      <w:r>
        <w:rPr>
          <w:spacing w:val="-3"/>
          <w:w w:val="110"/>
        </w:rPr>
        <w:t>Survey</w:t>
      </w:r>
      <w:r>
        <w:rPr>
          <w:spacing w:val="-25"/>
          <w:w w:val="110"/>
        </w:rPr>
        <w:t> </w:t>
      </w:r>
      <w:r>
        <w:rPr>
          <w:w w:val="110"/>
        </w:rPr>
        <w:t>measures</w:t>
      </w:r>
      <w:r>
        <w:rPr>
          <w:spacing w:val="-24"/>
          <w:w w:val="110"/>
        </w:rPr>
        <w:t> </w:t>
      </w:r>
      <w:r>
        <w:rPr>
          <w:w w:val="110"/>
        </w:rPr>
        <w:t>of</w:t>
      </w:r>
      <w:r>
        <w:rPr>
          <w:spacing w:val="-24"/>
          <w:w w:val="110"/>
        </w:rPr>
        <w:t> </w:t>
      </w:r>
      <w:r>
        <w:rPr>
          <w:w w:val="110"/>
        </w:rPr>
        <w:t>export</w:t>
      </w:r>
      <w:r>
        <w:rPr>
          <w:spacing w:val="-24"/>
          <w:w w:val="110"/>
        </w:rPr>
        <w:t> </w:t>
      </w:r>
      <w:r>
        <w:rPr>
          <w:spacing w:val="-3"/>
          <w:w w:val="110"/>
        </w:rPr>
        <w:t>orders</w:t>
      </w:r>
      <w:r>
        <w:rPr>
          <w:spacing w:val="-25"/>
          <w:w w:val="110"/>
        </w:rPr>
        <w:t> </w:t>
      </w:r>
      <w:r>
        <w:rPr>
          <w:w w:val="110"/>
        </w:rPr>
        <w:t>remain</w:t>
      </w:r>
      <w:r>
        <w:rPr>
          <w:spacing w:val="-24"/>
          <w:w w:val="110"/>
        </w:rPr>
        <w:t> </w:t>
      </w:r>
      <w:r>
        <w:rPr>
          <w:w w:val="110"/>
        </w:rPr>
        <w:t>resilient,</w:t>
      </w:r>
      <w:r>
        <w:rPr>
          <w:spacing w:val="-24"/>
          <w:w w:val="110"/>
        </w:rPr>
        <w:t> </w:t>
      </w:r>
      <w:r>
        <w:rPr>
          <w:w w:val="110"/>
        </w:rPr>
        <w:t>but export growth can be expected </w:t>
      </w:r>
      <w:r>
        <w:rPr>
          <w:spacing w:val="-4"/>
          <w:w w:val="110"/>
        </w:rPr>
        <w:t>to </w:t>
      </w:r>
      <w:r>
        <w:rPr>
          <w:w w:val="110"/>
        </w:rPr>
        <w:t>slow as the world economy slows. The </w:t>
      </w:r>
      <w:r>
        <w:rPr>
          <w:spacing w:val="-3"/>
          <w:w w:val="110"/>
        </w:rPr>
        <w:t>exchange </w:t>
      </w:r>
      <w:r>
        <w:rPr>
          <w:spacing w:val="-4"/>
          <w:w w:val="110"/>
        </w:rPr>
        <w:t>rate </w:t>
      </w:r>
      <w:r>
        <w:rPr>
          <w:w w:val="110"/>
        </w:rPr>
        <w:t>has weakened against the euro, but strengthened</w:t>
      </w:r>
      <w:r>
        <w:rPr>
          <w:spacing w:val="-15"/>
          <w:w w:val="110"/>
        </w:rPr>
        <w:t> </w:t>
      </w:r>
      <w:r>
        <w:rPr>
          <w:w w:val="110"/>
        </w:rPr>
        <w:t>against</w:t>
      </w:r>
      <w:r>
        <w:rPr>
          <w:spacing w:val="-14"/>
          <w:w w:val="110"/>
        </w:rPr>
        <w:t> </w:t>
      </w:r>
      <w:r>
        <w:rPr>
          <w:w w:val="110"/>
        </w:rPr>
        <w:t>the</w:t>
      </w:r>
      <w:r>
        <w:rPr>
          <w:spacing w:val="-14"/>
          <w:w w:val="110"/>
        </w:rPr>
        <w:t> </w:t>
      </w:r>
      <w:r>
        <w:rPr>
          <w:w w:val="110"/>
        </w:rPr>
        <w:t>dollar</w:t>
      </w:r>
      <w:r>
        <w:rPr>
          <w:spacing w:val="-14"/>
          <w:w w:val="110"/>
        </w:rPr>
        <w:t> </w:t>
      </w:r>
      <w:r>
        <w:rPr>
          <w:w w:val="110"/>
        </w:rPr>
        <w:t>and</w:t>
      </w:r>
      <w:r>
        <w:rPr>
          <w:spacing w:val="-14"/>
          <w:w w:val="110"/>
        </w:rPr>
        <w:t> </w:t>
      </w:r>
      <w:r>
        <w:rPr>
          <w:w w:val="110"/>
        </w:rPr>
        <w:t>the</w:t>
      </w:r>
      <w:r>
        <w:rPr>
          <w:spacing w:val="-15"/>
          <w:w w:val="110"/>
        </w:rPr>
        <w:t> </w:t>
      </w:r>
      <w:r>
        <w:rPr>
          <w:w w:val="110"/>
        </w:rPr>
        <w:t>yen.</w:t>
      </w:r>
      <w:r>
        <w:rPr>
          <w:spacing w:val="28"/>
          <w:w w:val="110"/>
        </w:rPr>
        <w:t> </w:t>
      </w:r>
      <w:r>
        <w:rPr>
          <w:w w:val="110"/>
        </w:rPr>
        <w:t>The</w:t>
      </w:r>
      <w:r>
        <w:rPr>
          <w:spacing w:val="-14"/>
          <w:w w:val="110"/>
        </w:rPr>
        <w:t> </w:t>
      </w:r>
      <w:r>
        <w:rPr>
          <w:spacing w:val="-3"/>
          <w:w w:val="110"/>
        </w:rPr>
        <w:t>average</w:t>
      </w:r>
      <w:r>
        <w:rPr>
          <w:spacing w:val="-14"/>
          <w:w w:val="110"/>
        </w:rPr>
        <w:t> </w:t>
      </w:r>
      <w:r>
        <w:rPr>
          <w:w w:val="110"/>
        </w:rPr>
        <w:t>value of</w:t>
      </w:r>
      <w:r>
        <w:rPr>
          <w:spacing w:val="-10"/>
          <w:w w:val="110"/>
        </w:rPr>
        <w:t> </w:t>
      </w:r>
      <w:r>
        <w:rPr>
          <w:w w:val="110"/>
        </w:rPr>
        <w:t>the</w:t>
      </w:r>
      <w:r>
        <w:rPr>
          <w:spacing w:val="-9"/>
          <w:w w:val="110"/>
        </w:rPr>
        <w:t> </w:t>
      </w:r>
      <w:r>
        <w:rPr>
          <w:w w:val="110"/>
        </w:rPr>
        <w:t>effective</w:t>
      </w:r>
      <w:r>
        <w:rPr>
          <w:spacing w:val="-10"/>
          <w:w w:val="110"/>
        </w:rPr>
        <w:t> </w:t>
      </w:r>
      <w:r>
        <w:rPr>
          <w:w w:val="110"/>
        </w:rPr>
        <w:t>exchange</w:t>
      </w:r>
      <w:r>
        <w:rPr>
          <w:spacing w:val="-9"/>
          <w:w w:val="110"/>
        </w:rPr>
        <w:t> </w:t>
      </w:r>
      <w:r>
        <w:rPr>
          <w:spacing w:val="-4"/>
          <w:w w:val="110"/>
        </w:rPr>
        <w:t>rate</w:t>
      </w:r>
      <w:r>
        <w:rPr>
          <w:spacing w:val="-10"/>
          <w:w w:val="110"/>
        </w:rPr>
        <w:t> </w:t>
      </w:r>
      <w:r>
        <w:rPr>
          <w:w w:val="110"/>
        </w:rPr>
        <w:t>index</w:t>
      </w:r>
      <w:r>
        <w:rPr>
          <w:spacing w:val="-9"/>
          <w:w w:val="110"/>
        </w:rPr>
        <w:t> </w:t>
      </w:r>
      <w:r>
        <w:rPr>
          <w:w w:val="110"/>
        </w:rPr>
        <w:t>for</w:t>
      </w:r>
      <w:r>
        <w:rPr>
          <w:spacing w:val="-9"/>
          <w:w w:val="110"/>
        </w:rPr>
        <w:t> </w:t>
      </w:r>
      <w:r>
        <w:rPr>
          <w:w w:val="110"/>
        </w:rPr>
        <w:t>sterling</w:t>
      </w:r>
      <w:r>
        <w:rPr>
          <w:spacing w:val="-10"/>
          <w:w w:val="110"/>
        </w:rPr>
        <w:t> </w:t>
      </w:r>
      <w:r>
        <w:rPr>
          <w:w w:val="110"/>
        </w:rPr>
        <w:t>in</w:t>
      </w:r>
      <w:r>
        <w:rPr>
          <w:spacing w:val="-9"/>
          <w:w w:val="110"/>
        </w:rPr>
        <w:t> </w:t>
      </w:r>
      <w:r>
        <w:rPr>
          <w:w w:val="110"/>
        </w:rPr>
        <w:t>the</w:t>
      </w:r>
    </w:p>
    <w:p>
      <w:pPr>
        <w:pStyle w:val="BodyText"/>
        <w:spacing w:line="226" w:lineRule="exact"/>
        <w:ind w:left="4985"/>
      </w:pPr>
      <w:r>
        <w:rPr>
          <w:spacing w:val="-19"/>
          <w:w w:val="110"/>
        </w:rPr>
        <w:t>15</w:t>
      </w:r>
      <w:r>
        <w:rPr>
          <w:spacing w:val="-17"/>
          <w:w w:val="110"/>
        </w:rPr>
        <w:t> </w:t>
      </w:r>
      <w:r>
        <w:rPr>
          <w:w w:val="110"/>
        </w:rPr>
        <w:t>working</w:t>
      </w:r>
      <w:r>
        <w:rPr>
          <w:spacing w:val="-17"/>
          <w:w w:val="110"/>
        </w:rPr>
        <w:t> </w:t>
      </w:r>
      <w:r>
        <w:rPr>
          <w:spacing w:val="-3"/>
          <w:w w:val="110"/>
        </w:rPr>
        <w:t>days</w:t>
      </w:r>
      <w:r>
        <w:rPr>
          <w:spacing w:val="-16"/>
          <w:w w:val="110"/>
        </w:rPr>
        <w:t> </w:t>
      </w:r>
      <w:r>
        <w:rPr>
          <w:spacing w:val="-4"/>
          <w:w w:val="110"/>
        </w:rPr>
        <w:t>to</w:t>
      </w:r>
      <w:r>
        <w:rPr>
          <w:spacing w:val="-17"/>
          <w:w w:val="110"/>
        </w:rPr>
        <w:t> </w:t>
      </w:r>
      <w:r>
        <w:rPr>
          <w:w w:val="110"/>
        </w:rPr>
        <w:t>7</w:t>
      </w:r>
      <w:r>
        <w:rPr>
          <w:spacing w:val="-17"/>
          <w:w w:val="110"/>
        </w:rPr>
        <w:t> </w:t>
      </w:r>
      <w:r>
        <w:rPr>
          <w:w w:val="110"/>
        </w:rPr>
        <w:t>February</w:t>
      </w:r>
      <w:r>
        <w:rPr>
          <w:spacing w:val="-16"/>
          <w:w w:val="110"/>
        </w:rPr>
        <w:t> </w:t>
      </w:r>
      <w:r>
        <w:rPr>
          <w:spacing w:val="-3"/>
          <w:w w:val="110"/>
        </w:rPr>
        <w:t>was</w:t>
      </w:r>
      <w:r>
        <w:rPr>
          <w:spacing w:val="-17"/>
          <w:w w:val="110"/>
        </w:rPr>
        <w:t> </w:t>
      </w:r>
      <w:r>
        <w:rPr>
          <w:spacing w:val="-6"/>
          <w:w w:val="110"/>
        </w:rPr>
        <w:t>104.0,</w:t>
      </w:r>
      <w:r>
        <w:rPr>
          <w:spacing w:val="-17"/>
          <w:w w:val="110"/>
        </w:rPr>
        <w:t> </w:t>
      </w:r>
      <w:r>
        <w:rPr>
          <w:w w:val="110"/>
        </w:rPr>
        <w:t>which</w:t>
      </w:r>
      <w:r>
        <w:rPr>
          <w:spacing w:val="-16"/>
          <w:w w:val="110"/>
        </w:rPr>
        <w:t> </w:t>
      </w:r>
      <w:r>
        <w:rPr>
          <w:w w:val="110"/>
        </w:rPr>
        <w:t>is</w:t>
      </w:r>
      <w:r>
        <w:rPr>
          <w:spacing w:val="-17"/>
          <w:w w:val="110"/>
        </w:rPr>
        <w:t> </w:t>
      </w:r>
      <w:r>
        <w:rPr>
          <w:w w:val="110"/>
        </w:rPr>
        <w:t>the</w:t>
      </w:r>
    </w:p>
    <w:p>
      <w:pPr>
        <w:pStyle w:val="BodyText"/>
        <w:spacing w:line="292" w:lineRule="auto" w:before="50"/>
        <w:ind w:left="4985"/>
      </w:pPr>
      <w:r>
        <w:rPr>
          <w:w w:val="110"/>
        </w:rPr>
        <w:t>starting-point for the </w:t>
      </w:r>
      <w:r>
        <w:rPr>
          <w:spacing w:val="-3"/>
          <w:w w:val="110"/>
        </w:rPr>
        <w:t>exchange </w:t>
      </w:r>
      <w:r>
        <w:rPr>
          <w:spacing w:val="-4"/>
          <w:w w:val="110"/>
        </w:rPr>
        <w:t>rate </w:t>
      </w:r>
      <w:r>
        <w:rPr>
          <w:w w:val="110"/>
        </w:rPr>
        <w:t>profile in the </w:t>
      </w:r>
      <w:r>
        <w:rPr>
          <w:spacing w:val="-4"/>
          <w:w w:val="110"/>
        </w:rPr>
        <w:t>Committee’s </w:t>
      </w:r>
      <w:r>
        <w:rPr>
          <w:w w:val="110"/>
        </w:rPr>
        <w:t>projections</w:t>
      </w:r>
      <w:r>
        <w:rPr>
          <w:spacing w:val="-19"/>
          <w:w w:val="110"/>
        </w:rPr>
        <w:t> </w:t>
      </w:r>
      <w:r>
        <w:rPr>
          <w:w w:val="110"/>
        </w:rPr>
        <w:t>described</w:t>
      </w:r>
      <w:r>
        <w:rPr>
          <w:spacing w:val="-19"/>
          <w:w w:val="110"/>
        </w:rPr>
        <w:t> </w:t>
      </w:r>
      <w:r>
        <w:rPr>
          <w:spacing w:val="-4"/>
          <w:w w:val="110"/>
        </w:rPr>
        <w:t>below.</w:t>
      </w:r>
      <w:r>
        <w:rPr>
          <w:spacing w:val="18"/>
          <w:w w:val="110"/>
        </w:rPr>
        <w:t> </w:t>
      </w:r>
      <w:r>
        <w:rPr>
          <w:w w:val="110"/>
        </w:rPr>
        <w:t>That</w:t>
      </w:r>
      <w:r>
        <w:rPr>
          <w:spacing w:val="-19"/>
          <w:w w:val="110"/>
        </w:rPr>
        <w:t> </w:t>
      </w:r>
      <w:r>
        <w:rPr>
          <w:w w:val="110"/>
        </w:rPr>
        <w:t>is</w:t>
      </w:r>
      <w:r>
        <w:rPr>
          <w:spacing w:val="-19"/>
          <w:w w:val="110"/>
        </w:rPr>
        <w:t> </w:t>
      </w:r>
      <w:r>
        <w:rPr>
          <w:w w:val="110"/>
        </w:rPr>
        <w:t>a</w:t>
      </w:r>
      <w:r>
        <w:rPr>
          <w:spacing w:val="-19"/>
          <w:w w:val="110"/>
        </w:rPr>
        <w:t> </w:t>
      </w:r>
      <w:r>
        <w:rPr>
          <w:w w:val="110"/>
        </w:rPr>
        <w:t>little</w:t>
      </w:r>
      <w:r>
        <w:rPr>
          <w:spacing w:val="-19"/>
          <w:w w:val="110"/>
        </w:rPr>
        <w:t> </w:t>
      </w:r>
      <w:r>
        <w:rPr>
          <w:spacing w:val="-3"/>
          <w:w w:val="110"/>
        </w:rPr>
        <w:t>over</w:t>
      </w:r>
      <w:r>
        <w:rPr>
          <w:spacing w:val="-19"/>
          <w:w w:val="110"/>
        </w:rPr>
        <w:t> </w:t>
      </w:r>
      <w:r>
        <w:rPr>
          <w:w w:val="110"/>
        </w:rPr>
        <w:t>3%</w:t>
      </w:r>
      <w:r>
        <w:rPr>
          <w:spacing w:val="-19"/>
          <w:w w:val="110"/>
        </w:rPr>
        <w:t> </w:t>
      </w:r>
      <w:r>
        <w:rPr>
          <w:spacing w:val="-3"/>
          <w:w w:val="110"/>
        </w:rPr>
        <w:t>lower</w:t>
      </w:r>
      <w:r>
        <w:rPr>
          <w:spacing w:val="-18"/>
          <w:w w:val="110"/>
        </w:rPr>
        <w:t> </w:t>
      </w:r>
      <w:r>
        <w:rPr>
          <w:w w:val="110"/>
        </w:rPr>
        <w:t>than </w:t>
      </w:r>
      <w:r>
        <w:rPr>
          <w:spacing w:val="-3"/>
          <w:w w:val="110"/>
        </w:rPr>
        <w:t>November’s </w:t>
      </w:r>
      <w:r>
        <w:rPr>
          <w:w w:val="110"/>
        </w:rPr>
        <w:t>starting value and will mitigate the impact of the </w:t>
      </w:r>
      <w:r>
        <w:rPr>
          <w:spacing w:val="-3"/>
          <w:w w:val="110"/>
        </w:rPr>
        <w:t>slowdown </w:t>
      </w:r>
      <w:r>
        <w:rPr>
          <w:w w:val="110"/>
        </w:rPr>
        <w:t>in the </w:t>
      </w:r>
      <w:r>
        <w:rPr>
          <w:spacing w:val="-3"/>
          <w:w w:val="110"/>
        </w:rPr>
        <w:t>rest </w:t>
      </w:r>
      <w:r>
        <w:rPr>
          <w:w w:val="110"/>
        </w:rPr>
        <w:t>of the</w:t>
      </w:r>
      <w:r>
        <w:rPr>
          <w:spacing w:val="-33"/>
          <w:w w:val="110"/>
        </w:rPr>
        <w:t> </w:t>
      </w:r>
      <w:r>
        <w:rPr>
          <w:spacing w:val="-3"/>
          <w:w w:val="110"/>
        </w:rPr>
        <w:t>world.</w:t>
      </w:r>
    </w:p>
    <w:p>
      <w:pPr>
        <w:spacing w:after="0" w:line="292" w:lineRule="auto"/>
        <w:sectPr>
          <w:headerReference w:type="default" r:id="rId9"/>
          <w:pgSz w:w="11900" w:h="16840"/>
          <w:pgMar w:header="601" w:footer="594" w:top="800" w:bottom="760" w:left="640" w:right="640"/>
        </w:sectPr>
      </w:pPr>
    </w:p>
    <w:p>
      <w:pPr>
        <w:spacing w:before="78" w:after="17"/>
        <w:ind w:left="0" w:right="142" w:firstLine="0"/>
        <w:jc w:val="right"/>
        <w:rPr>
          <w:rFonts w:ascii="Trebuchet MS"/>
          <w:i/>
          <w:sz w:val="14"/>
        </w:rPr>
      </w:pPr>
      <w:r>
        <w:rPr>
          <w:rFonts w:ascii="Trebuchet MS"/>
          <w:i/>
          <w:w w:val="90"/>
          <w:sz w:val="14"/>
        </w:rPr>
        <w:t>Overview</w:t>
      </w:r>
    </w:p>
    <w:p>
      <w:pPr>
        <w:pStyle w:val="BodyText"/>
        <w:spacing w:line="20" w:lineRule="exact"/>
        <w:ind w:left="138"/>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rFonts w:ascii="Trebuchet MS"/>
          <w:sz w:val="2"/>
        </w:rPr>
      </w:r>
    </w:p>
    <w:p>
      <w:pPr>
        <w:pStyle w:val="BodyText"/>
        <w:rPr>
          <w:rFonts w:ascii="Trebuchet MS"/>
          <w:i/>
        </w:rPr>
      </w:pPr>
    </w:p>
    <w:p>
      <w:pPr>
        <w:pStyle w:val="BodyText"/>
        <w:spacing w:before="5"/>
        <w:rPr>
          <w:rFonts w:ascii="Trebuchet MS"/>
          <w:i/>
          <w:sz w:val="19"/>
        </w:rPr>
      </w:pPr>
    </w:p>
    <w:p>
      <w:pPr>
        <w:pStyle w:val="BodyText"/>
        <w:spacing w:line="292" w:lineRule="auto"/>
        <w:ind w:left="4980" w:right="243"/>
      </w:pPr>
      <w:r>
        <w:rPr>
          <w:w w:val="110"/>
        </w:rPr>
        <w:t>Underlying</w:t>
      </w:r>
      <w:r>
        <w:rPr>
          <w:spacing w:val="-19"/>
          <w:w w:val="110"/>
        </w:rPr>
        <w:t> </w:t>
      </w:r>
      <w:r>
        <w:rPr>
          <w:w w:val="110"/>
        </w:rPr>
        <w:t>growth</w:t>
      </w:r>
      <w:r>
        <w:rPr>
          <w:spacing w:val="-19"/>
          <w:w w:val="110"/>
        </w:rPr>
        <w:t> </w:t>
      </w:r>
      <w:r>
        <w:rPr>
          <w:w w:val="110"/>
        </w:rPr>
        <w:t>in</w:t>
      </w:r>
      <w:r>
        <w:rPr>
          <w:spacing w:val="-19"/>
          <w:w w:val="110"/>
        </w:rPr>
        <w:t> </w:t>
      </w:r>
      <w:r>
        <w:rPr>
          <w:spacing w:val="-2"/>
          <w:w w:val="110"/>
        </w:rPr>
        <w:t>narrow</w:t>
      </w:r>
      <w:r>
        <w:rPr>
          <w:spacing w:val="-19"/>
          <w:w w:val="110"/>
        </w:rPr>
        <w:t> </w:t>
      </w:r>
      <w:r>
        <w:rPr>
          <w:w w:val="110"/>
        </w:rPr>
        <w:t>money</w:t>
      </w:r>
      <w:r>
        <w:rPr>
          <w:spacing w:val="-19"/>
          <w:w w:val="110"/>
        </w:rPr>
        <w:t> </w:t>
      </w:r>
      <w:r>
        <w:rPr>
          <w:w w:val="110"/>
        </w:rPr>
        <w:t>continues</w:t>
      </w:r>
      <w:r>
        <w:rPr>
          <w:spacing w:val="-18"/>
          <w:w w:val="110"/>
        </w:rPr>
        <w:t> </w:t>
      </w:r>
      <w:r>
        <w:rPr>
          <w:spacing w:val="-4"/>
          <w:w w:val="110"/>
        </w:rPr>
        <w:t>to</w:t>
      </w:r>
      <w:r>
        <w:rPr>
          <w:spacing w:val="-19"/>
          <w:w w:val="110"/>
        </w:rPr>
        <w:t> </w:t>
      </w:r>
      <w:r>
        <w:rPr>
          <w:w w:val="110"/>
        </w:rPr>
        <w:t>be</w:t>
      </w:r>
      <w:r>
        <w:rPr>
          <w:spacing w:val="-19"/>
          <w:w w:val="110"/>
        </w:rPr>
        <w:t> </w:t>
      </w:r>
      <w:r>
        <w:rPr>
          <w:w w:val="110"/>
        </w:rPr>
        <w:t>rapid,</w:t>
      </w:r>
      <w:r>
        <w:rPr>
          <w:spacing w:val="-19"/>
          <w:w w:val="110"/>
        </w:rPr>
        <w:t> </w:t>
      </w:r>
      <w:r>
        <w:rPr>
          <w:w w:val="110"/>
        </w:rPr>
        <w:t>but broad</w:t>
      </w:r>
      <w:r>
        <w:rPr>
          <w:spacing w:val="-18"/>
          <w:w w:val="110"/>
        </w:rPr>
        <w:t> </w:t>
      </w:r>
      <w:r>
        <w:rPr>
          <w:w w:val="110"/>
        </w:rPr>
        <w:t>money</w:t>
      </w:r>
      <w:r>
        <w:rPr>
          <w:spacing w:val="-17"/>
          <w:w w:val="110"/>
        </w:rPr>
        <w:t> </w:t>
      </w:r>
      <w:r>
        <w:rPr>
          <w:w w:val="110"/>
        </w:rPr>
        <w:t>growth</w:t>
      </w:r>
      <w:r>
        <w:rPr>
          <w:spacing w:val="-18"/>
          <w:w w:val="110"/>
        </w:rPr>
        <w:t> </w:t>
      </w:r>
      <w:r>
        <w:rPr>
          <w:w w:val="110"/>
        </w:rPr>
        <w:t>has</w:t>
      </w:r>
      <w:r>
        <w:rPr>
          <w:spacing w:val="-17"/>
          <w:w w:val="110"/>
        </w:rPr>
        <w:t> </w:t>
      </w:r>
      <w:r>
        <w:rPr>
          <w:spacing w:val="-3"/>
          <w:w w:val="110"/>
        </w:rPr>
        <w:t>slowed</w:t>
      </w:r>
      <w:r>
        <w:rPr>
          <w:spacing w:val="-18"/>
          <w:w w:val="110"/>
        </w:rPr>
        <w:t> </w:t>
      </w:r>
      <w:r>
        <w:rPr>
          <w:w w:val="110"/>
        </w:rPr>
        <w:t>a</w:t>
      </w:r>
      <w:r>
        <w:rPr>
          <w:spacing w:val="-17"/>
          <w:w w:val="110"/>
        </w:rPr>
        <w:t> </w:t>
      </w:r>
      <w:r>
        <w:rPr>
          <w:w w:val="110"/>
        </w:rPr>
        <w:t>little.</w:t>
      </w:r>
      <w:r>
        <w:rPr>
          <w:spacing w:val="20"/>
          <w:w w:val="110"/>
        </w:rPr>
        <w:t> </w:t>
      </w:r>
      <w:r>
        <w:rPr>
          <w:w w:val="110"/>
        </w:rPr>
        <w:t>Growth</w:t>
      </w:r>
      <w:r>
        <w:rPr>
          <w:spacing w:val="-17"/>
          <w:w w:val="110"/>
        </w:rPr>
        <w:t> </w:t>
      </w:r>
      <w:r>
        <w:rPr>
          <w:w w:val="110"/>
        </w:rPr>
        <w:t>in</w:t>
      </w:r>
      <w:r>
        <w:rPr>
          <w:spacing w:val="-18"/>
          <w:w w:val="110"/>
        </w:rPr>
        <w:t> </w:t>
      </w:r>
      <w:r>
        <w:rPr>
          <w:w w:val="110"/>
        </w:rPr>
        <w:t>lending</w:t>
      </w:r>
      <w:r>
        <w:rPr>
          <w:spacing w:val="-17"/>
          <w:w w:val="110"/>
        </w:rPr>
        <w:t> </w:t>
      </w:r>
      <w:r>
        <w:rPr>
          <w:spacing w:val="-4"/>
          <w:w w:val="110"/>
        </w:rPr>
        <w:t>to </w:t>
      </w:r>
      <w:r>
        <w:rPr>
          <w:w w:val="110"/>
        </w:rPr>
        <w:t>households</w:t>
      </w:r>
      <w:r>
        <w:rPr>
          <w:spacing w:val="-23"/>
          <w:w w:val="110"/>
        </w:rPr>
        <w:t> </w:t>
      </w:r>
      <w:r>
        <w:rPr>
          <w:w w:val="110"/>
        </w:rPr>
        <w:t>remains</w:t>
      </w:r>
      <w:r>
        <w:rPr>
          <w:spacing w:val="-23"/>
          <w:w w:val="110"/>
        </w:rPr>
        <w:t> </w:t>
      </w:r>
      <w:r>
        <w:rPr>
          <w:w w:val="110"/>
        </w:rPr>
        <w:t>brisk—consistent</w:t>
      </w:r>
      <w:r>
        <w:rPr>
          <w:spacing w:val="-23"/>
          <w:w w:val="110"/>
        </w:rPr>
        <w:t> </w:t>
      </w:r>
      <w:r>
        <w:rPr>
          <w:w w:val="110"/>
        </w:rPr>
        <w:t>with</w:t>
      </w:r>
      <w:r>
        <w:rPr>
          <w:spacing w:val="-22"/>
          <w:w w:val="110"/>
        </w:rPr>
        <w:t> </w:t>
      </w:r>
      <w:r>
        <w:rPr>
          <w:w w:val="110"/>
        </w:rPr>
        <w:t>continued</w:t>
      </w:r>
      <w:r>
        <w:rPr>
          <w:spacing w:val="-23"/>
          <w:w w:val="110"/>
        </w:rPr>
        <w:t> </w:t>
      </w:r>
      <w:r>
        <w:rPr>
          <w:w w:val="110"/>
        </w:rPr>
        <w:t>buoyant consumer spending—but that </w:t>
      </w:r>
      <w:r>
        <w:rPr>
          <w:spacing w:val="-4"/>
          <w:w w:val="110"/>
        </w:rPr>
        <w:t>to </w:t>
      </w:r>
      <w:r>
        <w:rPr>
          <w:w w:val="110"/>
        </w:rPr>
        <w:t>non-financial companies has now</w:t>
      </w:r>
      <w:r>
        <w:rPr>
          <w:spacing w:val="-22"/>
          <w:w w:val="110"/>
        </w:rPr>
        <w:t> </w:t>
      </w:r>
      <w:r>
        <w:rPr>
          <w:w w:val="110"/>
        </w:rPr>
        <w:t>eased</w:t>
      </w:r>
      <w:r>
        <w:rPr>
          <w:spacing w:val="-22"/>
          <w:w w:val="110"/>
        </w:rPr>
        <w:t> </w:t>
      </w:r>
      <w:r>
        <w:rPr>
          <w:w w:val="110"/>
        </w:rPr>
        <w:t>somewhat,</w:t>
      </w:r>
      <w:r>
        <w:rPr>
          <w:spacing w:val="-22"/>
          <w:w w:val="110"/>
        </w:rPr>
        <w:t> </w:t>
      </w:r>
      <w:r>
        <w:rPr>
          <w:w w:val="110"/>
        </w:rPr>
        <w:t>partly</w:t>
      </w:r>
      <w:r>
        <w:rPr>
          <w:spacing w:val="-21"/>
          <w:w w:val="110"/>
        </w:rPr>
        <w:t> </w:t>
      </w:r>
      <w:r>
        <w:rPr>
          <w:w w:val="110"/>
        </w:rPr>
        <w:t>reflecting</w:t>
      </w:r>
      <w:r>
        <w:rPr>
          <w:spacing w:val="-22"/>
          <w:w w:val="110"/>
        </w:rPr>
        <w:t> </w:t>
      </w:r>
      <w:r>
        <w:rPr>
          <w:w w:val="110"/>
        </w:rPr>
        <w:t>reduced</w:t>
      </w:r>
      <w:r>
        <w:rPr>
          <w:spacing w:val="-22"/>
          <w:w w:val="110"/>
        </w:rPr>
        <w:t> </w:t>
      </w:r>
      <w:r>
        <w:rPr>
          <w:w w:val="110"/>
        </w:rPr>
        <w:t>acquisition</w:t>
      </w:r>
      <w:r>
        <w:rPr>
          <w:spacing w:val="-22"/>
          <w:w w:val="110"/>
        </w:rPr>
        <w:t> </w:t>
      </w:r>
      <w:r>
        <w:rPr>
          <w:w w:val="110"/>
        </w:rPr>
        <w:t>of financial</w:t>
      </w:r>
      <w:r>
        <w:rPr>
          <w:spacing w:val="-6"/>
          <w:w w:val="110"/>
        </w:rPr>
        <w:t> </w:t>
      </w:r>
      <w:r>
        <w:rPr>
          <w:w w:val="110"/>
        </w:rPr>
        <w:t>assets.</w:t>
      </w:r>
    </w:p>
    <w:p>
      <w:pPr>
        <w:pStyle w:val="BodyText"/>
        <w:spacing w:before="1"/>
        <w:rPr>
          <w:sz w:val="24"/>
        </w:rPr>
      </w:pPr>
    </w:p>
    <w:p>
      <w:pPr>
        <w:pStyle w:val="BodyText"/>
        <w:spacing w:line="292" w:lineRule="auto"/>
        <w:ind w:left="4980" w:right="296"/>
      </w:pPr>
      <w:r>
        <w:rPr>
          <w:w w:val="110"/>
        </w:rPr>
        <w:t>The </w:t>
      </w:r>
      <w:r>
        <w:rPr>
          <w:spacing w:val="-3"/>
          <w:w w:val="110"/>
        </w:rPr>
        <w:t>Bank’s </w:t>
      </w:r>
      <w:r>
        <w:rPr>
          <w:w w:val="110"/>
        </w:rPr>
        <w:t>official </w:t>
      </w:r>
      <w:r>
        <w:rPr>
          <w:spacing w:val="-3"/>
          <w:w w:val="110"/>
        </w:rPr>
        <w:t>interest </w:t>
      </w:r>
      <w:r>
        <w:rPr>
          <w:spacing w:val="-4"/>
          <w:w w:val="110"/>
        </w:rPr>
        <w:t>rate </w:t>
      </w:r>
      <w:r>
        <w:rPr>
          <w:spacing w:val="-3"/>
          <w:w w:val="110"/>
        </w:rPr>
        <w:t>was </w:t>
      </w:r>
      <w:r>
        <w:rPr>
          <w:w w:val="110"/>
        </w:rPr>
        <w:t>cut </w:t>
      </w:r>
      <w:r>
        <w:rPr>
          <w:spacing w:val="-4"/>
          <w:w w:val="110"/>
        </w:rPr>
        <w:t>to </w:t>
      </w:r>
      <w:r>
        <w:rPr>
          <w:spacing w:val="-8"/>
          <w:w w:val="110"/>
        </w:rPr>
        <w:t>5.75% </w:t>
      </w:r>
      <w:r>
        <w:rPr>
          <w:w w:val="110"/>
        </w:rPr>
        <w:t>at the </w:t>
      </w:r>
      <w:r>
        <w:rPr>
          <w:spacing w:val="-3"/>
          <w:w w:val="110"/>
        </w:rPr>
        <w:t>Committee’s</w:t>
      </w:r>
      <w:r>
        <w:rPr>
          <w:spacing w:val="-19"/>
          <w:w w:val="110"/>
        </w:rPr>
        <w:t> </w:t>
      </w:r>
      <w:r>
        <w:rPr>
          <w:w w:val="110"/>
        </w:rPr>
        <w:t>February</w:t>
      </w:r>
      <w:r>
        <w:rPr>
          <w:spacing w:val="-18"/>
          <w:w w:val="110"/>
        </w:rPr>
        <w:t> </w:t>
      </w:r>
      <w:r>
        <w:rPr>
          <w:w w:val="110"/>
        </w:rPr>
        <w:t>meeting,</w:t>
      </w:r>
      <w:r>
        <w:rPr>
          <w:spacing w:val="-18"/>
          <w:w w:val="110"/>
        </w:rPr>
        <w:t> </w:t>
      </w:r>
      <w:r>
        <w:rPr>
          <w:w w:val="110"/>
        </w:rPr>
        <w:t>having</w:t>
      </w:r>
      <w:r>
        <w:rPr>
          <w:spacing w:val="-19"/>
          <w:w w:val="110"/>
        </w:rPr>
        <w:t> </w:t>
      </w:r>
      <w:r>
        <w:rPr>
          <w:w w:val="110"/>
        </w:rPr>
        <w:t>been</w:t>
      </w:r>
      <w:r>
        <w:rPr>
          <w:spacing w:val="-18"/>
          <w:w w:val="110"/>
        </w:rPr>
        <w:t> </w:t>
      </w:r>
      <w:r>
        <w:rPr>
          <w:w w:val="110"/>
        </w:rPr>
        <w:t>kept</w:t>
      </w:r>
      <w:r>
        <w:rPr>
          <w:spacing w:val="-18"/>
          <w:w w:val="110"/>
        </w:rPr>
        <w:t> </w:t>
      </w:r>
      <w:r>
        <w:rPr>
          <w:w w:val="110"/>
        </w:rPr>
        <w:t>at</w:t>
      </w:r>
      <w:r>
        <w:rPr>
          <w:spacing w:val="-18"/>
          <w:w w:val="110"/>
        </w:rPr>
        <w:t> </w:t>
      </w:r>
      <w:r>
        <w:rPr>
          <w:w w:val="110"/>
        </w:rPr>
        <w:t>6%</w:t>
      </w:r>
      <w:r>
        <w:rPr>
          <w:spacing w:val="-19"/>
          <w:w w:val="110"/>
        </w:rPr>
        <w:t> </w:t>
      </w:r>
      <w:r>
        <w:rPr>
          <w:w w:val="110"/>
        </w:rPr>
        <w:t>for</w:t>
      </w:r>
      <w:r>
        <w:rPr>
          <w:spacing w:val="-18"/>
          <w:w w:val="110"/>
        </w:rPr>
        <w:t> </w:t>
      </w:r>
      <w:r>
        <w:rPr>
          <w:w w:val="110"/>
        </w:rPr>
        <w:t>a </w:t>
      </w:r>
      <w:r>
        <w:rPr>
          <w:spacing w:val="-4"/>
          <w:w w:val="110"/>
        </w:rPr>
        <w:t>year.</w:t>
      </w:r>
      <w:r>
        <w:rPr>
          <w:spacing w:val="18"/>
          <w:w w:val="110"/>
        </w:rPr>
        <w:t> </w:t>
      </w:r>
      <w:r>
        <w:rPr>
          <w:spacing w:val="-3"/>
          <w:w w:val="110"/>
        </w:rPr>
        <w:t>Short-term</w:t>
      </w:r>
      <w:r>
        <w:rPr>
          <w:spacing w:val="-18"/>
          <w:w w:val="110"/>
        </w:rPr>
        <w:t> </w:t>
      </w:r>
      <w:r>
        <w:rPr>
          <w:w w:val="110"/>
        </w:rPr>
        <w:t>money</w:t>
      </w:r>
      <w:r>
        <w:rPr>
          <w:spacing w:val="-18"/>
          <w:w w:val="110"/>
        </w:rPr>
        <w:t> </w:t>
      </w:r>
      <w:r>
        <w:rPr>
          <w:w w:val="110"/>
        </w:rPr>
        <w:t>market</w:t>
      </w:r>
      <w:r>
        <w:rPr>
          <w:spacing w:val="-19"/>
          <w:w w:val="110"/>
        </w:rPr>
        <w:t> </w:t>
      </w:r>
      <w:r>
        <w:rPr>
          <w:spacing w:val="-3"/>
          <w:w w:val="110"/>
        </w:rPr>
        <w:t>rates,</w:t>
      </w:r>
      <w:r>
        <w:rPr>
          <w:spacing w:val="-18"/>
          <w:w w:val="110"/>
        </w:rPr>
        <w:t> </w:t>
      </w:r>
      <w:r>
        <w:rPr>
          <w:w w:val="110"/>
        </w:rPr>
        <w:t>which</w:t>
      </w:r>
      <w:r>
        <w:rPr>
          <w:spacing w:val="-19"/>
          <w:w w:val="110"/>
        </w:rPr>
        <w:t> </w:t>
      </w:r>
      <w:r>
        <w:rPr>
          <w:w w:val="110"/>
        </w:rPr>
        <w:t>provide</w:t>
      </w:r>
      <w:r>
        <w:rPr>
          <w:spacing w:val="-18"/>
          <w:w w:val="110"/>
        </w:rPr>
        <w:t> </w:t>
      </w:r>
      <w:r>
        <w:rPr>
          <w:w w:val="110"/>
        </w:rPr>
        <w:t>a</w:t>
      </w:r>
      <w:r>
        <w:rPr>
          <w:spacing w:val="-19"/>
          <w:w w:val="110"/>
        </w:rPr>
        <w:t> </w:t>
      </w:r>
      <w:r>
        <w:rPr>
          <w:w w:val="110"/>
        </w:rPr>
        <w:t>guide</w:t>
      </w:r>
      <w:r>
        <w:rPr>
          <w:spacing w:val="-18"/>
          <w:w w:val="110"/>
        </w:rPr>
        <w:t> </w:t>
      </w:r>
      <w:r>
        <w:rPr>
          <w:spacing w:val="-4"/>
          <w:w w:val="110"/>
        </w:rPr>
        <w:t>to </w:t>
      </w:r>
      <w:r>
        <w:rPr>
          <w:w w:val="110"/>
        </w:rPr>
        <w:t>market expectations of future official </w:t>
      </w:r>
      <w:r>
        <w:rPr>
          <w:spacing w:val="-3"/>
          <w:w w:val="110"/>
        </w:rPr>
        <w:t>interest </w:t>
      </w:r>
      <w:r>
        <w:rPr>
          <w:spacing w:val="-4"/>
          <w:w w:val="110"/>
        </w:rPr>
        <w:t>rates, </w:t>
      </w:r>
      <w:r>
        <w:rPr>
          <w:spacing w:val="-3"/>
          <w:w w:val="110"/>
        </w:rPr>
        <w:t>have </w:t>
      </w:r>
      <w:r>
        <w:rPr>
          <w:w w:val="110"/>
        </w:rPr>
        <w:t>declined</w:t>
      </w:r>
      <w:r>
        <w:rPr>
          <w:spacing w:val="-23"/>
          <w:w w:val="110"/>
        </w:rPr>
        <w:t> </w:t>
      </w:r>
      <w:r>
        <w:rPr>
          <w:w w:val="110"/>
        </w:rPr>
        <w:t>since</w:t>
      </w:r>
      <w:r>
        <w:rPr>
          <w:spacing w:val="-23"/>
          <w:w w:val="110"/>
        </w:rPr>
        <w:t> </w:t>
      </w:r>
      <w:r>
        <w:rPr>
          <w:w w:val="110"/>
        </w:rPr>
        <w:t>the</w:t>
      </w:r>
      <w:r>
        <w:rPr>
          <w:spacing w:val="-23"/>
          <w:w w:val="110"/>
        </w:rPr>
        <w:t> </w:t>
      </w:r>
      <w:r>
        <w:rPr>
          <w:w w:val="110"/>
        </w:rPr>
        <w:t>November</w:t>
      </w:r>
      <w:r>
        <w:rPr>
          <w:spacing w:val="-23"/>
          <w:w w:val="110"/>
        </w:rPr>
        <w:t> </w:t>
      </w:r>
      <w:r>
        <w:rPr>
          <w:i/>
          <w:w w:val="110"/>
        </w:rPr>
        <w:t>Report</w:t>
      </w:r>
      <w:r>
        <w:rPr>
          <w:w w:val="110"/>
        </w:rPr>
        <w:t>.</w:t>
      </w:r>
      <w:r>
        <w:rPr>
          <w:spacing w:val="10"/>
          <w:w w:val="110"/>
        </w:rPr>
        <w:t> </w:t>
      </w:r>
      <w:r>
        <w:rPr>
          <w:w w:val="110"/>
        </w:rPr>
        <w:t>Long-term</w:t>
      </w:r>
      <w:r>
        <w:rPr>
          <w:spacing w:val="-23"/>
          <w:w w:val="110"/>
        </w:rPr>
        <w:t> </w:t>
      </w:r>
      <w:r>
        <w:rPr>
          <w:w w:val="110"/>
        </w:rPr>
        <w:t>government bond yields </w:t>
      </w:r>
      <w:r>
        <w:rPr>
          <w:spacing w:val="-3"/>
          <w:w w:val="110"/>
        </w:rPr>
        <w:t>have </w:t>
      </w:r>
      <w:r>
        <w:rPr>
          <w:w w:val="110"/>
        </w:rPr>
        <w:t>also fallen. </w:t>
      </w:r>
      <w:r>
        <w:rPr>
          <w:spacing w:val="-3"/>
          <w:w w:val="110"/>
        </w:rPr>
        <w:t>Equity </w:t>
      </w:r>
      <w:r>
        <w:rPr>
          <w:w w:val="110"/>
        </w:rPr>
        <w:t>prices </w:t>
      </w:r>
      <w:r>
        <w:rPr>
          <w:spacing w:val="-3"/>
          <w:w w:val="110"/>
        </w:rPr>
        <w:t>have </w:t>
      </w:r>
      <w:r>
        <w:rPr>
          <w:w w:val="110"/>
        </w:rPr>
        <w:t>declined, especially in the high-technology</w:t>
      </w:r>
      <w:r>
        <w:rPr>
          <w:spacing w:val="-30"/>
          <w:w w:val="110"/>
        </w:rPr>
        <w:t> </w:t>
      </w:r>
      <w:r>
        <w:rPr>
          <w:spacing w:val="-3"/>
          <w:w w:val="110"/>
        </w:rPr>
        <w:t>sectors.</w:t>
      </w:r>
    </w:p>
    <w:p>
      <w:pPr>
        <w:pStyle w:val="BodyText"/>
        <w:rPr>
          <w:sz w:val="24"/>
        </w:rPr>
      </w:pPr>
    </w:p>
    <w:p>
      <w:pPr>
        <w:pStyle w:val="BodyText"/>
        <w:spacing w:line="292" w:lineRule="auto"/>
        <w:ind w:left="4980" w:right="234"/>
      </w:pPr>
      <w:r>
        <w:rPr>
          <w:w w:val="105"/>
        </w:rPr>
        <w:t>The labour market remains tight. LFS employment fell slightly in the three months to November though the underlying trend appears flat, and the LFS unemployment rate was unchanged at 5.3%. Nevertheless employment intentions remain strong, especially in the service sector, and vacancies remain at very high levels. Survey data and intelligence from the Bank’s regional Agents also suggest that companies continue to experience difficulties in recruiting skilled labour. The growth rate of the headline measure of average earnings edged up from an annual rate of 4.0% in August to 4.2% in November, with a somewhat faster pick-up in the regular pay component. Wage settlements also edged up slightly. But the majority of settlements occur between January and April and the MPC will be closely monitoring developments in this area.</w:t>
      </w:r>
    </w:p>
    <w:p>
      <w:pPr>
        <w:pStyle w:val="BodyText"/>
        <w:spacing w:before="7"/>
        <w:rPr>
          <w:sz w:val="23"/>
        </w:rPr>
      </w:pPr>
    </w:p>
    <w:p>
      <w:pPr>
        <w:pStyle w:val="BodyText"/>
        <w:spacing w:line="292" w:lineRule="auto"/>
        <w:ind w:left="4980" w:right="355"/>
      </w:pPr>
      <w:r>
        <w:rPr>
          <w:w w:val="105"/>
        </w:rPr>
        <w:t>The </w:t>
      </w:r>
      <w:r>
        <w:rPr>
          <w:spacing w:val="-3"/>
          <w:w w:val="105"/>
        </w:rPr>
        <w:t>resurgence </w:t>
      </w:r>
      <w:r>
        <w:rPr>
          <w:w w:val="105"/>
        </w:rPr>
        <w:t>in the growth of labour productivity that began in </w:t>
      </w:r>
      <w:r>
        <w:rPr>
          <w:spacing w:val="-15"/>
          <w:w w:val="105"/>
        </w:rPr>
        <w:t>1999 </w:t>
      </w:r>
      <w:r>
        <w:rPr>
          <w:w w:val="105"/>
        </w:rPr>
        <w:t>has continued, with productivity per hour rising at around 3% per annum, a little </w:t>
      </w:r>
      <w:r>
        <w:rPr>
          <w:spacing w:val="-3"/>
          <w:w w:val="105"/>
        </w:rPr>
        <w:t>above </w:t>
      </w:r>
      <w:r>
        <w:rPr>
          <w:w w:val="105"/>
        </w:rPr>
        <w:t>its </w:t>
      </w:r>
      <w:r>
        <w:rPr>
          <w:spacing w:val="-3"/>
          <w:w w:val="105"/>
        </w:rPr>
        <w:t>average over </w:t>
      </w:r>
      <w:r>
        <w:rPr>
          <w:w w:val="105"/>
        </w:rPr>
        <w:t>the past   </w:t>
      </w:r>
      <w:r>
        <w:rPr>
          <w:spacing w:val="-6"/>
          <w:w w:val="105"/>
        </w:rPr>
        <w:t>40 </w:t>
      </w:r>
      <w:r>
        <w:rPr>
          <w:spacing w:val="-3"/>
          <w:w w:val="105"/>
        </w:rPr>
        <w:t>years. </w:t>
      </w:r>
      <w:r>
        <w:rPr>
          <w:w w:val="105"/>
        </w:rPr>
        <w:t>The combination of higher productivity coupled with </w:t>
      </w:r>
      <w:r>
        <w:rPr>
          <w:spacing w:val="-3"/>
          <w:w w:val="105"/>
        </w:rPr>
        <w:t>moderate </w:t>
      </w:r>
      <w:r>
        <w:rPr>
          <w:w w:val="105"/>
        </w:rPr>
        <w:t>earnings growth meant that whole-economy</w:t>
      </w:r>
      <w:r>
        <w:rPr>
          <w:spacing w:val="14"/>
          <w:w w:val="105"/>
        </w:rPr>
        <w:t> </w:t>
      </w:r>
      <w:r>
        <w:rPr>
          <w:w w:val="105"/>
        </w:rPr>
        <w:t>wage</w:t>
      </w:r>
    </w:p>
    <w:p>
      <w:pPr>
        <w:pStyle w:val="BodyText"/>
        <w:spacing w:line="292" w:lineRule="auto"/>
        <w:ind w:left="4980" w:right="50"/>
      </w:pPr>
      <w:r>
        <w:rPr>
          <w:w w:val="110"/>
        </w:rPr>
        <w:t>costs per unit of output </w:t>
      </w:r>
      <w:r>
        <w:rPr>
          <w:spacing w:val="-3"/>
          <w:w w:val="110"/>
        </w:rPr>
        <w:t>were </w:t>
      </w:r>
      <w:r>
        <w:rPr>
          <w:w w:val="110"/>
        </w:rPr>
        <w:t>just 1.4% higher in Q3 than a year earlier. Import prices </w:t>
      </w:r>
      <w:r>
        <w:rPr>
          <w:spacing w:val="-3"/>
          <w:w w:val="110"/>
        </w:rPr>
        <w:t>were </w:t>
      </w:r>
      <w:r>
        <w:rPr>
          <w:w w:val="110"/>
        </w:rPr>
        <w:t>flat as the effects of sterling depreciation and rising world export prices </w:t>
      </w:r>
      <w:r>
        <w:rPr>
          <w:spacing w:val="-3"/>
          <w:w w:val="110"/>
        </w:rPr>
        <w:t>were </w:t>
      </w:r>
      <w:r>
        <w:rPr>
          <w:w w:val="110"/>
        </w:rPr>
        <w:t>offset </w:t>
      </w:r>
      <w:r>
        <w:rPr>
          <w:spacing w:val="-3"/>
          <w:w w:val="110"/>
        </w:rPr>
        <w:t>by </w:t>
      </w:r>
      <w:r>
        <w:rPr>
          <w:w w:val="110"/>
        </w:rPr>
        <w:t>a reduction in foreign exporters’ margins. Although cost </w:t>
      </w:r>
      <w:r>
        <w:rPr>
          <w:spacing w:val="-3"/>
          <w:w w:val="110"/>
        </w:rPr>
        <w:t>pressures </w:t>
      </w:r>
      <w:r>
        <w:rPr>
          <w:w w:val="110"/>
        </w:rPr>
        <w:t>are muted, some </w:t>
      </w:r>
      <w:r>
        <w:rPr>
          <w:spacing w:val="-3"/>
          <w:w w:val="110"/>
        </w:rPr>
        <w:t>survey </w:t>
      </w:r>
      <w:r>
        <w:rPr>
          <w:w w:val="110"/>
        </w:rPr>
        <w:t>data and reports from the </w:t>
      </w:r>
      <w:r>
        <w:rPr>
          <w:spacing w:val="-3"/>
          <w:w w:val="110"/>
        </w:rPr>
        <w:t>Bank’s </w:t>
      </w:r>
      <w:r>
        <w:rPr>
          <w:w w:val="110"/>
        </w:rPr>
        <w:t>Agents indicate an increase in the proportion of firms expecting </w:t>
      </w:r>
      <w:r>
        <w:rPr>
          <w:spacing w:val="-4"/>
          <w:w w:val="110"/>
        </w:rPr>
        <w:t>to </w:t>
      </w:r>
      <w:r>
        <w:rPr>
          <w:w w:val="110"/>
        </w:rPr>
        <w:t>raise output prices, particularly in manufacturing.</w:t>
      </w:r>
    </w:p>
    <w:p>
      <w:pPr>
        <w:pStyle w:val="BodyText"/>
        <w:spacing w:before="9"/>
        <w:rPr>
          <w:sz w:val="23"/>
        </w:rPr>
      </w:pPr>
    </w:p>
    <w:p>
      <w:pPr>
        <w:pStyle w:val="BodyText"/>
        <w:spacing w:line="292" w:lineRule="auto"/>
        <w:ind w:left="4980" w:right="140"/>
      </w:pPr>
      <w:r>
        <w:rPr>
          <w:w w:val="110"/>
        </w:rPr>
        <w:t>Chart 1 shows the </w:t>
      </w:r>
      <w:r>
        <w:rPr>
          <w:spacing w:val="-4"/>
          <w:w w:val="110"/>
        </w:rPr>
        <w:t>MPC’s </w:t>
      </w:r>
      <w:r>
        <w:rPr>
          <w:w w:val="110"/>
        </w:rPr>
        <w:t>assessment of the outlook for GDP growth, on the benchmark assumption that the official </w:t>
      </w:r>
      <w:r>
        <w:rPr>
          <w:spacing w:val="-3"/>
          <w:w w:val="110"/>
        </w:rPr>
        <w:t>interest </w:t>
      </w:r>
      <w:r>
        <w:rPr>
          <w:spacing w:val="-4"/>
          <w:w w:val="110"/>
        </w:rPr>
        <w:t>rate </w:t>
      </w:r>
      <w:r>
        <w:rPr>
          <w:w w:val="110"/>
        </w:rPr>
        <w:t>remains at </w:t>
      </w:r>
      <w:r>
        <w:rPr>
          <w:spacing w:val="-7"/>
          <w:w w:val="110"/>
        </w:rPr>
        <w:t>5.75% </w:t>
      </w:r>
      <w:r>
        <w:rPr>
          <w:spacing w:val="-3"/>
          <w:w w:val="110"/>
        </w:rPr>
        <w:t>over </w:t>
      </w:r>
      <w:r>
        <w:rPr>
          <w:w w:val="110"/>
        </w:rPr>
        <w:t>the forecast period. In the central projection, the annual growth </w:t>
      </w:r>
      <w:r>
        <w:rPr>
          <w:spacing w:val="-4"/>
          <w:w w:val="110"/>
        </w:rPr>
        <w:t>rate </w:t>
      </w:r>
      <w:r>
        <w:rPr>
          <w:w w:val="110"/>
        </w:rPr>
        <w:t>dips </w:t>
      </w:r>
      <w:r>
        <w:rPr>
          <w:spacing w:val="-4"/>
          <w:w w:val="110"/>
        </w:rPr>
        <w:t>to </w:t>
      </w:r>
      <w:r>
        <w:rPr>
          <w:w w:val="110"/>
        </w:rPr>
        <w:t>around 2% during the</w:t>
      </w:r>
      <w:r>
        <w:rPr>
          <w:spacing w:val="-15"/>
          <w:w w:val="110"/>
        </w:rPr>
        <w:t> </w:t>
      </w:r>
      <w:r>
        <w:rPr>
          <w:w w:val="110"/>
        </w:rPr>
        <w:t>second</w:t>
      </w:r>
      <w:r>
        <w:rPr>
          <w:spacing w:val="-15"/>
          <w:w w:val="110"/>
        </w:rPr>
        <w:t> </w:t>
      </w:r>
      <w:r>
        <w:rPr>
          <w:w w:val="110"/>
        </w:rPr>
        <w:t>half</w:t>
      </w:r>
      <w:r>
        <w:rPr>
          <w:spacing w:val="-15"/>
          <w:w w:val="110"/>
        </w:rPr>
        <w:t> </w:t>
      </w:r>
      <w:r>
        <w:rPr>
          <w:w w:val="110"/>
        </w:rPr>
        <w:t>of</w:t>
      </w:r>
      <w:r>
        <w:rPr>
          <w:spacing w:val="-15"/>
          <w:w w:val="110"/>
        </w:rPr>
        <w:t> </w:t>
      </w:r>
      <w:r>
        <w:rPr>
          <w:w w:val="110"/>
        </w:rPr>
        <w:t>this</w:t>
      </w:r>
      <w:r>
        <w:rPr>
          <w:spacing w:val="-15"/>
          <w:w w:val="110"/>
        </w:rPr>
        <w:t> </w:t>
      </w:r>
      <w:r>
        <w:rPr>
          <w:w w:val="110"/>
        </w:rPr>
        <w:t>year</w:t>
      </w:r>
      <w:r>
        <w:rPr>
          <w:spacing w:val="-15"/>
          <w:w w:val="110"/>
        </w:rPr>
        <w:t> </w:t>
      </w:r>
      <w:r>
        <w:rPr>
          <w:w w:val="110"/>
        </w:rPr>
        <w:t>reflecting</w:t>
      </w:r>
      <w:r>
        <w:rPr>
          <w:spacing w:val="-15"/>
          <w:w w:val="110"/>
        </w:rPr>
        <w:t> </w:t>
      </w:r>
      <w:r>
        <w:rPr>
          <w:w w:val="110"/>
        </w:rPr>
        <w:t>the</w:t>
      </w:r>
      <w:r>
        <w:rPr>
          <w:spacing w:val="-15"/>
          <w:w w:val="110"/>
        </w:rPr>
        <w:t> </w:t>
      </w:r>
      <w:r>
        <w:rPr>
          <w:w w:val="110"/>
        </w:rPr>
        <w:t>deterioration</w:t>
      </w:r>
      <w:r>
        <w:rPr>
          <w:spacing w:val="-15"/>
          <w:w w:val="110"/>
        </w:rPr>
        <w:t> </w:t>
      </w:r>
      <w:r>
        <w:rPr>
          <w:w w:val="110"/>
        </w:rPr>
        <w:t>in</w:t>
      </w:r>
      <w:r>
        <w:rPr>
          <w:spacing w:val="-15"/>
          <w:w w:val="110"/>
        </w:rPr>
        <w:t> </w:t>
      </w:r>
      <w:r>
        <w:rPr>
          <w:w w:val="110"/>
        </w:rPr>
        <w:t>global prospects, slowing consumption and continued weakness in </w:t>
      </w:r>
      <w:r>
        <w:rPr>
          <w:spacing w:val="-3"/>
          <w:w w:val="110"/>
        </w:rPr>
        <w:t>investment </w:t>
      </w:r>
      <w:r>
        <w:rPr>
          <w:w w:val="110"/>
        </w:rPr>
        <w:t>growth, offset </w:t>
      </w:r>
      <w:r>
        <w:rPr>
          <w:spacing w:val="-3"/>
          <w:w w:val="110"/>
        </w:rPr>
        <w:t>by </w:t>
      </w:r>
      <w:r>
        <w:rPr>
          <w:w w:val="110"/>
        </w:rPr>
        <w:t>a stronger contribution from the public </w:t>
      </w:r>
      <w:r>
        <w:rPr>
          <w:spacing w:val="-4"/>
          <w:w w:val="110"/>
        </w:rPr>
        <w:t>sector. </w:t>
      </w:r>
      <w:r>
        <w:rPr>
          <w:w w:val="110"/>
        </w:rPr>
        <w:t>Thereafter growth </w:t>
      </w:r>
      <w:r>
        <w:rPr>
          <w:spacing w:val="-3"/>
          <w:w w:val="110"/>
        </w:rPr>
        <w:t>recovers </w:t>
      </w:r>
      <w:r>
        <w:rPr>
          <w:spacing w:val="-4"/>
          <w:w w:val="110"/>
        </w:rPr>
        <w:t>to </w:t>
      </w:r>
      <w:r>
        <w:rPr>
          <w:w w:val="110"/>
        </w:rPr>
        <w:t>around its</w:t>
      </w:r>
      <w:r>
        <w:rPr>
          <w:spacing w:val="-30"/>
          <w:w w:val="110"/>
        </w:rPr>
        <w:t> </w:t>
      </w:r>
      <w:r>
        <w:rPr>
          <w:w w:val="110"/>
        </w:rPr>
        <w:t>trend</w:t>
      </w:r>
    </w:p>
    <w:p>
      <w:pPr>
        <w:spacing w:after="0" w:line="292" w:lineRule="auto"/>
        <w:sectPr>
          <w:headerReference w:type="even" r:id="rId10"/>
          <w:pgSz w:w="11900" w:h="16840"/>
          <w:pgMar w:header="0" w:footer="574" w:top="540" w:bottom="780" w:left="640" w:right="640"/>
        </w:sectPr>
      </w:pPr>
    </w:p>
    <w:p>
      <w:pPr>
        <w:pStyle w:val="BodyText"/>
      </w:pPr>
    </w:p>
    <w:p>
      <w:pPr>
        <w:spacing w:after="0"/>
        <w:sectPr>
          <w:headerReference w:type="even" r:id="rId11"/>
          <w:footerReference w:type="even" r:id="rId12"/>
          <w:pgSz w:w="11900" w:h="16840"/>
          <w:pgMar w:header="601" w:footer="574" w:top="800" w:bottom="760" w:left="640" w:right="640"/>
          <w:pgNumType w:start="4"/>
        </w:sectPr>
      </w:pPr>
    </w:p>
    <w:p>
      <w:pPr>
        <w:pStyle w:val="BodyText"/>
        <w:spacing w:before="1"/>
        <w:rPr>
          <w:sz w:val="21"/>
        </w:rPr>
      </w:pPr>
    </w:p>
    <w:p>
      <w:pPr>
        <w:pStyle w:val="Heading6"/>
        <w:ind w:left="205"/>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w w:val="76"/>
        </w:rPr>
        <w:t>1</w:t>
      </w:r>
    </w:p>
    <w:p>
      <w:pPr>
        <w:spacing w:line="247" w:lineRule="auto" w:before="8"/>
        <w:ind w:left="205" w:right="299" w:firstLine="0"/>
        <w:jc w:val="left"/>
        <w:rPr>
          <w:rFonts w:ascii="Trebuchet MS"/>
          <w:b/>
          <w:sz w:val="20"/>
        </w:rPr>
      </w:pPr>
      <w:r>
        <w:rPr>
          <w:rFonts w:ascii="Trebuchet MS"/>
          <w:b/>
          <w:color w:val="89C6DC"/>
          <w:sz w:val="20"/>
        </w:rPr>
        <w:t>Current GDP projection based on </w:t>
      </w:r>
      <w:r>
        <w:rPr>
          <w:rFonts w:ascii="Trebuchet MS"/>
          <w:b/>
          <w:color w:val="89C6DC"/>
          <w:w w:val="95"/>
          <w:sz w:val="20"/>
        </w:rPr>
        <w:t>constant</w:t>
      </w:r>
      <w:r>
        <w:rPr>
          <w:rFonts w:ascii="Trebuchet MS"/>
          <w:b/>
          <w:color w:val="89C6DC"/>
          <w:spacing w:val="-30"/>
          <w:w w:val="95"/>
          <w:sz w:val="20"/>
        </w:rPr>
        <w:t> </w:t>
      </w:r>
      <w:r>
        <w:rPr>
          <w:rFonts w:ascii="Trebuchet MS"/>
          <w:b/>
          <w:color w:val="89C6DC"/>
          <w:w w:val="95"/>
          <w:sz w:val="20"/>
        </w:rPr>
        <w:t>nominal</w:t>
      </w:r>
      <w:r>
        <w:rPr>
          <w:rFonts w:ascii="Trebuchet MS"/>
          <w:b/>
          <w:color w:val="89C6DC"/>
          <w:spacing w:val="-29"/>
          <w:w w:val="95"/>
          <w:sz w:val="20"/>
        </w:rPr>
        <w:t> </w:t>
      </w:r>
      <w:r>
        <w:rPr>
          <w:rFonts w:ascii="Trebuchet MS"/>
          <w:b/>
          <w:color w:val="89C6DC"/>
          <w:w w:val="95"/>
          <w:sz w:val="20"/>
        </w:rPr>
        <w:t>interest</w:t>
      </w:r>
      <w:r>
        <w:rPr>
          <w:rFonts w:ascii="Trebuchet MS"/>
          <w:b/>
          <w:color w:val="89C6DC"/>
          <w:spacing w:val="-30"/>
          <w:w w:val="95"/>
          <w:sz w:val="20"/>
        </w:rPr>
        <w:t> </w:t>
      </w:r>
      <w:r>
        <w:rPr>
          <w:rFonts w:ascii="Trebuchet MS"/>
          <w:b/>
          <w:color w:val="89C6DC"/>
          <w:w w:val="95"/>
          <w:sz w:val="20"/>
        </w:rPr>
        <w:t>rates</w:t>
      </w:r>
      <w:r>
        <w:rPr>
          <w:rFonts w:ascii="Trebuchet MS"/>
          <w:b/>
          <w:color w:val="89C6DC"/>
          <w:spacing w:val="-29"/>
          <w:w w:val="95"/>
          <w:sz w:val="20"/>
        </w:rPr>
        <w:t> </w:t>
      </w:r>
      <w:r>
        <w:rPr>
          <w:rFonts w:ascii="Trebuchet MS"/>
          <w:b/>
          <w:color w:val="89C6DC"/>
          <w:w w:val="95"/>
          <w:sz w:val="20"/>
        </w:rPr>
        <w:t>at</w:t>
      </w:r>
      <w:r>
        <w:rPr>
          <w:rFonts w:ascii="Trebuchet MS"/>
          <w:b/>
          <w:color w:val="89C6DC"/>
          <w:spacing w:val="-30"/>
          <w:w w:val="95"/>
          <w:sz w:val="20"/>
        </w:rPr>
        <w:t> </w:t>
      </w:r>
      <w:r>
        <w:rPr>
          <w:rFonts w:ascii="Trebuchet MS"/>
          <w:b/>
          <w:color w:val="89C6DC"/>
          <w:w w:val="95"/>
          <w:sz w:val="20"/>
        </w:rPr>
        <w:t>5.75%</w:t>
      </w:r>
    </w:p>
    <w:p>
      <w:pPr>
        <w:spacing w:line="116" w:lineRule="exact" w:before="143"/>
        <w:ind w:left="928" w:right="0" w:firstLine="0"/>
        <w:jc w:val="left"/>
        <w:rPr>
          <w:sz w:val="12"/>
        </w:rPr>
      </w:pPr>
      <w:r>
        <w:rPr>
          <w:w w:val="110"/>
          <w:sz w:val="12"/>
        </w:rPr>
        <w:t>Percentage increase in output on a year earlier</w:t>
      </w:r>
    </w:p>
    <w:p>
      <w:pPr>
        <w:spacing w:line="116" w:lineRule="exact" w:before="0"/>
        <w:ind w:left="3376" w:right="0" w:firstLine="0"/>
        <w:jc w:val="left"/>
        <w:rPr>
          <w:sz w:val="12"/>
        </w:rPr>
      </w:pPr>
      <w:r>
        <w:rPr/>
        <w:drawing>
          <wp:anchor distT="0" distB="0" distL="0" distR="0" allowOverlap="1" layoutInCell="1" locked="0" behindDoc="0" simplePos="0" relativeHeight="15731712">
            <wp:simplePos x="0" y="0"/>
            <wp:positionH relativeFrom="page">
              <wp:posOffset>2479903</wp:posOffset>
            </wp:positionH>
            <wp:positionV relativeFrom="paragraph">
              <wp:posOffset>30029</wp:posOffset>
            </wp:positionV>
            <wp:extent cx="46215" cy="635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3" cstate="print"/>
                    <a:stretch>
                      <a:fillRect/>
                    </a:stretch>
                  </pic:blipFill>
                  <pic:spPr>
                    <a:xfrm>
                      <a:off x="0" y="0"/>
                      <a:ext cx="46215" cy="6350"/>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567410</wp:posOffset>
            </wp:positionH>
            <wp:positionV relativeFrom="paragraph">
              <wp:posOffset>32239</wp:posOffset>
            </wp:positionV>
            <wp:extent cx="46215" cy="6350"/>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14" cstate="print"/>
                    <a:stretch>
                      <a:fillRect/>
                    </a:stretch>
                  </pic:blipFill>
                  <pic:spPr>
                    <a:xfrm>
                      <a:off x="0" y="0"/>
                      <a:ext cx="46215" cy="6350"/>
                    </a:xfrm>
                    <a:prstGeom prst="rect">
                      <a:avLst/>
                    </a:prstGeom>
                  </pic:spPr>
                </pic:pic>
              </a:graphicData>
            </a:graphic>
          </wp:anchor>
        </w:drawing>
      </w:r>
      <w:r>
        <w:rPr>
          <w:w w:val="121"/>
          <w:sz w:val="12"/>
        </w:rPr>
        <w:t>6</w:t>
      </w:r>
    </w:p>
    <w:p>
      <w:pPr>
        <w:pStyle w:val="BodyText"/>
        <w:rPr>
          <w:sz w:val="12"/>
        </w:rPr>
      </w:pPr>
    </w:p>
    <w:p>
      <w:pPr>
        <w:pStyle w:val="BodyText"/>
        <w:spacing w:before="2"/>
        <w:rPr>
          <w:sz w:val="12"/>
        </w:rPr>
      </w:pPr>
    </w:p>
    <w:p>
      <w:pPr>
        <w:spacing w:before="1"/>
        <w:ind w:left="3376" w:right="0" w:firstLine="0"/>
        <w:jc w:val="left"/>
        <w:rPr>
          <w:sz w:val="12"/>
        </w:rPr>
      </w:pPr>
      <w:r>
        <w:rPr/>
        <w:drawing>
          <wp:anchor distT="0" distB="0" distL="0" distR="0" allowOverlap="1" layoutInCell="1" locked="0" behindDoc="0" simplePos="0" relativeHeight="15731200">
            <wp:simplePos x="0" y="0"/>
            <wp:positionH relativeFrom="page">
              <wp:posOffset>2479903</wp:posOffset>
            </wp:positionH>
            <wp:positionV relativeFrom="paragraph">
              <wp:posOffset>44942</wp:posOffset>
            </wp:positionV>
            <wp:extent cx="46215" cy="6350"/>
            <wp:effectExtent l="0" t="0" r="0" b="0"/>
            <wp:wrapNone/>
            <wp:docPr id="5" name="image1.png"/>
            <wp:cNvGraphicFramePr>
              <a:graphicFrameLocks noChangeAspect="1"/>
            </wp:cNvGraphicFramePr>
            <a:graphic>
              <a:graphicData uri="http://schemas.openxmlformats.org/drawingml/2006/picture">
                <pic:pic>
                  <pic:nvPicPr>
                    <pic:cNvPr id="6" name="image1.png"/>
                    <pic:cNvPicPr/>
                  </pic:nvPicPr>
                  <pic:blipFill>
                    <a:blip r:embed="rId13" cstate="print"/>
                    <a:stretch>
                      <a:fillRect/>
                    </a:stretch>
                  </pic:blipFill>
                  <pic:spPr>
                    <a:xfrm>
                      <a:off x="0" y="0"/>
                      <a:ext cx="46215" cy="6350"/>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567410</wp:posOffset>
            </wp:positionH>
            <wp:positionV relativeFrom="paragraph">
              <wp:posOffset>47152</wp:posOffset>
            </wp:positionV>
            <wp:extent cx="46215" cy="6350"/>
            <wp:effectExtent l="0" t="0" r="0" b="0"/>
            <wp:wrapNone/>
            <wp:docPr id="7" name="image2.png"/>
            <wp:cNvGraphicFramePr>
              <a:graphicFrameLocks noChangeAspect="1"/>
            </wp:cNvGraphicFramePr>
            <a:graphic>
              <a:graphicData uri="http://schemas.openxmlformats.org/drawingml/2006/picture">
                <pic:pic>
                  <pic:nvPicPr>
                    <pic:cNvPr id="8" name="image2.png"/>
                    <pic:cNvPicPr/>
                  </pic:nvPicPr>
                  <pic:blipFill>
                    <a:blip r:embed="rId14" cstate="print"/>
                    <a:stretch>
                      <a:fillRect/>
                    </a:stretch>
                  </pic:blipFill>
                  <pic:spPr>
                    <a:xfrm>
                      <a:off x="0" y="0"/>
                      <a:ext cx="46215" cy="6350"/>
                    </a:xfrm>
                    <a:prstGeom prst="rect">
                      <a:avLst/>
                    </a:prstGeom>
                  </pic:spPr>
                </pic:pic>
              </a:graphicData>
            </a:graphic>
          </wp:anchor>
        </w:drawing>
      </w:r>
      <w:r>
        <w:rPr>
          <w:w w:val="121"/>
          <w:sz w:val="12"/>
        </w:rPr>
        <w:t>5</w:t>
      </w:r>
    </w:p>
    <w:p>
      <w:pPr>
        <w:pStyle w:val="BodyText"/>
        <w:spacing w:before="3"/>
        <w:rPr>
          <w:sz w:val="9"/>
        </w:rPr>
      </w:pPr>
      <w:r>
        <w:rPr/>
        <w:pict>
          <v:group style="position:absolute;margin-left:44.678001pt;margin-top:7.305547pt;width:160.8pt;height:97.2pt;mso-position-horizontal-relative:page;mso-position-vertical-relative:paragraph;z-index:-15727104;mso-wrap-distance-left:0;mso-wrap-distance-right:0" coordorigin="894,146" coordsize="3216,1944">
            <v:shape style="position:absolute;left:893;top:146;width:3085;height:1882" type="#_x0000_t75" stroked="false">
              <v:imagedata r:id="rId15" o:title=""/>
            </v:shape>
            <v:shape style="position:absolute;left:3958;top:302;width:151;height:1788" type="#_x0000_t202" filled="false" stroked="false">
              <v:textbox inset="0,0,0,0">
                <w:txbxContent>
                  <w:p>
                    <w:pPr>
                      <w:spacing w:line="115" w:lineRule="exact" w:before="0"/>
                      <w:ind w:left="57" w:right="0" w:firstLine="0"/>
                      <w:jc w:val="left"/>
                      <w:rPr>
                        <w:sz w:val="12"/>
                      </w:rPr>
                    </w:pPr>
                    <w:r>
                      <w:rPr>
                        <w:w w:val="121"/>
                        <w:sz w:val="12"/>
                      </w:rPr>
                      <w:t>4</w:t>
                    </w:r>
                  </w:p>
                  <w:p>
                    <w:pPr>
                      <w:spacing w:line="240" w:lineRule="auto" w:before="0"/>
                      <w:rPr>
                        <w:sz w:val="12"/>
                      </w:rPr>
                    </w:pPr>
                  </w:p>
                  <w:p>
                    <w:pPr>
                      <w:spacing w:line="240" w:lineRule="auto" w:before="2"/>
                      <w:rPr>
                        <w:sz w:val="12"/>
                      </w:rPr>
                    </w:pPr>
                  </w:p>
                  <w:p>
                    <w:pPr>
                      <w:spacing w:before="1"/>
                      <w:ind w:left="57" w:right="0" w:firstLine="0"/>
                      <w:jc w:val="left"/>
                      <w:rPr>
                        <w:sz w:val="12"/>
                      </w:rPr>
                    </w:pPr>
                    <w:r>
                      <w:rPr>
                        <w:w w:val="121"/>
                        <w:sz w:val="12"/>
                      </w:rPr>
                      <w:t>3</w:t>
                    </w:r>
                  </w:p>
                  <w:p>
                    <w:pPr>
                      <w:spacing w:line="240" w:lineRule="auto" w:before="0"/>
                      <w:rPr>
                        <w:sz w:val="12"/>
                      </w:rPr>
                    </w:pPr>
                  </w:p>
                  <w:p>
                    <w:pPr>
                      <w:spacing w:line="240" w:lineRule="auto" w:before="2"/>
                      <w:rPr>
                        <w:sz w:val="12"/>
                      </w:rPr>
                    </w:pPr>
                  </w:p>
                  <w:p>
                    <w:pPr>
                      <w:spacing w:before="1"/>
                      <w:ind w:left="57" w:right="0" w:firstLine="0"/>
                      <w:jc w:val="left"/>
                      <w:rPr>
                        <w:sz w:val="12"/>
                      </w:rPr>
                    </w:pPr>
                    <w:r>
                      <w:rPr>
                        <w:w w:val="121"/>
                        <w:sz w:val="12"/>
                      </w:rPr>
                      <w:t>2</w:t>
                    </w:r>
                  </w:p>
                  <w:p>
                    <w:pPr>
                      <w:spacing w:line="240" w:lineRule="auto" w:before="0"/>
                      <w:rPr>
                        <w:sz w:val="12"/>
                      </w:rPr>
                    </w:pPr>
                  </w:p>
                  <w:p>
                    <w:pPr>
                      <w:spacing w:line="240" w:lineRule="auto" w:before="2"/>
                      <w:rPr>
                        <w:sz w:val="12"/>
                      </w:rPr>
                    </w:pPr>
                  </w:p>
                  <w:p>
                    <w:pPr>
                      <w:spacing w:before="1"/>
                      <w:ind w:left="57" w:right="0" w:firstLine="0"/>
                      <w:jc w:val="left"/>
                      <w:rPr>
                        <w:sz w:val="12"/>
                      </w:rPr>
                    </w:pPr>
                    <w:r>
                      <w:rPr>
                        <w:w w:val="121"/>
                        <w:sz w:val="12"/>
                      </w:rPr>
                      <w:t>1</w:t>
                    </w:r>
                  </w:p>
                  <w:p>
                    <w:pPr>
                      <w:spacing w:before="43"/>
                      <w:ind w:left="0" w:right="0" w:firstLine="0"/>
                      <w:jc w:val="left"/>
                      <w:rPr>
                        <w:sz w:val="16"/>
                      </w:rPr>
                    </w:pPr>
                    <w:r>
                      <w:rPr>
                        <w:w w:val="107"/>
                        <w:sz w:val="16"/>
                      </w:rPr>
                      <w:t>+</w:t>
                    </w:r>
                  </w:p>
                  <w:p>
                    <w:pPr>
                      <w:spacing w:before="51"/>
                      <w:ind w:left="57" w:right="0" w:firstLine="0"/>
                      <w:jc w:val="left"/>
                      <w:rPr>
                        <w:sz w:val="12"/>
                      </w:rPr>
                    </w:pPr>
                    <w:r>
                      <w:rPr>
                        <w:w w:val="121"/>
                        <w:sz w:val="12"/>
                      </w:rPr>
                      <w:t>0</w:t>
                    </w:r>
                  </w:p>
                </w:txbxContent>
              </v:textbox>
              <w10:wrap type="none"/>
            </v:shape>
            <w10:wrap type="topAndBottom"/>
          </v:group>
        </w:pict>
      </w:r>
    </w:p>
    <w:p>
      <w:pPr>
        <w:spacing w:before="10"/>
        <w:ind w:left="3328" w:right="0" w:firstLine="0"/>
        <w:jc w:val="left"/>
        <w:rPr>
          <w:sz w:val="16"/>
        </w:rPr>
      </w:pPr>
      <w:r>
        <w:rPr>
          <w:w w:val="117"/>
          <w:sz w:val="16"/>
        </w:rPr>
        <w:t>–</w:t>
      </w:r>
    </w:p>
    <w:p>
      <w:pPr>
        <w:spacing w:line="122" w:lineRule="exact" w:before="50"/>
        <w:ind w:left="3376" w:right="0" w:firstLine="0"/>
        <w:jc w:val="left"/>
        <w:rPr>
          <w:sz w:val="12"/>
        </w:rPr>
      </w:pPr>
      <w:r>
        <w:rPr/>
        <w:drawing>
          <wp:anchor distT="0" distB="0" distL="0" distR="0" allowOverlap="1" layoutInCell="1" locked="0" behindDoc="0" simplePos="0" relativeHeight="15730688">
            <wp:simplePos x="0" y="0"/>
            <wp:positionH relativeFrom="page">
              <wp:posOffset>567410</wp:posOffset>
            </wp:positionH>
            <wp:positionV relativeFrom="paragraph">
              <wp:posOffset>11614</wp:posOffset>
            </wp:positionV>
            <wp:extent cx="1958708" cy="73012"/>
            <wp:effectExtent l="0" t="0" r="0" b="0"/>
            <wp:wrapNone/>
            <wp:docPr id="9" name="image4.png"/>
            <wp:cNvGraphicFramePr>
              <a:graphicFrameLocks noChangeAspect="1"/>
            </wp:cNvGraphicFramePr>
            <a:graphic>
              <a:graphicData uri="http://schemas.openxmlformats.org/drawingml/2006/picture">
                <pic:pic>
                  <pic:nvPicPr>
                    <pic:cNvPr id="10" name="image4.png"/>
                    <pic:cNvPicPr/>
                  </pic:nvPicPr>
                  <pic:blipFill>
                    <a:blip r:embed="rId16" cstate="print"/>
                    <a:stretch>
                      <a:fillRect/>
                    </a:stretch>
                  </pic:blipFill>
                  <pic:spPr>
                    <a:xfrm>
                      <a:off x="0" y="0"/>
                      <a:ext cx="1958708" cy="73012"/>
                    </a:xfrm>
                    <a:prstGeom prst="rect">
                      <a:avLst/>
                    </a:prstGeom>
                  </pic:spPr>
                </pic:pic>
              </a:graphicData>
            </a:graphic>
          </wp:anchor>
        </w:drawing>
      </w:r>
      <w:r>
        <w:rPr>
          <w:w w:val="121"/>
          <w:sz w:val="12"/>
        </w:rPr>
        <w:t>1</w:t>
      </w:r>
    </w:p>
    <w:p>
      <w:pPr>
        <w:tabs>
          <w:tab w:pos="1325" w:val="left" w:leader="none"/>
          <w:tab w:pos="1729" w:val="left" w:leader="none"/>
          <w:tab w:pos="2924" w:val="left" w:leader="none"/>
        </w:tabs>
        <w:spacing w:line="122" w:lineRule="exact" w:before="0"/>
        <w:ind w:left="470" w:right="0" w:firstLine="0"/>
        <w:jc w:val="left"/>
        <w:rPr>
          <w:sz w:val="12"/>
        </w:rPr>
      </w:pPr>
      <w:r>
        <w:rPr>
          <w:spacing w:val="-9"/>
          <w:w w:val="120"/>
          <w:sz w:val="12"/>
        </w:rPr>
        <w:t>1996      </w:t>
      </w:r>
      <w:r>
        <w:rPr>
          <w:spacing w:val="3"/>
          <w:w w:val="120"/>
          <w:sz w:val="12"/>
        </w:rPr>
        <w:t> </w:t>
      </w:r>
      <w:r>
        <w:rPr>
          <w:spacing w:val="-6"/>
          <w:w w:val="120"/>
          <w:sz w:val="12"/>
        </w:rPr>
        <w:t>97</w:t>
        <w:tab/>
      </w:r>
      <w:r>
        <w:rPr>
          <w:spacing w:val="-7"/>
          <w:w w:val="120"/>
          <w:sz w:val="12"/>
        </w:rPr>
        <w:t>98</w:t>
        <w:tab/>
      </w:r>
      <w:r>
        <w:rPr>
          <w:spacing w:val="-4"/>
          <w:w w:val="120"/>
          <w:sz w:val="12"/>
        </w:rPr>
        <w:t>99    </w:t>
      </w:r>
      <w:r>
        <w:rPr>
          <w:spacing w:val="27"/>
          <w:w w:val="120"/>
          <w:sz w:val="12"/>
        </w:rPr>
        <w:t> </w:t>
      </w:r>
      <w:r>
        <w:rPr>
          <w:w w:val="120"/>
          <w:sz w:val="12"/>
        </w:rPr>
        <w:t>2000    </w:t>
      </w:r>
      <w:r>
        <w:rPr>
          <w:spacing w:val="10"/>
          <w:w w:val="120"/>
          <w:sz w:val="12"/>
        </w:rPr>
        <w:t> </w:t>
      </w:r>
      <w:r>
        <w:rPr>
          <w:spacing w:val="-9"/>
          <w:w w:val="120"/>
          <w:sz w:val="12"/>
        </w:rPr>
        <w:t>01</w:t>
        <w:tab/>
      </w:r>
      <w:r>
        <w:rPr>
          <w:spacing w:val="-3"/>
          <w:w w:val="120"/>
          <w:sz w:val="12"/>
        </w:rPr>
        <w:t>02 </w:t>
      </w:r>
      <w:r>
        <w:rPr>
          <w:spacing w:val="10"/>
          <w:w w:val="120"/>
          <w:sz w:val="12"/>
        </w:rPr>
        <w:t> </w:t>
      </w:r>
      <w:r>
        <w:rPr>
          <w:spacing w:val="-8"/>
          <w:w w:val="120"/>
          <w:sz w:val="12"/>
        </w:rPr>
        <w:t>03</w:t>
      </w:r>
    </w:p>
    <w:p>
      <w:pPr>
        <w:pStyle w:val="BodyText"/>
        <w:rPr>
          <w:sz w:val="10"/>
        </w:rPr>
      </w:pPr>
    </w:p>
    <w:p>
      <w:pPr>
        <w:spacing w:line="208" w:lineRule="auto" w:before="0"/>
        <w:ind w:left="195" w:right="175" w:firstLine="0"/>
        <w:jc w:val="left"/>
        <w:rPr>
          <w:sz w:val="12"/>
        </w:rPr>
      </w:pPr>
      <w:r>
        <w:rPr>
          <w:w w:val="110"/>
          <w:sz w:val="12"/>
        </w:rPr>
        <w:t>The</w:t>
      </w:r>
      <w:r>
        <w:rPr>
          <w:spacing w:val="-10"/>
          <w:w w:val="110"/>
          <w:sz w:val="12"/>
        </w:rPr>
        <w:t> </w:t>
      </w:r>
      <w:r>
        <w:rPr>
          <w:w w:val="110"/>
          <w:sz w:val="12"/>
        </w:rPr>
        <w:t>fan</w:t>
      </w:r>
      <w:r>
        <w:rPr>
          <w:spacing w:val="-9"/>
          <w:w w:val="110"/>
          <w:sz w:val="12"/>
        </w:rPr>
        <w:t> </w:t>
      </w:r>
      <w:r>
        <w:rPr>
          <w:w w:val="110"/>
          <w:sz w:val="12"/>
        </w:rPr>
        <w:t>chart</w:t>
      </w:r>
      <w:r>
        <w:rPr>
          <w:spacing w:val="-10"/>
          <w:w w:val="110"/>
          <w:sz w:val="12"/>
        </w:rPr>
        <w:t> </w:t>
      </w:r>
      <w:r>
        <w:rPr>
          <w:w w:val="110"/>
          <w:sz w:val="12"/>
        </w:rPr>
        <w:t>depicting</w:t>
      </w:r>
      <w:r>
        <w:rPr>
          <w:spacing w:val="-9"/>
          <w:w w:val="110"/>
          <w:sz w:val="12"/>
        </w:rPr>
        <w:t> </w:t>
      </w:r>
      <w:r>
        <w:rPr>
          <w:w w:val="110"/>
          <w:sz w:val="12"/>
        </w:rPr>
        <w:t>the</w:t>
      </w:r>
      <w:r>
        <w:rPr>
          <w:spacing w:val="-9"/>
          <w:w w:val="110"/>
          <w:sz w:val="12"/>
        </w:rPr>
        <w:t> </w:t>
      </w:r>
      <w:r>
        <w:rPr>
          <w:w w:val="110"/>
          <w:sz w:val="12"/>
        </w:rPr>
        <w:t>probability</w:t>
      </w:r>
      <w:r>
        <w:rPr>
          <w:spacing w:val="-10"/>
          <w:w w:val="110"/>
          <w:sz w:val="12"/>
        </w:rPr>
        <w:t> </w:t>
      </w:r>
      <w:r>
        <w:rPr>
          <w:w w:val="110"/>
          <w:sz w:val="12"/>
        </w:rPr>
        <w:t>distribution</w:t>
      </w:r>
      <w:r>
        <w:rPr>
          <w:spacing w:val="-9"/>
          <w:w w:val="110"/>
          <w:sz w:val="12"/>
        </w:rPr>
        <w:t> </w:t>
      </w:r>
      <w:r>
        <w:rPr>
          <w:w w:val="110"/>
          <w:sz w:val="12"/>
        </w:rPr>
        <w:t>for</w:t>
      </w:r>
      <w:r>
        <w:rPr>
          <w:spacing w:val="-9"/>
          <w:w w:val="110"/>
          <w:sz w:val="12"/>
        </w:rPr>
        <w:t> </w:t>
      </w:r>
      <w:r>
        <w:rPr>
          <w:w w:val="110"/>
          <w:sz w:val="12"/>
        </w:rPr>
        <w:t>output</w:t>
      </w:r>
      <w:r>
        <w:rPr>
          <w:spacing w:val="-10"/>
          <w:w w:val="110"/>
          <w:sz w:val="12"/>
        </w:rPr>
        <w:t> </w:t>
      </w:r>
      <w:r>
        <w:rPr>
          <w:w w:val="110"/>
          <w:sz w:val="12"/>
        </w:rPr>
        <w:t>growth is rather like a contour map. At any given point during the forecast period, the depth of shading represents the height of the probability density function over a range of outcomes for output. The darkest band includes the central (single most likely) projection and covers </w:t>
      </w:r>
      <w:r>
        <w:rPr>
          <w:spacing w:val="-5"/>
          <w:w w:val="110"/>
          <w:sz w:val="12"/>
        </w:rPr>
        <w:t>10% </w:t>
      </w:r>
      <w:r>
        <w:rPr>
          <w:w w:val="110"/>
          <w:sz w:val="12"/>
        </w:rPr>
        <w:t>of the </w:t>
      </w:r>
      <w:r>
        <w:rPr>
          <w:spacing w:val="-3"/>
          <w:w w:val="110"/>
          <w:sz w:val="12"/>
        </w:rPr>
        <w:t>probability. </w:t>
      </w:r>
      <w:r>
        <w:rPr>
          <w:w w:val="110"/>
          <w:sz w:val="12"/>
        </w:rPr>
        <w:t>Each successive pair of bands is drawn to cover a further </w:t>
      </w:r>
      <w:r>
        <w:rPr>
          <w:spacing w:val="-5"/>
          <w:w w:val="110"/>
          <w:sz w:val="12"/>
        </w:rPr>
        <w:t>10% </w:t>
      </w:r>
      <w:r>
        <w:rPr>
          <w:w w:val="110"/>
          <w:sz w:val="12"/>
        </w:rPr>
        <w:t>of the </w:t>
      </w:r>
      <w:r>
        <w:rPr>
          <w:spacing w:val="-3"/>
          <w:w w:val="110"/>
          <w:sz w:val="12"/>
        </w:rPr>
        <w:t>probability, </w:t>
      </w:r>
      <w:r>
        <w:rPr>
          <w:w w:val="110"/>
          <w:sz w:val="12"/>
        </w:rPr>
        <w:t>until 90% of the probability distribution is covered. The bands widen as the time horizon is extended,</w:t>
      </w:r>
      <w:r>
        <w:rPr>
          <w:spacing w:val="-7"/>
          <w:w w:val="110"/>
          <w:sz w:val="12"/>
        </w:rPr>
        <w:t> </w:t>
      </w:r>
      <w:r>
        <w:rPr>
          <w:w w:val="110"/>
          <w:sz w:val="12"/>
        </w:rPr>
        <w:t>indicating</w:t>
      </w:r>
      <w:r>
        <w:rPr>
          <w:spacing w:val="-7"/>
          <w:w w:val="110"/>
          <w:sz w:val="12"/>
        </w:rPr>
        <w:t> </w:t>
      </w:r>
      <w:r>
        <w:rPr>
          <w:w w:val="110"/>
          <w:sz w:val="12"/>
        </w:rPr>
        <w:t>increasing</w:t>
      </w:r>
      <w:r>
        <w:rPr>
          <w:spacing w:val="-7"/>
          <w:w w:val="110"/>
          <w:sz w:val="12"/>
        </w:rPr>
        <w:t> </w:t>
      </w:r>
      <w:r>
        <w:rPr>
          <w:w w:val="110"/>
          <w:sz w:val="12"/>
        </w:rPr>
        <w:t>uncertainty</w:t>
      </w:r>
      <w:r>
        <w:rPr>
          <w:spacing w:val="-6"/>
          <w:w w:val="110"/>
          <w:sz w:val="12"/>
        </w:rPr>
        <w:t> </w:t>
      </w:r>
      <w:r>
        <w:rPr>
          <w:w w:val="110"/>
          <w:sz w:val="12"/>
        </w:rPr>
        <w:t>about</w:t>
      </w:r>
      <w:r>
        <w:rPr>
          <w:spacing w:val="-7"/>
          <w:w w:val="110"/>
          <w:sz w:val="12"/>
        </w:rPr>
        <w:t> </w:t>
      </w:r>
      <w:r>
        <w:rPr>
          <w:w w:val="110"/>
          <w:sz w:val="12"/>
        </w:rPr>
        <w:t>outcomes.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6"/>
        </w:rPr>
      </w:pPr>
    </w:p>
    <w:p>
      <w:pPr>
        <w:pStyle w:val="Heading6"/>
        <w:spacing w:before="1"/>
        <w:ind w:left="195"/>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w w:val="91"/>
        </w:rPr>
        <w:t>2</w:t>
      </w:r>
    </w:p>
    <w:p>
      <w:pPr>
        <w:spacing w:before="7"/>
        <w:ind w:left="195" w:right="0" w:firstLine="0"/>
        <w:jc w:val="left"/>
        <w:rPr>
          <w:rFonts w:ascii="Trebuchet MS"/>
          <w:b/>
          <w:sz w:val="20"/>
        </w:rPr>
      </w:pPr>
      <w:r>
        <w:rPr>
          <w:rFonts w:ascii="Trebuchet MS"/>
          <w:b/>
          <w:color w:val="89C6DC"/>
          <w:sz w:val="20"/>
        </w:rPr>
        <w:t>Current RPIX inflation projection based</w:t>
      </w:r>
    </w:p>
    <w:p>
      <w:pPr>
        <w:spacing w:before="8"/>
        <w:ind w:left="195" w:right="0" w:firstLine="0"/>
        <w:jc w:val="left"/>
        <w:rPr>
          <w:rFonts w:ascii="Trebuchet MS"/>
          <w:b/>
          <w:sz w:val="20"/>
        </w:rPr>
      </w:pPr>
      <w:r>
        <w:rPr>
          <w:rFonts w:ascii="Trebuchet MS"/>
          <w:b/>
          <w:color w:val="89C6DC"/>
          <w:w w:val="95"/>
          <w:sz w:val="20"/>
        </w:rPr>
        <w:t>on</w:t>
      </w:r>
      <w:r>
        <w:rPr>
          <w:rFonts w:ascii="Trebuchet MS"/>
          <w:b/>
          <w:color w:val="89C6DC"/>
          <w:spacing w:val="-23"/>
          <w:w w:val="95"/>
          <w:sz w:val="20"/>
        </w:rPr>
        <w:t> </w:t>
      </w:r>
      <w:r>
        <w:rPr>
          <w:rFonts w:ascii="Trebuchet MS"/>
          <w:b/>
          <w:color w:val="89C6DC"/>
          <w:w w:val="95"/>
          <w:sz w:val="20"/>
        </w:rPr>
        <w:t>constant</w:t>
      </w:r>
      <w:r>
        <w:rPr>
          <w:rFonts w:ascii="Trebuchet MS"/>
          <w:b/>
          <w:color w:val="89C6DC"/>
          <w:spacing w:val="-22"/>
          <w:w w:val="95"/>
          <w:sz w:val="20"/>
        </w:rPr>
        <w:t> </w:t>
      </w:r>
      <w:r>
        <w:rPr>
          <w:rFonts w:ascii="Trebuchet MS"/>
          <w:b/>
          <w:color w:val="89C6DC"/>
          <w:w w:val="95"/>
          <w:sz w:val="20"/>
        </w:rPr>
        <w:t>nominal</w:t>
      </w:r>
      <w:r>
        <w:rPr>
          <w:rFonts w:ascii="Trebuchet MS"/>
          <w:b/>
          <w:color w:val="89C6DC"/>
          <w:spacing w:val="-23"/>
          <w:w w:val="95"/>
          <w:sz w:val="20"/>
        </w:rPr>
        <w:t> </w:t>
      </w:r>
      <w:r>
        <w:rPr>
          <w:rFonts w:ascii="Trebuchet MS"/>
          <w:b/>
          <w:color w:val="89C6DC"/>
          <w:w w:val="95"/>
          <w:sz w:val="20"/>
        </w:rPr>
        <w:t>interest</w:t>
      </w:r>
      <w:r>
        <w:rPr>
          <w:rFonts w:ascii="Trebuchet MS"/>
          <w:b/>
          <w:color w:val="89C6DC"/>
          <w:spacing w:val="-22"/>
          <w:w w:val="95"/>
          <w:sz w:val="20"/>
        </w:rPr>
        <w:t> </w:t>
      </w:r>
      <w:r>
        <w:rPr>
          <w:rFonts w:ascii="Trebuchet MS"/>
          <w:b/>
          <w:color w:val="89C6DC"/>
          <w:w w:val="95"/>
          <w:sz w:val="20"/>
        </w:rPr>
        <w:t>rates</w:t>
      </w:r>
      <w:r>
        <w:rPr>
          <w:rFonts w:ascii="Trebuchet MS"/>
          <w:b/>
          <w:color w:val="89C6DC"/>
          <w:spacing w:val="-23"/>
          <w:w w:val="95"/>
          <w:sz w:val="20"/>
        </w:rPr>
        <w:t> </w:t>
      </w:r>
      <w:r>
        <w:rPr>
          <w:rFonts w:ascii="Trebuchet MS"/>
          <w:b/>
          <w:color w:val="89C6DC"/>
          <w:w w:val="95"/>
          <w:sz w:val="20"/>
        </w:rPr>
        <w:t>at</w:t>
      </w:r>
      <w:r>
        <w:rPr>
          <w:rFonts w:ascii="Trebuchet MS"/>
          <w:b/>
          <w:color w:val="89C6DC"/>
          <w:spacing w:val="-22"/>
          <w:w w:val="95"/>
          <w:sz w:val="20"/>
        </w:rPr>
        <w:t> </w:t>
      </w:r>
      <w:r>
        <w:rPr>
          <w:rFonts w:ascii="Trebuchet MS"/>
          <w:b/>
          <w:color w:val="89C6DC"/>
          <w:w w:val="95"/>
          <w:sz w:val="20"/>
        </w:rPr>
        <w:t>5.75%</w:t>
      </w:r>
    </w:p>
    <w:p>
      <w:pPr>
        <w:spacing w:line="114" w:lineRule="exact" w:before="183"/>
        <w:ind w:left="947" w:right="0" w:firstLine="0"/>
        <w:jc w:val="left"/>
        <w:rPr>
          <w:sz w:val="12"/>
        </w:rPr>
      </w:pPr>
      <w:r>
        <w:rPr>
          <w:w w:val="110"/>
          <w:sz w:val="12"/>
        </w:rPr>
        <w:t>Percentage increase in prices on a year earlier</w:t>
      </w:r>
    </w:p>
    <w:p>
      <w:pPr>
        <w:spacing w:line="114" w:lineRule="exact" w:before="0"/>
        <w:ind w:left="3346" w:right="0" w:firstLine="0"/>
        <w:jc w:val="left"/>
        <w:rPr>
          <w:sz w:val="12"/>
        </w:rPr>
      </w:pPr>
      <w:r>
        <w:rPr/>
        <w:drawing>
          <wp:anchor distT="0" distB="0" distL="0" distR="0" allowOverlap="1" layoutInCell="1" locked="0" behindDoc="0" simplePos="0" relativeHeight="15734272">
            <wp:simplePos x="0" y="0"/>
            <wp:positionH relativeFrom="page">
              <wp:posOffset>2464689</wp:posOffset>
            </wp:positionH>
            <wp:positionV relativeFrom="paragraph">
              <wp:posOffset>18692</wp:posOffset>
            </wp:positionV>
            <wp:extent cx="46888" cy="5626"/>
            <wp:effectExtent l="0" t="0" r="0" b="0"/>
            <wp:wrapNone/>
            <wp:docPr id="11" name="image1.png"/>
            <wp:cNvGraphicFramePr>
              <a:graphicFrameLocks noChangeAspect="1"/>
            </wp:cNvGraphicFramePr>
            <a:graphic>
              <a:graphicData uri="http://schemas.openxmlformats.org/drawingml/2006/picture">
                <pic:pic>
                  <pic:nvPicPr>
                    <pic:cNvPr id="12" name="image1.png"/>
                    <pic:cNvPicPr/>
                  </pic:nvPicPr>
                  <pic:blipFill>
                    <a:blip r:embed="rId13" cstate="print"/>
                    <a:stretch>
                      <a:fillRect/>
                    </a:stretch>
                  </pic:blipFill>
                  <pic:spPr>
                    <a:xfrm>
                      <a:off x="0" y="0"/>
                      <a:ext cx="46888" cy="5626"/>
                    </a:xfrm>
                    <a:prstGeom prst="rect">
                      <a:avLst/>
                    </a:prstGeom>
                  </pic:spPr>
                </pic:pic>
              </a:graphicData>
            </a:graphic>
          </wp:anchor>
        </w:drawing>
      </w:r>
      <w:r>
        <w:rPr/>
        <w:drawing>
          <wp:anchor distT="0" distB="0" distL="0" distR="0" allowOverlap="1" layoutInCell="1" locked="0" behindDoc="0" simplePos="0" relativeHeight="15735808">
            <wp:simplePos x="0" y="0"/>
            <wp:positionH relativeFrom="page">
              <wp:posOffset>553415</wp:posOffset>
            </wp:positionH>
            <wp:positionV relativeFrom="paragraph">
              <wp:posOffset>18692</wp:posOffset>
            </wp:positionV>
            <wp:extent cx="46888" cy="5626"/>
            <wp:effectExtent l="0" t="0" r="0" b="0"/>
            <wp:wrapNone/>
            <wp:docPr id="13" name="image2.png"/>
            <wp:cNvGraphicFramePr>
              <a:graphicFrameLocks noChangeAspect="1"/>
            </wp:cNvGraphicFramePr>
            <a:graphic>
              <a:graphicData uri="http://schemas.openxmlformats.org/drawingml/2006/picture">
                <pic:pic>
                  <pic:nvPicPr>
                    <pic:cNvPr id="14" name="image2.png"/>
                    <pic:cNvPicPr/>
                  </pic:nvPicPr>
                  <pic:blipFill>
                    <a:blip r:embed="rId14" cstate="print"/>
                    <a:stretch>
                      <a:fillRect/>
                    </a:stretch>
                  </pic:blipFill>
                  <pic:spPr>
                    <a:xfrm>
                      <a:off x="0" y="0"/>
                      <a:ext cx="46888" cy="5626"/>
                    </a:xfrm>
                    <a:prstGeom prst="rect">
                      <a:avLst/>
                    </a:prstGeom>
                  </pic:spPr>
                </pic:pic>
              </a:graphicData>
            </a:graphic>
          </wp:anchor>
        </w:drawing>
      </w:r>
      <w:r>
        <w:rPr>
          <w:w w:val="121"/>
          <w:sz w:val="12"/>
        </w:rPr>
        <w:t>5</w:t>
      </w:r>
    </w:p>
    <w:p>
      <w:pPr>
        <w:pStyle w:val="BodyText"/>
        <w:spacing w:before="3"/>
        <w:rPr>
          <w:sz w:val="21"/>
        </w:rPr>
      </w:pPr>
      <w:r>
        <w:rPr/>
        <w:br w:type="column"/>
      </w:r>
      <w:r>
        <w:rPr>
          <w:sz w:val="21"/>
        </w:rPr>
      </w:r>
    </w:p>
    <w:p>
      <w:pPr>
        <w:pStyle w:val="BodyText"/>
        <w:spacing w:line="292" w:lineRule="auto" w:before="1"/>
        <w:ind w:left="195" w:right="155"/>
      </w:pPr>
      <w:r>
        <w:rPr>
          <w:spacing w:val="-4"/>
          <w:w w:val="110"/>
        </w:rPr>
        <w:t>rate </w:t>
      </w:r>
      <w:r>
        <w:rPr>
          <w:w w:val="110"/>
        </w:rPr>
        <w:t>underpinned </w:t>
      </w:r>
      <w:r>
        <w:rPr>
          <w:spacing w:val="-3"/>
          <w:w w:val="110"/>
        </w:rPr>
        <w:t>by </w:t>
      </w:r>
      <w:r>
        <w:rPr>
          <w:w w:val="110"/>
        </w:rPr>
        <w:t>a recovery in investment and stronger export</w:t>
      </w:r>
      <w:r>
        <w:rPr>
          <w:spacing w:val="-25"/>
          <w:w w:val="110"/>
        </w:rPr>
        <w:t> </w:t>
      </w:r>
      <w:r>
        <w:rPr>
          <w:w w:val="110"/>
        </w:rPr>
        <w:t>growth</w:t>
      </w:r>
      <w:r>
        <w:rPr>
          <w:spacing w:val="-24"/>
          <w:w w:val="110"/>
        </w:rPr>
        <w:t> </w:t>
      </w:r>
      <w:r>
        <w:rPr>
          <w:w w:val="110"/>
        </w:rPr>
        <w:t>as</w:t>
      </w:r>
      <w:r>
        <w:rPr>
          <w:spacing w:val="-25"/>
          <w:w w:val="110"/>
        </w:rPr>
        <w:t> </w:t>
      </w:r>
      <w:r>
        <w:rPr>
          <w:spacing w:val="-3"/>
          <w:w w:val="110"/>
        </w:rPr>
        <w:t>world</w:t>
      </w:r>
      <w:r>
        <w:rPr>
          <w:spacing w:val="-24"/>
          <w:w w:val="110"/>
        </w:rPr>
        <w:t> </w:t>
      </w:r>
      <w:r>
        <w:rPr>
          <w:w w:val="110"/>
        </w:rPr>
        <w:t>activity</w:t>
      </w:r>
      <w:r>
        <w:rPr>
          <w:spacing w:val="-25"/>
          <w:w w:val="110"/>
        </w:rPr>
        <w:t> </w:t>
      </w:r>
      <w:r>
        <w:rPr>
          <w:spacing w:val="-3"/>
          <w:w w:val="110"/>
        </w:rPr>
        <w:t>recovers.</w:t>
      </w:r>
      <w:r>
        <w:rPr>
          <w:spacing w:val="7"/>
          <w:w w:val="110"/>
        </w:rPr>
        <w:t> </w:t>
      </w:r>
      <w:r>
        <w:rPr>
          <w:w w:val="110"/>
        </w:rPr>
        <w:t>The</w:t>
      </w:r>
      <w:r>
        <w:rPr>
          <w:spacing w:val="-25"/>
          <w:w w:val="110"/>
        </w:rPr>
        <w:t> </w:t>
      </w:r>
      <w:r>
        <w:rPr>
          <w:spacing w:val="-5"/>
          <w:w w:val="110"/>
        </w:rPr>
        <w:t>near-term</w:t>
      </w:r>
      <w:r>
        <w:rPr>
          <w:spacing w:val="-24"/>
          <w:w w:val="110"/>
        </w:rPr>
        <w:t> </w:t>
      </w:r>
      <w:r>
        <w:rPr>
          <w:w w:val="110"/>
        </w:rPr>
        <w:t>outlook for</w:t>
      </w:r>
      <w:r>
        <w:rPr>
          <w:spacing w:val="-17"/>
          <w:w w:val="110"/>
        </w:rPr>
        <w:t> </w:t>
      </w:r>
      <w:r>
        <w:rPr>
          <w:w w:val="110"/>
        </w:rPr>
        <w:t>growth</w:t>
      </w:r>
      <w:r>
        <w:rPr>
          <w:spacing w:val="-16"/>
          <w:w w:val="110"/>
        </w:rPr>
        <w:t> </w:t>
      </w:r>
      <w:r>
        <w:rPr>
          <w:w w:val="110"/>
        </w:rPr>
        <w:t>is</w:t>
      </w:r>
      <w:r>
        <w:rPr>
          <w:spacing w:val="-17"/>
          <w:w w:val="110"/>
        </w:rPr>
        <w:t> </w:t>
      </w:r>
      <w:r>
        <w:rPr>
          <w:w w:val="110"/>
        </w:rPr>
        <w:t>somewhat</w:t>
      </w:r>
      <w:r>
        <w:rPr>
          <w:spacing w:val="-16"/>
          <w:w w:val="110"/>
        </w:rPr>
        <w:t> </w:t>
      </w:r>
      <w:r>
        <w:rPr>
          <w:w w:val="110"/>
        </w:rPr>
        <w:t>softer</w:t>
      </w:r>
      <w:r>
        <w:rPr>
          <w:spacing w:val="-17"/>
          <w:w w:val="110"/>
        </w:rPr>
        <w:t> </w:t>
      </w:r>
      <w:r>
        <w:rPr>
          <w:w w:val="110"/>
        </w:rPr>
        <w:t>than</w:t>
      </w:r>
      <w:r>
        <w:rPr>
          <w:spacing w:val="-16"/>
          <w:w w:val="110"/>
        </w:rPr>
        <w:t> </w:t>
      </w:r>
      <w:r>
        <w:rPr>
          <w:w w:val="110"/>
        </w:rPr>
        <w:t>in</w:t>
      </w:r>
      <w:r>
        <w:rPr>
          <w:spacing w:val="-17"/>
          <w:w w:val="110"/>
        </w:rPr>
        <w:t> </w:t>
      </w:r>
      <w:r>
        <w:rPr>
          <w:w w:val="110"/>
        </w:rPr>
        <w:t>the</w:t>
      </w:r>
      <w:r>
        <w:rPr>
          <w:spacing w:val="-16"/>
          <w:w w:val="110"/>
        </w:rPr>
        <w:t> </w:t>
      </w:r>
      <w:r>
        <w:rPr>
          <w:w w:val="110"/>
        </w:rPr>
        <w:t>November</w:t>
      </w:r>
      <w:r>
        <w:rPr>
          <w:spacing w:val="-17"/>
          <w:w w:val="110"/>
        </w:rPr>
        <w:t> </w:t>
      </w:r>
      <w:r>
        <w:rPr>
          <w:i/>
          <w:w w:val="110"/>
        </w:rPr>
        <w:t>Report</w:t>
      </w:r>
      <w:r>
        <w:rPr>
          <w:w w:val="110"/>
        </w:rPr>
        <w:t>.</w:t>
      </w:r>
    </w:p>
    <w:p>
      <w:pPr>
        <w:pStyle w:val="BodyText"/>
        <w:spacing w:before="2"/>
        <w:rPr>
          <w:sz w:val="24"/>
        </w:rPr>
      </w:pPr>
    </w:p>
    <w:p>
      <w:pPr>
        <w:pStyle w:val="BodyText"/>
        <w:spacing w:line="292" w:lineRule="auto"/>
        <w:ind w:left="195" w:right="155"/>
      </w:pPr>
      <w:r>
        <w:rPr>
          <w:w w:val="110"/>
        </w:rPr>
        <w:t>Chart</w:t>
      </w:r>
      <w:r>
        <w:rPr>
          <w:spacing w:val="-23"/>
          <w:w w:val="110"/>
        </w:rPr>
        <w:t> </w:t>
      </w:r>
      <w:r>
        <w:rPr>
          <w:w w:val="110"/>
        </w:rPr>
        <w:t>2</w:t>
      </w:r>
      <w:r>
        <w:rPr>
          <w:spacing w:val="-22"/>
          <w:w w:val="110"/>
        </w:rPr>
        <w:t> </w:t>
      </w:r>
      <w:r>
        <w:rPr>
          <w:w w:val="110"/>
        </w:rPr>
        <w:t>shows</w:t>
      </w:r>
      <w:r>
        <w:rPr>
          <w:spacing w:val="-23"/>
          <w:w w:val="110"/>
        </w:rPr>
        <w:t> </w:t>
      </w:r>
      <w:r>
        <w:rPr>
          <w:w w:val="110"/>
        </w:rPr>
        <w:t>the</w:t>
      </w:r>
      <w:r>
        <w:rPr>
          <w:spacing w:val="-22"/>
          <w:w w:val="110"/>
        </w:rPr>
        <w:t> </w:t>
      </w:r>
      <w:r>
        <w:rPr>
          <w:w w:val="110"/>
        </w:rPr>
        <w:t>corresponding</w:t>
      </w:r>
      <w:r>
        <w:rPr>
          <w:spacing w:val="-23"/>
          <w:w w:val="110"/>
        </w:rPr>
        <w:t> </w:t>
      </w:r>
      <w:r>
        <w:rPr>
          <w:w w:val="110"/>
        </w:rPr>
        <w:t>projection</w:t>
      </w:r>
      <w:r>
        <w:rPr>
          <w:spacing w:val="-22"/>
          <w:w w:val="110"/>
        </w:rPr>
        <w:t> </w:t>
      </w:r>
      <w:r>
        <w:rPr>
          <w:w w:val="110"/>
        </w:rPr>
        <w:t>for</w:t>
      </w:r>
      <w:r>
        <w:rPr>
          <w:spacing w:val="-22"/>
          <w:w w:val="110"/>
        </w:rPr>
        <w:t> </w:t>
      </w:r>
      <w:r>
        <w:rPr>
          <w:w w:val="110"/>
        </w:rPr>
        <w:t>RPIX</w:t>
      </w:r>
      <w:r>
        <w:rPr>
          <w:spacing w:val="-23"/>
          <w:w w:val="110"/>
        </w:rPr>
        <w:t> </w:t>
      </w:r>
      <w:r>
        <w:rPr>
          <w:w w:val="110"/>
        </w:rPr>
        <w:t>inflation. In the central projection inflation </w:t>
      </w:r>
      <w:r>
        <w:rPr>
          <w:spacing w:val="-4"/>
          <w:w w:val="110"/>
        </w:rPr>
        <w:t>stays </w:t>
      </w:r>
      <w:r>
        <w:rPr>
          <w:w w:val="110"/>
        </w:rPr>
        <w:t>around 2% throughout </w:t>
      </w:r>
      <w:r>
        <w:rPr>
          <w:spacing w:val="-11"/>
          <w:w w:val="110"/>
        </w:rPr>
        <w:t>2001 </w:t>
      </w:r>
      <w:r>
        <w:rPr>
          <w:w w:val="110"/>
        </w:rPr>
        <w:t>but then starts </w:t>
      </w:r>
      <w:r>
        <w:rPr>
          <w:spacing w:val="-4"/>
          <w:w w:val="110"/>
        </w:rPr>
        <w:t>to </w:t>
      </w:r>
      <w:r>
        <w:rPr>
          <w:w w:val="110"/>
        </w:rPr>
        <w:t>pick up, reaching the </w:t>
      </w:r>
      <w:r>
        <w:rPr>
          <w:spacing w:val="-3"/>
          <w:w w:val="110"/>
        </w:rPr>
        <w:t>target </w:t>
      </w:r>
      <w:r>
        <w:rPr>
          <w:spacing w:val="-4"/>
          <w:w w:val="110"/>
        </w:rPr>
        <w:t>rate </w:t>
      </w:r>
      <w:r>
        <w:rPr>
          <w:w w:val="110"/>
        </w:rPr>
        <w:t>at the forecast horizon. Inflationary </w:t>
      </w:r>
      <w:r>
        <w:rPr>
          <w:spacing w:val="-3"/>
          <w:w w:val="110"/>
        </w:rPr>
        <w:t>pressures </w:t>
      </w:r>
      <w:r>
        <w:rPr>
          <w:w w:val="110"/>
        </w:rPr>
        <w:t>are a little </w:t>
      </w:r>
      <w:r>
        <w:rPr>
          <w:spacing w:val="-3"/>
          <w:w w:val="110"/>
        </w:rPr>
        <w:t>weaker </w:t>
      </w:r>
      <w:r>
        <w:rPr>
          <w:w w:val="110"/>
        </w:rPr>
        <w:t>than in</w:t>
      </w:r>
      <w:r>
        <w:rPr>
          <w:spacing w:val="-20"/>
          <w:w w:val="110"/>
        </w:rPr>
        <w:t> </w:t>
      </w:r>
      <w:r>
        <w:rPr>
          <w:w w:val="110"/>
        </w:rPr>
        <w:t>the</w:t>
      </w:r>
      <w:r>
        <w:rPr>
          <w:spacing w:val="-19"/>
          <w:w w:val="110"/>
        </w:rPr>
        <w:t> </w:t>
      </w:r>
      <w:r>
        <w:rPr>
          <w:w w:val="110"/>
        </w:rPr>
        <w:t>November</w:t>
      </w:r>
      <w:r>
        <w:rPr>
          <w:spacing w:val="-19"/>
          <w:w w:val="110"/>
        </w:rPr>
        <w:t> </w:t>
      </w:r>
      <w:r>
        <w:rPr>
          <w:i/>
          <w:w w:val="110"/>
        </w:rPr>
        <w:t>Report</w:t>
      </w:r>
      <w:r>
        <w:rPr>
          <w:w w:val="110"/>
        </w:rPr>
        <w:t>,</w:t>
      </w:r>
      <w:r>
        <w:rPr>
          <w:spacing w:val="-20"/>
          <w:w w:val="110"/>
        </w:rPr>
        <w:t> </w:t>
      </w:r>
      <w:r>
        <w:rPr>
          <w:w w:val="110"/>
        </w:rPr>
        <w:t>reflecting</w:t>
      </w:r>
      <w:r>
        <w:rPr>
          <w:spacing w:val="-19"/>
          <w:w w:val="110"/>
        </w:rPr>
        <w:t> </w:t>
      </w:r>
      <w:r>
        <w:rPr>
          <w:w w:val="110"/>
        </w:rPr>
        <w:t>the</w:t>
      </w:r>
      <w:r>
        <w:rPr>
          <w:spacing w:val="-19"/>
          <w:w w:val="110"/>
        </w:rPr>
        <w:t> </w:t>
      </w:r>
      <w:r>
        <w:rPr>
          <w:w w:val="110"/>
        </w:rPr>
        <w:t>impact</w:t>
      </w:r>
      <w:r>
        <w:rPr>
          <w:spacing w:val="-20"/>
          <w:w w:val="110"/>
        </w:rPr>
        <w:t> </w:t>
      </w:r>
      <w:r>
        <w:rPr>
          <w:w w:val="110"/>
        </w:rPr>
        <w:t>of</w:t>
      </w:r>
      <w:r>
        <w:rPr>
          <w:spacing w:val="-19"/>
          <w:w w:val="110"/>
        </w:rPr>
        <w:t> </w:t>
      </w:r>
      <w:r>
        <w:rPr>
          <w:w w:val="110"/>
        </w:rPr>
        <w:t>lower</w:t>
      </w:r>
      <w:r>
        <w:rPr>
          <w:spacing w:val="-19"/>
          <w:w w:val="110"/>
        </w:rPr>
        <w:t> </w:t>
      </w:r>
      <w:r>
        <w:rPr>
          <w:w w:val="110"/>
        </w:rPr>
        <w:t>growth and energy prices. As in </w:t>
      </w:r>
      <w:r>
        <w:rPr>
          <w:spacing w:val="-3"/>
          <w:w w:val="110"/>
        </w:rPr>
        <w:t>November, </w:t>
      </w:r>
      <w:r>
        <w:rPr>
          <w:w w:val="110"/>
        </w:rPr>
        <w:t>some members prefer alternative</w:t>
      </w:r>
      <w:r>
        <w:rPr>
          <w:spacing w:val="-33"/>
          <w:w w:val="110"/>
        </w:rPr>
        <w:t> </w:t>
      </w:r>
      <w:r>
        <w:rPr>
          <w:w w:val="110"/>
        </w:rPr>
        <w:t>assumptions</w:t>
      </w:r>
      <w:r>
        <w:rPr>
          <w:spacing w:val="-33"/>
          <w:w w:val="110"/>
        </w:rPr>
        <w:t> </w:t>
      </w:r>
      <w:r>
        <w:rPr>
          <w:w w:val="110"/>
        </w:rPr>
        <w:t>about</w:t>
      </w:r>
      <w:r>
        <w:rPr>
          <w:spacing w:val="-33"/>
          <w:w w:val="110"/>
        </w:rPr>
        <w:t> </w:t>
      </w:r>
      <w:r>
        <w:rPr>
          <w:w w:val="110"/>
        </w:rPr>
        <w:t>supply-side</w:t>
      </w:r>
      <w:r>
        <w:rPr>
          <w:spacing w:val="-33"/>
          <w:w w:val="110"/>
        </w:rPr>
        <w:t> </w:t>
      </w:r>
      <w:r>
        <w:rPr>
          <w:w w:val="110"/>
        </w:rPr>
        <w:t>developments,</w:t>
      </w:r>
      <w:r>
        <w:rPr>
          <w:spacing w:val="-33"/>
          <w:w w:val="110"/>
        </w:rPr>
        <w:t> </w:t>
      </w:r>
      <w:r>
        <w:rPr>
          <w:w w:val="110"/>
        </w:rPr>
        <w:t>while some</w:t>
      </w:r>
      <w:r>
        <w:rPr>
          <w:spacing w:val="-18"/>
          <w:w w:val="110"/>
        </w:rPr>
        <w:t> </w:t>
      </w:r>
      <w:r>
        <w:rPr>
          <w:w w:val="110"/>
        </w:rPr>
        <w:t>members</w:t>
      </w:r>
      <w:r>
        <w:rPr>
          <w:spacing w:val="-17"/>
          <w:w w:val="110"/>
        </w:rPr>
        <w:t> </w:t>
      </w:r>
      <w:r>
        <w:rPr>
          <w:w w:val="110"/>
        </w:rPr>
        <w:t>also</w:t>
      </w:r>
      <w:r>
        <w:rPr>
          <w:spacing w:val="-18"/>
          <w:w w:val="110"/>
        </w:rPr>
        <w:t> </w:t>
      </w:r>
      <w:r>
        <w:rPr>
          <w:w w:val="110"/>
        </w:rPr>
        <w:t>prefer</w:t>
      </w:r>
      <w:r>
        <w:rPr>
          <w:spacing w:val="-17"/>
          <w:w w:val="110"/>
        </w:rPr>
        <w:t> </w:t>
      </w:r>
      <w:r>
        <w:rPr>
          <w:w w:val="110"/>
        </w:rPr>
        <w:t>an</w:t>
      </w:r>
      <w:r>
        <w:rPr>
          <w:spacing w:val="-17"/>
          <w:w w:val="110"/>
        </w:rPr>
        <w:t> </w:t>
      </w:r>
      <w:r>
        <w:rPr>
          <w:w w:val="110"/>
        </w:rPr>
        <w:t>alternative</w:t>
      </w:r>
      <w:r>
        <w:rPr>
          <w:spacing w:val="-18"/>
          <w:w w:val="110"/>
        </w:rPr>
        <w:t> </w:t>
      </w:r>
      <w:r>
        <w:rPr>
          <w:w w:val="110"/>
        </w:rPr>
        <w:t>assumption</w:t>
      </w:r>
      <w:r>
        <w:rPr>
          <w:spacing w:val="-17"/>
          <w:w w:val="110"/>
        </w:rPr>
        <w:t> </w:t>
      </w:r>
      <w:r>
        <w:rPr>
          <w:w w:val="110"/>
        </w:rPr>
        <w:t>about</w:t>
      </w:r>
      <w:r>
        <w:rPr>
          <w:spacing w:val="-17"/>
          <w:w w:val="110"/>
        </w:rPr>
        <w:t> </w:t>
      </w:r>
      <w:r>
        <w:rPr>
          <w:w w:val="110"/>
        </w:rPr>
        <w:t>the </w:t>
      </w:r>
      <w:r>
        <w:rPr>
          <w:spacing w:val="-3"/>
          <w:w w:val="110"/>
        </w:rPr>
        <w:t>extent </w:t>
      </w:r>
      <w:r>
        <w:rPr>
          <w:w w:val="110"/>
        </w:rPr>
        <w:t>and consequences of the US slowdown. In combination these</w:t>
      </w:r>
      <w:r>
        <w:rPr>
          <w:spacing w:val="-17"/>
          <w:w w:val="110"/>
        </w:rPr>
        <w:t> </w:t>
      </w:r>
      <w:r>
        <w:rPr>
          <w:w w:val="110"/>
        </w:rPr>
        <w:t>could</w:t>
      </w:r>
      <w:r>
        <w:rPr>
          <w:spacing w:val="-16"/>
          <w:w w:val="110"/>
        </w:rPr>
        <w:t> </w:t>
      </w:r>
      <w:r>
        <w:rPr>
          <w:spacing w:val="-3"/>
          <w:w w:val="110"/>
        </w:rPr>
        <w:t>lower</w:t>
      </w:r>
      <w:r>
        <w:rPr>
          <w:spacing w:val="-17"/>
          <w:w w:val="110"/>
        </w:rPr>
        <w:t> </w:t>
      </w:r>
      <w:r>
        <w:rPr>
          <w:w w:val="110"/>
        </w:rPr>
        <w:t>the</w:t>
      </w:r>
      <w:r>
        <w:rPr>
          <w:spacing w:val="-16"/>
          <w:w w:val="110"/>
        </w:rPr>
        <w:t> </w:t>
      </w:r>
      <w:r>
        <w:rPr>
          <w:w w:val="110"/>
        </w:rPr>
        <w:t>inflation</w:t>
      </w:r>
      <w:r>
        <w:rPr>
          <w:spacing w:val="-16"/>
          <w:w w:val="110"/>
        </w:rPr>
        <w:t> </w:t>
      </w:r>
      <w:r>
        <w:rPr>
          <w:w w:val="110"/>
        </w:rPr>
        <w:t>profile</w:t>
      </w:r>
      <w:r>
        <w:rPr>
          <w:spacing w:val="-17"/>
          <w:w w:val="110"/>
        </w:rPr>
        <w:t> </w:t>
      </w:r>
      <w:r>
        <w:rPr>
          <w:w w:val="110"/>
        </w:rPr>
        <w:t>at</w:t>
      </w:r>
      <w:r>
        <w:rPr>
          <w:spacing w:val="-16"/>
          <w:w w:val="110"/>
        </w:rPr>
        <w:t> </w:t>
      </w:r>
      <w:r>
        <w:rPr>
          <w:w w:val="110"/>
        </w:rPr>
        <w:t>the</w:t>
      </w:r>
      <w:r>
        <w:rPr>
          <w:spacing w:val="-16"/>
          <w:w w:val="110"/>
        </w:rPr>
        <w:t> </w:t>
      </w:r>
      <w:r>
        <w:rPr>
          <w:w w:val="110"/>
        </w:rPr>
        <w:t>forecast</w:t>
      </w:r>
      <w:r>
        <w:rPr>
          <w:spacing w:val="-17"/>
          <w:w w:val="110"/>
        </w:rPr>
        <w:t> </w:t>
      </w:r>
      <w:r>
        <w:rPr>
          <w:w w:val="110"/>
        </w:rPr>
        <w:t>horizon</w:t>
      </w:r>
      <w:r>
        <w:rPr>
          <w:spacing w:val="-16"/>
          <w:w w:val="110"/>
        </w:rPr>
        <w:t> </w:t>
      </w:r>
      <w:r>
        <w:rPr>
          <w:spacing w:val="-3"/>
          <w:w w:val="110"/>
        </w:rPr>
        <w:t>by </w:t>
      </w:r>
      <w:r>
        <w:rPr>
          <w:w w:val="110"/>
        </w:rPr>
        <w:t>up </w:t>
      </w:r>
      <w:r>
        <w:rPr>
          <w:spacing w:val="-4"/>
          <w:w w:val="110"/>
        </w:rPr>
        <w:t>to</w:t>
      </w:r>
      <w:r>
        <w:rPr>
          <w:spacing w:val="-10"/>
          <w:w w:val="110"/>
        </w:rPr>
        <w:t> </w:t>
      </w:r>
      <w:r>
        <w:rPr>
          <w:w w:val="110"/>
          <w:position w:val="7"/>
          <w:sz w:val="10"/>
        </w:rPr>
        <w:t>1</w:t>
      </w:r>
      <w:r>
        <w:rPr>
          <w:w w:val="110"/>
        </w:rPr>
        <w:t>/</w:t>
      </w:r>
      <w:r>
        <w:rPr>
          <w:w w:val="110"/>
          <w:position w:val="1"/>
          <w:sz w:val="10"/>
        </w:rPr>
        <w:t>2</w:t>
      </w:r>
      <w:r>
        <w:rPr>
          <w:w w:val="110"/>
        </w:rPr>
        <w:t>%.</w:t>
      </w:r>
    </w:p>
    <w:p>
      <w:pPr>
        <w:pStyle w:val="BodyText"/>
        <w:spacing w:before="9"/>
        <w:rPr>
          <w:sz w:val="23"/>
        </w:rPr>
      </w:pPr>
    </w:p>
    <w:p>
      <w:pPr>
        <w:pStyle w:val="BodyText"/>
        <w:spacing w:line="292" w:lineRule="auto"/>
        <w:ind w:left="195" w:right="191"/>
      </w:pPr>
      <w:r>
        <w:rPr>
          <w:w w:val="110"/>
        </w:rPr>
        <w:t>Considerable uncertainties surround these projections. In the </w:t>
      </w:r>
      <w:r>
        <w:rPr>
          <w:spacing w:val="-4"/>
          <w:w w:val="110"/>
        </w:rPr>
        <w:t>Committee’s </w:t>
      </w:r>
      <w:r>
        <w:rPr>
          <w:w w:val="110"/>
        </w:rPr>
        <w:t>judgment, the risks </w:t>
      </w:r>
      <w:r>
        <w:rPr>
          <w:spacing w:val="-4"/>
          <w:w w:val="110"/>
        </w:rPr>
        <w:t>to </w:t>
      </w:r>
      <w:r>
        <w:rPr>
          <w:w w:val="110"/>
        </w:rPr>
        <w:t>growth and inflation are presently</w:t>
      </w:r>
      <w:r>
        <w:rPr>
          <w:spacing w:val="-24"/>
          <w:w w:val="110"/>
        </w:rPr>
        <w:t> </w:t>
      </w:r>
      <w:r>
        <w:rPr>
          <w:w w:val="110"/>
        </w:rPr>
        <w:t>clearly</w:t>
      </w:r>
      <w:r>
        <w:rPr>
          <w:spacing w:val="-23"/>
          <w:w w:val="110"/>
        </w:rPr>
        <w:t> </w:t>
      </w:r>
      <w:r>
        <w:rPr>
          <w:w w:val="110"/>
        </w:rPr>
        <w:t>on</w:t>
      </w:r>
      <w:r>
        <w:rPr>
          <w:spacing w:val="-23"/>
          <w:w w:val="110"/>
        </w:rPr>
        <w:t> </w:t>
      </w:r>
      <w:r>
        <w:rPr>
          <w:w w:val="110"/>
        </w:rPr>
        <w:t>the</w:t>
      </w:r>
      <w:r>
        <w:rPr>
          <w:spacing w:val="-24"/>
          <w:w w:val="110"/>
        </w:rPr>
        <w:t> </w:t>
      </w:r>
      <w:r>
        <w:rPr>
          <w:w w:val="110"/>
        </w:rPr>
        <w:t>downside,</w:t>
      </w:r>
      <w:r>
        <w:rPr>
          <w:spacing w:val="-23"/>
          <w:w w:val="110"/>
        </w:rPr>
        <w:t> </w:t>
      </w:r>
      <w:r>
        <w:rPr>
          <w:w w:val="110"/>
        </w:rPr>
        <w:t>stemming</w:t>
      </w:r>
      <w:r>
        <w:rPr>
          <w:spacing w:val="-23"/>
          <w:w w:val="110"/>
        </w:rPr>
        <w:t> </w:t>
      </w:r>
      <w:r>
        <w:rPr>
          <w:w w:val="110"/>
        </w:rPr>
        <w:t>in</w:t>
      </w:r>
      <w:r>
        <w:rPr>
          <w:spacing w:val="-24"/>
          <w:w w:val="110"/>
        </w:rPr>
        <w:t> </w:t>
      </w:r>
      <w:r>
        <w:rPr>
          <w:w w:val="110"/>
        </w:rPr>
        <w:t>particular</w:t>
      </w:r>
      <w:r>
        <w:rPr>
          <w:spacing w:val="-23"/>
          <w:w w:val="110"/>
        </w:rPr>
        <w:t> </w:t>
      </w:r>
      <w:r>
        <w:rPr>
          <w:w w:val="110"/>
        </w:rPr>
        <w:t>from the</w:t>
      </w:r>
      <w:r>
        <w:rPr>
          <w:spacing w:val="-16"/>
          <w:w w:val="110"/>
        </w:rPr>
        <w:t> </w:t>
      </w:r>
      <w:r>
        <w:rPr>
          <w:w w:val="110"/>
        </w:rPr>
        <w:t>risk</w:t>
      </w:r>
      <w:r>
        <w:rPr>
          <w:spacing w:val="-15"/>
          <w:w w:val="110"/>
        </w:rPr>
        <w:t> </w:t>
      </w:r>
      <w:r>
        <w:rPr>
          <w:w w:val="110"/>
        </w:rPr>
        <w:t>of</w:t>
      </w:r>
      <w:r>
        <w:rPr>
          <w:spacing w:val="-15"/>
          <w:w w:val="110"/>
        </w:rPr>
        <w:t> </w:t>
      </w:r>
      <w:r>
        <w:rPr>
          <w:w w:val="110"/>
        </w:rPr>
        <w:t>a</w:t>
      </w:r>
      <w:r>
        <w:rPr>
          <w:spacing w:val="-15"/>
          <w:w w:val="110"/>
        </w:rPr>
        <w:t> </w:t>
      </w:r>
      <w:r>
        <w:rPr>
          <w:w w:val="110"/>
        </w:rPr>
        <w:t>deeper</w:t>
      </w:r>
      <w:r>
        <w:rPr>
          <w:spacing w:val="-16"/>
          <w:w w:val="110"/>
        </w:rPr>
        <w:t> </w:t>
      </w:r>
      <w:r>
        <w:rPr>
          <w:w w:val="110"/>
        </w:rPr>
        <w:t>or</w:t>
      </w:r>
      <w:r>
        <w:rPr>
          <w:spacing w:val="-15"/>
          <w:w w:val="110"/>
        </w:rPr>
        <w:t> </w:t>
      </w:r>
      <w:r>
        <w:rPr>
          <w:w w:val="110"/>
        </w:rPr>
        <w:t>more</w:t>
      </w:r>
      <w:r>
        <w:rPr>
          <w:spacing w:val="-15"/>
          <w:w w:val="110"/>
        </w:rPr>
        <w:t> </w:t>
      </w:r>
      <w:r>
        <w:rPr>
          <w:w w:val="110"/>
        </w:rPr>
        <w:t>prolonged</w:t>
      </w:r>
      <w:r>
        <w:rPr>
          <w:spacing w:val="-15"/>
          <w:w w:val="110"/>
        </w:rPr>
        <w:t> </w:t>
      </w:r>
      <w:r>
        <w:rPr>
          <w:w w:val="110"/>
        </w:rPr>
        <w:t>slowdown</w:t>
      </w:r>
      <w:r>
        <w:rPr>
          <w:spacing w:val="-15"/>
          <w:w w:val="110"/>
        </w:rPr>
        <w:t> </w:t>
      </w:r>
      <w:r>
        <w:rPr>
          <w:w w:val="110"/>
        </w:rPr>
        <w:t>in</w:t>
      </w:r>
      <w:r>
        <w:rPr>
          <w:spacing w:val="-16"/>
          <w:w w:val="110"/>
        </w:rPr>
        <w:t> </w:t>
      </w:r>
      <w:r>
        <w:rPr>
          <w:w w:val="110"/>
        </w:rPr>
        <w:t>the</w:t>
      </w:r>
      <w:r>
        <w:rPr>
          <w:spacing w:val="-15"/>
          <w:w w:val="110"/>
        </w:rPr>
        <w:t> </w:t>
      </w:r>
      <w:r>
        <w:rPr>
          <w:w w:val="110"/>
        </w:rPr>
        <w:t>United States.</w:t>
      </w:r>
      <w:r>
        <w:rPr>
          <w:spacing w:val="-15"/>
          <w:w w:val="110"/>
        </w:rPr>
        <w:t> </w:t>
      </w:r>
      <w:r>
        <w:rPr>
          <w:w w:val="110"/>
        </w:rPr>
        <w:t>Different</w:t>
      </w:r>
      <w:r>
        <w:rPr>
          <w:spacing w:val="-35"/>
          <w:w w:val="110"/>
        </w:rPr>
        <w:t> </w:t>
      </w:r>
      <w:r>
        <w:rPr>
          <w:w w:val="110"/>
        </w:rPr>
        <w:t>Committee</w:t>
      </w:r>
      <w:r>
        <w:rPr>
          <w:spacing w:val="-36"/>
          <w:w w:val="110"/>
        </w:rPr>
        <w:t> </w:t>
      </w:r>
      <w:r>
        <w:rPr>
          <w:w w:val="110"/>
        </w:rPr>
        <w:t>members</w:t>
      </w:r>
      <w:r>
        <w:rPr>
          <w:spacing w:val="-35"/>
          <w:w w:val="110"/>
        </w:rPr>
        <w:t> </w:t>
      </w:r>
      <w:r>
        <w:rPr>
          <w:w w:val="110"/>
        </w:rPr>
        <w:t>place</w:t>
      </w:r>
      <w:r>
        <w:rPr>
          <w:spacing w:val="-35"/>
          <w:w w:val="110"/>
        </w:rPr>
        <w:t> </w:t>
      </w:r>
      <w:r>
        <w:rPr>
          <w:w w:val="110"/>
        </w:rPr>
        <w:t>somewhat</w:t>
      </w:r>
      <w:r>
        <w:rPr>
          <w:spacing w:val="-35"/>
          <w:w w:val="110"/>
        </w:rPr>
        <w:t> </w:t>
      </w:r>
      <w:r>
        <w:rPr>
          <w:w w:val="110"/>
        </w:rPr>
        <w:t>different weights on the significance of this, and other risks, </w:t>
      </w:r>
      <w:r>
        <w:rPr>
          <w:spacing w:val="-4"/>
          <w:w w:val="110"/>
        </w:rPr>
        <w:t>to </w:t>
      </w:r>
      <w:r>
        <w:rPr>
          <w:w w:val="110"/>
        </w:rPr>
        <w:t>the outlook. </w:t>
      </w:r>
      <w:r>
        <w:rPr>
          <w:spacing w:val="-5"/>
          <w:w w:val="110"/>
        </w:rPr>
        <w:t>Taking </w:t>
      </w:r>
      <w:r>
        <w:rPr>
          <w:w w:val="110"/>
        </w:rPr>
        <w:t>account of these risks, and in the light of the </w:t>
      </w:r>
      <w:r>
        <w:rPr>
          <w:spacing w:val="-3"/>
          <w:w w:val="110"/>
        </w:rPr>
        <w:t>overall </w:t>
      </w:r>
      <w:r>
        <w:rPr>
          <w:w w:val="110"/>
        </w:rPr>
        <w:t>weakening of inflationary </w:t>
      </w:r>
      <w:r>
        <w:rPr>
          <w:spacing w:val="-3"/>
          <w:w w:val="110"/>
        </w:rPr>
        <w:t>pressures, </w:t>
      </w:r>
      <w:r>
        <w:rPr>
          <w:w w:val="110"/>
        </w:rPr>
        <w:t>the </w:t>
      </w:r>
      <w:r>
        <w:rPr>
          <w:spacing w:val="-3"/>
          <w:w w:val="110"/>
        </w:rPr>
        <w:t>Committee </w:t>
      </w:r>
      <w:r>
        <w:rPr>
          <w:w w:val="110"/>
        </w:rPr>
        <w:t>agreed at its February meeting that a modest reduction in the official</w:t>
      </w:r>
      <w:r>
        <w:rPr>
          <w:spacing w:val="-15"/>
          <w:w w:val="110"/>
        </w:rPr>
        <w:t> </w:t>
      </w:r>
      <w:r>
        <w:rPr>
          <w:spacing w:val="-3"/>
          <w:w w:val="110"/>
        </w:rPr>
        <w:t>interest</w:t>
      </w:r>
      <w:r>
        <w:rPr>
          <w:spacing w:val="-15"/>
          <w:w w:val="110"/>
        </w:rPr>
        <w:t> </w:t>
      </w:r>
      <w:r>
        <w:rPr>
          <w:spacing w:val="-4"/>
          <w:w w:val="110"/>
        </w:rPr>
        <w:t>rate</w:t>
      </w:r>
      <w:r>
        <w:rPr>
          <w:spacing w:val="-14"/>
          <w:w w:val="110"/>
        </w:rPr>
        <w:t> </w:t>
      </w:r>
      <w:r>
        <w:rPr>
          <w:spacing w:val="-3"/>
          <w:w w:val="110"/>
        </w:rPr>
        <w:t>was</w:t>
      </w:r>
      <w:r>
        <w:rPr>
          <w:spacing w:val="-15"/>
          <w:w w:val="110"/>
        </w:rPr>
        <w:t> </w:t>
      </w:r>
      <w:r>
        <w:rPr>
          <w:w w:val="110"/>
        </w:rPr>
        <w:t>necessary</w:t>
      </w:r>
      <w:r>
        <w:rPr>
          <w:spacing w:val="-14"/>
          <w:w w:val="110"/>
        </w:rPr>
        <w:t> </w:t>
      </w:r>
      <w:r>
        <w:rPr>
          <w:spacing w:val="-4"/>
          <w:w w:val="110"/>
        </w:rPr>
        <w:t>to</w:t>
      </w:r>
      <w:r>
        <w:rPr>
          <w:spacing w:val="-15"/>
          <w:w w:val="110"/>
        </w:rPr>
        <w:t> </w:t>
      </w:r>
      <w:r>
        <w:rPr>
          <w:w w:val="110"/>
        </w:rPr>
        <w:t>keep</w:t>
      </w:r>
      <w:r>
        <w:rPr>
          <w:spacing w:val="-15"/>
          <w:w w:val="110"/>
        </w:rPr>
        <w:t> </w:t>
      </w:r>
      <w:r>
        <w:rPr>
          <w:w w:val="110"/>
        </w:rPr>
        <w:t>inflation</w:t>
      </w:r>
      <w:r>
        <w:rPr>
          <w:spacing w:val="-14"/>
          <w:w w:val="110"/>
        </w:rPr>
        <w:t> </w:t>
      </w:r>
      <w:r>
        <w:rPr>
          <w:w w:val="110"/>
        </w:rPr>
        <w:t>on</w:t>
      </w:r>
      <w:r>
        <w:rPr>
          <w:spacing w:val="-15"/>
          <w:w w:val="110"/>
        </w:rPr>
        <w:t> </w:t>
      </w:r>
      <w:r>
        <w:rPr>
          <w:w w:val="110"/>
        </w:rPr>
        <w:t>track</w:t>
      </w:r>
      <w:r>
        <w:rPr>
          <w:spacing w:val="-14"/>
          <w:w w:val="110"/>
        </w:rPr>
        <w:t> </w:t>
      </w:r>
      <w:r>
        <w:rPr>
          <w:spacing w:val="-4"/>
          <w:w w:val="110"/>
        </w:rPr>
        <w:t>to </w:t>
      </w:r>
      <w:r>
        <w:rPr>
          <w:w w:val="110"/>
        </w:rPr>
        <w:t>meet the</w:t>
      </w:r>
      <w:r>
        <w:rPr>
          <w:spacing w:val="-11"/>
          <w:w w:val="110"/>
        </w:rPr>
        <w:t> </w:t>
      </w:r>
      <w:r>
        <w:rPr>
          <w:w w:val="110"/>
        </w:rPr>
        <w:t>target.</w:t>
      </w:r>
    </w:p>
    <w:p>
      <w:pPr>
        <w:spacing w:after="0" w:line="292" w:lineRule="auto"/>
        <w:sectPr>
          <w:type w:val="continuous"/>
          <w:pgSz w:w="11900" w:h="16840"/>
          <w:pgMar w:top="1260" w:bottom="280" w:left="640" w:right="640"/>
          <w:cols w:num="2" w:equalWidth="0">
            <w:col w:w="3994" w:space="796"/>
            <w:col w:w="5830"/>
          </w:cols>
        </w:sectPr>
      </w:pPr>
    </w:p>
    <w:p>
      <w:pPr>
        <w:spacing w:before="70"/>
        <w:ind w:left="3355" w:right="0" w:firstLine="0"/>
        <w:jc w:val="left"/>
        <w:rPr>
          <w:sz w:val="12"/>
        </w:rPr>
      </w:pPr>
      <w:r>
        <w:rPr/>
        <w:drawing>
          <wp:anchor distT="0" distB="0" distL="0" distR="0" allowOverlap="1" layoutInCell="1" locked="0" behindDoc="0" simplePos="0" relativeHeight="15733760">
            <wp:simplePos x="0" y="0"/>
            <wp:positionH relativeFrom="page">
              <wp:posOffset>2464689</wp:posOffset>
            </wp:positionH>
            <wp:positionV relativeFrom="paragraph">
              <wp:posOffset>85428</wp:posOffset>
            </wp:positionV>
            <wp:extent cx="46888" cy="5626"/>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13" cstate="print"/>
                    <a:stretch>
                      <a:fillRect/>
                    </a:stretch>
                  </pic:blipFill>
                  <pic:spPr>
                    <a:xfrm>
                      <a:off x="0" y="0"/>
                      <a:ext cx="46888" cy="5626"/>
                    </a:xfrm>
                    <a:prstGeom prst="rect">
                      <a:avLst/>
                    </a:prstGeom>
                  </pic:spPr>
                </pic:pic>
              </a:graphicData>
            </a:graphic>
          </wp:anchor>
        </w:drawing>
      </w:r>
      <w:r>
        <w:rPr/>
        <w:drawing>
          <wp:anchor distT="0" distB="0" distL="0" distR="0" allowOverlap="1" layoutInCell="1" locked="0" behindDoc="0" simplePos="0" relativeHeight="15735296">
            <wp:simplePos x="0" y="0"/>
            <wp:positionH relativeFrom="page">
              <wp:posOffset>553415</wp:posOffset>
            </wp:positionH>
            <wp:positionV relativeFrom="paragraph">
              <wp:posOffset>85428</wp:posOffset>
            </wp:positionV>
            <wp:extent cx="46888" cy="5626"/>
            <wp:effectExtent l="0" t="0" r="0" b="0"/>
            <wp:wrapNone/>
            <wp:docPr id="17" name="image2.png"/>
            <wp:cNvGraphicFramePr>
              <a:graphicFrameLocks noChangeAspect="1"/>
            </wp:cNvGraphicFramePr>
            <a:graphic>
              <a:graphicData uri="http://schemas.openxmlformats.org/drawingml/2006/picture">
                <pic:pic>
                  <pic:nvPicPr>
                    <pic:cNvPr id="18" name="image2.png"/>
                    <pic:cNvPicPr/>
                  </pic:nvPicPr>
                  <pic:blipFill>
                    <a:blip r:embed="rId14" cstate="print"/>
                    <a:stretch>
                      <a:fillRect/>
                    </a:stretch>
                  </pic:blipFill>
                  <pic:spPr>
                    <a:xfrm>
                      <a:off x="0" y="0"/>
                      <a:ext cx="46888" cy="5626"/>
                    </a:xfrm>
                    <a:prstGeom prst="rect">
                      <a:avLst/>
                    </a:prstGeom>
                  </pic:spPr>
                </pic:pic>
              </a:graphicData>
            </a:graphic>
          </wp:anchor>
        </w:drawing>
      </w:r>
      <w:r>
        <w:rPr>
          <w:w w:val="121"/>
          <w:sz w:val="12"/>
        </w:rPr>
        <w:t>4</w:t>
      </w:r>
    </w:p>
    <w:p>
      <w:pPr>
        <w:pStyle w:val="BodyText"/>
      </w:pPr>
    </w:p>
    <w:p>
      <w:pPr>
        <w:pStyle w:val="BodyText"/>
        <w:rPr>
          <w:sz w:val="12"/>
        </w:rPr>
      </w:pPr>
    </w:p>
    <w:p>
      <w:pPr>
        <w:spacing w:before="106"/>
        <w:ind w:left="3357" w:right="0" w:firstLine="0"/>
        <w:jc w:val="left"/>
        <w:rPr>
          <w:sz w:val="12"/>
        </w:rPr>
      </w:pPr>
      <w:r>
        <w:rPr/>
        <w:drawing>
          <wp:anchor distT="0" distB="0" distL="0" distR="0" allowOverlap="1" layoutInCell="1" locked="0" behindDoc="0" simplePos="0" relativeHeight="15734784">
            <wp:simplePos x="0" y="0"/>
            <wp:positionH relativeFrom="page">
              <wp:posOffset>553415</wp:posOffset>
            </wp:positionH>
            <wp:positionV relativeFrom="paragraph">
              <wp:posOffset>-158798</wp:posOffset>
            </wp:positionV>
            <wp:extent cx="1958936" cy="1078928"/>
            <wp:effectExtent l="0" t="0" r="0" b="0"/>
            <wp:wrapNone/>
            <wp:docPr id="19" name="image5.png"/>
            <wp:cNvGraphicFramePr>
              <a:graphicFrameLocks noChangeAspect="1"/>
            </wp:cNvGraphicFramePr>
            <a:graphic>
              <a:graphicData uri="http://schemas.openxmlformats.org/drawingml/2006/picture">
                <pic:pic>
                  <pic:nvPicPr>
                    <pic:cNvPr id="20" name="image5.png"/>
                    <pic:cNvPicPr/>
                  </pic:nvPicPr>
                  <pic:blipFill>
                    <a:blip r:embed="rId17" cstate="print"/>
                    <a:stretch>
                      <a:fillRect/>
                    </a:stretch>
                  </pic:blipFill>
                  <pic:spPr>
                    <a:xfrm>
                      <a:off x="0" y="0"/>
                      <a:ext cx="1958936" cy="1078928"/>
                    </a:xfrm>
                    <a:prstGeom prst="rect">
                      <a:avLst/>
                    </a:prstGeom>
                  </pic:spPr>
                </pic:pic>
              </a:graphicData>
            </a:graphic>
          </wp:anchor>
        </w:drawing>
      </w:r>
      <w:r>
        <w:rPr>
          <w:w w:val="121"/>
          <w:sz w:val="12"/>
        </w:rPr>
        <w:t>3</w:t>
      </w:r>
    </w:p>
    <w:p>
      <w:pPr>
        <w:pStyle w:val="BodyText"/>
        <w:spacing w:before="7"/>
        <w:rPr>
          <w:sz w:val="13"/>
        </w:rPr>
      </w:pPr>
    </w:p>
    <w:p>
      <w:pPr>
        <w:spacing w:before="0"/>
        <w:ind w:left="3356" w:right="0" w:firstLine="0"/>
        <w:jc w:val="left"/>
        <w:rPr>
          <w:sz w:val="12"/>
        </w:rPr>
      </w:pPr>
      <w:r>
        <w:rPr>
          <w:w w:val="115"/>
          <w:sz w:val="12"/>
        </w:rPr>
        <w:t>2.5</w:t>
      </w:r>
    </w:p>
    <w:p>
      <w:pPr>
        <w:pStyle w:val="BodyText"/>
        <w:spacing w:before="8"/>
        <w:rPr>
          <w:sz w:val="14"/>
        </w:rPr>
      </w:pPr>
    </w:p>
    <w:p>
      <w:pPr>
        <w:spacing w:before="0"/>
        <w:ind w:left="3359" w:right="0" w:firstLine="0"/>
        <w:jc w:val="left"/>
        <w:rPr>
          <w:sz w:val="12"/>
        </w:rPr>
      </w:pPr>
      <w:r>
        <w:rPr>
          <w:w w:val="121"/>
          <w:sz w:val="12"/>
        </w:rPr>
        <w:t>2</w:t>
      </w:r>
    </w:p>
    <w:p>
      <w:pPr>
        <w:pStyle w:val="BodyText"/>
        <w:rPr>
          <w:sz w:val="12"/>
        </w:rPr>
      </w:pPr>
    </w:p>
    <w:p>
      <w:pPr>
        <w:pStyle w:val="BodyText"/>
        <w:rPr>
          <w:sz w:val="12"/>
        </w:rPr>
      </w:pPr>
    </w:p>
    <w:p>
      <w:pPr>
        <w:pStyle w:val="BodyText"/>
        <w:spacing w:before="8"/>
        <w:rPr>
          <w:sz w:val="16"/>
        </w:rPr>
      </w:pPr>
    </w:p>
    <w:p>
      <w:pPr>
        <w:spacing w:before="1"/>
        <w:ind w:left="3359" w:right="0" w:firstLine="0"/>
        <w:jc w:val="left"/>
        <w:rPr>
          <w:sz w:val="12"/>
        </w:rPr>
      </w:pPr>
      <w:r>
        <w:rPr>
          <w:w w:val="121"/>
          <w:sz w:val="12"/>
        </w:rPr>
        <w:t>1</w:t>
      </w:r>
    </w:p>
    <w:p>
      <w:pPr>
        <w:pStyle w:val="BodyText"/>
      </w:pPr>
    </w:p>
    <w:p>
      <w:pPr>
        <w:pStyle w:val="BodyText"/>
        <w:rPr>
          <w:sz w:val="12"/>
        </w:rPr>
      </w:pPr>
    </w:p>
    <w:p>
      <w:pPr>
        <w:spacing w:line="111" w:lineRule="exact" w:before="101"/>
        <w:ind w:left="3364" w:right="0" w:firstLine="0"/>
        <w:jc w:val="left"/>
        <w:rPr>
          <w:sz w:val="12"/>
        </w:rPr>
      </w:pPr>
      <w:r>
        <w:rPr/>
        <w:drawing>
          <wp:anchor distT="0" distB="0" distL="0" distR="0" allowOverlap="1" layoutInCell="1" locked="0" behindDoc="0" simplePos="0" relativeHeight="15733248">
            <wp:simplePos x="0" y="0"/>
            <wp:positionH relativeFrom="page">
              <wp:posOffset>553415</wp:posOffset>
            </wp:positionH>
            <wp:positionV relativeFrom="paragraph">
              <wp:posOffset>28251</wp:posOffset>
            </wp:positionV>
            <wp:extent cx="1958162" cy="82480"/>
            <wp:effectExtent l="0" t="0" r="0" b="0"/>
            <wp:wrapNone/>
            <wp:docPr id="21" name="image6.png"/>
            <wp:cNvGraphicFramePr>
              <a:graphicFrameLocks noChangeAspect="1"/>
            </wp:cNvGraphicFramePr>
            <a:graphic>
              <a:graphicData uri="http://schemas.openxmlformats.org/drawingml/2006/picture">
                <pic:pic>
                  <pic:nvPicPr>
                    <pic:cNvPr id="22" name="image6.png"/>
                    <pic:cNvPicPr/>
                  </pic:nvPicPr>
                  <pic:blipFill>
                    <a:blip r:embed="rId18" cstate="print"/>
                    <a:stretch>
                      <a:fillRect/>
                    </a:stretch>
                  </pic:blipFill>
                  <pic:spPr>
                    <a:xfrm>
                      <a:off x="0" y="0"/>
                      <a:ext cx="1958162" cy="82480"/>
                    </a:xfrm>
                    <a:prstGeom prst="rect">
                      <a:avLst/>
                    </a:prstGeom>
                  </pic:spPr>
                </pic:pic>
              </a:graphicData>
            </a:graphic>
          </wp:anchor>
        </w:drawing>
      </w:r>
      <w:r>
        <w:rPr>
          <w:w w:val="121"/>
          <w:sz w:val="12"/>
        </w:rPr>
        <w:t>0</w:t>
      </w:r>
    </w:p>
    <w:p>
      <w:pPr>
        <w:tabs>
          <w:tab w:pos="1310" w:val="left" w:leader="none"/>
          <w:tab w:pos="1712" w:val="left" w:leader="none"/>
          <w:tab w:pos="2923" w:val="left" w:leader="none"/>
        </w:tabs>
        <w:spacing w:line="111" w:lineRule="exact" w:before="0"/>
        <w:ind w:left="434" w:right="0" w:firstLine="0"/>
        <w:jc w:val="left"/>
        <w:rPr>
          <w:sz w:val="12"/>
        </w:rPr>
      </w:pPr>
      <w:r>
        <w:rPr>
          <w:spacing w:val="-9"/>
          <w:w w:val="120"/>
          <w:sz w:val="12"/>
        </w:rPr>
        <w:t>1996      </w:t>
      </w:r>
      <w:r>
        <w:rPr>
          <w:spacing w:val="2"/>
          <w:w w:val="120"/>
          <w:sz w:val="12"/>
        </w:rPr>
        <w:t> </w:t>
      </w:r>
      <w:r>
        <w:rPr>
          <w:spacing w:val="-6"/>
          <w:w w:val="120"/>
          <w:sz w:val="12"/>
        </w:rPr>
        <w:t>97</w:t>
        <w:tab/>
      </w:r>
      <w:r>
        <w:rPr>
          <w:spacing w:val="-7"/>
          <w:w w:val="120"/>
          <w:sz w:val="12"/>
        </w:rPr>
        <w:t>98</w:t>
        <w:tab/>
      </w:r>
      <w:r>
        <w:rPr>
          <w:spacing w:val="-4"/>
          <w:w w:val="120"/>
          <w:sz w:val="12"/>
        </w:rPr>
        <w:t>99     </w:t>
      </w:r>
      <w:r>
        <w:rPr>
          <w:spacing w:val="-2"/>
          <w:w w:val="120"/>
          <w:sz w:val="12"/>
        </w:rPr>
        <w:t> </w:t>
      </w:r>
      <w:r>
        <w:rPr>
          <w:w w:val="120"/>
          <w:sz w:val="12"/>
        </w:rPr>
        <w:t>2000    </w:t>
      </w:r>
      <w:r>
        <w:rPr>
          <w:spacing w:val="16"/>
          <w:w w:val="120"/>
          <w:sz w:val="12"/>
        </w:rPr>
        <w:t> </w:t>
      </w:r>
      <w:r>
        <w:rPr>
          <w:spacing w:val="-9"/>
          <w:w w:val="120"/>
          <w:sz w:val="12"/>
        </w:rPr>
        <w:t>01</w:t>
        <w:tab/>
      </w:r>
      <w:r>
        <w:rPr>
          <w:spacing w:val="-3"/>
          <w:w w:val="120"/>
          <w:sz w:val="12"/>
        </w:rPr>
        <w:t>02</w:t>
      </w:r>
      <w:r>
        <w:rPr>
          <w:spacing w:val="20"/>
          <w:w w:val="120"/>
          <w:sz w:val="12"/>
        </w:rPr>
        <w:t> </w:t>
      </w:r>
      <w:r>
        <w:rPr>
          <w:spacing w:val="-8"/>
          <w:w w:val="120"/>
          <w:sz w:val="12"/>
        </w:rPr>
        <w:t>03</w:t>
      </w:r>
    </w:p>
    <w:p>
      <w:pPr>
        <w:pStyle w:val="BodyText"/>
        <w:spacing w:before="10"/>
        <w:rPr>
          <w:sz w:val="9"/>
        </w:rPr>
      </w:pPr>
    </w:p>
    <w:p>
      <w:pPr>
        <w:spacing w:line="208" w:lineRule="auto" w:before="0"/>
        <w:ind w:left="194" w:right="6622" w:firstLine="0"/>
        <w:jc w:val="left"/>
        <w:rPr>
          <w:sz w:val="12"/>
        </w:rPr>
      </w:pPr>
      <w:r>
        <w:rPr>
          <w:w w:val="105"/>
          <w:sz w:val="12"/>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covers </w:t>
      </w:r>
      <w:r>
        <w:rPr>
          <w:spacing w:val="-5"/>
          <w:w w:val="105"/>
          <w:sz w:val="12"/>
        </w:rPr>
        <w:t>10% </w:t>
      </w:r>
      <w:r>
        <w:rPr>
          <w:w w:val="105"/>
          <w:sz w:val="12"/>
        </w:rPr>
        <w:t>of the </w:t>
      </w:r>
      <w:r>
        <w:rPr>
          <w:spacing w:val="-3"/>
          <w:w w:val="105"/>
          <w:sz w:val="12"/>
        </w:rPr>
        <w:t>probability. </w:t>
      </w:r>
      <w:r>
        <w:rPr>
          <w:w w:val="105"/>
          <w:sz w:val="12"/>
        </w:rPr>
        <w:t>Each successive pair of bands is drawn to cover a further </w:t>
      </w:r>
      <w:r>
        <w:rPr>
          <w:spacing w:val="-5"/>
          <w:w w:val="105"/>
          <w:sz w:val="12"/>
        </w:rPr>
        <w:t>10% </w:t>
      </w:r>
      <w:r>
        <w:rPr>
          <w:w w:val="105"/>
          <w:sz w:val="12"/>
        </w:rPr>
        <w:t>of the </w:t>
      </w:r>
      <w:r>
        <w:rPr>
          <w:spacing w:val="-3"/>
          <w:w w:val="105"/>
          <w:sz w:val="12"/>
        </w:rPr>
        <w:t>probability, </w:t>
      </w:r>
      <w:r>
        <w:rPr>
          <w:w w:val="105"/>
          <w:sz w:val="12"/>
        </w:rPr>
        <w:t>until 90% of the probability distribution is covered. The bands widen as the time horizon is extended, indicating increasing uncertainty about</w:t>
      </w:r>
      <w:r>
        <w:rPr>
          <w:spacing w:val="-2"/>
          <w:w w:val="105"/>
          <w:sz w:val="12"/>
        </w:rPr>
        <w:t> </w:t>
      </w:r>
      <w:r>
        <w:rPr>
          <w:w w:val="105"/>
          <w:sz w:val="12"/>
        </w:rPr>
        <w:t>outcomes.</w:t>
      </w:r>
    </w:p>
    <w:p>
      <w:pPr>
        <w:spacing w:after="0" w:line="208" w:lineRule="auto"/>
        <w:jc w:val="left"/>
        <w:rPr>
          <w:sz w:val="12"/>
        </w:rPr>
        <w:sectPr>
          <w:type w:val="continuous"/>
          <w:pgSz w:w="11900" w:h="16840"/>
          <w:pgMar w:top="1260" w:bottom="280" w:left="640" w:right="640"/>
        </w:sectPr>
      </w:pPr>
    </w:p>
    <w:p>
      <w:pPr>
        <w:pStyle w:val="Heading1"/>
        <w:ind w:left="698"/>
        <w:jc w:val="center"/>
      </w:pPr>
      <w:r>
        <w:rPr>
          <w:color w:val="89C6DC"/>
        </w:rPr>
        <w:t>Contents</w:t>
      </w:r>
    </w:p>
    <w:sdt>
      <w:sdtPr>
        <w:docPartObj>
          <w:docPartGallery w:val="Table of Contents"/>
          <w:docPartUnique/>
        </w:docPartObj>
      </w:sdtPr>
      <w:sdtEndPr/>
      <w:sdtContent>
        <w:p>
          <w:pPr>
            <w:pStyle w:val="TOC1"/>
            <w:numPr>
              <w:ilvl w:val="0"/>
              <w:numId w:val="1"/>
            </w:numPr>
            <w:tabs>
              <w:tab w:pos="5374" w:val="left" w:leader="none"/>
              <w:tab w:pos="5375" w:val="left" w:leader="none"/>
              <w:tab w:pos="10274" w:val="right" w:leader="none"/>
            </w:tabs>
            <w:spacing w:line="240" w:lineRule="auto" w:before="575" w:after="0"/>
            <w:ind w:left="5374" w:right="0" w:hanging="381"/>
            <w:jc w:val="left"/>
            <w:rPr>
              <w:color w:val="89C6DC"/>
            </w:rPr>
          </w:pPr>
          <w:hyperlink w:history="true" w:anchor="_bookmark1">
            <w:r>
              <w:rPr>
                <w:smallCaps w:val="0"/>
                <w:color w:val="89C6DC"/>
              </w:rPr>
              <w:t>Money and</w:t>
            </w:r>
            <w:r>
              <w:rPr>
                <w:smallCaps w:val="0"/>
                <w:color w:val="89C6DC"/>
                <w:spacing w:val="-10"/>
              </w:rPr>
              <w:t> </w:t>
            </w:r>
            <w:r>
              <w:rPr>
                <w:smallCaps w:val="0"/>
                <w:color w:val="89C6DC"/>
              </w:rPr>
              <w:t>financial</w:t>
            </w:r>
            <w:r>
              <w:rPr>
                <w:smallCaps w:val="0"/>
                <w:color w:val="89C6DC"/>
                <w:spacing w:val="-5"/>
              </w:rPr>
              <w:t> </w:t>
            </w:r>
            <w:r>
              <w:rPr>
                <w:smallCaps w:val="0"/>
                <w:color w:val="89C6DC"/>
              </w:rPr>
              <w:t>markets</w:t>
            </w:r>
          </w:hyperlink>
          <w:r>
            <w:rPr>
              <w:smallCaps w:val="0"/>
              <w:color w:val="89C6DC"/>
            </w:rPr>
            <w:tab/>
          </w:r>
          <w:r>
            <w:rPr>
              <w:smallCaps w:val="0"/>
            </w:rPr>
            <w:t>3</w:t>
          </w:r>
        </w:p>
        <w:p>
          <w:pPr>
            <w:pStyle w:val="TOC2"/>
            <w:numPr>
              <w:ilvl w:val="1"/>
              <w:numId w:val="1"/>
            </w:numPr>
            <w:tabs>
              <w:tab w:pos="5934" w:val="left" w:leader="none"/>
              <w:tab w:pos="5935" w:val="left" w:leader="none"/>
              <w:tab w:pos="10274" w:val="right" w:leader="none"/>
            </w:tabs>
            <w:spacing w:line="240" w:lineRule="auto" w:before="41" w:after="0"/>
            <w:ind w:left="5934" w:right="0" w:hanging="561"/>
            <w:jc w:val="left"/>
          </w:pPr>
          <w:hyperlink w:history="true" w:anchor="_bookmark1">
            <w:r>
              <w:rPr>
                <w:smallCaps w:val="0"/>
              </w:rPr>
              <w:t>Money and</w:t>
            </w:r>
            <w:r>
              <w:rPr>
                <w:smallCaps w:val="0"/>
                <w:spacing w:val="1"/>
              </w:rPr>
              <w:t> </w:t>
            </w:r>
            <w:r>
              <w:rPr>
                <w:smallCaps w:val="0"/>
              </w:rPr>
              <w:t>credit</w:t>
            </w:r>
          </w:hyperlink>
          <w:r>
            <w:rPr>
              <w:smallCaps w:val="0"/>
            </w:rPr>
            <w:tab/>
            <w:t>3</w:t>
          </w:r>
        </w:p>
        <w:p>
          <w:pPr>
            <w:pStyle w:val="TOC4"/>
            <w:tabs>
              <w:tab w:pos="10274" w:val="right" w:leader="none"/>
            </w:tabs>
            <w:spacing w:before="42"/>
          </w:pPr>
          <w:hyperlink w:history="true" w:anchor="_bookmark1">
            <w:r>
              <w:rPr>
                <w:spacing w:val="-3"/>
              </w:rPr>
              <w:t>Narrow</w:t>
            </w:r>
            <w:r>
              <w:rPr>
                <w:spacing w:val="4"/>
              </w:rPr>
              <w:t> </w:t>
            </w:r>
            <w:r>
              <w:rPr/>
              <w:t>money</w:t>
            </w:r>
          </w:hyperlink>
          <w:r>
            <w:rPr/>
            <w:tab/>
            <w:t>3</w:t>
          </w:r>
        </w:p>
        <w:p>
          <w:pPr>
            <w:pStyle w:val="TOC4"/>
            <w:tabs>
              <w:tab w:pos="10274" w:val="right" w:leader="none"/>
            </w:tabs>
          </w:pPr>
          <w:hyperlink w:history="true" w:anchor="_bookmark3">
            <w:r>
              <w:rPr/>
              <w:t>Broad money and</w:t>
            </w:r>
            <w:r>
              <w:rPr>
                <w:spacing w:val="1"/>
              </w:rPr>
              <w:t> </w:t>
            </w:r>
            <w:r>
              <w:rPr/>
              <w:t>credit</w:t>
            </w:r>
          </w:hyperlink>
          <w:r>
            <w:rPr/>
            <w:tab/>
            <w:t>4</w:t>
          </w:r>
        </w:p>
        <w:p>
          <w:pPr>
            <w:pStyle w:val="TOC4"/>
            <w:tabs>
              <w:tab w:pos="10274" w:val="right" w:leader="none"/>
            </w:tabs>
          </w:pPr>
          <w:hyperlink w:history="true" w:anchor="_bookmark3">
            <w:r>
              <w:rPr/>
              <w:t>Household</w:t>
            </w:r>
            <w:r>
              <w:rPr>
                <w:spacing w:val="4"/>
              </w:rPr>
              <w:t> </w:t>
            </w:r>
            <w:r>
              <w:rPr/>
              <w:t>sector</w:t>
            </w:r>
          </w:hyperlink>
          <w:r>
            <w:rPr/>
            <w:tab/>
            <w:t>4</w:t>
          </w:r>
        </w:p>
        <w:p>
          <w:pPr>
            <w:pStyle w:val="TOC4"/>
            <w:tabs>
              <w:tab w:pos="10274" w:val="right" w:leader="none"/>
            </w:tabs>
            <w:spacing w:before="42"/>
          </w:pPr>
          <w:hyperlink w:history="true" w:anchor="_bookmark6">
            <w:r>
              <w:rPr/>
              <w:t>Private</w:t>
            </w:r>
            <w:r>
              <w:rPr>
                <w:spacing w:val="-25"/>
              </w:rPr>
              <w:t> </w:t>
            </w:r>
            <w:r>
              <w:rPr/>
              <w:t>non-financial</w:t>
            </w:r>
            <w:r>
              <w:rPr>
                <w:spacing w:val="-24"/>
              </w:rPr>
              <w:t> </w:t>
            </w:r>
            <w:r>
              <w:rPr/>
              <w:t>corporations</w:t>
            </w:r>
          </w:hyperlink>
          <w:r>
            <w:rPr/>
            <w:tab/>
            <w:t>7</w:t>
          </w:r>
        </w:p>
        <w:p>
          <w:pPr>
            <w:pStyle w:val="TOC4"/>
            <w:tabs>
              <w:tab w:pos="10274" w:val="right" w:leader="none"/>
            </w:tabs>
          </w:pPr>
          <w:hyperlink w:history="true" w:anchor="_bookmark7">
            <w:r>
              <w:rPr/>
              <w:t>Other</w:t>
            </w:r>
            <w:r>
              <w:rPr>
                <w:spacing w:val="-7"/>
              </w:rPr>
              <w:t> </w:t>
            </w:r>
            <w:r>
              <w:rPr/>
              <w:t>financial</w:t>
            </w:r>
            <w:r>
              <w:rPr>
                <w:spacing w:val="-7"/>
              </w:rPr>
              <w:t> </w:t>
            </w:r>
            <w:r>
              <w:rPr/>
              <w:t>corporations</w:t>
            </w:r>
          </w:hyperlink>
          <w:r>
            <w:rPr/>
            <w:tab/>
            <w:t>8</w:t>
          </w:r>
        </w:p>
        <w:p>
          <w:pPr>
            <w:pStyle w:val="TOC2"/>
            <w:numPr>
              <w:ilvl w:val="1"/>
              <w:numId w:val="1"/>
            </w:numPr>
            <w:tabs>
              <w:tab w:pos="5934" w:val="left" w:leader="none"/>
              <w:tab w:pos="5935" w:val="left" w:leader="none"/>
              <w:tab w:pos="10274" w:val="right" w:leader="none"/>
            </w:tabs>
            <w:spacing w:line="240" w:lineRule="auto" w:before="41" w:after="0"/>
            <w:ind w:left="5934" w:right="0" w:hanging="561"/>
            <w:jc w:val="left"/>
          </w:pPr>
          <w:hyperlink w:history="true" w:anchor="_bookmark7">
            <w:r>
              <w:rPr>
                <w:smallCaps w:val="0"/>
              </w:rPr>
              <w:t>Interest rates and</w:t>
            </w:r>
            <w:r>
              <w:rPr>
                <w:smallCaps w:val="0"/>
                <w:spacing w:val="-36"/>
              </w:rPr>
              <w:t> </w:t>
            </w:r>
            <w:r>
              <w:rPr>
                <w:smallCaps w:val="0"/>
              </w:rPr>
              <w:t>asset</w:t>
            </w:r>
            <w:r>
              <w:rPr>
                <w:smallCaps w:val="0"/>
                <w:spacing w:val="-11"/>
              </w:rPr>
              <w:t> </w:t>
            </w:r>
            <w:r>
              <w:rPr>
                <w:smallCaps w:val="0"/>
              </w:rPr>
              <w:t>prices</w:t>
            </w:r>
          </w:hyperlink>
          <w:r>
            <w:rPr>
              <w:smallCaps w:val="0"/>
            </w:rPr>
            <w:tab/>
            <w:t>8</w:t>
          </w:r>
        </w:p>
        <w:p>
          <w:pPr>
            <w:pStyle w:val="TOC4"/>
            <w:tabs>
              <w:tab w:pos="10274" w:val="right" w:leader="none"/>
            </w:tabs>
            <w:spacing w:before="42"/>
          </w:pPr>
          <w:hyperlink w:history="true" w:anchor="_bookmark7">
            <w:r>
              <w:rPr/>
              <w:t>Short-term</w:t>
            </w:r>
            <w:r>
              <w:rPr>
                <w:spacing w:val="-5"/>
              </w:rPr>
              <w:t> </w:t>
            </w:r>
            <w:r>
              <w:rPr/>
              <w:t>interest</w:t>
            </w:r>
            <w:r>
              <w:rPr>
                <w:spacing w:val="-4"/>
              </w:rPr>
              <w:t> </w:t>
            </w:r>
            <w:r>
              <w:rPr/>
              <w:t>rates</w:t>
            </w:r>
          </w:hyperlink>
          <w:r>
            <w:rPr/>
            <w:tab/>
            <w:t>8</w:t>
          </w:r>
        </w:p>
        <w:p>
          <w:pPr>
            <w:pStyle w:val="TOC4"/>
            <w:tabs>
              <w:tab w:pos="10274" w:val="right" w:leader="none"/>
            </w:tabs>
          </w:pPr>
          <w:hyperlink w:history="true" w:anchor="_bookmark9">
            <w:r>
              <w:rPr/>
              <w:t>Long-term</w:t>
            </w:r>
            <w:r>
              <w:rPr>
                <w:spacing w:val="-4"/>
              </w:rPr>
              <w:t> </w:t>
            </w:r>
            <w:r>
              <w:rPr/>
              <w:t>interest</w:t>
            </w:r>
            <w:r>
              <w:rPr>
                <w:spacing w:val="-3"/>
              </w:rPr>
              <w:t> </w:t>
            </w:r>
            <w:r>
              <w:rPr/>
              <w:t>rates</w:t>
            </w:r>
          </w:hyperlink>
          <w:r>
            <w:rPr/>
            <w:tab/>
            <w:t>9</w:t>
          </w:r>
        </w:p>
        <w:p>
          <w:pPr>
            <w:pStyle w:val="TOC4"/>
            <w:tabs>
              <w:tab w:pos="10274" w:val="right" w:leader="none"/>
            </w:tabs>
          </w:pPr>
          <w:hyperlink w:history="true" w:anchor="_bookmark9">
            <w:r>
              <w:rPr/>
              <w:t>Real</w:t>
            </w:r>
            <w:r>
              <w:rPr>
                <w:spacing w:val="1"/>
              </w:rPr>
              <w:t> </w:t>
            </w:r>
            <w:r>
              <w:rPr/>
              <w:t>interest</w:t>
            </w:r>
            <w:r>
              <w:rPr>
                <w:spacing w:val="1"/>
              </w:rPr>
              <w:t> </w:t>
            </w:r>
            <w:r>
              <w:rPr/>
              <w:t>rates</w:t>
            </w:r>
          </w:hyperlink>
          <w:r>
            <w:rPr/>
            <w:tab/>
            <w:t>9</w:t>
          </w:r>
        </w:p>
        <w:p>
          <w:pPr>
            <w:pStyle w:val="TOC4"/>
            <w:tabs>
              <w:tab w:pos="10274" w:val="right" w:leader="none"/>
            </w:tabs>
            <w:spacing w:before="42"/>
          </w:pPr>
          <w:hyperlink w:history="true" w:anchor="_bookmark10">
            <w:r>
              <w:rPr>
                <w:spacing w:val="-5"/>
                <w:w w:val="95"/>
              </w:rPr>
              <w:t>H</w:t>
            </w:r>
            <w:r>
              <w:rPr>
                <w:spacing w:val="-1"/>
                <w:w w:val="98"/>
              </w:rPr>
              <w:t>ousehol</w:t>
            </w:r>
            <w:r>
              <w:rPr>
                <w:w w:val="98"/>
              </w:rPr>
              <w:t>d</w:t>
            </w:r>
            <w:r>
              <w:rPr>
                <w:spacing w:val="7"/>
              </w:rPr>
              <w:t> </w:t>
            </w:r>
            <w:r>
              <w:rPr>
                <w:spacing w:val="-1"/>
                <w:w w:val="93"/>
              </w:rPr>
              <w:t>bor</w:t>
            </w:r>
            <w:r>
              <w:rPr>
                <w:spacing w:val="-3"/>
                <w:w w:val="93"/>
              </w:rPr>
              <w:t>r</w:t>
            </w:r>
            <w:r>
              <w:rPr>
                <w:spacing w:val="-3"/>
                <w:w w:val="102"/>
              </w:rPr>
              <w:t>o</w:t>
            </w:r>
            <w:r>
              <w:rPr>
                <w:spacing w:val="-1"/>
                <w:w w:val="96"/>
              </w:rPr>
              <w:t>win</w:t>
            </w:r>
            <w:r>
              <w:rPr>
                <w:w w:val="96"/>
              </w:rPr>
              <w:t>g</w:t>
            </w:r>
            <w:r>
              <w:rPr>
                <w:spacing w:val="7"/>
              </w:rPr>
              <w:t> </w:t>
            </w:r>
            <w:r>
              <w:rPr>
                <w:spacing w:val="-1"/>
                <w:w w:val="92"/>
              </w:rPr>
              <w:t>rates</w:t>
            </w:r>
          </w:hyperlink>
          <w:r>
            <w:rPr>
              <w:rFonts w:ascii="Times New Roman"/>
            </w:rPr>
            <w:t> </w:t>
            <w:tab/>
          </w:r>
          <w:r>
            <w:rPr>
              <w:smallCaps/>
              <w:spacing w:val="-1"/>
              <w:w w:val="89"/>
            </w:rPr>
            <w:t>10</w:t>
          </w:r>
        </w:p>
        <w:p>
          <w:pPr>
            <w:pStyle w:val="TOC4"/>
            <w:tabs>
              <w:tab w:pos="10274" w:val="right" w:leader="none"/>
            </w:tabs>
          </w:pPr>
          <w:hyperlink w:history="true" w:anchor="_bookmark10">
            <w:r>
              <w:rPr>
                <w:spacing w:val="-1"/>
                <w:w w:val="92"/>
              </w:rPr>
              <w:t>Corporat</w:t>
            </w:r>
            <w:r>
              <w:rPr>
                <w:w w:val="92"/>
              </w:rPr>
              <w:t>e</w:t>
            </w:r>
            <w:r>
              <w:rPr>
                <w:spacing w:val="7"/>
              </w:rPr>
              <w:t> </w:t>
            </w:r>
            <w:r>
              <w:rPr>
                <w:spacing w:val="-1"/>
                <w:w w:val="93"/>
              </w:rPr>
              <w:t>bor</w:t>
            </w:r>
            <w:r>
              <w:rPr>
                <w:spacing w:val="-3"/>
                <w:w w:val="93"/>
              </w:rPr>
              <w:t>r</w:t>
            </w:r>
            <w:r>
              <w:rPr>
                <w:spacing w:val="-3"/>
                <w:w w:val="102"/>
              </w:rPr>
              <w:t>o</w:t>
            </w:r>
            <w:r>
              <w:rPr>
                <w:spacing w:val="-1"/>
                <w:w w:val="96"/>
              </w:rPr>
              <w:t>win</w:t>
            </w:r>
            <w:r>
              <w:rPr>
                <w:w w:val="96"/>
              </w:rPr>
              <w:t>g</w:t>
            </w:r>
            <w:r>
              <w:rPr>
                <w:spacing w:val="7"/>
              </w:rPr>
              <w:t> </w:t>
            </w:r>
            <w:r>
              <w:rPr>
                <w:spacing w:val="-1"/>
                <w:w w:val="92"/>
              </w:rPr>
              <w:t>rates</w:t>
            </w:r>
          </w:hyperlink>
          <w:r>
            <w:rPr>
              <w:rFonts w:ascii="Times New Roman"/>
            </w:rPr>
            <w:t> </w:t>
            <w:tab/>
          </w:r>
          <w:r>
            <w:rPr>
              <w:smallCaps/>
              <w:spacing w:val="-1"/>
              <w:w w:val="89"/>
            </w:rPr>
            <w:t>10</w:t>
          </w:r>
        </w:p>
        <w:p>
          <w:pPr>
            <w:pStyle w:val="TOC4"/>
            <w:tabs>
              <w:tab w:pos="10274" w:val="right" w:leader="none"/>
            </w:tabs>
          </w:pPr>
          <w:hyperlink w:history="true" w:anchor="_bookmark11">
            <w:r>
              <w:rPr>
                <w:spacing w:val="-2"/>
                <w:w w:val="96"/>
              </w:rPr>
              <w:t>E</w:t>
            </w:r>
            <w:r>
              <w:rPr>
                <w:spacing w:val="-1"/>
                <w:w w:val="93"/>
              </w:rPr>
              <w:t>quit</w:t>
            </w:r>
            <w:r>
              <w:rPr>
                <w:w w:val="93"/>
              </w:rPr>
              <w:t>y</w:t>
            </w:r>
            <w:r>
              <w:rPr>
                <w:spacing w:val="7"/>
              </w:rPr>
              <w:t> </w:t>
            </w:r>
            <w:r>
              <w:rPr>
                <w:spacing w:val="-1"/>
                <w:w w:val="93"/>
              </w:rPr>
              <w:t>prices</w:t>
            </w:r>
          </w:hyperlink>
          <w:r>
            <w:rPr>
              <w:rFonts w:ascii="Times New Roman"/>
            </w:rPr>
            <w:t> </w:t>
            <w:tab/>
          </w:r>
          <w:r>
            <w:rPr>
              <w:smallCaps/>
              <w:spacing w:val="-1"/>
              <w:w w:val="77"/>
            </w:rPr>
            <w:t>1</w:t>
          </w:r>
          <w:r>
            <w:rPr>
              <w:smallCaps/>
              <w:w w:val="77"/>
            </w:rPr>
            <w:t>1</w:t>
          </w:r>
        </w:p>
        <w:p>
          <w:pPr>
            <w:pStyle w:val="TOC4"/>
            <w:tabs>
              <w:tab w:pos="10274" w:val="right" w:leader="none"/>
            </w:tabs>
            <w:spacing w:before="42"/>
          </w:pPr>
          <w:hyperlink w:history="true" w:anchor="_bookmark11">
            <w:r>
              <w:rPr>
                <w:spacing w:val="-8"/>
                <w:w w:val="102"/>
              </w:rPr>
              <w:t>P</w:t>
            </w:r>
            <w:r>
              <w:rPr>
                <w:spacing w:val="-3"/>
                <w:w w:val="82"/>
              </w:rPr>
              <w:t>r</w:t>
            </w:r>
            <w:r>
              <w:rPr>
                <w:spacing w:val="-1"/>
                <w:w w:val="92"/>
              </w:rPr>
              <w:t>opert</w:t>
            </w:r>
            <w:r>
              <w:rPr>
                <w:w w:val="92"/>
              </w:rPr>
              <w:t>y</w:t>
            </w:r>
            <w:r>
              <w:rPr>
                <w:spacing w:val="7"/>
              </w:rPr>
              <w:t> </w:t>
            </w:r>
            <w:r>
              <w:rPr>
                <w:spacing w:val="-1"/>
                <w:w w:val="93"/>
              </w:rPr>
              <w:t>prices</w:t>
            </w:r>
          </w:hyperlink>
          <w:r>
            <w:rPr>
              <w:rFonts w:ascii="Times New Roman"/>
            </w:rPr>
            <w:t> </w:t>
            <w:tab/>
          </w:r>
          <w:r>
            <w:rPr>
              <w:smallCaps/>
              <w:spacing w:val="-1"/>
              <w:w w:val="77"/>
            </w:rPr>
            <w:t>11</w:t>
          </w:r>
        </w:p>
        <w:p>
          <w:pPr>
            <w:pStyle w:val="TOC4"/>
            <w:tabs>
              <w:tab w:pos="10274" w:val="right" w:leader="none"/>
            </w:tabs>
          </w:pPr>
          <w:hyperlink w:history="true" w:anchor="_bookmark15">
            <w:r>
              <w:rPr>
                <w:spacing w:val="-2"/>
                <w:w w:val="96"/>
              </w:rPr>
              <w:t>E</w:t>
            </w:r>
            <w:r>
              <w:rPr>
                <w:spacing w:val="-3"/>
                <w:w w:val="89"/>
              </w:rPr>
              <w:t>x</w:t>
            </w:r>
            <w:r>
              <w:rPr>
                <w:spacing w:val="-1"/>
                <w:w w:val="95"/>
              </w:rPr>
              <w:t>chang</w:t>
            </w:r>
            <w:r>
              <w:rPr>
                <w:w w:val="95"/>
              </w:rPr>
              <w:t>e</w:t>
            </w:r>
            <w:r>
              <w:rPr>
                <w:spacing w:val="7"/>
              </w:rPr>
              <w:t> </w:t>
            </w:r>
            <w:r>
              <w:rPr>
                <w:spacing w:val="-1"/>
                <w:w w:val="92"/>
              </w:rPr>
              <w:t>rates</w:t>
            </w:r>
          </w:hyperlink>
          <w:r>
            <w:rPr>
              <w:rFonts w:ascii="Times New Roman"/>
            </w:rPr>
            <w:t> </w:t>
            <w:tab/>
          </w:r>
          <w:r>
            <w:rPr>
              <w:smallCaps/>
              <w:spacing w:val="-1"/>
              <w:w w:val="89"/>
            </w:rPr>
            <w:t>13</w:t>
          </w:r>
        </w:p>
        <w:p>
          <w:pPr>
            <w:pStyle w:val="TOC2"/>
            <w:numPr>
              <w:ilvl w:val="1"/>
              <w:numId w:val="1"/>
            </w:numPr>
            <w:tabs>
              <w:tab w:pos="5934" w:val="left" w:leader="none"/>
              <w:tab w:pos="5935" w:val="left" w:leader="none"/>
              <w:tab w:pos="10274" w:val="right" w:leader="none"/>
            </w:tabs>
            <w:spacing w:line="240" w:lineRule="auto" w:before="41" w:after="0"/>
            <w:ind w:left="5934" w:right="0" w:hanging="561"/>
            <w:jc w:val="left"/>
          </w:pPr>
          <w:hyperlink w:history="true" w:anchor="_bookmark16">
            <w:r>
              <w:rPr>
                <w:smallCaps w:val="0"/>
              </w:rPr>
              <w:t>Summary</w:t>
            </w:r>
          </w:hyperlink>
          <w:r>
            <w:rPr>
              <w:smallCaps w:val="0"/>
            </w:rPr>
            <w:tab/>
          </w:r>
          <w:r>
            <w:rPr>
              <w:smallCaps/>
            </w:rPr>
            <w:t>1</w:t>
          </w:r>
          <w:r>
            <w:rPr>
              <w:smallCaps w:val="0"/>
            </w:rPr>
            <w:t>4</w:t>
          </w:r>
        </w:p>
        <w:p>
          <w:pPr>
            <w:pStyle w:val="TOC3"/>
            <w:spacing w:line="259" w:lineRule="auto"/>
          </w:pPr>
          <w:r>
            <w:rPr>
              <w:i/>
            </w:rPr>
            <w:t>Boxes:</w:t>
          </w:r>
          <w:r>
            <w:rPr>
              <w:i/>
              <w:spacing w:val="-4"/>
            </w:rPr>
            <w:t> </w:t>
          </w:r>
          <w:hyperlink w:history="true" w:anchor="_bookmark4">
            <w:r>
              <w:rPr>
                <w:i/>
              </w:rPr>
              <w:t>Structural</w:t>
            </w:r>
            <w:r>
              <w:rPr>
                <w:i/>
                <w:spacing w:val="-41"/>
              </w:rPr>
              <w:t> </w:t>
            </w:r>
            <w:r>
              <w:rPr>
                <w:i/>
              </w:rPr>
              <w:t>change</w:t>
            </w:r>
            <w:r>
              <w:rPr>
                <w:i/>
                <w:spacing w:val="-42"/>
              </w:rPr>
              <w:t> </w:t>
            </w:r>
            <w:r>
              <w:rPr>
                <w:i/>
              </w:rPr>
              <w:t>in</w:t>
            </w:r>
            <w:r>
              <w:rPr>
                <w:i/>
                <w:spacing w:val="-42"/>
              </w:rPr>
              <w:t> </w:t>
            </w:r>
            <w:r>
              <w:rPr>
                <w:i/>
              </w:rPr>
              <w:t>the</w:t>
            </w:r>
            <w:r>
              <w:rPr>
                <w:i/>
                <w:spacing w:val="-41"/>
              </w:rPr>
              <w:t> </w:t>
            </w:r>
            <w:r>
              <w:rPr>
                <w:i/>
              </w:rPr>
              <w:t>retail </w:t>
            </w:r>
            <w:r>
              <w:rPr>
                <w:w w:val="95"/>
              </w:rPr>
              <w:t>credit markets and</w:t>
            </w:r>
            <w:r>
              <w:rPr>
                <w:spacing w:val="-12"/>
                <w:w w:val="95"/>
              </w:rPr>
              <w:t> </w:t>
            </w:r>
            <w:r>
              <w:rPr>
                <w:w w:val="95"/>
              </w:rPr>
              <w:t>household</w:t>
            </w:r>
          </w:hyperlink>
        </w:p>
        <w:p>
          <w:pPr>
            <w:pStyle w:val="TOC5"/>
            <w:tabs>
              <w:tab w:pos="10274" w:val="right" w:leader="none"/>
            </w:tabs>
            <w:spacing w:line="277" w:lineRule="exact"/>
            <w:rPr>
              <w:i/>
            </w:rPr>
          </w:pPr>
          <w:hyperlink w:history="true" w:anchor="_bookmark4">
            <w:r>
              <w:rPr>
                <w:i/>
              </w:rPr>
              <w:t>consumption</w:t>
            </w:r>
          </w:hyperlink>
          <w:r>
            <w:rPr>
              <w:i/>
            </w:rPr>
            <w:tab/>
            <w:t>6</w:t>
          </w:r>
        </w:p>
        <w:p>
          <w:pPr>
            <w:pStyle w:val="TOC5"/>
            <w:tabs>
              <w:tab w:pos="10274" w:val="right" w:leader="none"/>
            </w:tabs>
            <w:spacing w:before="21"/>
            <w:rPr>
              <w:i/>
            </w:rPr>
          </w:pPr>
          <w:hyperlink w:history="true" w:anchor="_bookmark12">
            <w:r>
              <w:rPr>
                <w:i/>
                <w:spacing w:val="-1"/>
                <w:w w:val="95"/>
              </w:rPr>
              <w:t>Analysin</w:t>
            </w:r>
            <w:r>
              <w:rPr>
                <w:i/>
                <w:w w:val="95"/>
              </w:rPr>
              <w:t>g</w:t>
            </w:r>
            <w:r>
              <w:rPr>
                <w:i/>
                <w:spacing w:val="7"/>
              </w:rPr>
              <w:t> </w:t>
            </w:r>
            <w:r>
              <w:rPr>
                <w:i/>
                <w:spacing w:val="-1"/>
                <w:w w:val="96"/>
              </w:rPr>
              <w:t>U</w:t>
            </w:r>
            <w:r>
              <w:rPr>
                <w:i/>
                <w:w w:val="96"/>
              </w:rPr>
              <w:t>K</w:t>
            </w:r>
            <w:r>
              <w:rPr>
                <w:i/>
                <w:spacing w:val="7"/>
              </w:rPr>
              <w:t> </w:t>
            </w:r>
            <w:r>
              <w:rPr>
                <w:i/>
                <w:spacing w:val="-1"/>
                <w:w w:val="86"/>
              </w:rPr>
              <w:t>profi</w:t>
            </w:r>
            <w:r>
              <w:rPr>
                <w:i/>
                <w:w w:val="86"/>
              </w:rPr>
              <w:t>t</w:t>
            </w:r>
            <w:r>
              <w:rPr>
                <w:i/>
                <w:spacing w:val="7"/>
              </w:rPr>
              <w:t> </w:t>
            </w:r>
            <w:r>
              <w:rPr>
                <w:i/>
                <w:spacing w:val="-1"/>
                <w:w w:val="95"/>
              </w:rPr>
              <w:t>warnings</w:t>
            </w:r>
          </w:hyperlink>
          <w:r>
            <w:rPr>
              <w:rFonts w:ascii="Times New Roman"/>
              <w:i w:val="0"/>
            </w:rPr>
            <w:t> </w:t>
            <w:tab/>
          </w:r>
          <w:r>
            <w:rPr>
              <w:i/>
              <w:smallCaps/>
              <w:spacing w:val="-1"/>
              <w:w w:val="89"/>
            </w:rPr>
            <w:t>12</w:t>
          </w:r>
        </w:p>
        <w:p>
          <w:pPr>
            <w:pStyle w:val="TOC1"/>
            <w:numPr>
              <w:ilvl w:val="0"/>
              <w:numId w:val="1"/>
            </w:numPr>
            <w:tabs>
              <w:tab w:pos="5374" w:val="left" w:leader="none"/>
              <w:tab w:pos="5375" w:val="left" w:leader="none"/>
              <w:tab w:pos="10274" w:val="right" w:leader="none"/>
            </w:tabs>
            <w:spacing w:line="240" w:lineRule="auto" w:before="361" w:after="45"/>
            <w:ind w:left="5374" w:right="0" w:hanging="381"/>
            <w:jc w:val="left"/>
            <w:rPr>
              <w:color w:val="89C6DC"/>
            </w:rPr>
          </w:pPr>
          <w:hyperlink w:history="true" w:anchor="_bookmark21">
            <w:r>
              <w:rPr>
                <w:smallCaps w:val="0"/>
                <w:color w:val="89C6DC"/>
              </w:rPr>
              <w:t>Demand</w:t>
            </w:r>
            <w:r>
              <w:rPr>
                <w:smallCaps w:val="0"/>
                <w:color w:val="89C6DC"/>
                <w:spacing w:val="-1"/>
              </w:rPr>
              <w:t> </w:t>
            </w:r>
            <w:r>
              <w:rPr>
                <w:smallCaps w:val="0"/>
                <w:color w:val="89C6DC"/>
              </w:rPr>
              <w:t>and output</w:t>
            </w:r>
          </w:hyperlink>
          <w:r>
            <w:rPr>
              <w:smallCaps w:val="0"/>
              <w:color w:val="89C6DC"/>
            </w:rPr>
            <w:tab/>
          </w:r>
          <w:r>
            <w:rPr>
              <w:smallCaps/>
            </w:rPr>
            <w:t>15</w:t>
          </w:r>
        </w:p>
      </w:sdtContent>
    </w:sdt>
    <w:tbl>
      <w:tblPr>
        <w:tblW w:w="0" w:type="auto"/>
        <w:jc w:val="left"/>
        <w:tblInd w:w="5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6"/>
        <w:gridCol w:w="3929"/>
        <w:gridCol w:w="513"/>
      </w:tblGrid>
      <w:tr>
        <w:trPr>
          <w:trHeight w:val="297" w:hRule="atLeast"/>
        </w:trPr>
        <w:tc>
          <w:tcPr>
            <w:tcW w:w="556" w:type="dxa"/>
          </w:tcPr>
          <w:p>
            <w:pPr>
              <w:pStyle w:val="TableParagraph"/>
              <w:spacing w:line="275" w:lineRule="exact"/>
              <w:ind w:left="50"/>
              <w:rPr>
                <w:rFonts w:ascii="Trebuchet MS"/>
                <w:b/>
                <w:sz w:val="24"/>
              </w:rPr>
            </w:pPr>
            <w:hyperlink w:history="true" w:anchor="_bookmark17">
              <w:r>
                <w:rPr>
                  <w:rFonts w:ascii="Trebuchet MS"/>
                  <w:b/>
                  <w:smallCaps/>
                  <w:spacing w:val="-1"/>
                  <w:w w:val="81"/>
                  <w:sz w:val="24"/>
                </w:rPr>
                <w:t>2.1</w:t>
              </w:r>
            </w:hyperlink>
          </w:p>
        </w:tc>
        <w:tc>
          <w:tcPr>
            <w:tcW w:w="3929" w:type="dxa"/>
          </w:tcPr>
          <w:p>
            <w:pPr>
              <w:pStyle w:val="TableParagraph"/>
              <w:spacing w:line="275" w:lineRule="exact"/>
              <w:ind w:left="53"/>
              <w:rPr>
                <w:rFonts w:ascii="Trebuchet MS"/>
                <w:b/>
                <w:sz w:val="24"/>
              </w:rPr>
            </w:pPr>
            <w:hyperlink w:history="true" w:anchor="_bookmark17">
              <w:r>
                <w:rPr>
                  <w:rFonts w:ascii="Trebuchet MS"/>
                  <w:b/>
                  <w:sz w:val="24"/>
                </w:rPr>
                <w:t>External demand</w:t>
              </w:r>
            </w:hyperlink>
          </w:p>
        </w:tc>
        <w:tc>
          <w:tcPr>
            <w:tcW w:w="513" w:type="dxa"/>
          </w:tcPr>
          <w:p>
            <w:pPr>
              <w:pStyle w:val="TableParagraph"/>
              <w:spacing w:line="275" w:lineRule="exact"/>
              <w:ind w:right="45"/>
              <w:jc w:val="right"/>
              <w:rPr>
                <w:rFonts w:ascii="Trebuchet MS"/>
                <w:b/>
                <w:sz w:val="24"/>
              </w:rPr>
            </w:pPr>
            <w:r>
              <w:rPr>
                <w:rFonts w:ascii="Trebuchet MS"/>
                <w:b/>
                <w:smallCaps/>
                <w:spacing w:val="-1"/>
                <w:w w:val="83"/>
                <w:sz w:val="24"/>
              </w:rPr>
              <w:t>15</w:t>
            </w:r>
          </w:p>
        </w:tc>
      </w:tr>
      <w:tr>
        <w:trPr>
          <w:trHeight w:val="319" w:hRule="atLeast"/>
        </w:trPr>
        <w:tc>
          <w:tcPr>
            <w:tcW w:w="556" w:type="dxa"/>
          </w:tcPr>
          <w:p>
            <w:pPr>
              <w:pStyle w:val="TableParagraph"/>
              <w:spacing w:before="18"/>
              <w:ind w:left="50"/>
              <w:rPr>
                <w:rFonts w:ascii="Trebuchet MS"/>
                <w:b/>
                <w:sz w:val="24"/>
              </w:rPr>
            </w:pPr>
            <w:hyperlink w:history="true" w:anchor="_bookmark21">
              <w:r>
                <w:rPr>
                  <w:rFonts w:ascii="Trebuchet MS"/>
                  <w:b/>
                  <w:smallCaps/>
                  <w:spacing w:val="-1"/>
                  <w:w w:val="87"/>
                  <w:sz w:val="24"/>
                </w:rPr>
                <w:t>2.2</w:t>
              </w:r>
            </w:hyperlink>
          </w:p>
        </w:tc>
        <w:tc>
          <w:tcPr>
            <w:tcW w:w="3929" w:type="dxa"/>
          </w:tcPr>
          <w:p>
            <w:pPr>
              <w:pStyle w:val="TableParagraph"/>
              <w:spacing w:before="18"/>
              <w:ind w:left="54"/>
              <w:rPr>
                <w:rFonts w:ascii="Trebuchet MS"/>
                <w:b/>
                <w:sz w:val="24"/>
              </w:rPr>
            </w:pPr>
            <w:hyperlink w:history="true" w:anchor="_bookmark21">
              <w:r>
                <w:rPr>
                  <w:rFonts w:ascii="Trebuchet MS"/>
                  <w:b/>
                  <w:sz w:val="24"/>
                </w:rPr>
                <w:t>Domestic demand</w:t>
              </w:r>
            </w:hyperlink>
          </w:p>
        </w:tc>
        <w:tc>
          <w:tcPr>
            <w:tcW w:w="513" w:type="dxa"/>
          </w:tcPr>
          <w:p>
            <w:pPr>
              <w:pStyle w:val="TableParagraph"/>
              <w:spacing w:before="18"/>
              <w:ind w:right="45"/>
              <w:jc w:val="right"/>
              <w:rPr>
                <w:rFonts w:ascii="Trebuchet MS"/>
                <w:b/>
                <w:sz w:val="24"/>
              </w:rPr>
            </w:pPr>
            <w:r>
              <w:rPr>
                <w:rFonts w:ascii="Trebuchet MS"/>
                <w:b/>
                <w:smallCaps/>
                <w:spacing w:val="-1"/>
                <w:w w:val="91"/>
                <w:sz w:val="24"/>
              </w:rPr>
              <w:t>20</w:t>
            </w:r>
          </w:p>
        </w:tc>
      </w:tr>
      <w:tr>
        <w:trPr>
          <w:trHeight w:val="318" w:hRule="atLeast"/>
        </w:trPr>
        <w:tc>
          <w:tcPr>
            <w:tcW w:w="556" w:type="dxa"/>
          </w:tcPr>
          <w:p>
            <w:pPr>
              <w:pStyle w:val="TableParagraph"/>
              <w:rPr>
                <w:sz w:val="24"/>
              </w:rPr>
            </w:pPr>
          </w:p>
        </w:tc>
        <w:tc>
          <w:tcPr>
            <w:tcW w:w="3929" w:type="dxa"/>
          </w:tcPr>
          <w:p>
            <w:pPr>
              <w:pStyle w:val="TableParagraph"/>
              <w:spacing w:before="18"/>
              <w:ind w:left="353"/>
              <w:rPr>
                <w:rFonts w:ascii="Trebuchet MS"/>
                <w:sz w:val="24"/>
              </w:rPr>
            </w:pPr>
            <w:hyperlink w:history="true" w:anchor="_bookmark23">
              <w:r>
                <w:rPr>
                  <w:rFonts w:ascii="Trebuchet MS"/>
                  <w:sz w:val="24"/>
                </w:rPr>
                <w:t>Household sector consumption</w:t>
              </w:r>
            </w:hyperlink>
          </w:p>
        </w:tc>
        <w:tc>
          <w:tcPr>
            <w:tcW w:w="513" w:type="dxa"/>
          </w:tcPr>
          <w:p>
            <w:pPr>
              <w:pStyle w:val="TableParagraph"/>
              <w:spacing w:before="18"/>
              <w:ind w:right="45"/>
              <w:jc w:val="right"/>
              <w:rPr>
                <w:rFonts w:ascii="Trebuchet MS"/>
                <w:sz w:val="24"/>
              </w:rPr>
            </w:pPr>
            <w:r>
              <w:rPr>
                <w:rFonts w:ascii="Trebuchet MS"/>
                <w:smallCaps/>
                <w:spacing w:val="-1"/>
                <w:w w:val="102"/>
                <w:sz w:val="24"/>
              </w:rPr>
              <w:t>2</w:t>
            </w:r>
            <w:r>
              <w:rPr>
                <w:rFonts w:ascii="Trebuchet MS"/>
                <w:smallCaps/>
                <w:w w:val="77"/>
                <w:sz w:val="24"/>
              </w:rPr>
              <w:t>1</w:t>
            </w:r>
          </w:p>
        </w:tc>
      </w:tr>
      <w:tr>
        <w:trPr>
          <w:trHeight w:val="319" w:hRule="atLeast"/>
        </w:trPr>
        <w:tc>
          <w:tcPr>
            <w:tcW w:w="556" w:type="dxa"/>
          </w:tcPr>
          <w:p>
            <w:pPr>
              <w:pStyle w:val="TableParagraph"/>
              <w:rPr>
                <w:sz w:val="24"/>
              </w:rPr>
            </w:pPr>
          </w:p>
        </w:tc>
        <w:tc>
          <w:tcPr>
            <w:tcW w:w="3929" w:type="dxa"/>
          </w:tcPr>
          <w:p>
            <w:pPr>
              <w:pStyle w:val="TableParagraph"/>
              <w:spacing w:before="20"/>
              <w:ind w:left="353"/>
              <w:rPr>
                <w:rFonts w:ascii="Trebuchet MS"/>
                <w:sz w:val="24"/>
              </w:rPr>
            </w:pPr>
            <w:hyperlink w:history="true" w:anchor="_bookmark24">
              <w:r>
                <w:rPr>
                  <w:rFonts w:ascii="Trebuchet MS"/>
                  <w:sz w:val="24"/>
                </w:rPr>
                <w:t>Private sector investment</w:t>
              </w:r>
            </w:hyperlink>
          </w:p>
        </w:tc>
        <w:tc>
          <w:tcPr>
            <w:tcW w:w="513" w:type="dxa"/>
          </w:tcPr>
          <w:p>
            <w:pPr>
              <w:pStyle w:val="TableParagraph"/>
              <w:spacing w:before="20"/>
              <w:ind w:right="46"/>
              <w:jc w:val="right"/>
              <w:rPr>
                <w:rFonts w:ascii="Trebuchet MS"/>
                <w:sz w:val="24"/>
              </w:rPr>
            </w:pPr>
            <w:r>
              <w:rPr>
                <w:rFonts w:ascii="Trebuchet MS"/>
                <w:smallCaps/>
                <w:spacing w:val="-1"/>
                <w:w w:val="102"/>
                <w:sz w:val="24"/>
              </w:rPr>
              <w:t>23</w:t>
            </w:r>
          </w:p>
        </w:tc>
      </w:tr>
      <w:tr>
        <w:trPr>
          <w:trHeight w:val="319" w:hRule="atLeast"/>
        </w:trPr>
        <w:tc>
          <w:tcPr>
            <w:tcW w:w="556" w:type="dxa"/>
          </w:tcPr>
          <w:p>
            <w:pPr>
              <w:pStyle w:val="TableParagraph"/>
              <w:rPr>
                <w:sz w:val="24"/>
              </w:rPr>
            </w:pPr>
          </w:p>
        </w:tc>
        <w:tc>
          <w:tcPr>
            <w:tcW w:w="3929" w:type="dxa"/>
          </w:tcPr>
          <w:p>
            <w:pPr>
              <w:pStyle w:val="TableParagraph"/>
              <w:spacing w:before="20"/>
              <w:ind w:left="353"/>
              <w:rPr>
                <w:rFonts w:ascii="Trebuchet MS"/>
                <w:sz w:val="24"/>
              </w:rPr>
            </w:pPr>
            <w:hyperlink w:history="true" w:anchor="_bookmark25">
              <w:r>
                <w:rPr>
                  <w:rFonts w:ascii="Trebuchet MS"/>
                  <w:sz w:val="24"/>
                </w:rPr>
                <w:t>Public sector demand</w:t>
              </w:r>
            </w:hyperlink>
          </w:p>
        </w:tc>
        <w:tc>
          <w:tcPr>
            <w:tcW w:w="513" w:type="dxa"/>
          </w:tcPr>
          <w:p>
            <w:pPr>
              <w:pStyle w:val="TableParagraph"/>
              <w:spacing w:before="20"/>
              <w:ind w:right="45"/>
              <w:jc w:val="right"/>
              <w:rPr>
                <w:rFonts w:ascii="Trebuchet MS"/>
                <w:sz w:val="24"/>
              </w:rPr>
            </w:pPr>
            <w:r>
              <w:rPr>
                <w:rFonts w:ascii="Trebuchet MS"/>
                <w:smallCaps/>
                <w:spacing w:val="-1"/>
                <w:w w:val="102"/>
                <w:sz w:val="24"/>
              </w:rPr>
              <w:t>25</w:t>
            </w:r>
          </w:p>
        </w:tc>
      </w:tr>
      <w:tr>
        <w:trPr>
          <w:trHeight w:val="309" w:hRule="atLeast"/>
        </w:trPr>
        <w:tc>
          <w:tcPr>
            <w:tcW w:w="556" w:type="dxa"/>
          </w:tcPr>
          <w:p>
            <w:pPr>
              <w:pStyle w:val="TableParagraph"/>
              <w:rPr>
                <w:sz w:val="22"/>
              </w:rPr>
            </w:pPr>
          </w:p>
        </w:tc>
        <w:tc>
          <w:tcPr>
            <w:tcW w:w="3929" w:type="dxa"/>
          </w:tcPr>
          <w:p>
            <w:pPr>
              <w:pStyle w:val="TableParagraph"/>
              <w:spacing w:line="269" w:lineRule="exact" w:before="20"/>
              <w:ind w:left="353"/>
              <w:rPr>
                <w:rFonts w:ascii="Trebuchet MS"/>
                <w:sz w:val="24"/>
              </w:rPr>
            </w:pPr>
            <w:hyperlink w:history="true" w:anchor="_bookmark25">
              <w:r>
                <w:rPr>
                  <w:rFonts w:ascii="Trebuchet MS"/>
                  <w:sz w:val="24"/>
                </w:rPr>
                <w:t>Inventories</w:t>
              </w:r>
            </w:hyperlink>
          </w:p>
        </w:tc>
        <w:tc>
          <w:tcPr>
            <w:tcW w:w="513" w:type="dxa"/>
          </w:tcPr>
          <w:p>
            <w:pPr>
              <w:pStyle w:val="TableParagraph"/>
              <w:spacing w:line="269" w:lineRule="exact" w:before="20"/>
              <w:ind w:right="46"/>
              <w:jc w:val="right"/>
              <w:rPr>
                <w:rFonts w:ascii="Trebuchet MS"/>
                <w:sz w:val="24"/>
              </w:rPr>
            </w:pPr>
            <w:r>
              <w:rPr>
                <w:rFonts w:ascii="Trebuchet MS"/>
                <w:smallCaps/>
                <w:spacing w:val="-1"/>
                <w:w w:val="102"/>
                <w:sz w:val="24"/>
              </w:rPr>
              <w:t>25</w:t>
            </w:r>
          </w:p>
        </w:tc>
      </w:tr>
      <w:tr>
        <w:trPr>
          <w:trHeight w:val="301" w:hRule="atLeast"/>
        </w:trPr>
        <w:tc>
          <w:tcPr>
            <w:tcW w:w="556" w:type="dxa"/>
          </w:tcPr>
          <w:p>
            <w:pPr>
              <w:pStyle w:val="TableParagraph"/>
              <w:spacing w:line="271" w:lineRule="exact" w:before="10"/>
              <w:ind w:left="50"/>
              <w:rPr>
                <w:rFonts w:ascii="Trebuchet MS"/>
                <w:b/>
                <w:sz w:val="24"/>
              </w:rPr>
            </w:pPr>
            <w:hyperlink w:history="true" w:anchor="_bookmark26">
              <w:r>
                <w:rPr>
                  <w:rFonts w:ascii="Trebuchet MS"/>
                  <w:b/>
                  <w:smallCaps/>
                  <w:spacing w:val="-1"/>
                  <w:w w:val="87"/>
                  <w:sz w:val="24"/>
                </w:rPr>
                <w:t>2.3</w:t>
              </w:r>
            </w:hyperlink>
          </w:p>
        </w:tc>
        <w:tc>
          <w:tcPr>
            <w:tcW w:w="3929" w:type="dxa"/>
          </w:tcPr>
          <w:p>
            <w:pPr>
              <w:pStyle w:val="TableParagraph"/>
              <w:spacing w:line="271" w:lineRule="exact" w:before="10"/>
              <w:ind w:left="53"/>
              <w:rPr>
                <w:rFonts w:ascii="Trebuchet MS"/>
                <w:b/>
                <w:sz w:val="24"/>
              </w:rPr>
            </w:pPr>
            <w:hyperlink w:history="true" w:anchor="_bookmark26">
              <w:r>
                <w:rPr>
                  <w:rFonts w:ascii="Trebuchet MS"/>
                  <w:b/>
                  <w:sz w:val="24"/>
                </w:rPr>
                <w:t>Output</w:t>
              </w:r>
            </w:hyperlink>
          </w:p>
        </w:tc>
        <w:tc>
          <w:tcPr>
            <w:tcW w:w="513" w:type="dxa"/>
          </w:tcPr>
          <w:p>
            <w:pPr>
              <w:pStyle w:val="TableParagraph"/>
              <w:spacing w:line="271" w:lineRule="exact" w:before="10"/>
              <w:ind w:right="46"/>
              <w:jc w:val="right"/>
              <w:rPr>
                <w:rFonts w:ascii="Trebuchet MS"/>
                <w:b/>
                <w:sz w:val="24"/>
              </w:rPr>
            </w:pPr>
            <w:r>
              <w:rPr>
                <w:rFonts w:ascii="Trebuchet MS"/>
                <w:b/>
                <w:smallCaps/>
                <w:spacing w:val="-1"/>
                <w:w w:val="91"/>
                <w:sz w:val="24"/>
              </w:rPr>
              <w:t>26</w:t>
            </w:r>
          </w:p>
        </w:tc>
      </w:tr>
      <w:tr>
        <w:trPr>
          <w:trHeight w:val="885" w:hRule="atLeast"/>
        </w:trPr>
        <w:tc>
          <w:tcPr>
            <w:tcW w:w="556" w:type="dxa"/>
          </w:tcPr>
          <w:p>
            <w:pPr>
              <w:pStyle w:val="TableParagraph"/>
              <w:spacing w:before="8"/>
              <w:ind w:left="50"/>
              <w:rPr>
                <w:rFonts w:ascii="Trebuchet MS"/>
                <w:b/>
                <w:sz w:val="24"/>
              </w:rPr>
            </w:pPr>
            <w:hyperlink w:history="true" w:anchor="_bookmark28">
              <w:r>
                <w:rPr>
                  <w:rFonts w:ascii="Trebuchet MS"/>
                  <w:b/>
                  <w:smallCaps/>
                  <w:spacing w:val="-1"/>
                  <w:w w:val="87"/>
                  <w:sz w:val="24"/>
                </w:rPr>
                <w:t>2.4</w:t>
              </w:r>
            </w:hyperlink>
          </w:p>
          <w:p>
            <w:pPr>
              <w:pStyle w:val="TableParagraph"/>
              <w:spacing w:before="22"/>
              <w:ind w:left="50"/>
              <w:rPr>
                <w:rFonts w:ascii="Trebuchet MS"/>
                <w:i/>
                <w:sz w:val="24"/>
              </w:rPr>
            </w:pPr>
            <w:r>
              <w:rPr>
                <w:rFonts w:ascii="Trebuchet MS"/>
                <w:i/>
                <w:sz w:val="24"/>
              </w:rPr>
              <w:t>Box:</w:t>
            </w:r>
          </w:p>
        </w:tc>
        <w:tc>
          <w:tcPr>
            <w:tcW w:w="3929" w:type="dxa"/>
          </w:tcPr>
          <w:p>
            <w:pPr>
              <w:pStyle w:val="TableParagraph"/>
              <w:spacing w:before="8"/>
              <w:ind w:left="53"/>
              <w:rPr>
                <w:rFonts w:ascii="Trebuchet MS"/>
                <w:b/>
                <w:sz w:val="24"/>
              </w:rPr>
            </w:pPr>
            <w:hyperlink w:history="true" w:anchor="_bookmark28">
              <w:r>
                <w:rPr>
                  <w:rFonts w:ascii="Trebuchet MS"/>
                  <w:b/>
                  <w:sz w:val="24"/>
                </w:rPr>
                <w:t>Summary</w:t>
              </w:r>
            </w:hyperlink>
          </w:p>
          <w:p>
            <w:pPr>
              <w:pStyle w:val="TableParagraph"/>
              <w:spacing w:line="300" w:lineRule="atLeast" w:before="1"/>
              <w:ind w:left="354"/>
              <w:rPr>
                <w:rFonts w:ascii="Trebuchet MS"/>
                <w:i/>
                <w:sz w:val="24"/>
              </w:rPr>
            </w:pPr>
            <w:hyperlink w:history="true" w:anchor="_bookmark19">
              <w:r>
                <w:rPr>
                  <w:rFonts w:ascii="Trebuchet MS"/>
                  <w:i/>
                  <w:w w:val="95"/>
                  <w:sz w:val="24"/>
                </w:rPr>
                <w:t>Recent global developments and </w:t>
              </w:r>
              <w:r>
                <w:rPr>
                  <w:rFonts w:ascii="Trebuchet MS"/>
                  <w:i/>
                  <w:sz w:val="24"/>
                </w:rPr>
                <w:t>the UK economy</w:t>
              </w:r>
            </w:hyperlink>
          </w:p>
        </w:tc>
        <w:tc>
          <w:tcPr>
            <w:tcW w:w="513" w:type="dxa"/>
          </w:tcPr>
          <w:p>
            <w:pPr>
              <w:pStyle w:val="TableParagraph"/>
              <w:spacing w:before="8"/>
              <w:ind w:left="207"/>
              <w:rPr>
                <w:rFonts w:ascii="Trebuchet MS"/>
                <w:b/>
                <w:sz w:val="24"/>
              </w:rPr>
            </w:pPr>
            <w:r>
              <w:rPr>
                <w:rFonts w:ascii="Trebuchet MS"/>
                <w:b/>
                <w:smallCaps/>
                <w:spacing w:val="-1"/>
                <w:w w:val="91"/>
                <w:sz w:val="24"/>
              </w:rPr>
              <w:t>2</w:t>
            </w:r>
            <w:r>
              <w:rPr>
                <w:rFonts w:ascii="Trebuchet MS"/>
                <w:b/>
                <w:smallCaps w:val="0"/>
                <w:w w:val="91"/>
                <w:sz w:val="24"/>
              </w:rPr>
              <w:t>7</w:t>
            </w:r>
          </w:p>
          <w:p>
            <w:pPr>
              <w:pStyle w:val="TableParagraph"/>
              <w:spacing w:before="8"/>
              <w:rPr>
                <w:rFonts w:ascii="Trebuchet MS"/>
                <w:b/>
                <w:sz w:val="27"/>
              </w:rPr>
            </w:pPr>
          </w:p>
          <w:p>
            <w:pPr>
              <w:pStyle w:val="TableParagraph"/>
              <w:spacing w:line="256" w:lineRule="exact"/>
              <w:ind w:left="239"/>
              <w:rPr>
                <w:rFonts w:ascii="Trebuchet MS"/>
                <w:i/>
                <w:sz w:val="24"/>
              </w:rPr>
            </w:pPr>
            <w:r>
              <w:rPr>
                <w:rFonts w:ascii="Trebuchet MS"/>
                <w:i/>
                <w:smallCaps/>
                <w:spacing w:val="-1"/>
                <w:w w:val="89"/>
                <w:sz w:val="24"/>
              </w:rPr>
              <w:t>18</w:t>
            </w:r>
          </w:p>
        </w:tc>
      </w:tr>
    </w:tbl>
    <w:p>
      <w:pPr>
        <w:pStyle w:val="BodyText"/>
        <w:spacing w:before="10"/>
        <w:rPr>
          <w:rFonts w:ascii="Trebuchet MS"/>
          <w:b/>
          <w:sz w:val="27"/>
        </w:rPr>
      </w:pPr>
    </w:p>
    <w:p>
      <w:pPr>
        <w:pStyle w:val="ListParagraph"/>
        <w:numPr>
          <w:ilvl w:val="0"/>
          <w:numId w:val="1"/>
        </w:numPr>
        <w:tabs>
          <w:tab w:pos="5374" w:val="left" w:leader="none"/>
          <w:tab w:pos="5375" w:val="left" w:leader="none"/>
          <w:tab w:pos="10017" w:val="left" w:leader="none"/>
        </w:tabs>
        <w:spacing w:line="240" w:lineRule="auto" w:before="0" w:after="0"/>
        <w:ind w:left="5374" w:right="0" w:hanging="381"/>
        <w:jc w:val="left"/>
        <w:rPr>
          <w:rFonts w:ascii="Trebuchet MS"/>
          <w:b/>
          <w:color w:val="89C6DC"/>
          <w:sz w:val="24"/>
        </w:rPr>
      </w:pPr>
      <w:hyperlink w:history="true" w:anchor="_bookmark29">
        <w:r>
          <w:rPr>
            <w:rFonts w:ascii="Trebuchet MS"/>
            <w:b/>
            <w:color w:val="89C6DC"/>
            <w:w w:val="95"/>
            <w:sz w:val="24"/>
          </w:rPr>
          <w:t>The</w:t>
        </w:r>
        <w:r>
          <w:rPr>
            <w:rFonts w:ascii="Trebuchet MS"/>
            <w:b/>
            <w:color w:val="89C6DC"/>
            <w:spacing w:val="-26"/>
            <w:w w:val="95"/>
            <w:sz w:val="24"/>
          </w:rPr>
          <w:t> </w:t>
        </w:r>
        <w:r>
          <w:rPr>
            <w:rFonts w:ascii="Trebuchet MS"/>
            <w:b/>
            <w:color w:val="89C6DC"/>
            <w:w w:val="95"/>
            <w:sz w:val="24"/>
          </w:rPr>
          <w:t>labour</w:t>
        </w:r>
        <w:r>
          <w:rPr>
            <w:rFonts w:ascii="Trebuchet MS"/>
            <w:b/>
            <w:color w:val="89C6DC"/>
            <w:spacing w:val="-25"/>
            <w:w w:val="95"/>
            <w:sz w:val="24"/>
          </w:rPr>
          <w:t> </w:t>
        </w:r>
        <w:r>
          <w:rPr>
            <w:rFonts w:ascii="Trebuchet MS"/>
            <w:b/>
            <w:color w:val="89C6DC"/>
            <w:w w:val="95"/>
            <w:sz w:val="24"/>
          </w:rPr>
          <w:t>market</w:t>
        </w:r>
      </w:hyperlink>
      <w:r>
        <w:rPr>
          <w:rFonts w:ascii="Trebuchet MS"/>
          <w:b/>
          <w:color w:val="89C6DC"/>
          <w:w w:val="95"/>
          <w:sz w:val="24"/>
        </w:rPr>
        <w:tab/>
      </w:r>
      <w:r>
        <w:rPr>
          <w:rFonts w:ascii="Trebuchet MS"/>
          <w:b/>
          <w:smallCaps/>
          <w:sz w:val="24"/>
        </w:rPr>
        <w:t>29</w:t>
      </w:r>
    </w:p>
    <w:p>
      <w:pPr>
        <w:pStyle w:val="ListParagraph"/>
        <w:numPr>
          <w:ilvl w:val="1"/>
          <w:numId w:val="1"/>
        </w:numPr>
        <w:tabs>
          <w:tab w:pos="5934" w:val="left" w:leader="none"/>
          <w:tab w:pos="5935" w:val="left" w:leader="none"/>
          <w:tab w:pos="10274" w:val="right" w:leader="none"/>
        </w:tabs>
        <w:spacing w:line="240" w:lineRule="auto" w:before="41" w:after="0"/>
        <w:ind w:left="5934" w:right="0" w:hanging="561"/>
        <w:jc w:val="left"/>
        <w:rPr>
          <w:rFonts w:ascii="Trebuchet MS"/>
          <w:b/>
          <w:sz w:val="24"/>
        </w:rPr>
      </w:pPr>
      <w:hyperlink w:history="true" w:anchor="_bookmark29">
        <w:r>
          <w:rPr>
            <w:rFonts w:ascii="Trebuchet MS"/>
            <w:b/>
            <w:smallCaps w:val="0"/>
            <w:sz w:val="24"/>
          </w:rPr>
          <w:t>Employment</w:t>
        </w:r>
        <w:r>
          <w:rPr>
            <w:rFonts w:ascii="Trebuchet MS"/>
            <w:b/>
            <w:smallCaps w:val="0"/>
            <w:spacing w:val="-26"/>
            <w:sz w:val="24"/>
          </w:rPr>
          <w:t> </w:t>
        </w:r>
        <w:r>
          <w:rPr>
            <w:rFonts w:ascii="Trebuchet MS"/>
            <w:b/>
            <w:smallCaps w:val="0"/>
            <w:sz w:val="24"/>
          </w:rPr>
          <w:t>and</w:t>
        </w:r>
        <w:r>
          <w:rPr>
            <w:rFonts w:ascii="Trebuchet MS"/>
            <w:b/>
            <w:smallCaps w:val="0"/>
            <w:spacing w:val="-25"/>
            <w:sz w:val="24"/>
          </w:rPr>
          <w:t> </w:t>
        </w:r>
        <w:r>
          <w:rPr>
            <w:rFonts w:ascii="Trebuchet MS"/>
            <w:b/>
            <w:smallCaps w:val="0"/>
            <w:sz w:val="24"/>
          </w:rPr>
          <w:t>unemployment</w:t>
        </w:r>
      </w:hyperlink>
      <w:r>
        <w:rPr>
          <w:rFonts w:ascii="Trebuchet MS"/>
          <w:b/>
          <w:smallCaps w:val="0"/>
          <w:sz w:val="24"/>
        </w:rPr>
        <w:tab/>
      </w:r>
      <w:r>
        <w:rPr>
          <w:rFonts w:ascii="Trebuchet MS"/>
          <w:b/>
          <w:smallCaps/>
          <w:sz w:val="24"/>
        </w:rPr>
        <w:t>29</w:t>
      </w:r>
    </w:p>
    <w:p>
      <w:pPr>
        <w:pStyle w:val="ListParagraph"/>
        <w:numPr>
          <w:ilvl w:val="1"/>
          <w:numId w:val="1"/>
        </w:numPr>
        <w:tabs>
          <w:tab w:pos="5934" w:val="left" w:leader="none"/>
          <w:tab w:pos="5935" w:val="left" w:leader="none"/>
          <w:tab w:pos="10274" w:val="right" w:leader="none"/>
        </w:tabs>
        <w:spacing w:line="240" w:lineRule="auto" w:before="41" w:after="0"/>
        <w:ind w:left="5934" w:right="0" w:hanging="561"/>
        <w:jc w:val="left"/>
        <w:rPr>
          <w:rFonts w:ascii="Trebuchet MS"/>
          <w:b/>
          <w:sz w:val="24"/>
        </w:rPr>
      </w:pPr>
      <w:hyperlink w:history="true" w:anchor="_bookmark31">
        <w:r>
          <w:rPr>
            <w:rFonts w:ascii="Trebuchet MS"/>
            <w:b/>
            <w:smallCaps w:val="0"/>
            <w:sz w:val="24"/>
          </w:rPr>
          <w:t>Earnings</w:t>
        </w:r>
        <w:r>
          <w:rPr>
            <w:rFonts w:ascii="Trebuchet MS"/>
            <w:b/>
            <w:smallCaps w:val="0"/>
            <w:spacing w:val="-7"/>
            <w:sz w:val="24"/>
          </w:rPr>
          <w:t> </w:t>
        </w:r>
        <w:r>
          <w:rPr>
            <w:rFonts w:ascii="Trebuchet MS"/>
            <w:b/>
            <w:smallCaps w:val="0"/>
            <w:sz w:val="24"/>
          </w:rPr>
          <w:t>and</w:t>
        </w:r>
        <w:r>
          <w:rPr>
            <w:rFonts w:ascii="Trebuchet MS"/>
            <w:b/>
            <w:smallCaps w:val="0"/>
            <w:spacing w:val="-6"/>
            <w:sz w:val="24"/>
          </w:rPr>
          <w:t> </w:t>
        </w:r>
        <w:r>
          <w:rPr>
            <w:rFonts w:ascii="Trebuchet MS"/>
            <w:b/>
            <w:smallCaps w:val="0"/>
            <w:sz w:val="24"/>
          </w:rPr>
          <w:t>settlements</w:t>
        </w:r>
      </w:hyperlink>
      <w:r>
        <w:rPr>
          <w:rFonts w:ascii="Trebuchet MS"/>
          <w:b/>
          <w:smallCaps w:val="0"/>
          <w:sz w:val="24"/>
        </w:rPr>
        <w:tab/>
        <w:t>33</w:t>
      </w:r>
    </w:p>
    <w:p>
      <w:pPr>
        <w:pStyle w:val="ListParagraph"/>
        <w:numPr>
          <w:ilvl w:val="1"/>
          <w:numId w:val="1"/>
        </w:numPr>
        <w:tabs>
          <w:tab w:pos="5934" w:val="left" w:leader="none"/>
          <w:tab w:pos="5935" w:val="left" w:leader="none"/>
        </w:tabs>
        <w:spacing w:line="240" w:lineRule="auto" w:before="42" w:after="0"/>
        <w:ind w:left="5934" w:right="0" w:hanging="561"/>
        <w:jc w:val="left"/>
        <w:rPr>
          <w:rFonts w:ascii="Trebuchet MS"/>
          <w:b/>
          <w:sz w:val="24"/>
        </w:rPr>
      </w:pPr>
      <w:hyperlink w:history="true" w:anchor="_bookmark32">
        <w:r>
          <w:rPr>
            <w:rFonts w:ascii="Trebuchet MS"/>
            <w:b/>
            <w:sz w:val="24"/>
          </w:rPr>
          <w:t>Labour productivity and</w:t>
        </w:r>
        <w:r>
          <w:rPr>
            <w:rFonts w:ascii="Trebuchet MS"/>
            <w:b/>
            <w:spacing w:val="-21"/>
            <w:sz w:val="24"/>
          </w:rPr>
          <w:t> </w:t>
        </w:r>
        <w:r>
          <w:rPr>
            <w:rFonts w:ascii="Trebuchet MS"/>
            <w:b/>
            <w:sz w:val="24"/>
          </w:rPr>
          <w:t>unit</w:t>
        </w:r>
      </w:hyperlink>
    </w:p>
    <w:p>
      <w:pPr>
        <w:tabs>
          <w:tab w:pos="10274" w:val="right" w:leader="none"/>
        </w:tabs>
        <w:spacing w:before="41"/>
        <w:ind w:left="5934" w:right="0" w:firstLine="0"/>
        <w:jc w:val="left"/>
        <w:rPr>
          <w:rFonts w:ascii="Trebuchet MS"/>
          <w:b/>
          <w:sz w:val="24"/>
        </w:rPr>
      </w:pPr>
      <w:hyperlink w:history="true" w:anchor="_bookmark32">
        <w:r>
          <w:rPr>
            <w:rFonts w:ascii="Trebuchet MS"/>
            <w:b/>
            <w:sz w:val="24"/>
          </w:rPr>
          <w:t>wage</w:t>
        </w:r>
        <w:r>
          <w:rPr>
            <w:rFonts w:ascii="Trebuchet MS"/>
            <w:b/>
            <w:spacing w:val="4"/>
            <w:sz w:val="24"/>
          </w:rPr>
          <w:t> </w:t>
        </w:r>
        <w:r>
          <w:rPr>
            <w:rFonts w:ascii="Trebuchet MS"/>
            <w:b/>
            <w:sz w:val="24"/>
          </w:rPr>
          <w:t>costs</w:t>
        </w:r>
      </w:hyperlink>
      <w:r>
        <w:rPr>
          <w:rFonts w:ascii="Trebuchet MS"/>
          <w:b/>
          <w:sz w:val="24"/>
        </w:rPr>
        <w:tab/>
        <w:t>37</w:t>
      </w:r>
    </w:p>
    <w:p>
      <w:pPr>
        <w:pStyle w:val="ListParagraph"/>
        <w:numPr>
          <w:ilvl w:val="1"/>
          <w:numId w:val="1"/>
        </w:numPr>
        <w:tabs>
          <w:tab w:pos="5934" w:val="left" w:leader="none"/>
          <w:tab w:pos="5935" w:val="left" w:leader="none"/>
          <w:tab w:pos="10274" w:val="right" w:leader="none"/>
        </w:tabs>
        <w:spacing w:line="240" w:lineRule="auto" w:before="41" w:after="0"/>
        <w:ind w:left="5934" w:right="0" w:hanging="561"/>
        <w:jc w:val="left"/>
        <w:rPr>
          <w:rFonts w:ascii="Trebuchet MS"/>
          <w:b/>
          <w:sz w:val="24"/>
        </w:rPr>
      </w:pPr>
      <w:hyperlink w:history="true" w:anchor="_bookmark34">
        <w:r>
          <w:rPr>
            <w:rFonts w:ascii="Trebuchet MS"/>
            <w:b/>
            <w:sz w:val="24"/>
          </w:rPr>
          <w:t>Summary</w:t>
        </w:r>
      </w:hyperlink>
      <w:r>
        <w:rPr>
          <w:rFonts w:ascii="Trebuchet MS"/>
          <w:b/>
          <w:sz w:val="24"/>
        </w:rPr>
        <w:tab/>
        <w:t>38</w:t>
      </w:r>
    </w:p>
    <w:p>
      <w:pPr>
        <w:spacing w:after="0" w:line="240" w:lineRule="auto"/>
        <w:jc w:val="left"/>
        <w:rPr>
          <w:rFonts w:ascii="Trebuchet MS"/>
          <w:sz w:val="24"/>
        </w:rPr>
        <w:sectPr>
          <w:headerReference w:type="even" r:id="rId19"/>
          <w:footerReference w:type="even" r:id="rId20"/>
          <w:pgSz w:w="11900" w:h="16840"/>
          <w:pgMar w:header="0" w:footer="0" w:top="1160" w:bottom="280" w:left="640" w:right="640"/>
        </w:sectPr>
      </w:pPr>
    </w:p>
    <w:p>
      <w:pPr>
        <w:pStyle w:val="ListParagraph"/>
        <w:numPr>
          <w:ilvl w:val="0"/>
          <w:numId w:val="1"/>
        </w:numPr>
        <w:tabs>
          <w:tab w:pos="5365" w:val="left" w:leader="none"/>
          <w:tab w:pos="5366" w:val="left" w:leader="none"/>
          <w:tab w:pos="10265" w:val="right" w:leader="none"/>
        </w:tabs>
        <w:spacing w:line="240" w:lineRule="auto" w:before="83" w:after="0"/>
        <w:ind w:left="5365" w:right="0" w:hanging="381"/>
        <w:jc w:val="left"/>
        <w:rPr>
          <w:rFonts w:ascii="Trebuchet MS"/>
          <w:b/>
          <w:color w:val="89C6DC"/>
          <w:sz w:val="24"/>
        </w:rPr>
      </w:pPr>
      <w:hyperlink w:history="true" w:anchor="_bookmark35">
        <w:r>
          <w:rPr>
            <w:rFonts w:ascii="Trebuchet MS"/>
            <w:b/>
            <w:color w:val="89C6DC"/>
            <w:sz w:val="24"/>
          </w:rPr>
          <w:t>Costs</w:t>
        </w:r>
        <w:r>
          <w:rPr>
            <w:rFonts w:ascii="Trebuchet MS"/>
            <w:b/>
            <w:color w:val="89C6DC"/>
            <w:spacing w:val="2"/>
            <w:sz w:val="24"/>
          </w:rPr>
          <w:t> </w:t>
        </w:r>
        <w:r>
          <w:rPr>
            <w:rFonts w:ascii="Trebuchet MS"/>
            <w:b/>
            <w:color w:val="89C6DC"/>
            <w:sz w:val="24"/>
          </w:rPr>
          <w:t>and</w:t>
        </w:r>
        <w:r>
          <w:rPr>
            <w:rFonts w:ascii="Trebuchet MS"/>
            <w:b/>
            <w:color w:val="89C6DC"/>
            <w:spacing w:val="3"/>
            <w:sz w:val="24"/>
          </w:rPr>
          <w:t> </w:t>
        </w:r>
        <w:r>
          <w:rPr>
            <w:rFonts w:ascii="Trebuchet MS"/>
            <w:b/>
            <w:color w:val="89C6DC"/>
            <w:sz w:val="24"/>
          </w:rPr>
          <w:t>prices</w:t>
        </w:r>
      </w:hyperlink>
      <w:r>
        <w:rPr>
          <w:rFonts w:ascii="Trebuchet MS"/>
          <w:b/>
          <w:color w:val="89C6DC"/>
          <w:sz w:val="24"/>
        </w:rPr>
        <w:tab/>
      </w:r>
      <w:r>
        <w:rPr>
          <w:rFonts w:ascii="Trebuchet MS"/>
          <w:b/>
          <w:sz w:val="24"/>
        </w:rPr>
        <w:t>39</w:t>
      </w:r>
    </w:p>
    <w:p>
      <w:pPr>
        <w:pStyle w:val="ListParagraph"/>
        <w:numPr>
          <w:ilvl w:val="1"/>
          <w:numId w:val="1"/>
        </w:numPr>
        <w:tabs>
          <w:tab w:pos="5925" w:val="left" w:leader="none"/>
          <w:tab w:pos="5926" w:val="left" w:leader="none"/>
          <w:tab w:pos="10265" w:val="right" w:leader="none"/>
        </w:tabs>
        <w:spacing w:line="240" w:lineRule="auto" w:before="41" w:after="0"/>
        <w:ind w:left="5925" w:right="0" w:hanging="561"/>
        <w:jc w:val="left"/>
        <w:rPr>
          <w:rFonts w:ascii="Trebuchet MS"/>
          <w:b/>
          <w:sz w:val="24"/>
        </w:rPr>
      </w:pPr>
      <w:hyperlink w:history="true" w:anchor="_bookmark36">
        <w:r>
          <w:rPr>
            <w:rFonts w:ascii="Trebuchet MS"/>
            <w:b/>
            <w:smallCaps w:val="0"/>
            <w:sz w:val="24"/>
          </w:rPr>
          <w:t>Raw</w:t>
        </w:r>
        <w:r>
          <w:rPr>
            <w:rFonts w:ascii="Trebuchet MS"/>
            <w:b/>
            <w:smallCaps w:val="0"/>
            <w:spacing w:val="-45"/>
            <w:sz w:val="24"/>
          </w:rPr>
          <w:t> </w:t>
        </w:r>
        <w:r>
          <w:rPr>
            <w:rFonts w:ascii="Trebuchet MS"/>
            <w:b/>
            <w:smallCaps w:val="0"/>
            <w:sz w:val="24"/>
          </w:rPr>
          <w:t>materials</w:t>
        </w:r>
        <w:r>
          <w:rPr>
            <w:rFonts w:ascii="Trebuchet MS"/>
            <w:b/>
            <w:smallCaps w:val="0"/>
            <w:spacing w:val="-45"/>
            <w:sz w:val="24"/>
          </w:rPr>
          <w:t> </w:t>
        </w:r>
        <w:r>
          <w:rPr>
            <w:rFonts w:ascii="Trebuchet MS"/>
            <w:b/>
            <w:smallCaps w:val="0"/>
            <w:sz w:val="24"/>
          </w:rPr>
          <w:t>and</w:t>
        </w:r>
        <w:r>
          <w:rPr>
            <w:rFonts w:ascii="Trebuchet MS"/>
            <w:b/>
            <w:smallCaps w:val="0"/>
            <w:spacing w:val="-44"/>
            <w:sz w:val="24"/>
          </w:rPr>
          <w:t> </w:t>
        </w:r>
        <w:r>
          <w:rPr>
            <w:rFonts w:ascii="Trebuchet MS"/>
            <w:b/>
            <w:smallCaps w:val="0"/>
            <w:sz w:val="24"/>
          </w:rPr>
          <w:t>commodity</w:t>
        </w:r>
        <w:r>
          <w:rPr>
            <w:rFonts w:ascii="Trebuchet MS"/>
            <w:b/>
            <w:smallCaps w:val="0"/>
            <w:spacing w:val="-45"/>
            <w:sz w:val="24"/>
          </w:rPr>
          <w:t> </w:t>
        </w:r>
        <w:r>
          <w:rPr>
            <w:rFonts w:ascii="Trebuchet MS"/>
            <w:b/>
            <w:smallCaps w:val="0"/>
            <w:sz w:val="24"/>
          </w:rPr>
          <w:t>prices</w:t>
        </w:r>
      </w:hyperlink>
      <w:r>
        <w:rPr>
          <w:rFonts w:ascii="Trebuchet MS"/>
          <w:b/>
          <w:smallCaps w:val="0"/>
          <w:sz w:val="24"/>
        </w:rPr>
        <w:tab/>
        <w:t>39</w:t>
      </w:r>
    </w:p>
    <w:p>
      <w:pPr>
        <w:pStyle w:val="ListParagraph"/>
        <w:numPr>
          <w:ilvl w:val="1"/>
          <w:numId w:val="1"/>
        </w:numPr>
        <w:tabs>
          <w:tab w:pos="5925" w:val="left" w:leader="none"/>
          <w:tab w:pos="5926" w:val="left" w:leader="none"/>
          <w:tab w:pos="10265" w:val="right" w:leader="none"/>
        </w:tabs>
        <w:spacing w:line="240" w:lineRule="auto" w:before="42" w:after="0"/>
        <w:ind w:left="5925" w:right="0" w:hanging="561"/>
        <w:jc w:val="left"/>
        <w:rPr>
          <w:rFonts w:ascii="Trebuchet MS"/>
          <w:b/>
          <w:sz w:val="24"/>
        </w:rPr>
      </w:pPr>
      <w:hyperlink w:history="true" w:anchor="_bookmark37">
        <w:r>
          <w:rPr>
            <w:rFonts w:ascii="Trebuchet MS"/>
            <w:b/>
            <w:smallCaps w:val="0"/>
            <w:sz w:val="24"/>
          </w:rPr>
          <w:t>Import</w:t>
        </w:r>
        <w:r>
          <w:rPr>
            <w:rFonts w:ascii="Trebuchet MS"/>
            <w:b/>
            <w:smallCaps w:val="0"/>
            <w:spacing w:val="-40"/>
            <w:sz w:val="24"/>
          </w:rPr>
          <w:t> </w:t>
        </w:r>
        <w:r>
          <w:rPr>
            <w:rFonts w:ascii="Trebuchet MS"/>
            <w:b/>
            <w:smallCaps w:val="0"/>
            <w:sz w:val="24"/>
          </w:rPr>
          <w:t>prices</w:t>
        </w:r>
        <w:r>
          <w:rPr>
            <w:rFonts w:ascii="Trebuchet MS"/>
            <w:b/>
            <w:smallCaps w:val="0"/>
            <w:spacing w:val="-39"/>
            <w:sz w:val="24"/>
          </w:rPr>
          <w:t> </w:t>
        </w:r>
        <w:r>
          <w:rPr>
            <w:rFonts w:ascii="Trebuchet MS"/>
            <w:b/>
            <w:smallCaps w:val="0"/>
            <w:sz w:val="24"/>
          </w:rPr>
          <w:t>and</w:t>
        </w:r>
        <w:r>
          <w:rPr>
            <w:rFonts w:ascii="Trebuchet MS"/>
            <w:b/>
            <w:smallCaps w:val="0"/>
            <w:spacing w:val="-40"/>
            <w:sz w:val="24"/>
          </w:rPr>
          <w:t> </w:t>
        </w:r>
        <w:r>
          <w:rPr>
            <w:rFonts w:ascii="Trebuchet MS"/>
            <w:b/>
            <w:smallCaps w:val="0"/>
            <w:sz w:val="24"/>
          </w:rPr>
          <w:t>the</w:t>
        </w:r>
        <w:r>
          <w:rPr>
            <w:rFonts w:ascii="Trebuchet MS"/>
            <w:b/>
            <w:smallCaps w:val="0"/>
            <w:spacing w:val="-39"/>
            <w:sz w:val="24"/>
          </w:rPr>
          <w:t> </w:t>
        </w:r>
        <w:r>
          <w:rPr>
            <w:rFonts w:ascii="Trebuchet MS"/>
            <w:b/>
            <w:smallCaps w:val="0"/>
            <w:sz w:val="24"/>
          </w:rPr>
          <w:t>exchange</w:t>
        </w:r>
        <w:r>
          <w:rPr>
            <w:rFonts w:ascii="Trebuchet MS"/>
            <w:b/>
            <w:smallCaps w:val="0"/>
            <w:spacing w:val="-40"/>
            <w:sz w:val="24"/>
          </w:rPr>
          <w:t> </w:t>
        </w:r>
        <w:r>
          <w:rPr>
            <w:rFonts w:ascii="Trebuchet MS"/>
            <w:b/>
            <w:smallCaps w:val="0"/>
            <w:sz w:val="24"/>
          </w:rPr>
          <w:t>rate</w:t>
        </w:r>
      </w:hyperlink>
      <w:r>
        <w:rPr>
          <w:rFonts w:ascii="Trebuchet MS"/>
          <w:b/>
          <w:smallCaps w:val="0"/>
          <w:sz w:val="24"/>
        </w:rPr>
        <w:tab/>
      </w:r>
      <w:r>
        <w:rPr>
          <w:rFonts w:ascii="Trebuchet MS"/>
          <w:b/>
          <w:smallCaps/>
          <w:sz w:val="24"/>
        </w:rPr>
        <w:t>41</w:t>
      </w:r>
    </w:p>
    <w:p>
      <w:pPr>
        <w:pStyle w:val="ListParagraph"/>
        <w:numPr>
          <w:ilvl w:val="1"/>
          <w:numId w:val="1"/>
        </w:numPr>
        <w:tabs>
          <w:tab w:pos="5925" w:val="left" w:leader="none"/>
          <w:tab w:pos="5926" w:val="left" w:leader="none"/>
          <w:tab w:pos="10265" w:val="right" w:leader="none"/>
        </w:tabs>
        <w:spacing w:line="240" w:lineRule="auto" w:before="41" w:after="0"/>
        <w:ind w:left="5925" w:right="0" w:hanging="561"/>
        <w:jc w:val="left"/>
        <w:rPr>
          <w:rFonts w:ascii="Trebuchet MS"/>
          <w:b/>
          <w:sz w:val="24"/>
        </w:rPr>
      </w:pPr>
      <w:hyperlink w:history="true" w:anchor="_bookmark38">
        <w:r>
          <w:rPr>
            <w:rFonts w:ascii="Trebuchet MS"/>
            <w:b/>
            <w:sz w:val="24"/>
          </w:rPr>
          <w:t>Costs</w:t>
        </w:r>
        <w:r>
          <w:rPr>
            <w:rFonts w:ascii="Trebuchet MS"/>
            <w:b/>
            <w:spacing w:val="-27"/>
            <w:sz w:val="24"/>
          </w:rPr>
          <w:t> </w:t>
        </w:r>
        <w:r>
          <w:rPr>
            <w:rFonts w:ascii="Trebuchet MS"/>
            <w:b/>
            <w:sz w:val="24"/>
          </w:rPr>
          <w:t>and</w:t>
        </w:r>
        <w:r>
          <w:rPr>
            <w:rFonts w:ascii="Trebuchet MS"/>
            <w:b/>
            <w:spacing w:val="-27"/>
            <w:sz w:val="24"/>
          </w:rPr>
          <w:t> </w:t>
        </w:r>
        <w:r>
          <w:rPr>
            <w:rFonts w:ascii="Trebuchet MS"/>
            <w:b/>
            <w:sz w:val="24"/>
          </w:rPr>
          <w:t>prices</w:t>
        </w:r>
        <w:r>
          <w:rPr>
            <w:rFonts w:ascii="Trebuchet MS"/>
            <w:b/>
            <w:spacing w:val="-27"/>
            <w:sz w:val="24"/>
          </w:rPr>
          <w:t> </w:t>
        </w:r>
        <w:r>
          <w:rPr>
            <w:rFonts w:ascii="Trebuchet MS"/>
            <w:b/>
            <w:sz w:val="24"/>
          </w:rPr>
          <w:t>in</w:t>
        </w:r>
        <w:r>
          <w:rPr>
            <w:rFonts w:ascii="Trebuchet MS"/>
            <w:b/>
            <w:spacing w:val="-27"/>
            <w:sz w:val="24"/>
          </w:rPr>
          <w:t> </w:t>
        </w:r>
        <w:r>
          <w:rPr>
            <w:rFonts w:ascii="Trebuchet MS"/>
            <w:b/>
            <w:sz w:val="24"/>
          </w:rPr>
          <w:t>manufacturing</w:t>
        </w:r>
      </w:hyperlink>
      <w:r>
        <w:rPr>
          <w:rFonts w:ascii="Trebuchet MS"/>
          <w:b/>
          <w:sz w:val="24"/>
        </w:rPr>
        <w:tab/>
      </w:r>
      <w:r>
        <w:rPr>
          <w:rFonts w:ascii="Trebuchet MS"/>
          <w:b/>
          <w:smallCaps/>
          <w:sz w:val="24"/>
        </w:rPr>
        <w:t>41</w:t>
      </w:r>
    </w:p>
    <w:p>
      <w:pPr>
        <w:pStyle w:val="ListParagraph"/>
        <w:numPr>
          <w:ilvl w:val="1"/>
          <w:numId w:val="1"/>
        </w:numPr>
        <w:tabs>
          <w:tab w:pos="5925" w:val="left" w:leader="none"/>
          <w:tab w:pos="5926" w:val="left" w:leader="none"/>
          <w:tab w:pos="10265" w:val="right" w:leader="none"/>
        </w:tabs>
        <w:spacing w:line="240" w:lineRule="auto" w:before="41" w:after="0"/>
        <w:ind w:left="5925" w:right="0" w:hanging="561"/>
        <w:jc w:val="left"/>
        <w:rPr>
          <w:rFonts w:ascii="Trebuchet MS"/>
          <w:b/>
          <w:sz w:val="24"/>
        </w:rPr>
      </w:pPr>
      <w:hyperlink w:history="true" w:anchor="_bookmark39">
        <w:r>
          <w:rPr>
            <w:rFonts w:ascii="Trebuchet MS"/>
            <w:b/>
            <w:sz w:val="24"/>
          </w:rPr>
          <w:t>Costs</w:t>
        </w:r>
        <w:r>
          <w:rPr>
            <w:rFonts w:ascii="Trebuchet MS"/>
            <w:b/>
            <w:spacing w:val="-40"/>
            <w:sz w:val="24"/>
          </w:rPr>
          <w:t> </w:t>
        </w:r>
        <w:r>
          <w:rPr>
            <w:rFonts w:ascii="Trebuchet MS"/>
            <w:b/>
            <w:sz w:val="24"/>
          </w:rPr>
          <w:t>and</w:t>
        </w:r>
        <w:r>
          <w:rPr>
            <w:rFonts w:ascii="Trebuchet MS"/>
            <w:b/>
            <w:spacing w:val="-40"/>
            <w:sz w:val="24"/>
          </w:rPr>
          <w:t> </w:t>
        </w:r>
        <w:r>
          <w:rPr>
            <w:rFonts w:ascii="Trebuchet MS"/>
            <w:b/>
            <w:sz w:val="24"/>
          </w:rPr>
          <w:t>prices</w:t>
        </w:r>
        <w:r>
          <w:rPr>
            <w:rFonts w:ascii="Trebuchet MS"/>
            <w:b/>
            <w:spacing w:val="-40"/>
            <w:sz w:val="24"/>
          </w:rPr>
          <w:t> </w:t>
        </w:r>
        <w:r>
          <w:rPr>
            <w:rFonts w:ascii="Trebuchet MS"/>
            <w:b/>
            <w:sz w:val="24"/>
          </w:rPr>
          <w:t>in</w:t>
        </w:r>
        <w:r>
          <w:rPr>
            <w:rFonts w:ascii="Trebuchet MS"/>
            <w:b/>
            <w:spacing w:val="-40"/>
            <w:sz w:val="24"/>
          </w:rPr>
          <w:t> </w:t>
        </w:r>
        <w:r>
          <w:rPr>
            <w:rFonts w:ascii="Trebuchet MS"/>
            <w:b/>
            <w:sz w:val="24"/>
          </w:rPr>
          <w:t>the</w:t>
        </w:r>
        <w:r>
          <w:rPr>
            <w:rFonts w:ascii="Trebuchet MS"/>
            <w:b/>
            <w:spacing w:val="-40"/>
            <w:sz w:val="24"/>
          </w:rPr>
          <w:t> </w:t>
        </w:r>
        <w:r>
          <w:rPr>
            <w:rFonts w:ascii="Trebuchet MS"/>
            <w:b/>
            <w:sz w:val="24"/>
          </w:rPr>
          <w:t>service</w:t>
        </w:r>
        <w:r>
          <w:rPr>
            <w:rFonts w:ascii="Trebuchet MS"/>
            <w:b/>
            <w:spacing w:val="-40"/>
            <w:sz w:val="24"/>
          </w:rPr>
          <w:t> </w:t>
        </w:r>
        <w:r>
          <w:rPr>
            <w:rFonts w:ascii="Trebuchet MS"/>
            <w:b/>
            <w:sz w:val="24"/>
          </w:rPr>
          <w:t>sector</w:t>
        </w:r>
      </w:hyperlink>
      <w:r>
        <w:rPr>
          <w:rFonts w:ascii="Trebuchet MS"/>
          <w:b/>
          <w:sz w:val="24"/>
        </w:rPr>
        <w:tab/>
        <w:t>43</w:t>
      </w:r>
    </w:p>
    <w:p>
      <w:pPr>
        <w:pStyle w:val="ListParagraph"/>
        <w:numPr>
          <w:ilvl w:val="1"/>
          <w:numId w:val="1"/>
        </w:numPr>
        <w:tabs>
          <w:tab w:pos="5925" w:val="left" w:leader="none"/>
          <w:tab w:pos="5926" w:val="left" w:leader="none"/>
          <w:tab w:pos="10265" w:val="right" w:leader="none"/>
        </w:tabs>
        <w:spacing w:line="240" w:lineRule="auto" w:before="42" w:after="0"/>
        <w:ind w:left="5925" w:right="0" w:hanging="561"/>
        <w:jc w:val="left"/>
        <w:rPr>
          <w:rFonts w:ascii="Trebuchet MS"/>
          <w:b/>
          <w:sz w:val="24"/>
        </w:rPr>
      </w:pPr>
      <w:hyperlink w:history="true" w:anchor="_bookmark40">
        <w:r>
          <w:rPr>
            <w:rFonts w:ascii="Trebuchet MS"/>
            <w:b/>
            <w:sz w:val="24"/>
          </w:rPr>
          <w:t>Retail</w:t>
        </w:r>
        <w:r>
          <w:rPr>
            <w:rFonts w:ascii="Trebuchet MS"/>
            <w:b/>
            <w:spacing w:val="1"/>
            <w:sz w:val="24"/>
          </w:rPr>
          <w:t> </w:t>
        </w:r>
        <w:r>
          <w:rPr>
            <w:rFonts w:ascii="Trebuchet MS"/>
            <w:b/>
            <w:sz w:val="24"/>
          </w:rPr>
          <w:t>prices</w:t>
        </w:r>
      </w:hyperlink>
      <w:r>
        <w:rPr>
          <w:rFonts w:ascii="Trebuchet MS"/>
          <w:b/>
          <w:sz w:val="24"/>
        </w:rPr>
        <w:tab/>
        <w:t>44</w:t>
      </w:r>
    </w:p>
    <w:p>
      <w:pPr>
        <w:pStyle w:val="ListParagraph"/>
        <w:numPr>
          <w:ilvl w:val="1"/>
          <w:numId w:val="1"/>
        </w:numPr>
        <w:tabs>
          <w:tab w:pos="5925" w:val="left" w:leader="none"/>
          <w:tab w:pos="5926" w:val="left" w:leader="none"/>
          <w:tab w:pos="10265" w:val="right" w:leader="none"/>
        </w:tabs>
        <w:spacing w:line="240" w:lineRule="auto" w:before="41" w:after="0"/>
        <w:ind w:left="5925" w:right="0" w:hanging="561"/>
        <w:jc w:val="left"/>
        <w:rPr>
          <w:rFonts w:ascii="Trebuchet MS"/>
          <w:b/>
          <w:sz w:val="24"/>
        </w:rPr>
      </w:pPr>
      <w:hyperlink w:history="true" w:anchor="_bookmark41">
        <w:r>
          <w:rPr>
            <w:rFonts w:ascii="Trebuchet MS"/>
            <w:b/>
            <w:sz w:val="24"/>
          </w:rPr>
          <w:t>Other</w:t>
        </w:r>
        <w:r>
          <w:rPr>
            <w:rFonts w:ascii="Trebuchet MS"/>
            <w:b/>
            <w:spacing w:val="-3"/>
            <w:sz w:val="24"/>
          </w:rPr>
          <w:t> </w:t>
        </w:r>
        <w:r>
          <w:rPr>
            <w:rFonts w:ascii="Trebuchet MS"/>
            <w:b/>
            <w:sz w:val="24"/>
          </w:rPr>
          <w:t>price</w:t>
        </w:r>
        <w:r>
          <w:rPr>
            <w:rFonts w:ascii="Trebuchet MS"/>
            <w:b/>
            <w:spacing w:val="-2"/>
            <w:sz w:val="24"/>
          </w:rPr>
          <w:t> </w:t>
        </w:r>
        <w:r>
          <w:rPr>
            <w:rFonts w:ascii="Trebuchet MS"/>
            <w:b/>
            <w:sz w:val="24"/>
          </w:rPr>
          <w:t>indices</w:t>
        </w:r>
      </w:hyperlink>
      <w:r>
        <w:rPr>
          <w:rFonts w:ascii="Trebuchet MS"/>
          <w:b/>
          <w:sz w:val="24"/>
        </w:rPr>
        <w:tab/>
        <w:t>46</w:t>
      </w:r>
    </w:p>
    <w:p>
      <w:pPr>
        <w:pStyle w:val="ListParagraph"/>
        <w:numPr>
          <w:ilvl w:val="1"/>
          <w:numId w:val="1"/>
        </w:numPr>
        <w:tabs>
          <w:tab w:pos="5925" w:val="left" w:leader="none"/>
          <w:tab w:pos="5926" w:val="left" w:leader="none"/>
          <w:tab w:pos="10265" w:val="right" w:leader="none"/>
        </w:tabs>
        <w:spacing w:line="240" w:lineRule="auto" w:before="41" w:after="0"/>
        <w:ind w:left="5925" w:right="0" w:hanging="561"/>
        <w:jc w:val="left"/>
        <w:rPr>
          <w:rFonts w:ascii="Trebuchet MS"/>
          <w:b/>
          <w:sz w:val="24"/>
        </w:rPr>
      </w:pPr>
      <w:hyperlink w:history="true" w:anchor="_bookmark43">
        <w:r>
          <w:rPr>
            <w:rFonts w:ascii="Trebuchet MS"/>
            <w:b/>
            <w:sz w:val="24"/>
          </w:rPr>
          <w:t>Summary</w:t>
        </w:r>
      </w:hyperlink>
      <w:r>
        <w:rPr>
          <w:rFonts w:ascii="Trebuchet MS"/>
          <w:b/>
          <w:sz w:val="24"/>
        </w:rPr>
        <w:tab/>
        <w:t>48</w:t>
      </w:r>
    </w:p>
    <w:p>
      <w:pPr>
        <w:pStyle w:val="ListParagraph"/>
        <w:numPr>
          <w:ilvl w:val="0"/>
          <w:numId w:val="1"/>
        </w:numPr>
        <w:tabs>
          <w:tab w:pos="5365" w:val="left" w:leader="none"/>
          <w:tab w:pos="5366" w:val="left" w:leader="none"/>
        </w:tabs>
        <w:spacing w:line="240" w:lineRule="auto" w:before="362" w:after="0"/>
        <w:ind w:left="5365" w:right="0" w:hanging="381"/>
        <w:jc w:val="left"/>
        <w:rPr>
          <w:rFonts w:ascii="Trebuchet MS"/>
          <w:b/>
          <w:color w:val="89C6DC"/>
          <w:sz w:val="24"/>
        </w:rPr>
      </w:pPr>
      <w:hyperlink w:history="true" w:anchor="_bookmark44">
        <w:r>
          <w:rPr>
            <w:rFonts w:ascii="Trebuchet MS"/>
            <w:b/>
            <w:color w:val="89C6DC"/>
            <w:w w:val="95"/>
            <w:sz w:val="24"/>
          </w:rPr>
          <w:t>Monetary</w:t>
        </w:r>
        <w:r>
          <w:rPr>
            <w:rFonts w:ascii="Trebuchet MS"/>
            <w:b/>
            <w:color w:val="89C6DC"/>
            <w:spacing w:val="-31"/>
            <w:w w:val="95"/>
            <w:sz w:val="24"/>
          </w:rPr>
          <w:t> </w:t>
        </w:r>
        <w:r>
          <w:rPr>
            <w:rFonts w:ascii="Trebuchet MS"/>
            <w:b/>
            <w:color w:val="89C6DC"/>
            <w:w w:val="95"/>
            <w:sz w:val="24"/>
          </w:rPr>
          <w:t>policy</w:t>
        </w:r>
        <w:r>
          <w:rPr>
            <w:rFonts w:ascii="Trebuchet MS"/>
            <w:b/>
            <w:color w:val="89C6DC"/>
            <w:spacing w:val="-30"/>
            <w:w w:val="95"/>
            <w:sz w:val="24"/>
          </w:rPr>
          <w:t> </w:t>
        </w:r>
        <w:r>
          <w:rPr>
            <w:rFonts w:ascii="Trebuchet MS"/>
            <w:b/>
            <w:color w:val="89C6DC"/>
            <w:w w:val="95"/>
            <w:sz w:val="24"/>
          </w:rPr>
          <w:t>since</w:t>
        </w:r>
        <w:r>
          <w:rPr>
            <w:rFonts w:ascii="Trebuchet MS"/>
            <w:b/>
            <w:color w:val="89C6DC"/>
            <w:spacing w:val="-30"/>
            <w:w w:val="95"/>
            <w:sz w:val="24"/>
          </w:rPr>
          <w:t> </w:t>
        </w:r>
        <w:r>
          <w:rPr>
            <w:rFonts w:ascii="Trebuchet MS"/>
            <w:b/>
            <w:color w:val="89C6DC"/>
            <w:w w:val="95"/>
            <w:sz w:val="24"/>
          </w:rPr>
          <w:t>the</w:t>
        </w:r>
        <w:r>
          <w:rPr>
            <w:rFonts w:ascii="Trebuchet MS"/>
            <w:b/>
            <w:color w:val="89C6DC"/>
            <w:spacing w:val="-30"/>
            <w:w w:val="95"/>
            <w:sz w:val="24"/>
          </w:rPr>
          <w:t> </w:t>
        </w:r>
        <w:r>
          <w:rPr>
            <w:rFonts w:ascii="Trebuchet MS"/>
            <w:b/>
            <w:color w:val="89C6DC"/>
            <w:spacing w:val="-3"/>
            <w:w w:val="95"/>
            <w:sz w:val="24"/>
          </w:rPr>
          <w:t>November</w:t>
        </w:r>
        <w:r>
          <w:rPr>
            <w:rFonts w:ascii="Trebuchet MS"/>
            <w:b/>
            <w:color w:val="89C6DC"/>
            <w:spacing w:val="-30"/>
            <w:w w:val="95"/>
            <w:sz w:val="24"/>
          </w:rPr>
          <w:t> </w:t>
        </w:r>
        <w:r>
          <w:rPr>
            <w:rFonts w:ascii="Trebuchet MS"/>
            <w:b/>
            <w:i/>
            <w:color w:val="89C6DC"/>
            <w:w w:val="95"/>
            <w:sz w:val="24"/>
          </w:rPr>
          <w:t>Report</w:t>
        </w:r>
      </w:hyperlink>
      <w:r>
        <w:rPr>
          <w:rFonts w:ascii="Trebuchet MS"/>
          <w:b/>
          <w:i/>
          <w:color w:val="89C6DC"/>
          <w:spacing w:val="2"/>
          <w:w w:val="95"/>
          <w:sz w:val="24"/>
        </w:rPr>
        <w:t> </w:t>
      </w:r>
      <w:r>
        <w:rPr>
          <w:rFonts w:ascii="Trebuchet MS"/>
          <w:b/>
          <w:w w:val="95"/>
          <w:sz w:val="24"/>
        </w:rPr>
        <w:t>49</w:t>
      </w:r>
    </w:p>
    <w:p>
      <w:pPr>
        <w:pStyle w:val="ListParagraph"/>
        <w:numPr>
          <w:ilvl w:val="0"/>
          <w:numId w:val="1"/>
        </w:numPr>
        <w:tabs>
          <w:tab w:pos="5365" w:val="left" w:leader="none"/>
          <w:tab w:pos="5366" w:val="left" w:leader="none"/>
          <w:tab w:pos="10265" w:val="right" w:leader="none"/>
        </w:tabs>
        <w:spacing w:line="240" w:lineRule="auto" w:before="361" w:after="0"/>
        <w:ind w:left="5365" w:right="0" w:hanging="381"/>
        <w:jc w:val="left"/>
        <w:rPr>
          <w:rFonts w:ascii="Trebuchet MS"/>
          <w:b/>
          <w:color w:val="89C6DC"/>
          <w:sz w:val="24"/>
        </w:rPr>
      </w:pPr>
      <w:hyperlink w:history="true" w:anchor="_bookmark45">
        <w:r>
          <w:rPr>
            <w:rFonts w:ascii="Trebuchet MS"/>
            <w:b/>
            <w:color w:val="89C6DC"/>
            <w:sz w:val="24"/>
          </w:rPr>
          <w:t>Prospects</w:t>
        </w:r>
        <w:r>
          <w:rPr>
            <w:rFonts w:ascii="Trebuchet MS"/>
            <w:b/>
            <w:color w:val="89C6DC"/>
            <w:spacing w:val="-3"/>
            <w:sz w:val="24"/>
          </w:rPr>
          <w:t> </w:t>
        </w:r>
        <w:r>
          <w:rPr>
            <w:rFonts w:ascii="Trebuchet MS"/>
            <w:b/>
            <w:color w:val="89C6DC"/>
            <w:sz w:val="24"/>
          </w:rPr>
          <w:t>for</w:t>
        </w:r>
        <w:r>
          <w:rPr>
            <w:rFonts w:ascii="Trebuchet MS"/>
            <w:b/>
            <w:color w:val="89C6DC"/>
            <w:spacing w:val="-3"/>
            <w:sz w:val="24"/>
          </w:rPr>
          <w:t> </w:t>
        </w:r>
        <w:r>
          <w:rPr>
            <w:rFonts w:ascii="Trebuchet MS"/>
            <w:b/>
            <w:color w:val="89C6DC"/>
            <w:sz w:val="24"/>
          </w:rPr>
          <w:t>inflation</w:t>
        </w:r>
      </w:hyperlink>
      <w:r>
        <w:rPr>
          <w:rFonts w:ascii="Trebuchet MS"/>
          <w:b/>
          <w:color w:val="89C6DC"/>
          <w:sz w:val="24"/>
        </w:rPr>
        <w:tab/>
      </w:r>
      <w:r>
        <w:rPr>
          <w:rFonts w:ascii="Trebuchet MS"/>
          <w:b/>
          <w:sz w:val="24"/>
        </w:rPr>
        <w:t>53</w:t>
      </w:r>
    </w:p>
    <w:p>
      <w:pPr>
        <w:pStyle w:val="ListParagraph"/>
        <w:numPr>
          <w:ilvl w:val="1"/>
          <w:numId w:val="1"/>
        </w:numPr>
        <w:tabs>
          <w:tab w:pos="5925" w:val="left" w:leader="none"/>
          <w:tab w:pos="5926" w:val="left" w:leader="none"/>
          <w:tab w:pos="10265" w:val="right" w:leader="none"/>
        </w:tabs>
        <w:spacing w:line="240" w:lineRule="auto" w:before="41" w:after="0"/>
        <w:ind w:left="5925" w:right="0" w:hanging="561"/>
        <w:jc w:val="left"/>
        <w:rPr>
          <w:rFonts w:ascii="Trebuchet MS"/>
          <w:b/>
          <w:sz w:val="24"/>
        </w:rPr>
      </w:pPr>
      <w:hyperlink w:history="true" w:anchor="_bookmark46">
        <w:r>
          <w:rPr>
            <w:rFonts w:ascii="Trebuchet MS"/>
            <w:b/>
            <w:smallCaps w:val="0"/>
            <w:w w:val="95"/>
            <w:sz w:val="24"/>
          </w:rPr>
          <w:t>The inflation</w:t>
        </w:r>
        <w:r>
          <w:rPr>
            <w:rFonts w:ascii="Trebuchet MS"/>
            <w:b/>
            <w:smallCaps w:val="0"/>
            <w:spacing w:val="-47"/>
            <w:w w:val="95"/>
            <w:sz w:val="24"/>
          </w:rPr>
          <w:t> </w:t>
        </w:r>
        <w:r>
          <w:rPr>
            <w:rFonts w:ascii="Trebuchet MS"/>
            <w:b/>
            <w:smallCaps w:val="0"/>
            <w:w w:val="95"/>
            <w:sz w:val="24"/>
          </w:rPr>
          <w:t>projection</w:t>
        </w:r>
        <w:r>
          <w:rPr>
            <w:rFonts w:ascii="Trebuchet MS"/>
            <w:b/>
            <w:smallCaps w:val="0"/>
            <w:spacing w:val="-23"/>
            <w:w w:val="95"/>
            <w:sz w:val="24"/>
          </w:rPr>
          <w:t> </w:t>
        </w:r>
        <w:r>
          <w:rPr>
            <w:rFonts w:ascii="Trebuchet MS"/>
            <w:b/>
            <w:smallCaps w:val="0"/>
            <w:w w:val="95"/>
            <w:sz w:val="24"/>
          </w:rPr>
          <w:t>assumptions</w:t>
        </w:r>
      </w:hyperlink>
      <w:r>
        <w:rPr>
          <w:rFonts w:ascii="Trebuchet MS"/>
          <w:b/>
          <w:smallCaps w:val="0"/>
          <w:w w:val="95"/>
          <w:sz w:val="24"/>
        </w:rPr>
        <w:tab/>
        <w:t>53</w:t>
      </w:r>
    </w:p>
    <w:p>
      <w:pPr>
        <w:pStyle w:val="ListParagraph"/>
        <w:numPr>
          <w:ilvl w:val="1"/>
          <w:numId w:val="1"/>
        </w:numPr>
        <w:tabs>
          <w:tab w:pos="5925" w:val="left" w:leader="none"/>
          <w:tab w:pos="5926" w:val="left" w:leader="none"/>
          <w:tab w:pos="10265" w:val="right" w:leader="none"/>
        </w:tabs>
        <w:spacing w:line="240" w:lineRule="auto" w:before="42" w:after="0"/>
        <w:ind w:left="5925" w:right="0" w:hanging="561"/>
        <w:jc w:val="left"/>
        <w:rPr>
          <w:rFonts w:ascii="Trebuchet MS"/>
          <w:b/>
          <w:sz w:val="24"/>
        </w:rPr>
      </w:pPr>
      <w:hyperlink w:history="true" w:anchor="_bookmark47">
        <w:r>
          <w:rPr>
            <w:rFonts w:ascii="Trebuchet MS"/>
            <w:b/>
            <w:smallCaps w:val="0"/>
            <w:sz w:val="24"/>
          </w:rPr>
          <w:t>The</w:t>
        </w:r>
        <w:r>
          <w:rPr>
            <w:rFonts w:ascii="Trebuchet MS"/>
            <w:b/>
            <w:smallCaps w:val="0"/>
            <w:spacing w:val="-46"/>
            <w:sz w:val="24"/>
          </w:rPr>
          <w:t> </w:t>
        </w:r>
        <w:r>
          <w:rPr>
            <w:rFonts w:ascii="Trebuchet MS"/>
            <w:b/>
            <w:smallCaps w:val="0"/>
            <w:sz w:val="24"/>
          </w:rPr>
          <w:t>output</w:t>
        </w:r>
        <w:r>
          <w:rPr>
            <w:rFonts w:ascii="Trebuchet MS"/>
            <w:b/>
            <w:smallCaps w:val="0"/>
            <w:spacing w:val="-46"/>
            <w:sz w:val="24"/>
          </w:rPr>
          <w:t> </w:t>
        </w:r>
        <w:r>
          <w:rPr>
            <w:rFonts w:ascii="Trebuchet MS"/>
            <w:b/>
            <w:smallCaps w:val="0"/>
            <w:sz w:val="24"/>
          </w:rPr>
          <w:t>and</w:t>
        </w:r>
        <w:r>
          <w:rPr>
            <w:rFonts w:ascii="Trebuchet MS"/>
            <w:b/>
            <w:smallCaps w:val="0"/>
            <w:spacing w:val="-45"/>
            <w:sz w:val="24"/>
          </w:rPr>
          <w:t> </w:t>
        </w:r>
        <w:r>
          <w:rPr>
            <w:rFonts w:ascii="Trebuchet MS"/>
            <w:b/>
            <w:smallCaps w:val="0"/>
            <w:sz w:val="24"/>
          </w:rPr>
          <w:t>inflation</w:t>
        </w:r>
        <w:r>
          <w:rPr>
            <w:rFonts w:ascii="Trebuchet MS"/>
            <w:b/>
            <w:smallCaps w:val="0"/>
            <w:spacing w:val="-46"/>
            <w:sz w:val="24"/>
          </w:rPr>
          <w:t> </w:t>
        </w:r>
        <w:r>
          <w:rPr>
            <w:rFonts w:ascii="Trebuchet MS"/>
            <w:b/>
            <w:smallCaps w:val="0"/>
            <w:sz w:val="24"/>
          </w:rPr>
          <w:t>projections</w:t>
        </w:r>
      </w:hyperlink>
      <w:r>
        <w:rPr>
          <w:rFonts w:ascii="Trebuchet MS"/>
          <w:b/>
          <w:smallCaps w:val="0"/>
          <w:sz w:val="24"/>
        </w:rPr>
        <w:tab/>
        <w:t>57</w:t>
      </w:r>
    </w:p>
    <w:p>
      <w:pPr>
        <w:pStyle w:val="ListParagraph"/>
        <w:numPr>
          <w:ilvl w:val="1"/>
          <w:numId w:val="1"/>
        </w:numPr>
        <w:tabs>
          <w:tab w:pos="5925" w:val="left" w:leader="none"/>
          <w:tab w:pos="5926" w:val="left" w:leader="none"/>
          <w:tab w:pos="10265" w:val="right" w:leader="none"/>
        </w:tabs>
        <w:spacing w:line="240" w:lineRule="auto" w:before="41" w:after="0"/>
        <w:ind w:left="5925" w:right="0" w:hanging="561"/>
        <w:jc w:val="left"/>
        <w:rPr>
          <w:rFonts w:ascii="Trebuchet MS"/>
          <w:b/>
          <w:sz w:val="24"/>
        </w:rPr>
      </w:pPr>
      <w:hyperlink w:history="true" w:anchor="_bookmark50">
        <w:r>
          <w:rPr>
            <w:rFonts w:ascii="Trebuchet MS"/>
            <w:b/>
            <w:sz w:val="24"/>
          </w:rPr>
          <w:t>Other forecasts</w:t>
        </w:r>
      </w:hyperlink>
      <w:r>
        <w:rPr>
          <w:rFonts w:ascii="Trebuchet MS"/>
          <w:b/>
          <w:sz w:val="24"/>
        </w:rPr>
        <w:tab/>
        <w:t>68</w:t>
      </w:r>
    </w:p>
    <w:p>
      <w:pPr>
        <w:tabs>
          <w:tab w:pos="10265" w:val="right" w:leader="none"/>
        </w:tabs>
        <w:spacing w:before="341"/>
        <w:ind w:left="4985" w:right="0" w:firstLine="0"/>
        <w:jc w:val="left"/>
        <w:rPr>
          <w:rFonts w:ascii="Trebuchet MS" w:hAnsi="Trebuchet MS"/>
          <w:b/>
          <w:sz w:val="24"/>
        </w:rPr>
      </w:pPr>
      <w:hyperlink w:history="true" w:anchor="_bookmark52">
        <w:r>
          <w:rPr>
            <w:rFonts w:ascii="Trebuchet MS" w:hAnsi="Trebuchet MS"/>
            <w:b/>
            <w:color w:val="89C6DC"/>
            <w:spacing w:val="-1"/>
            <w:w w:val="93"/>
            <w:sz w:val="24"/>
          </w:rPr>
          <w:t>Agent</w:t>
        </w:r>
        <w:r>
          <w:rPr>
            <w:rFonts w:ascii="Trebuchet MS" w:hAnsi="Trebuchet MS"/>
            <w:b/>
            <w:color w:val="89C6DC"/>
            <w:spacing w:val="-10"/>
            <w:w w:val="93"/>
            <w:sz w:val="24"/>
          </w:rPr>
          <w:t>s</w:t>
        </w:r>
        <w:r>
          <w:rPr>
            <w:rFonts w:ascii="Trebuchet MS" w:hAnsi="Trebuchet MS"/>
            <w:b/>
            <w:color w:val="89C6DC"/>
            <w:w w:val="72"/>
            <w:sz w:val="24"/>
          </w:rPr>
          <w:t>’</w:t>
        </w:r>
        <w:r>
          <w:rPr>
            <w:rFonts w:ascii="Trebuchet MS" w:hAnsi="Trebuchet MS"/>
            <w:b/>
            <w:color w:val="89C6DC"/>
            <w:spacing w:val="-6"/>
            <w:sz w:val="24"/>
          </w:rPr>
          <w:t> </w:t>
        </w:r>
        <w:r>
          <w:rPr>
            <w:rFonts w:ascii="Trebuchet MS" w:hAnsi="Trebuchet MS"/>
            <w:b/>
            <w:color w:val="89C6DC"/>
            <w:spacing w:val="-1"/>
            <w:w w:val="92"/>
            <w:sz w:val="24"/>
          </w:rPr>
          <w:t>summa</w:t>
        </w:r>
        <w:r>
          <w:rPr>
            <w:rFonts w:ascii="Trebuchet MS" w:hAnsi="Trebuchet MS"/>
            <w:b/>
            <w:color w:val="89C6DC"/>
            <w:spacing w:val="4"/>
            <w:w w:val="92"/>
            <w:sz w:val="24"/>
          </w:rPr>
          <w:t>r</w:t>
        </w:r>
        <w:r>
          <w:rPr>
            <w:rFonts w:ascii="Trebuchet MS" w:hAnsi="Trebuchet MS"/>
            <w:b/>
            <w:color w:val="89C6DC"/>
            <w:w w:val="93"/>
            <w:sz w:val="24"/>
          </w:rPr>
          <w:t>y</w:t>
        </w:r>
        <w:r>
          <w:rPr>
            <w:rFonts w:ascii="Trebuchet MS" w:hAnsi="Trebuchet MS"/>
            <w:b/>
            <w:color w:val="89C6DC"/>
            <w:spacing w:val="7"/>
            <w:sz w:val="24"/>
          </w:rPr>
          <w:t> </w:t>
        </w:r>
        <w:r>
          <w:rPr>
            <w:rFonts w:ascii="Trebuchet MS" w:hAnsi="Trebuchet MS"/>
            <w:b/>
            <w:color w:val="89C6DC"/>
            <w:spacing w:val="-1"/>
            <w:w w:val="85"/>
            <w:sz w:val="24"/>
          </w:rPr>
          <w:t>o</w:t>
        </w:r>
        <w:r>
          <w:rPr>
            <w:rFonts w:ascii="Trebuchet MS" w:hAnsi="Trebuchet MS"/>
            <w:b/>
            <w:color w:val="89C6DC"/>
            <w:w w:val="85"/>
            <w:sz w:val="24"/>
          </w:rPr>
          <w:t>f</w:t>
        </w:r>
        <w:r>
          <w:rPr>
            <w:rFonts w:ascii="Trebuchet MS" w:hAnsi="Trebuchet MS"/>
            <w:b/>
            <w:color w:val="89C6DC"/>
            <w:spacing w:val="7"/>
            <w:sz w:val="24"/>
          </w:rPr>
          <w:t> </w:t>
        </w:r>
        <w:r>
          <w:rPr>
            <w:rFonts w:ascii="Trebuchet MS" w:hAnsi="Trebuchet MS"/>
            <w:b/>
            <w:color w:val="89C6DC"/>
            <w:spacing w:val="-1"/>
            <w:w w:val="95"/>
            <w:sz w:val="24"/>
          </w:rPr>
          <w:t>busines</w:t>
        </w:r>
        <w:r>
          <w:rPr>
            <w:rFonts w:ascii="Trebuchet MS" w:hAnsi="Trebuchet MS"/>
            <w:b/>
            <w:color w:val="89C6DC"/>
            <w:w w:val="95"/>
            <w:sz w:val="24"/>
          </w:rPr>
          <w:t>s</w:t>
        </w:r>
        <w:r>
          <w:rPr>
            <w:rFonts w:ascii="Trebuchet MS" w:hAnsi="Trebuchet MS"/>
            <w:b/>
            <w:color w:val="89C6DC"/>
            <w:spacing w:val="7"/>
            <w:sz w:val="24"/>
          </w:rPr>
          <w:t> </w:t>
        </w:r>
        <w:r>
          <w:rPr>
            <w:rFonts w:ascii="Trebuchet MS" w:hAnsi="Trebuchet MS"/>
            <w:b/>
            <w:color w:val="89C6DC"/>
            <w:spacing w:val="-1"/>
            <w:w w:val="90"/>
            <w:sz w:val="24"/>
          </w:rPr>
          <w:t>conditions</w:t>
        </w:r>
      </w:hyperlink>
      <w:r>
        <w:rPr>
          <w:color w:val="89C6DC"/>
          <w:sz w:val="24"/>
        </w:rPr>
        <w:t> </w:t>
        <w:tab/>
      </w:r>
      <w:r>
        <w:rPr>
          <w:rFonts w:ascii="Trebuchet MS" w:hAnsi="Trebuchet MS"/>
          <w:b/>
          <w:smallCaps/>
          <w:spacing w:val="-1"/>
          <w:w w:val="83"/>
          <w:sz w:val="24"/>
        </w:rPr>
        <w:t>71</w:t>
      </w:r>
    </w:p>
    <w:p>
      <w:pPr>
        <w:tabs>
          <w:tab w:pos="10265" w:val="right" w:leader="none"/>
        </w:tabs>
        <w:spacing w:before="302"/>
        <w:ind w:left="4985" w:right="0" w:firstLine="0"/>
        <w:jc w:val="left"/>
        <w:rPr>
          <w:rFonts w:ascii="UnDinaru"/>
          <w:b/>
          <w:sz w:val="24"/>
        </w:rPr>
      </w:pPr>
      <w:hyperlink w:history="true" w:anchor="_bookmark53">
        <w:r>
          <w:rPr>
            <w:rFonts w:ascii="Trebuchet MS"/>
            <w:b/>
            <w:color w:val="89C6DC"/>
            <w:spacing w:val="-3"/>
            <w:sz w:val="24"/>
          </w:rPr>
          <w:t>Press</w:t>
        </w:r>
        <w:r>
          <w:rPr>
            <w:rFonts w:ascii="Trebuchet MS"/>
            <w:b/>
            <w:color w:val="89C6DC"/>
            <w:spacing w:val="4"/>
            <w:sz w:val="24"/>
          </w:rPr>
          <w:t> </w:t>
        </w:r>
        <w:r>
          <w:rPr>
            <w:rFonts w:ascii="Trebuchet MS"/>
            <w:b/>
            <w:color w:val="89C6DC"/>
            <w:sz w:val="24"/>
          </w:rPr>
          <w:t>Notices</w:t>
        </w:r>
      </w:hyperlink>
      <w:r>
        <w:rPr>
          <w:rFonts w:ascii="Trebuchet MS"/>
          <w:b/>
          <w:color w:val="89C6DC"/>
          <w:sz w:val="24"/>
        </w:rPr>
        <w:tab/>
      </w:r>
      <w:r>
        <w:rPr>
          <w:rFonts w:ascii="Trebuchet MS"/>
          <w:b/>
          <w:sz w:val="24"/>
        </w:rPr>
        <w:t>7</w:t>
      </w:r>
      <w:r>
        <w:rPr>
          <w:rFonts w:ascii="UnDinaru"/>
          <w:b/>
          <w:sz w:val="24"/>
        </w:rPr>
        <w:t>5</w:t>
      </w:r>
    </w:p>
    <w:p>
      <w:pPr>
        <w:tabs>
          <w:tab w:pos="10265" w:val="right" w:leader="none"/>
        </w:tabs>
        <w:spacing w:before="308"/>
        <w:ind w:left="4985" w:right="0" w:firstLine="0"/>
        <w:jc w:val="left"/>
        <w:rPr>
          <w:rFonts w:ascii="Trebuchet MS"/>
          <w:b/>
          <w:sz w:val="24"/>
        </w:rPr>
      </w:pPr>
      <w:hyperlink w:history="true" w:anchor="_bookmark54">
        <w:r>
          <w:rPr>
            <w:rFonts w:ascii="Trebuchet MS"/>
            <w:b/>
            <w:color w:val="89C6DC"/>
            <w:sz w:val="24"/>
          </w:rPr>
          <w:t>Glossary and</w:t>
        </w:r>
        <w:r>
          <w:rPr>
            <w:rFonts w:ascii="Trebuchet MS"/>
            <w:b/>
            <w:color w:val="89C6DC"/>
            <w:spacing w:val="-15"/>
            <w:sz w:val="24"/>
          </w:rPr>
          <w:t> </w:t>
        </w:r>
        <w:r>
          <w:rPr>
            <w:rFonts w:ascii="Trebuchet MS"/>
            <w:b/>
            <w:color w:val="89C6DC"/>
            <w:sz w:val="24"/>
          </w:rPr>
          <w:t>other</w:t>
        </w:r>
        <w:r>
          <w:rPr>
            <w:rFonts w:ascii="Trebuchet MS"/>
            <w:b/>
            <w:color w:val="89C6DC"/>
            <w:spacing w:val="-7"/>
            <w:sz w:val="24"/>
          </w:rPr>
          <w:t> </w:t>
        </w:r>
        <w:r>
          <w:rPr>
            <w:rFonts w:ascii="Trebuchet MS"/>
            <w:b/>
            <w:color w:val="89C6DC"/>
            <w:sz w:val="24"/>
          </w:rPr>
          <w:t>information</w:t>
        </w:r>
      </w:hyperlink>
      <w:r>
        <w:rPr>
          <w:rFonts w:ascii="Trebuchet MS"/>
          <w:b/>
          <w:color w:val="89C6DC"/>
          <w:sz w:val="24"/>
        </w:rPr>
        <w:tab/>
      </w:r>
      <w:r>
        <w:rPr>
          <w:rFonts w:ascii="Trebuchet MS"/>
          <w:b/>
          <w:sz w:val="24"/>
        </w:rPr>
        <w:t>78</w:t>
      </w:r>
    </w:p>
    <w:p>
      <w:pPr>
        <w:spacing w:after="0"/>
        <w:jc w:val="left"/>
        <w:rPr>
          <w:rFonts w:ascii="Trebuchet MS"/>
          <w:sz w:val="24"/>
        </w:rPr>
        <w:sectPr>
          <w:headerReference w:type="default" r:id="rId21"/>
          <w:footerReference w:type="default" r:id="rId22"/>
          <w:pgSz w:w="11900" w:h="16840"/>
          <w:pgMar w:header="0" w:footer="0" w:top="1200" w:bottom="280" w:left="640" w:right="640"/>
        </w:sectPr>
      </w:pPr>
    </w:p>
    <w:p>
      <w:pPr>
        <w:pStyle w:val="BodyText"/>
        <w:spacing w:line="20" w:lineRule="exact"/>
        <w:ind w:left="138"/>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rFonts w:ascii="Trebuchet MS"/>
          <w:sz w:val="2"/>
        </w:rPr>
      </w:r>
    </w:p>
    <w:p>
      <w:pPr>
        <w:pStyle w:val="BodyText"/>
        <w:rPr>
          <w:rFonts w:ascii="Trebuchet MS"/>
          <w:b/>
        </w:rPr>
      </w:pPr>
    </w:p>
    <w:p>
      <w:pPr>
        <w:pStyle w:val="BodyText"/>
        <w:spacing w:before="4"/>
        <w:rPr>
          <w:rFonts w:ascii="Trebuchet MS"/>
          <w:b/>
          <w:sz w:val="18"/>
        </w:rPr>
      </w:pPr>
      <w:r>
        <w:rPr/>
        <w:pict>
          <v:shape style="position:absolute;margin-left:40pt;margin-top:11.888672pt;width:516.25pt;height:51.05pt;mso-position-horizontal-relative:page;mso-position-vertical-relative:paragraph;z-index:-15720448;mso-wrap-distance-left:0;mso-wrap-distance-right:0" type="#_x0000_t202" filled="true" fillcolor="#ebf4f7" stroked="false">
            <v:textbox inset="0,0,0,0">
              <w:txbxContent>
                <w:p>
                  <w:pPr>
                    <w:tabs>
                      <w:tab w:pos="10100" w:val="right" w:leader="none"/>
                    </w:tabs>
                    <w:spacing w:before="226"/>
                    <w:ind w:left="260" w:right="0" w:firstLine="0"/>
                    <w:jc w:val="left"/>
                    <w:rPr>
                      <w:rFonts w:ascii="Trebuchet MS"/>
                      <w:sz w:val="48"/>
                    </w:rPr>
                  </w:pPr>
                  <w:bookmarkStart w:name="Money and financial markets" w:id="2"/>
                  <w:bookmarkEnd w:id="2"/>
                  <w:r>
                    <w:rPr/>
                  </w:r>
                  <w:bookmarkStart w:name="Money and credit" w:id="3"/>
                  <w:bookmarkEnd w:id="3"/>
                  <w:r>
                    <w:rPr/>
                  </w:r>
                  <w:bookmarkStart w:name="Narrow money" w:id="4"/>
                  <w:bookmarkEnd w:id="4"/>
                  <w:r>
                    <w:rPr/>
                  </w:r>
                  <w:bookmarkStart w:name="_bookmark1" w:id="5"/>
                  <w:bookmarkEnd w:id="5"/>
                  <w:r>
                    <w:rPr/>
                  </w:r>
                  <w:bookmarkStart w:name="_bookmark2" w:id="6"/>
                  <w:bookmarkEnd w:id="6"/>
                  <w:r>
                    <w:rPr/>
                  </w:r>
                  <w:r>
                    <w:rPr>
                      <w:rFonts w:ascii="Trebuchet MS"/>
                      <w:color w:val="89C6DC"/>
                      <w:spacing w:val="-12"/>
                      <w:w w:val="108"/>
                      <w:sz w:val="48"/>
                    </w:rPr>
                    <w:t>M</w:t>
                  </w:r>
                  <w:r>
                    <w:rPr>
                      <w:rFonts w:ascii="Trebuchet MS"/>
                      <w:color w:val="89C6DC"/>
                      <w:spacing w:val="-1"/>
                      <w:w w:val="96"/>
                      <w:sz w:val="48"/>
                    </w:rPr>
                    <w:t>one</w:t>
                  </w:r>
                  <w:r>
                    <w:rPr>
                      <w:rFonts w:ascii="Trebuchet MS"/>
                      <w:color w:val="89C6DC"/>
                      <w:w w:val="96"/>
                      <w:sz w:val="48"/>
                    </w:rPr>
                    <w:t>y</w:t>
                  </w:r>
                  <w:r>
                    <w:rPr>
                      <w:rFonts w:ascii="Trebuchet MS"/>
                      <w:color w:val="89C6DC"/>
                      <w:spacing w:val="15"/>
                      <w:sz w:val="48"/>
                    </w:rPr>
                    <w:t> </w:t>
                  </w:r>
                  <w:r>
                    <w:rPr>
                      <w:rFonts w:ascii="Trebuchet MS"/>
                      <w:color w:val="89C6DC"/>
                      <w:spacing w:val="-1"/>
                      <w:w w:val="97"/>
                      <w:sz w:val="48"/>
                    </w:rPr>
                    <w:t>an</w:t>
                  </w:r>
                  <w:r>
                    <w:rPr>
                      <w:rFonts w:ascii="Trebuchet MS"/>
                      <w:color w:val="89C6DC"/>
                      <w:w w:val="97"/>
                      <w:sz w:val="48"/>
                    </w:rPr>
                    <w:t>d</w:t>
                  </w:r>
                  <w:r>
                    <w:rPr>
                      <w:rFonts w:ascii="Trebuchet MS"/>
                      <w:color w:val="89C6DC"/>
                      <w:spacing w:val="15"/>
                      <w:sz w:val="48"/>
                    </w:rPr>
                    <w:t> </w:t>
                  </w:r>
                  <w:r>
                    <w:rPr>
                      <w:rFonts w:ascii="Trebuchet MS"/>
                      <w:color w:val="89C6DC"/>
                      <w:spacing w:val="-1"/>
                      <w:w w:val="91"/>
                      <w:sz w:val="48"/>
                    </w:rPr>
                    <w:t>financia</w:t>
                  </w:r>
                  <w:r>
                    <w:rPr>
                      <w:rFonts w:ascii="Trebuchet MS"/>
                      <w:color w:val="89C6DC"/>
                      <w:w w:val="91"/>
                      <w:sz w:val="48"/>
                    </w:rPr>
                    <w:t>l</w:t>
                  </w:r>
                  <w:r>
                    <w:rPr>
                      <w:rFonts w:ascii="Trebuchet MS"/>
                      <w:color w:val="89C6DC"/>
                      <w:spacing w:val="15"/>
                      <w:sz w:val="48"/>
                    </w:rPr>
                    <w:t> </w:t>
                  </w:r>
                  <w:r>
                    <w:rPr>
                      <w:rFonts w:ascii="Trebuchet MS"/>
                      <w:color w:val="89C6DC"/>
                      <w:spacing w:val="-1"/>
                      <w:w w:val="92"/>
                      <w:sz w:val="48"/>
                    </w:rPr>
                    <w:t>ma</w:t>
                  </w:r>
                  <w:r>
                    <w:rPr>
                      <w:rFonts w:ascii="Trebuchet MS"/>
                      <w:color w:val="89C6DC"/>
                      <w:spacing w:val="-3"/>
                      <w:w w:val="92"/>
                      <w:sz w:val="48"/>
                    </w:rPr>
                    <w:t>r</w:t>
                  </w:r>
                  <w:r>
                    <w:rPr>
                      <w:rFonts w:ascii="Trebuchet MS"/>
                      <w:color w:val="89C6DC"/>
                      <w:spacing w:val="-1"/>
                      <w:w w:val="95"/>
                      <w:sz w:val="48"/>
                    </w:rPr>
                    <w:t>kets</w:t>
                  </w:r>
                  <w:r>
                    <w:rPr>
                      <w:color w:val="89C6DC"/>
                      <w:sz w:val="48"/>
                    </w:rPr>
                    <w:t> </w:t>
                    <w:tab/>
                  </w:r>
                  <w:r>
                    <w:rPr>
                      <w:rFonts w:ascii="Trebuchet MS"/>
                      <w:smallCaps/>
                      <w:color w:val="89C6DC"/>
                      <w:w w:val="77"/>
                      <w:sz w:val="48"/>
                    </w:rPr>
                    <w:t>1</w:t>
                  </w:r>
                </w:p>
              </w:txbxContent>
            </v:textbox>
            <v:fill type="solid"/>
            <w10:wrap type="topAndBottom"/>
          </v:shape>
        </w:pic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5"/>
        <w:rPr>
          <w:rFonts w:ascii="Trebuchet MS"/>
          <w:b/>
        </w:rPr>
      </w:pPr>
    </w:p>
    <w:p>
      <w:pPr>
        <w:pStyle w:val="BodyText"/>
        <w:spacing w:line="292" w:lineRule="auto"/>
        <w:ind w:left="5100" w:right="67"/>
      </w:pPr>
      <w:r>
        <w:rPr>
          <w:w w:val="110"/>
        </w:rPr>
        <w:t>Since the November </w:t>
      </w:r>
      <w:r>
        <w:rPr>
          <w:i/>
          <w:w w:val="110"/>
        </w:rPr>
        <w:t>Report</w:t>
      </w:r>
      <w:r>
        <w:rPr>
          <w:w w:val="110"/>
        </w:rPr>
        <w:t>, broad money growth has eased from its recent peak, reflecting a slower </w:t>
      </w:r>
      <w:r>
        <w:rPr>
          <w:spacing w:val="-4"/>
          <w:w w:val="110"/>
        </w:rPr>
        <w:t>rate </w:t>
      </w:r>
      <w:r>
        <w:rPr>
          <w:w w:val="110"/>
        </w:rPr>
        <w:t>of increase in deposits held </w:t>
      </w:r>
      <w:r>
        <w:rPr>
          <w:spacing w:val="-3"/>
          <w:w w:val="110"/>
        </w:rPr>
        <w:t>by </w:t>
      </w:r>
      <w:r>
        <w:rPr>
          <w:w w:val="110"/>
        </w:rPr>
        <w:t>corporations. Aggregate lending continues </w:t>
      </w:r>
      <w:r>
        <w:rPr>
          <w:spacing w:val="-4"/>
          <w:w w:val="110"/>
        </w:rPr>
        <w:t>to </w:t>
      </w:r>
      <w:r>
        <w:rPr>
          <w:w w:val="110"/>
        </w:rPr>
        <w:t>rise at a rapid </w:t>
      </w:r>
      <w:r>
        <w:rPr>
          <w:spacing w:val="-4"/>
          <w:w w:val="110"/>
        </w:rPr>
        <w:t>rate, </w:t>
      </w:r>
      <w:r>
        <w:rPr>
          <w:w w:val="110"/>
        </w:rPr>
        <w:t>and more quickly than deposits. </w:t>
      </w:r>
      <w:r>
        <w:rPr>
          <w:spacing w:val="-2"/>
          <w:w w:val="110"/>
        </w:rPr>
        <w:t>Growth </w:t>
      </w:r>
      <w:r>
        <w:rPr>
          <w:w w:val="110"/>
        </w:rPr>
        <w:t>in lending </w:t>
      </w:r>
      <w:r>
        <w:rPr>
          <w:spacing w:val="-4"/>
          <w:w w:val="110"/>
        </w:rPr>
        <w:t>to </w:t>
      </w:r>
      <w:r>
        <w:rPr>
          <w:spacing w:val="-3"/>
          <w:w w:val="110"/>
        </w:rPr>
        <w:t>private </w:t>
      </w:r>
      <w:r>
        <w:rPr>
          <w:w w:val="110"/>
        </w:rPr>
        <w:t>non-financial corporations has eased, from high levels, partly reflecting reductions in their net purchases of financial assets. Household deposit and credit </w:t>
      </w:r>
      <w:r>
        <w:rPr>
          <w:spacing w:val="-3"/>
          <w:w w:val="110"/>
        </w:rPr>
        <w:t>growth </w:t>
      </w:r>
      <w:r>
        <w:rPr>
          <w:w w:val="110"/>
        </w:rPr>
        <w:t>remains robust, with lending growth supported </w:t>
      </w:r>
      <w:r>
        <w:rPr>
          <w:spacing w:val="-3"/>
          <w:w w:val="110"/>
        </w:rPr>
        <w:t>by </w:t>
      </w:r>
      <w:r>
        <w:rPr>
          <w:w w:val="110"/>
        </w:rPr>
        <w:t>falls in the cost of borrowing. But the Divisia measure of nominal household deposit growth has </w:t>
      </w:r>
      <w:r>
        <w:rPr>
          <w:spacing w:val="-3"/>
          <w:w w:val="110"/>
        </w:rPr>
        <w:t>moderated. </w:t>
      </w:r>
      <w:r>
        <w:rPr>
          <w:spacing w:val="-2"/>
          <w:w w:val="110"/>
        </w:rPr>
        <w:t>Narrow </w:t>
      </w:r>
      <w:r>
        <w:rPr>
          <w:w w:val="110"/>
        </w:rPr>
        <w:t>money continues </w:t>
      </w:r>
      <w:r>
        <w:rPr>
          <w:spacing w:val="-4"/>
          <w:w w:val="110"/>
        </w:rPr>
        <w:t>to </w:t>
      </w:r>
      <w:r>
        <w:rPr>
          <w:w w:val="110"/>
        </w:rPr>
        <w:t>increase at a rapid underlying </w:t>
      </w:r>
      <w:r>
        <w:rPr>
          <w:spacing w:val="-4"/>
          <w:w w:val="110"/>
        </w:rPr>
        <w:t>rate, </w:t>
      </w:r>
      <w:r>
        <w:rPr>
          <w:w w:val="110"/>
        </w:rPr>
        <w:t>and at a </w:t>
      </w:r>
      <w:r>
        <w:rPr>
          <w:spacing w:val="-3"/>
          <w:w w:val="110"/>
        </w:rPr>
        <w:t>faster </w:t>
      </w:r>
      <w:r>
        <w:rPr>
          <w:w w:val="110"/>
        </w:rPr>
        <w:t>pace than retail sales values.</w:t>
      </w:r>
    </w:p>
    <w:p>
      <w:pPr>
        <w:pStyle w:val="BodyText"/>
        <w:spacing w:before="3"/>
        <w:rPr>
          <w:sz w:val="18"/>
        </w:rPr>
      </w:pPr>
    </w:p>
    <w:p>
      <w:pPr>
        <w:spacing w:after="0"/>
        <w:rPr>
          <w:sz w:val="18"/>
        </w:rPr>
        <w:sectPr>
          <w:headerReference w:type="default" r:id="rId23"/>
          <w:footerReference w:type="default" r:id="rId24"/>
          <w:footerReference w:type="even" r:id="rId25"/>
          <w:pgSz w:w="11900" w:h="16840"/>
          <w:pgMar w:header="0" w:footer="575" w:top="800" w:bottom="760" w:left="640" w:right="640"/>
          <w:pgNumType w:start="3"/>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
        <w:rPr>
          <w:sz w:val="17"/>
        </w:rPr>
      </w:pPr>
    </w:p>
    <w:p>
      <w:pPr>
        <w:pStyle w:val="Heading6"/>
        <w:ind w:left="160"/>
      </w:pPr>
      <w:r>
        <w:rPr>
          <w:color w:val="89C6DC"/>
          <w:spacing w:val="-15"/>
          <w:w w:val="81"/>
        </w:rPr>
        <w:t>T</w:t>
      </w:r>
      <w:r>
        <w:rPr>
          <w:color w:val="89C6DC"/>
          <w:spacing w:val="-1"/>
          <w:w w:val="91"/>
        </w:rPr>
        <w:t>abl</w:t>
      </w:r>
      <w:r>
        <w:rPr>
          <w:color w:val="89C6DC"/>
          <w:w w:val="91"/>
        </w:rPr>
        <w:t>e</w:t>
      </w:r>
      <w:r>
        <w:rPr>
          <w:color w:val="89C6DC"/>
          <w:spacing w:val="6"/>
        </w:rPr>
        <w:t> </w:t>
      </w:r>
      <w:r>
        <w:rPr>
          <w:smallCaps/>
          <w:color w:val="89C6DC"/>
          <w:spacing w:val="-1"/>
          <w:w w:val="81"/>
        </w:rPr>
        <w:t>1.A</w:t>
      </w:r>
    </w:p>
    <w:p>
      <w:pPr>
        <w:spacing w:line="247" w:lineRule="auto" w:before="8"/>
        <w:ind w:left="160" w:right="440" w:firstLine="0"/>
        <w:jc w:val="left"/>
        <w:rPr>
          <w:sz w:val="12"/>
        </w:rPr>
      </w:pPr>
      <w:r>
        <w:rPr>
          <w:rFonts w:ascii="Trebuchet MS"/>
          <w:b/>
          <w:color w:val="89C6DC"/>
          <w:w w:val="95"/>
          <w:sz w:val="20"/>
        </w:rPr>
        <w:t>Growth</w:t>
      </w:r>
      <w:r>
        <w:rPr>
          <w:rFonts w:ascii="Trebuchet MS"/>
          <w:b/>
          <w:color w:val="89C6DC"/>
          <w:spacing w:val="-19"/>
          <w:w w:val="95"/>
          <w:sz w:val="20"/>
        </w:rPr>
        <w:t> </w:t>
      </w:r>
      <w:r>
        <w:rPr>
          <w:rFonts w:ascii="Trebuchet MS"/>
          <w:b/>
          <w:color w:val="89C6DC"/>
          <w:w w:val="95"/>
          <w:sz w:val="20"/>
        </w:rPr>
        <w:t>rates</w:t>
      </w:r>
      <w:r>
        <w:rPr>
          <w:rFonts w:ascii="Trebuchet MS"/>
          <w:b/>
          <w:color w:val="89C6DC"/>
          <w:spacing w:val="-18"/>
          <w:w w:val="95"/>
          <w:sz w:val="20"/>
        </w:rPr>
        <w:t> </w:t>
      </w:r>
      <w:r>
        <w:rPr>
          <w:rFonts w:ascii="Trebuchet MS"/>
          <w:b/>
          <w:color w:val="89C6DC"/>
          <w:w w:val="95"/>
          <w:sz w:val="20"/>
        </w:rPr>
        <w:t>of</w:t>
      </w:r>
      <w:r>
        <w:rPr>
          <w:rFonts w:ascii="Trebuchet MS"/>
          <w:b/>
          <w:color w:val="89C6DC"/>
          <w:spacing w:val="-19"/>
          <w:w w:val="95"/>
          <w:sz w:val="20"/>
        </w:rPr>
        <w:t> </w:t>
      </w:r>
      <w:r>
        <w:rPr>
          <w:rFonts w:ascii="Trebuchet MS"/>
          <w:b/>
          <w:color w:val="89C6DC"/>
          <w:w w:val="95"/>
          <w:sz w:val="20"/>
        </w:rPr>
        <w:t>notes</w:t>
      </w:r>
      <w:r>
        <w:rPr>
          <w:rFonts w:ascii="Trebuchet MS"/>
          <w:b/>
          <w:color w:val="89C6DC"/>
          <w:spacing w:val="-18"/>
          <w:w w:val="95"/>
          <w:sz w:val="20"/>
        </w:rPr>
        <w:t> </w:t>
      </w:r>
      <w:r>
        <w:rPr>
          <w:rFonts w:ascii="Trebuchet MS"/>
          <w:b/>
          <w:color w:val="89C6DC"/>
          <w:w w:val="95"/>
          <w:sz w:val="20"/>
        </w:rPr>
        <w:t>and</w:t>
      </w:r>
      <w:r>
        <w:rPr>
          <w:rFonts w:ascii="Trebuchet MS"/>
          <w:b/>
          <w:color w:val="89C6DC"/>
          <w:spacing w:val="-18"/>
          <w:w w:val="95"/>
          <w:sz w:val="20"/>
        </w:rPr>
        <w:t> </w:t>
      </w:r>
      <w:r>
        <w:rPr>
          <w:rFonts w:ascii="Trebuchet MS"/>
          <w:b/>
          <w:color w:val="89C6DC"/>
          <w:w w:val="95"/>
          <w:sz w:val="20"/>
        </w:rPr>
        <w:t>coin,</w:t>
      </w:r>
      <w:r>
        <w:rPr>
          <w:rFonts w:ascii="Trebuchet MS"/>
          <w:b/>
          <w:color w:val="89C6DC"/>
          <w:spacing w:val="-19"/>
          <w:w w:val="95"/>
          <w:sz w:val="20"/>
        </w:rPr>
        <w:t> </w:t>
      </w:r>
      <w:r>
        <w:rPr>
          <w:rFonts w:ascii="Trebuchet MS"/>
          <w:b/>
          <w:color w:val="89C6DC"/>
          <w:w w:val="95"/>
          <w:sz w:val="20"/>
        </w:rPr>
        <w:t>M4,</w:t>
      </w:r>
      <w:r>
        <w:rPr>
          <w:rFonts w:ascii="Trebuchet MS"/>
          <w:b/>
          <w:color w:val="89C6DC"/>
          <w:spacing w:val="-18"/>
          <w:w w:val="95"/>
          <w:sz w:val="20"/>
        </w:rPr>
        <w:t> </w:t>
      </w:r>
      <w:r>
        <w:rPr>
          <w:rFonts w:ascii="Trebuchet MS"/>
          <w:b/>
          <w:color w:val="89C6DC"/>
          <w:w w:val="95"/>
          <w:sz w:val="20"/>
        </w:rPr>
        <w:t>and </w:t>
      </w:r>
      <w:r>
        <w:rPr>
          <w:rFonts w:ascii="Trebuchet MS"/>
          <w:b/>
          <w:color w:val="89C6DC"/>
          <w:sz w:val="20"/>
        </w:rPr>
        <w:t>M4</w:t>
      </w:r>
      <w:r>
        <w:rPr>
          <w:rFonts w:ascii="Trebuchet MS"/>
          <w:b/>
          <w:color w:val="89C6DC"/>
          <w:spacing w:val="4"/>
          <w:sz w:val="20"/>
        </w:rPr>
        <w:t> </w:t>
      </w:r>
      <w:r>
        <w:rPr>
          <w:rFonts w:ascii="Trebuchet MS"/>
          <w:b/>
          <w:color w:val="89C6DC"/>
          <w:sz w:val="20"/>
        </w:rPr>
        <w:t>lending</w:t>
      </w:r>
      <w:r>
        <w:rPr>
          <w:position w:val="4"/>
          <w:sz w:val="12"/>
        </w:rPr>
        <w:t>(a)</w:t>
      </w:r>
    </w:p>
    <w:p>
      <w:pPr>
        <w:spacing w:before="98"/>
        <w:ind w:left="160" w:right="0" w:firstLine="0"/>
        <w:jc w:val="left"/>
        <w:rPr>
          <w:sz w:val="14"/>
        </w:rPr>
      </w:pPr>
      <w:r>
        <w:rPr>
          <w:w w:val="110"/>
          <w:sz w:val="14"/>
        </w:rPr>
        <w:t>Per cent</w:t>
      </w:r>
    </w:p>
    <w:p>
      <w:pPr>
        <w:pStyle w:val="BodyText"/>
        <w:spacing w:before="7"/>
        <w:rPr>
          <w:sz w:val="12"/>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0"/>
        <w:gridCol w:w="486"/>
        <w:gridCol w:w="592"/>
        <w:gridCol w:w="1119"/>
        <w:gridCol w:w="868"/>
      </w:tblGrid>
      <w:tr>
        <w:trPr>
          <w:trHeight w:val="210" w:hRule="atLeast"/>
        </w:trPr>
        <w:tc>
          <w:tcPr>
            <w:tcW w:w="2278" w:type="dxa"/>
            <w:gridSpan w:val="3"/>
          </w:tcPr>
          <w:p>
            <w:pPr>
              <w:pStyle w:val="TableParagraph"/>
              <w:rPr>
                <w:sz w:val="14"/>
              </w:rPr>
            </w:pPr>
          </w:p>
        </w:tc>
        <w:tc>
          <w:tcPr>
            <w:tcW w:w="1119" w:type="dxa"/>
          </w:tcPr>
          <w:p>
            <w:pPr>
              <w:pStyle w:val="TableParagraph"/>
              <w:spacing w:line="135" w:lineRule="exact"/>
              <w:ind w:left="217" w:right="99"/>
              <w:jc w:val="center"/>
              <w:rPr>
                <w:sz w:val="12"/>
              </w:rPr>
            </w:pPr>
            <w:r>
              <w:rPr>
                <w:w w:val="110"/>
                <w:sz w:val="14"/>
                <w:u w:val="single"/>
              </w:rPr>
              <w:t>3 months </w:t>
            </w:r>
            <w:r>
              <w:rPr>
                <w:w w:val="110"/>
                <w:sz w:val="12"/>
                <w:u w:val="single"/>
              </w:rPr>
              <w:t>(b)</w:t>
            </w:r>
          </w:p>
        </w:tc>
        <w:tc>
          <w:tcPr>
            <w:tcW w:w="868" w:type="dxa"/>
          </w:tcPr>
          <w:p>
            <w:pPr>
              <w:pStyle w:val="TableParagraph"/>
              <w:spacing w:line="135" w:lineRule="exact"/>
              <w:ind w:left="123"/>
              <w:rPr>
                <w:sz w:val="14"/>
              </w:rPr>
            </w:pPr>
            <w:r>
              <w:rPr>
                <w:w w:val="115"/>
                <w:sz w:val="14"/>
                <w:u w:val="single"/>
              </w:rPr>
              <w:t>12 months</w:t>
            </w:r>
            <w:r>
              <w:rPr>
                <w:sz w:val="14"/>
                <w:u w:val="single"/>
              </w:rPr>
              <w:t> </w:t>
            </w:r>
          </w:p>
        </w:tc>
      </w:tr>
      <w:tr>
        <w:trPr>
          <w:trHeight w:val="210" w:hRule="atLeast"/>
        </w:trPr>
        <w:tc>
          <w:tcPr>
            <w:tcW w:w="1200" w:type="dxa"/>
          </w:tcPr>
          <w:p>
            <w:pPr>
              <w:pStyle w:val="TableParagraph"/>
              <w:spacing w:line="146" w:lineRule="exact" w:before="44"/>
              <w:ind w:left="50"/>
              <w:rPr>
                <w:sz w:val="12"/>
              </w:rPr>
            </w:pPr>
            <w:r>
              <w:rPr>
                <w:w w:val="110"/>
                <w:sz w:val="14"/>
              </w:rPr>
              <w:t>Notes and coin </w:t>
            </w:r>
            <w:r>
              <w:rPr>
                <w:w w:val="110"/>
                <w:sz w:val="12"/>
              </w:rPr>
              <w:t>(c)</w:t>
            </w:r>
          </w:p>
        </w:tc>
        <w:tc>
          <w:tcPr>
            <w:tcW w:w="486" w:type="dxa"/>
          </w:tcPr>
          <w:p>
            <w:pPr>
              <w:pStyle w:val="TableParagraph"/>
              <w:spacing w:line="146" w:lineRule="exact" w:before="44"/>
              <w:ind w:left="33" w:right="45"/>
              <w:jc w:val="center"/>
              <w:rPr>
                <w:sz w:val="14"/>
              </w:rPr>
            </w:pPr>
            <w:r>
              <w:rPr>
                <w:w w:val="120"/>
                <w:sz w:val="14"/>
              </w:rPr>
              <w:t>2000</w:t>
            </w:r>
          </w:p>
        </w:tc>
        <w:tc>
          <w:tcPr>
            <w:tcW w:w="592" w:type="dxa"/>
          </w:tcPr>
          <w:p>
            <w:pPr>
              <w:pStyle w:val="TableParagraph"/>
              <w:spacing w:line="146" w:lineRule="exact" w:before="44"/>
              <w:ind w:left="84"/>
              <w:rPr>
                <w:sz w:val="14"/>
              </w:rPr>
            </w:pPr>
            <w:r>
              <w:rPr>
                <w:w w:val="105"/>
                <w:sz w:val="14"/>
              </w:rPr>
              <w:t>Oct.</w:t>
            </w:r>
          </w:p>
        </w:tc>
        <w:tc>
          <w:tcPr>
            <w:tcW w:w="1119" w:type="dxa"/>
          </w:tcPr>
          <w:p>
            <w:pPr>
              <w:pStyle w:val="TableParagraph"/>
              <w:spacing w:line="146" w:lineRule="exact" w:before="44"/>
              <w:ind w:left="195" w:right="99"/>
              <w:jc w:val="center"/>
              <w:rPr>
                <w:sz w:val="14"/>
              </w:rPr>
            </w:pPr>
            <w:r>
              <w:rPr>
                <w:w w:val="115"/>
                <w:sz w:val="14"/>
              </w:rPr>
              <w:t>10.0</w:t>
            </w:r>
          </w:p>
        </w:tc>
        <w:tc>
          <w:tcPr>
            <w:tcW w:w="868" w:type="dxa"/>
          </w:tcPr>
          <w:p>
            <w:pPr>
              <w:pStyle w:val="TableParagraph"/>
              <w:spacing w:line="146" w:lineRule="exact" w:before="44"/>
              <w:ind w:left="275" w:right="335"/>
              <w:jc w:val="center"/>
              <w:rPr>
                <w:sz w:val="14"/>
              </w:rPr>
            </w:pPr>
            <w:r>
              <w:rPr>
                <w:w w:val="115"/>
                <w:sz w:val="14"/>
              </w:rPr>
              <w:t>8.1</w:t>
            </w:r>
          </w:p>
        </w:tc>
      </w:tr>
      <w:tr>
        <w:trPr>
          <w:trHeight w:val="140" w:hRule="atLeast"/>
        </w:trPr>
        <w:tc>
          <w:tcPr>
            <w:tcW w:w="1200" w:type="dxa"/>
          </w:tcPr>
          <w:p>
            <w:pPr>
              <w:pStyle w:val="TableParagraph"/>
              <w:rPr>
                <w:sz w:val="8"/>
              </w:rPr>
            </w:pPr>
          </w:p>
        </w:tc>
        <w:tc>
          <w:tcPr>
            <w:tcW w:w="486" w:type="dxa"/>
          </w:tcPr>
          <w:p>
            <w:pPr>
              <w:pStyle w:val="TableParagraph"/>
              <w:rPr>
                <w:sz w:val="8"/>
              </w:rPr>
            </w:pPr>
          </w:p>
        </w:tc>
        <w:tc>
          <w:tcPr>
            <w:tcW w:w="592" w:type="dxa"/>
          </w:tcPr>
          <w:p>
            <w:pPr>
              <w:pStyle w:val="TableParagraph"/>
              <w:spacing w:line="120" w:lineRule="exact"/>
              <w:ind w:left="83"/>
              <w:rPr>
                <w:sz w:val="14"/>
              </w:rPr>
            </w:pPr>
            <w:r>
              <w:rPr>
                <w:sz w:val="14"/>
              </w:rPr>
              <w:t>Nov.</w:t>
            </w:r>
          </w:p>
        </w:tc>
        <w:tc>
          <w:tcPr>
            <w:tcW w:w="1119" w:type="dxa"/>
          </w:tcPr>
          <w:p>
            <w:pPr>
              <w:pStyle w:val="TableParagraph"/>
              <w:spacing w:line="120" w:lineRule="exact"/>
              <w:ind w:left="217" w:right="53"/>
              <w:jc w:val="center"/>
              <w:rPr>
                <w:sz w:val="14"/>
              </w:rPr>
            </w:pPr>
            <w:r>
              <w:rPr>
                <w:w w:val="115"/>
                <w:sz w:val="14"/>
              </w:rPr>
              <w:t>8.9</w:t>
            </w:r>
          </w:p>
        </w:tc>
        <w:tc>
          <w:tcPr>
            <w:tcW w:w="868" w:type="dxa"/>
          </w:tcPr>
          <w:p>
            <w:pPr>
              <w:pStyle w:val="TableParagraph"/>
              <w:spacing w:line="120" w:lineRule="exact"/>
              <w:ind w:left="283" w:right="319"/>
              <w:jc w:val="center"/>
              <w:rPr>
                <w:sz w:val="14"/>
              </w:rPr>
            </w:pPr>
            <w:r>
              <w:rPr>
                <w:w w:val="110"/>
                <w:sz w:val="14"/>
              </w:rPr>
              <w:t>7.1</w:t>
            </w:r>
          </w:p>
        </w:tc>
      </w:tr>
      <w:tr>
        <w:trPr>
          <w:trHeight w:val="140" w:hRule="atLeast"/>
        </w:trPr>
        <w:tc>
          <w:tcPr>
            <w:tcW w:w="1200" w:type="dxa"/>
          </w:tcPr>
          <w:p>
            <w:pPr>
              <w:pStyle w:val="TableParagraph"/>
              <w:rPr>
                <w:sz w:val="8"/>
              </w:rPr>
            </w:pPr>
          </w:p>
        </w:tc>
        <w:tc>
          <w:tcPr>
            <w:tcW w:w="486" w:type="dxa"/>
          </w:tcPr>
          <w:p>
            <w:pPr>
              <w:pStyle w:val="TableParagraph"/>
              <w:rPr>
                <w:sz w:val="8"/>
              </w:rPr>
            </w:pPr>
          </w:p>
        </w:tc>
        <w:tc>
          <w:tcPr>
            <w:tcW w:w="592" w:type="dxa"/>
          </w:tcPr>
          <w:p>
            <w:pPr>
              <w:pStyle w:val="TableParagraph"/>
              <w:spacing w:line="120" w:lineRule="exact"/>
              <w:ind w:left="83"/>
              <w:rPr>
                <w:sz w:val="14"/>
              </w:rPr>
            </w:pPr>
            <w:r>
              <w:rPr>
                <w:sz w:val="14"/>
              </w:rPr>
              <w:t>Dec.</w:t>
            </w:r>
          </w:p>
        </w:tc>
        <w:tc>
          <w:tcPr>
            <w:tcW w:w="1119" w:type="dxa"/>
          </w:tcPr>
          <w:p>
            <w:pPr>
              <w:pStyle w:val="TableParagraph"/>
              <w:spacing w:line="120" w:lineRule="exact"/>
              <w:ind w:left="217" w:right="53"/>
              <w:jc w:val="center"/>
              <w:rPr>
                <w:sz w:val="14"/>
              </w:rPr>
            </w:pPr>
            <w:r>
              <w:rPr>
                <w:w w:val="115"/>
                <w:sz w:val="14"/>
              </w:rPr>
              <w:t>6.0</w:t>
            </w:r>
          </w:p>
        </w:tc>
        <w:tc>
          <w:tcPr>
            <w:tcW w:w="868" w:type="dxa"/>
          </w:tcPr>
          <w:p>
            <w:pPr>
              <w:pStyle w:val="TableParagraph"/>
              <w:spacing w:line="120" w:lineRule="exact"/>
              <w:ind w:left="275" w:right="335"/>
              <w:jc w:val="center"/>
              <w:rPr>
                <w:sz w:val="14"/>
              </w:rPr>
            </w:pPr>
            <w:r>
              <w:rPr>
                <w:w w:val="115"/>
                <w:sz w:val="14"/>
              </w:rPr>
              <w:t>4.6</w:t>
            </w:r>
          </w:p>
        </w:tc>
      </w:tr>
      <w:tr>
        <w:trPr>
          <w:trHeight w:val="210" w:hRule="atLeast"/>
        </w:trPr>
        <w:tc>
          <w:tcPr>
            <w:tcW w:w="1200" w:type="dxa"/>
          </w:tcPr>
          <w:p>
            <w:pPr>
              <w:pStyle w:val="TableParagraph"/>
              <w:rPr>
                <w:sz w:val="14"/>
              </w:rPr>
            </w:pPr>
          </w:p>
        </w:tc>
        <w:tc>
          <w:tcPr>
            <w:tcW w:w="486" w:type="dxa"/>
          </w:tcPr>
          <w:p>
            <w:pPr>
              <w:pStyle w:val="TableParagraph"/>
              <w:spacing w:line="135" w:lineRule="exact"/>
              <w:ind w:left="30" w:right="61"/>
              <w:jc w:val="center"/>
              <w:rPr>
                <w:sz w:val="14"/>
              </w:rPr>
            </w:pPr>
            <w:r>
              <w:rPr>
                <w:w w:val="120"/>
                <w:sz w:val="14"/>
              </w:rPr>
              <w:t>2001</w:t>
            </w:r>
          </w:p>
        </w:tc>
        <w:tc>
          <w:tcPr>
            <w:tcW w:w="592" w:type="dxa"/>
          </w:tcPr>
          <w:p>
            <w:pPr>
              <w:pStyle w:val="TableParagraph"/>
              <w:spacing w:line="135" w:lineRule="exact"/>
              <w:ind w:left="84"/>
              <w:rPr>
                <w:sz w:val="14"/>
              </w:rPr>
            </w:pPr>
            <w:r>
              <w:rPr>
                <w:sz w:val="14"/>
              </w:rPr>
              <w:t>Jan.</w:t>
            </w:r>
          </w:p>
        </w:tc>
        <w:tc>
          <w:tcPr>
            <w:tcW w:w="1119" w:type="dxa"/>
          </w:tcPr>
          <w:p>
            <w:pPr>
              <w:pStyle w:val="TableParagraph"/>
              <w:spacing w:line="135" w:lineRule="exact"/>
              <w:ind w:left="195" w:right="99"/>
              <w:jc w:val="center"/>
              <w:rPr>
                <w:sz w:val="14"/>
              </w:rPr>
            </w:pPr>
            <w:r>
              <w:rPr>
                <w:w w:val="115"/>
                <w:sz w:val="14"/>
              </w:rPr>
              <w:t>10.4</w:t>
            </w:r>
          </w:p>
        </w:tc>
        <w:tc>
          <w:tcPr>
            <w:tcW w:w="868" w:type="dxa"/>
          </w:tcPr>
          <w:p>
            <w:pPr>
              <w:pStyle w:val="TableParagraph"/>
              <w:spacing w:line="135" w:lineRule="exact"/>
              <w:ind w:left="275" w:right="335"/>
              <w:jc w:val="center"/>
              <w:rPr>
                <w:sz w:val="14"/>
              </w:rPr>
            </w:pPr>
            <w:r>
              <w:rPr>
                <w:w w:val="115"/>
                <w:sz w:val="14"/>
              </w:rPr>
              <w:t>4.4</w:t>
            </w:r>
          </w:p>
        </w:tc>
      </w:tr>
      <w:tr>
        <w:trPr>
          <w:trHeight w:val="210" w:hRule="atLeast"/>
        </w:trPr>
        <w:tc>
          <w:tcPr>
            <w:tcW w:w="1200" w:type="dxa"/>
          </w:tcPr>
          <w:p>
            <w:pPr>
              <w:pStyle w:val="TableParagraph"/>
              <w:spacing w:line="146" w:lineRule="exact" w:before="44"/>
              <w:ind w:left="50"/>
              <w:rPr>
                <w:sz w:val="14"/>
              </w:rPr>
            </w:pPr>
            <w:r>
              <w:rPr>
                <w:w w:val="105"/>
                <w:sz w:val="14"/>
              </w:rPr>
              <w:t>M4</w:t>
            </w:r>
          </w:p>
        </w:tc>
        <w:tc>
          <w:tcPr>
            <w:tcW w:w="486" w:type="dxa"/>
          </w:tcPr>
          <w:p>
            <w:pPr>
              <w:pStyle w:val="TableParagraph"/>
              <w:spacing w:line="146" w:lineRule="exact" w:before="44"/>
              <w:ind w:left="18" w:right="61"/>
              <w:jc w:val="center"/>
              <w:rPr>
                <w:sz w:val="14"/>
              </w:rPr>
            </w:pPr>
            <w:r>
              <w:rPr>
                <w:w w:val="120"/>
                <w:sz w:val="14"/>
              </w:rPr>
              <w:t>1999</w:t>
            </w:r>
          </w:p>
        </w:tc>
        <w:tc>
          <w:tcPr>
            <w:tcW w:w="592" w:type="dxa"/>
          </w:tcPr>
          <w:p>
            <w:pPr>
              <w:pStyle w:val="TableParagraph"/>
              <w:spacing w:line="146" w:lineRule="exact" w:before="44"/>
              <w:ind w:left="84"/>
              <w:rPr>
                <w:sz w:val="14"/>
              </w:rPr>
            </w:pPr>
            <w:r>
              <w:rPr>
                <w:w w:val="110"/>
                <w:sz w:val="14"/>
              </w:rPr>
              <w:t>Q4</w:t>
            </w:r>
          </w:p>
        </w:tc>
        <w:tc>
          <w:tcPr>
            <w:tcW w:w="1119" w:type="dxa"/>
          </w:tcPr>
          <w:p>
            <w:pPr>
              <w:pStyle w:val="TableParagraph"/>
              <w:spacing w:line="146" w:lineRule="exact" w:before="44"/>
              <w:ind w:left="217" w:right="53"/>
              <w:jc w:val="center"/>
              <w:rPr>
                <w:sz w:val="14"/>
              </w:rPr>
            </w:pPr>
            <w:r>
              <w:rPr>
                <w:w w:val="115"/>
                <w:sz w:val="14"/>
              </w:rPr>
              <w:t>9.7</w:t>
            </w:r>
          </w:p>
        </w:tc>
        <w:tc>
          <w:tcPr>
            <w:tcW w:w="868" w:type="dxa"/>
          </w:tcPr>
          <w:p>
            <w:pPr>
              <w:pStyle w:val="TableParagraph"/>
              <w:spacing w:line="146" w:lineRule="exact" w:before="44"/>
              <w:ind w:left="275" w:right="335"/>
              <w:jc w:val="center"/>
              <w:rPr>
                <w:sz w:val="14"/>
              </w:rPr>
            </w:pPr>
            <w:r>
              <w:rPr>
                <w:w w:val="115"/>
                <w:sz w:val="14"/>
              </w:rPr>
              <w:t>4.1</w:t>
            </w:r>
          </w:p>
        </w:tc>
      </w:tr>
      <w:tr>
        <w:trPr>
          <w:trHeight w:val="140" w:hRule="atLeast"/>
        </w:trPr>
        <w:tc>
          <w:tcPr>
            <w:tcW w:w="1200" w:type="dxa"/>
          </w:tcPr>
          <w:p>
            <w:pPr>
              <w:pStyle w:val="TableParagraph"/>
              <w:rPr>
                <w:sz w:val="8"/>
              </w:rPr>
            </w:pPr>
          </w:p>
        </w:tc>
        <w:tc>
          <w:tcPr>
            <w:tcW w:w="486" w:type="dxa"/>
          </w:tcPr>
          <w:p>
            <w:pPr>
              <w:pStyle w:val="TableParagraph"/>
              <w:spacing w:line="120" w:lineRule="exact"/>
              <w:ind w:left="33" w:right="45"/>
              <w:jc w:val="center"/>
              <w:rPr>
                <w:sz w:val="14"/>
              </w:rPr>
            </w:pPr>
            <w:r>
              <w:rPr>
                <w:w w:val="120"/>
                <w:sz w:val="14"/>
              </w:rPr>
              <w:t>2000</w:t>
            </w:r>
          </w:p>
        </w:tc>
        <w:tc>
          <w:tcPr>
            <w:tcW w:w="592" w:type="dxa"/>
          </w:tcPr>
          <w:p>
            <w:pPr>
              <w:pStyle w:val="TableParagraph"/>
              <w:spacing w:line="120" w:lineRule="exact"/>
              <w:ind w:left="84"/>
              <w:rPr>
                <w:sz w:val="14"/>
              </w:rPr>
            </w:pPr>
            <w:r>
              <w:rPr>
                <w:w w:val="110"/>
                <w:sz w:val="14"/>
              </w:rPr>
              <w:t>Q1</w:t>
            </w:r>
          </w:p>
        </w:tc>
        <w:tc>
          <w:tcPr>
            <w:tcW w:w="1119" w:type="dxa"/>
          </w:tcPr>
          <w:p>
            <w:pPr>
              <w:pStyle w:val="TableParagraph"/>
              <w:spacing w:line="120" w:lineRule="exact"/>
              <w:ind w:left="217" w:right="53"/>
              <w:jc w:val="center"/>
              <w:rPr>
                <w:sz w:val="14"/>
              </w:rPr>
            </w:pPr>
            <w:r>
              <w:rPr>
                <w:w w:val="115"/>
                <w:sz w:val="14"/>
              </w:rPr>
              <w:t>8.3</w:t>
            </w:r>
          </w:p>
        </w:tc>
        <w:tc>
          <w:tcPr>
            <w:tcW w:w="868" w:type="dxa"/>
          </w:tcPr>
          <w:p>
            <w:pPr>
              <w:pStyle w:val="TableParagraph"/>
              <w:spacing w:line="120" w:lineRule="exact"/>
              <w:ind w:left="275" w:right="335"/>
              <w:jc w:val="center"/>
              <w:rPr>
                <w:sz w:val="14"/>
              </w:rPr>
            </w:pPr>
            <w:r>
              <w:rPr>
                <w:w w:val="115"/>
                <w:sz w:val="14"/>
              </w:rPr>
              <w:t>5.4</w:t>
            </w:r>
          </w:p>
        </w:tc>
      </w:tr>
      <w:tr>
        <w:trPr>
          <w:trHeight w:val="140" w:hRule="atLeast"/>
        </w:trPr>
        <w:tc>
          <w:tcPr>
            <w:tcW w:w="1200" w:type="dxa"/>
          </w:tcPr>
          <w:p>
            <w:pPr>
              <w:pStyle w:val="TableParagraph"/>
              <w:rPr>
                <w:sz w:val="8"/>
              </w:rPr>
            </w:pPr>
          </w:p>
        </w:tc>
        <w:tc>
          <w:tcPr>
            <w:tcW w:w="486" w:type="dxa"/>
          </w:tcPr>
          <w:p>
            <w:pPr>
              <w:pStyle w:val="TableParagraph"/>
              <w:rPr>
                <w:sz w:val="8"/>
              </w:rPr>
            </w:pPr>
          </w:p>
        </w:tc>
        <w:tc>
          <w:tcPr>
            <w:tcW w:w="592" w:type="dxa"/>
          </w:tcPr>
          <w:p>
            <w:pPr>
              <w:pStyle w:val="TableParagraph"/>
              <w:spacing w:line="120" w:lineRule="exact"/>
              <w:ind w:left="83"/>
              <w:rPr>
                <w:sz w:val="14"/>
              </w:rPr>
            </w:pPr>
            <w:r>
              <w:rPr>
                <w:w w:val="110"/>
                <w:sz w:val="14"/>
              </w:rPr>
              <w:t>Q2</w:t>
            </w:r>
          </w:p>
        </w:tc>
        <w:tc>
          <w:tcPr>
            <w:tcW w:w="1119" w:type="dxa"/>
          </w:tcPr>
          <w:p>
            <w:pPr>
              <w:pStyle w:val="TableParagraph"/>
              <w:spacing w:line="120" w:lineRule="exact"/>
              <w:ind w:left="217" w:right="53"/>
              <w:jc w:val="center"/>
              <w:rPr>
                <w:sz w:val="14"/>
              </w:rPr>
            </w:pPr>
            <w:r>
              <w:rPr>
                <w:w w:val="115"/>
                <w:sz w:val="14"/>
              </w:rPr>
              <w:t>8.6</w:t>
            </w:r>
          </w:p>
        </w:tc>
        <w:tc>
          <w:tcPr>
            <w:tcW w:w="868" w:type="dxa"/>
          </w:tcPr>
          <w:p>
            <w:pPr>
              <w:pStyle w:val="TableParagraph"/>
              <w:spacing w:line="120" w:lineRule="exact"/>
              <w:ind w:left="275" w:right="335"/>
              <w:jc w:val="center"/>
              <w:rPr>
                <w:sz w:val="14"/>
              </w:rPr>
            </w:pPr>
            <w:r>
              <w:rPr>
                <w:w w:val="115"/>
                <w:sz w:val="14"/>
              </w:rPr>
              <w:t>6.8</w:t>
            </w:r>
          </w:p>
        </w:tc>
      </w:tr>
      <w:tr>
        <w:trPr>
          <w:trHeight w:val="140" w:hRule="atLeast"/>
        </w:trPr>
        <w:tc>
          <w:tcPr>
            <w:tcW w:w="1200" w:type="dxa"/>
          </w:tcPr>
          <w:p>
            <w:pPr>
              <w:pStyle w:val="TableParagraph"/>
              <w:rPr>
                <w:sz w:val="8"/>
              </w:rPr>
            </w:pPr>
          </w:p>
        </w:tc>
        <w:tc>
          <w:tcPr>
            <w:tcW w:w="486" w:type="dxa"/>
          </w:tcPr>
          <w:p>
            <w:pPr>
              <w:pStyle w:val="TableParagraph"/>
              <w:rPr>
                <w:sz w:val="8"/>
              </w:rPr>
            </w:pPr>
          </w:p>
        </w:tc>
        <w:tc>
          <w:tcPr>
            <w:tcW w:w="592" w:type="dxa"/>
          </w:tcPr>
          <w:p>
            <w:pPr>
              <w:pStyle w:val="TableParagraph"/>
              <w:spacing w:line="120" w:lineRule="exact"/>
              <w:ind w:left="83"/>
              <w:rPr>
                <w:sz w:val="14"/>
              </w:rPr>
            </w:pPr>
            <w:r>
              <w:rPr>
                <w:w w:val="110"/>
                <w:sz w:val="14"/>
              </w:rPr>
              <w:t>Q3</w:t>
            </w:r>
          </w:p>
        </w:tc>
        <w:tc>
          <w:tcPr>
            <w:tcW w:w="1119" w:type="dxa"/>
          </w:tcPr>
          <w:p>
            <w:pPr>
              <w:pStyle w:val="TableParagraph"/>
              <w:spacing w:line="120" w:lineRule="exact"/>
              <w:ind w:left="195" w:right="99"/>
              <w:jc w:val="center"/>
              <w:rPr>
                <w:sz w:val="14"/>
              </w:rPr>
            </w:pPr>
            <w:r>
              <w:rPr>
                <w:w w:val="115"/>
                <w:sz w:val="14"/>
              </w:rPr>
              <w:t>10.0</w:t>
            </w:r>
          </w:p>
        </w:tc>
        <w:tc>
          <w:tcPr>
            <w:tcW w:w="868" w:type="dxa"/>
          </w:tcPr>
          <w:p>
            <w:pPr>
              <w:pStyle w:val="TableParagraph"/>
              <w:spacing w:line="120" w:lineRule="exact"/>
              <w:ind w:left="275" w:right="335"/>
              <w:jc w:val="center"/>
              <w:rPr>
                <w:sz w:val="14"/>
              </w:rPr>
            </w:pPr>
            <w:r>
              <w:rPr>
                <w:w w:val="115"/>
                <w:sz w:val="14"/>
              </w:rPr>
              <w:t>9.1</w:t>
            </w:r>
          </w:p>
        </w:tc>
      </w:tr>
      <w:tr>
        <w:trPr>
          <w:trHeight w:val="210" w:hRule="atLeast"/>
        </w:trPr>
        <w:tc>
          <w:tcPr>
            <w:tcW w:w="1200" w:type="dxa"/>
          </w:tcPr>
          <w:p>
            <w:pPr>
              <w:pStyle w:val="TableParagraph"/>
              <w:rPr>
                <w:sz w:val="14"/>
              </w:rPr>
            </w:pPr>
          </w:p>
        </w:tc>
        <w:tc>
          <w:tcPr>
            <w:tcW w:w="486" w:type="dxa"/>
          </w:tcPr>
          <w:p>
            <w:pPr>
              <w:pStyle w:val="TableParagraph"/>
              <w:rPr>
                <w:sz w:val="14"/>
              </w:rPr>
            </w:pPr>
          </w:p>
        </w:tc>
        <w:tc>
          <w:tcPr>
            <w:tcW w:w="592" w:type="dxa"/>
          </w:tcPr>
          <w:p>
            <w:pPr>
              <w:pStyle w:val="TableParagraph"/>
              <w:spacing w:line="135" w:lineRule="exact"/>
              <w:ind w:left="83"/>
              <w:rPr>
                <w:sz w:val="14"/>
              </w:rPr>
            </w:pPr>
            <w:r>
              <w:rPr>
                <w:w w:val="110"/>
                <w:sz w:val="14"/>
              </w:rPr>
              <w:t>Q4</w:t>
            </w:r>
          </w:p>
        </w:tc>
        <w:tc>
          <w:tcPr>
            <w:tcW w:w="1119" w:type="dxa"/>
          </w:tcPr>
          <w:p>
            <w:pPr>
              <w:pStyle w:val="TableParagraph"/>
              <w:spacing w:line="135" w:lineRule="exact"/>
              <w:ind w:left="217" w:right="53"/>
              <w:jc w:val="center"/>
              <w:rPr>
                <w:sz w:val="14"/>
              </w:rPr>
            </w:pPr>
            <w:r>
              <w:rPr>
                <w:w w:val="115"/>
                <w:sz w:val="14"/>
              </w:rPr>
              <w:t>5.0</w:t>
            </w:r>
          </w:p>
        </w:tc>
        <w:tc>
          <w:tcPr>
            <w:tcW w:w="868" w:type="dxa"/>
          </w:tcPr>
          <w:p>
            <w:pPr>
              <w:pStyle w:val="TableParagraph"/>
              <w:spacing w:line="135" w:lineRule="exact"/>
              <w:ind w:left="275" w:right="335"/>
              <w:jc w:val="center"/>
              <w:rPr>
                <w:sz w:val="14"/>
              </w:rPr>
            </w:pPr>
            <w:r>
              <w:rPr>
                <w:w w:val="115"/>
                <w:sz w:val="14"/>
              </w:rPr>
              <w:t>8.0</w:t>
            </w:r>
          </w:p>
        </w:tc>
      </w:tr>
      <w:tr>
        <w:trPr>
          <w:trHeight w:val="210" w:hRule="atLeast"/>
        </w:trPr>
        <w:tc>
          <w:tcPr>
            <w:tcW w:w="1200" w:type="dxa"/>
          </w:tcPr>
          <w:p>
            <w:pPr>
              <w:pStyle w:val="TableParagraph"/>
              <w:spacing w:line="146" w:lineRule="exact" w:before="44"/>
              <w:ind w:left="50"/>
              <w:rPr>
                <w:sz w:val="12"/>
              </w:rPr>
            </w:pPr>
            <w:r>
              <w:rPr>
                <w:w w:val="105"/>
                <w:sz w:val="14"/>
              </w:rPr>
              <w:t>M4 lending </w:t>
            </w:r>
            <w:r>
              <w:rPr>
                <w:w w:val="105"/>
                <w:sz w:val="12"/>
              </w:rPr>
              <w:t>(d)</w:t>
            </w:r>
          </w:p>
        </w:tc>
        <w:tc>
          <w:tcPr>
            <w:tcW w:w="486" w:type="dxa"/>
          </w:tcPr>
          <w:p>
            <w:pPr>
              <w:pStyle w:val="TableParagraph"/>
              <w:spacing w:line="146" w:lineRule="exact" w:before="44"/>
              <w:ind w:left="18" w:right="61"/>
              <w:jc w:val="center"/>
              <w:rPr>
                <w:sz w:val="14"/>
              </w:rPr>
            </w:pPr>
            <w:r>
              <w:rPr>
                <w:w w:val="120"/>
                <w:sz w:val="14"/>
              </w:rPr>
              <w:t>1999</w:t>
            </w:r>
          </w:p>
        </w:tc>
        <w:tc>
          <w:tcPr>
            <w:tcW w:w="592" w:type="dxa"/>
          </w:tcPr>
          <w:p>
            <w:pPr>
              <w:pStyle w:val="TableParagraph"/>
              <w:spacing w:line="146" w:lineRule="exact" w:before="44"/>
              <w:ind w:left="84"/>
              <w:rPr>
                <w:sz w:val="14"/>
              </w:rPr>
            </w:pPr>
            <w:r>
              <w:rPr>
                <w:w w:val="110"/>
                <w:sz w:val="14"/>
              </w:rPr>
              <w:t>Q4</w:t>
            </w:r>
          </w:p>
        </w:tc>
        <w:tc>
          <w:tcPr>
            <w:tcW w:w="1119" w:type="dxa"/>
          </w:tcPr>
          <w:p>
            <w:pPr>
              <w:pStyle w:val="TableParagraph"/>
              <w:spacing w:line="146" w:lineRule="exact" w:before="44"/>
              <w:ind w:left="205" w:right="99"/>
              <w:jc w:val="center"/>
              <w:rPr>
                <w:sz w:val="14"/>
              </w:rPr>
            </w:pPr>
            <w:r>
              <w:rPr>
                <w:w w:val="115"/>
                <w:sz w:val="14"/>
              </w:rPr>
              <w:t>13.4</w:t>
            </w:r>
          </w:p>
        </w:tc>
        <w:tc>
          <w:tcPr>
            <w:tcW w:w="868" w:type="dxa"/>
          </w:tcPr>
          <w:p>
            <w:pPr>
              <w:pStyle w:val="TableParagraph"/>
              <w:spacing w:line="146" w:lineRule="exact" w:before="44"/>
              <w:ind w:left="275" w:right="335"/>
              <w:jc w:val="center"/>
              <w:rPr>
                <w:sz w:val="14"/>
              </w:rPr>
            </w:pPr>
            <w:r>
              <w:rPr>
                <w:w w:val="115"/>
                <w:sz w:val="14"/>
              </w:rPr>
              <w:t>9.3</w:t>
            </w:r>
          </w:p>
        </w:tc>
      </w:tr>
      <w:tr>
        <w:trPr>
          <w:trHeight w:val="140" w:hRule="atLeast"/>
        </w:trPr>
        <w:tc>
          <w:tcPr>
            <w:tcW w:w="1200" w:type="dxa"/>
          </w:tcPr>
          <w:p>
            <w:pPr>
              <w:pStyle w:val="TableParagraph"/>
              <w:rPr>
                <w:sz w:val="8"/>
              </w:rPr>
            </w:pPr>
          </w:p>
        </w:tc>
        <w:tc>
          <w:tcPr>
            <w:tcW w:w="486" w:type="dxa"/>
          </w:tcPr>
          <w:p>
            <w:pPr>
              <w:pStyle w:val="TableParagraph"/>
              <w:spacing w:line="120" w:lineRule="exact"/>
              <w:ind w:left="33" w:right="45"/>
              <w:jc w:val="center"/>
              <w:rPr>
                <w:sz w:val="14"/>
              </w:rPr>
            </w:pPr>
            <w:r>
              <w:rPr>
                <w:w w:val="120"/>
                <w:sz w:val="14"/>
              </w:rPr>
              <w:t>2000</w:t>
            </w:r>
          </w:p>
        </w:tc>
        <w:tc>
          <w:tcPr>
            <w:tcW w:w="592" w:type="dxa"/>
          </w:tcPr>
          <w:p>
            <w:pPr>
              <w:pStyle w:val="TableParagraph"/>
              <w:spacing w:line="120" w:lineRule="exact"/>
              <w:ind w:left="84"/>
              <w:rPr>
                <w:sz w:val="14"/>
              </w:rPr>
            </w:pPr>
            <w:r>
              <w:rPr>
                <w:w w:val="110"/>
                <w:sz w:val="14"/>
              </w:rPr>
              <w:t>Q1</w:t>
            </w:r>
          </w:p>
        </w:tc>
        <w:tc>
          <w:tcPr>
            <w:tcW w:w="1119" w:type="dxa"/>
          </w:tcPr>
          <w:p>
            <w:pPr>
              <w:pStyle w:val="TableParagraph"/>
              <w:spacing w:line="120" w:lineRule="exact"/>
              <w:ind w:left="205" w:right="99"/>
              <w:jc w:val="center"/>
              <w:rPr>
                <w:sz w:val="14"/>
              </w:rPr>
            </w:pPr>
            <w:r>
              <w:rPr>
                <w:w w:val="115"/>
                <w:sz w:val="14"/>
              </w:rPr>
              <w:t>13.0</w:t>
            </w:r>
          </w:p>
        </w:tc>
        <w:tc>
          <w:tcPr>
            <w:tcW w:w="868" w:type="dxa"/>
          </w:tcPr>
          <w:p>
            <w:pPr>
              <w:pStyle w:val="TableParagraph"/>
              <w:spacing w:line="120" w:lineRule="exact"/>
              <w:ind w:left="234"/>
              <w:rPr>
                <w:sz w:val="14"/>
              </w:rPr>
            </w:pPr>
            <w:r>
              <w:rPr>
                <w:w w:val="115"/>
                <w:sz w:val="14"/>
              </w:rPr>
              <w:t>10.7</w:t>
            </w:r>
          </w:p>
        </w:tc>
      </w:tr>
      <w:tr>
        <w:trPr>
          <w:trHeight w:val="140" w:hRule="atLeast"/>
        </w:trPr>
        <w:tc>
          <w:tcPr>
            <w:tcW w:w="1200" w:type="dxa"/>
          </w:tcPr>
          <w:p>
            <w:pPr>
              <w:pStyle w:val="TableParagraph"/>
              <w:rPr>
                <w:sz w:val="8"/>
              </w:rPr>
            </w:pPr>
          </w:p>
        </w:tc>
        <w:tc>
          <w:tcPr>
            <w:tcW w:w="486" w:type="dxa"/>
          </w:tcPr>
          <w:p>
            <w:pPr>
              <w:pStyle w:val="TableParagraph"/>
              <w:rPr>
                <w:sz w:val="8"/>
              </w:rPr>
            </w:pPr>
          </w:p>
        </w:tc>
        <w:tc>
          <w:tcPr>
            <w:tcW w:w="592" w:type="dxa"/>
          </w:tcPr>
          <w:p>
            <w:pPr>
              <w:pStyle w:val="TableParagraph"/>
              <w:spacing w:line="120" w:lineRule="exact"/>
              <w:ind w:left="83"/>
              <w:rPr>
                <w:sz w:val="14"/>
              </w:rPr>
            </w:pPr>
            <w:r>
              <w:rPr>
                <w:w w:val="110"/>
                <w:sz w:val="14"/>
              </w:rPr>
              <w:t>Q2</w:t>
            </w:r>
          </w:p>
        </w:tc>
        <w:tc>
          <w:tcPr>
            <w:tcW w:w="1119" w:type="dxa"/>
          </w:tcPr>
          <w:p>
            <w:pPr>
              <w:pStyle w:val="TableParagraph"/>
              <w:spacing w:line="120" w:lineRule="exact"/>
              <w:ind w:left="211" w:right="99"/>
              <w:jc w:val="center"/>
              <w:rPr>
                <w:sz w:val="14"/>
              </w:rPr>
            </w:pPr>
            <w:r>
              <w:rPr>
                <w:w w:val="115"/>
                <w:sz w:val="14"/>
              </w:rPr>
              <w:t>11.6</w:t>
            </w:r>
          </w:p>
        </w:tc>
        <w:tc>
          <w:tcPr>
            <w:tcW w:w="868" w:type="dxa"/>
          </w:tcPr>
          <w:p>
            <w:pPr>
              <w:pStyle w:val="TableParagraph"/>
              <w:spacing w:line="120" w:lineRule="exact"/>
              <w:ind w:left="250"/>
              <w:rPr>
                <w:sz w:val="14"/>
              </w:rPr>
            </w:pPr>
            <w:r>
              <w:rPr>
                <w:w w:val="115"/>
                <w:sz w:val="14"/>
              </w:rPr>
              <w:t>11.4</w:t>
            </w:r>
          </w:p>
        </w:tc>
      </w:tr>
      <w:tr>
        <w:trPr>
          <w:trHeight w:val="140" w:hRule="atLeast"/>
        </w:trPr>
        <w:tc>
          <w:tcPr>
            <w:tcW w:w="1200" w:type="dxa"/>
          </w:tcPr>
          <w:p>
            <w:pPr>
              <w:pStyle w:val="TableParagraph"/>
              <w:rPr>
                <w:sz w:val="8"/>
              </w:rPr>
            </w:pPr>
          </w:p>
        </w:tc>
        <w:tc>
          <w:tcPr>
            <w:tcW w:w="486" w:type="dxa"/>
          </w:tcPr>
          <w:p>
            <w:pPr>
              <w:pStyle w:val="TableParagraph"/>
              <w:rPr>
                <w:sz w:val="8"/>
              </w:rPr>
            </w:pPr>
          </w:p>
        </w:tc>
        <w:tc>
          <w:tcPr>
            <w:tcW w:w="592" w:type="dxa"/>
          </w:tcPr>
          <w:p>
            <w:pPr>
              <w:pStyle w:val="TableParagraph"/>
              <w:spacing w:line="120" w:lineRule="exact"/>
              <w:ind w:left="83"/>
              <w:rPr>
                <w:sz w:val="14"/>
              </w:rPr>
            </w:pPr>
            <w:r>
              <w:rPr>
                <w:w w:val="110"/>
                <w:sz w:val="14"/>
              </w:rPr>
              <w:t>Q3</w:t>
            </w:r>
          </w:p>
        </w:tc>
        <w:tc>
          <w:tcPr>
            <w:tcW w:w="1119" w:type="dxa"/>
          </w:tcPr>
          <w:p>
            <w:pPr>
              <w:pStyle w:val="TableParagraph"/>
              <w:spacing w:line="120" w:lineRule="exact"/>
              <w:ind w:left="201" w:right="99"/>
              <w:jc w:val="center"/>
              <w:rPr>
                <w:sz w:val="14"/>
              </w:rPr>
            </w:pPr>
            <w:r>
              <w:rPr>
                <w:w w:val="115"/>
                <w:sz w:val="14"/>
              </w:rPr>
              <w:t>14.5</w:t>
            </w:r>
          </w:p>
        </w:tc>
        <w:tc>
          <w:tcPr>
            <w:tcW w:w="868" w:type="dxa"/>
          </w:tcPr>
          <w:p>
            <w:pPr>
              <w:pStyle w:val="TableParagraph"/>
              <w:spacing w:line="120" w:lineRule="exact"/>
              <w:ind w:left="244"/>
              <w:rPr>
                <w:sz w:val="14"/>
              </w:rPr>
            </w:pPr>
            <w:r>
              <w:rPr>
                <w:w w:val="115"/>
                <w:sz w:val="14"/>
              </w:rPr>
              <w:t>13.1</w:t>
            </w:r>
          </w:p>
        </w:tc>
      </w:tr>
      <w:tr>
        <w:trPr>
          <w:trHeight w:val="140" w:hRule="atLeast"/>
        </w:trPr>
        <w:tc>
          <w:tcPr>
            <w:tcW w:w="1200" w:type="dxa"/>
          </w:tcPr>
          <w:p>
            <w:pPr>
              <w:pStyle w:val="TableParagraph"/>
              <w:rPr>
                <w:sz w:val="8"/>
              </w:rPr>
            </w:pPr>
          </w:p>
        </w:tc>
        <w:tc>
          <w:tcPr>
            <w:tcW w:w="486" w:type="dxa"/>
          </w:tcPr>
          <w:p>
            <w:pPr>
              <w:pStyle w:val="TableParagraph"/>
              <w:rPr>
                <w:sz w:val="8"/>
              </w:rPr>
            </w:pPr>
          </w:p>
        </w:tc>
        <w:tc>
          <w:tcPr>
            <w:tcW w:w="592" w:type="dxa"/>
          </w:tcPr>
          <w:p>
            <w:pPr>
              <w:pStyle w:val="TableParagraph"/>
              <w:spacing w:line="120" w:lineRule="exact"/>
              <w:ind w:left="83"/>
              <w:rPr>
                <w:sz w:val="14"/>
              </w:rPr>
            </w:pPr>
            <w:r>
              <w:rPr>
                <w:w w:val="110"/>
                <w:sz w:val="14"/>
              </w:rPr>
              <w:t>Q4</w:t>
            </w:r>
          </w:p>
        </w:tc>
        <w:tc>
          <w:tcPr>
            <w:tcW w:w="1119" w:type="dxa"/>
          </w:tcPr>
          <w:p>
            <w:pPr>
              <w:pStyle w:val="TableParagraph"/>
              <w:spacing w:line="120" w:lineRule="exact"/>
              <w:ind w:left="195" w:right="99"/>
              <w:jc w:val="center"/>
              <w:rPr>
                <w:sz w:val="14"/>
              </w:rPr>
            </w:pPr>
            <w:r>
              <w:rPr>
                <w:w w:val="115"/>
                <w:sz w:val="14"/>
              </w:rPr>
              <w:t>10.8</w:t>
            </w:r>
          </w:p>
        </w:tc>
        <w:tc>
          <w:tcPr>
            <w:tcW w:w="868" w:type="dxa"/>
          </w:tcPr>
          <w:p>
            <w:pPr>
              <w:pStyle w:val="TableParagraph"/>
              <w:spacing w:line="120" w:lineRule="exact"/>
              <w:ind w:left="234"/>
              <w:rPr>
                <w:sz w:val="14"/>
              </w:rPr>
            </w:pPr>
            <w:r>
              <w:rPr>
                <w:w w:val="115"/>
                <w:sz w:val="14"/>
              </w:rPr>
              <w:t>12.5</w:t>
            </w:r>
          </w:p>
        </w:tc>
      </w:tr>
    </w:tbl>
    <w:p>
      <w:pPr>
        <w:pStyle w:val="BodyText"/>
        <w:spacing w:before="6"/>
        <w:rPr>
          <w:sz w:val="11"/>
        </w:rPr>
      </w:pPr>
    </w:p>
    <w:p>
      <w:pPr>
        <w:spacing w:before="0"/>
        <w:ind w:left="160" w:right="0" w:firstLine="0"/>
        <w:jc w:val="left"/>
        <w:rPr>
          <w:sz w:val="12"/>
        </w:rPr>
      </w:pPr>
      <w:r>
        <w:rPr>
          <w:w w:val="105"/>
          <w:sz w:val="12"/>
        </w:rPr>
        <w:t>Source: Bank of England.</w:t>
      </w:r>
    </w:p>
    <w:p>
      <w:pPr>
        <w:pStyle w:val="BodyText"/>
        <w:spacing w:before="4"/>
        <w:rPr>
          <w:sz w:val="12"/>
        </w:rPr>
      </w:pPr>
    </w:p>
    <w:p>
      <w:pPr>
        <w:pStyle w:val="ListParagraph"/>
        <w:numPr>
          <w:ilvl w:val="0"/>
          <w:numId w:val="2"/>
        </w:numPr>
        <w:tabs>
          <w:tab w:pos="400" w:val="left" w:leader="none"/>
        </w:tabs>
        <w:spacing w:line="240" w:lineRule="auto" w:before="0" w:after="0"/>
        <w:ind w:left="399" w:right="0" w:hanging="240"/>
        <w:jc w:val="left"/>
        <w:rPr>
          <w:sz w:val="12"/>
        </w:rPr>
      </w:pPr>
      <w:r>
        <w:rPr>
          <w:w w:val="105"/>
          <w:sz w:val="12"/>
        </w:rPr>
        <w:t>Seasonally</w:t>
      </w:r>
      <w:r>
        <w:rPr>
          <w:spacing w:val="-2"/>
          <w:w w:val="105"/>
          <w:sz w:val="12"/>
        </w:rPr>
        <w:t> </w:t>
      </w:r>
      <w:r>
        <w:rPr>
          <w:w w:val="105"/>
          <w:sz w:val="12"/>
        </w:rPr>
        <w:t>adjusted.</w:t>
      </w:r>
    </w:p>
    <w:p>
      <w:pPr>
        <w:pStyle w:val="ListParagraph"/>
        <w:numPr>
          <w:ilvl w:val="0"/>
          <w:numId w:val="2"/>
        </w:numPr>
        <w:tabs>
          <w:tab w:pos="400" w:val="left" w:leader="none"/>
        </w:tabs>
        <w:spacing w:line="240" w:lineRule="auto" w:before="2" w:after="0"/>
        <w:ind w:left="399" w:right="0" w:hanging="240"/>
        <w:jc w:val="left"/>
        <w:rPr>
          <w:sz w:val="12"/>
        </w:rPr>
      </w:pPr>
      <w:r>
        <w:rPr>
          <w:w w:val="105"/>
          <w:sz w:val="12"/>
        </w:rPr>
        <w:t>Annualised.</w:t>
      </w:r>
    </w:p>
    <w:p>
      <w:pPr>
        <w:pStyle w:val="ListParagraph"/>
        <w:numPr>
          <w:ilvl w:val="0"/>
          <w:numId w:val="2"/>
        </w:numPr>
        <w:tabs>
          <w:tab w:pos="400" w:val="left" w:leader="none"/>
        </w:tabs>
        <w:spacing w:line="240" w:lineRule="auto" w:before="2" w:after="0"/>
        <w:ind w:left="399" w:right="0" w:hanging="240"/>
        <w:jc w:val="left"/>
        <w:rPr>
          <w:sz w:val="12"/>
        </w:rPr>
      </w:pPr>
      <w:r>
        <w:rPr>
          <w:w w:val="110"/>
          <w:sz w:val="12"/>
        </w:rPr>
        <w:t>Growth</w:t>
      </w:r>
      <w:r>
        <w:rPr>
          <w:spacing w:val="-14"/>
          <w:w w:val="110"/>
          <w:sz w:val="12"/>
        </w:rPr>
        <w:t> </w:t>
      </w:r>
      <w:r>
        <w:rPr>
          <w:spacing w:val="-3"/>
          <w:w w:val="110"/>
          <w:sz w:val="12"/>
        </w:rPr>
        <w:t>rates</w:t>
      </w:r>
      <w:r>
        <w:rPr>
          <w:spacing w:val="-13"/>
          <w:w w:val="110"/>
          <w:sz w:val="12"/>
        </w:rPr>
        <w:t> </w:t>
      </w:r>
      <w:r>
        <w:rPr>
          <w:w w:val="110"/>
          <w:sz w:val="12"/>
        </w:rPr>
        <w:t>based</w:t>
      </w:r>
      <w:r>
        <w:rPr>
          <w:spacing w:val="-13"/>
          <w:w w:val="110"/>
          <w:sz w:val="12"/>
        </w:rPr>
        <w:t> </w:t>
      </w:r>
      <w:r>
        <w:rPr>
          <w:w w:val="110"/>
          <w:sz w:val="12"/>
        </w:rPr>
        <w:t>on</w:t>
      </w:r>
      <w:r>
        <w:rPr>
          <w:spacing w:val="-13"/>
          <w:w w:val="110"/>
          <w:sz w:val="12"/>
        </w:rPr>
        <w:t> </w:t>
      </w:r>
      <w:r>
        <w:rPr>
          <w:w w:val="110"/>
          <w:sz w:val="12"/>
        </w:rPr>
        <w:t>an</w:t>
      </w:r>
      <w:r>
        <w:rPr>
          <w:spacing w:val="-13"/>
          <w:w w:val="110"/>
          <w:sz w:val="12"/>
        </w:rPr>
        <w:t> </w:t>
      </w:r>
      <w:r>
        <w:rPr>
          <w:w w:val="110"/>
          <w:sz w:val="12"/>
        </w:rPr>
        <w:t>average</w:t>
      </w:r>
      <w:r>
        <w:rPr>
          <w:spacing w:val="-13"/>
          <w:w w:val="110"/>
          <w:sz w:val="12"/>
        </w:rPr>
        <w:t> </w:t>
      </w:r>
      <w:r>
        <w:rPr>
          <w:w w:val="110"/>
          <w:sz w:val="12"/>
        </w:rPr>
        <w:t>of</w:t>
      </w:r>
      <w:r>
        <w:rPr>
          <w:spacing w:val="-13"/>
          <w:w w:val="110"/>
          <w:sz w:val="12"/>
        </w:rPr>
        <w:t> </w:t>
      </w:r>
      <w:r>
        <w:rPr>
          <w:w w:val="110"/>
          <w:sz w:val="12"/>
        </w:rPr>
        <w:t>weekly</w:t>
      </w:r>
      <w:r>
        <w:rPr>
          <w:spacing w:val="-13"/>
          <w:w w:val="110"/>
          <w:sz w:val="12"/>
        </w:rPr>
        <w:t> </w:t>
      </w:r>
      <w:r>
        <w:rPr>
          <w:w w:val="110"/>
          <w:sz w:val="12"/>
        </w:rPr>
        <w:t>observations</w:t>
      </w:r>
      <w:r>
        <w:rPr>
          <w:spacing w:val="-13"/>
          <w:w w:val="110"/>
          <w:sz w:val="12"/>
        </w:rPr>
        <w:t> </w:t>
      </w:r>
      <w:r>
        <w:rPr>
          <w:w w:val="110"/>
          <w:sz w:val="12"/>
        </w:rPr>
        <w:t>in</w:t>
      </w:r>
      <w:r>
        <w:rPr>
          <w:spacing w:val="-13"/>
          <w:w w:val="110"/>
          <w:sz w:val="12"/>
        </w:rPr>
        <w:t> </w:t>
      </w:r>
      <w:r>
        <w:rPr>
          <w:w w:val="110"/>
          <w:sz w:val="12"/>
        </w:rPr>
        <w:t>the</w:t>
      </w:r>
      <w:r>
        <w:rPr>
          <w:spacing w:val="-13"/>
          <w:w w:val="110"/>
          <w:sz w:val="12"/>
        </w:rPr>
        <w:t> </w:t>
      </w:r>
      <w:r>
        <w:rPr>
          <w:w w:val="110"/>
          <w:sz w:val="12"/>
        </w:rPr>
        <w:t>month.</w:t>
      </w:r>
    </w:p>
    <w:p>
      <w:pPr>
        <w:pStyle w:val="ListParagraph"/>
        <w:numPr>
          <w:ilvl w:val="0"/>
          <w:numId w:val="2"/>
        </w:numPr>
        <w:tabs>
          <w:tab w:pos="400" w:val="left" w:leader="none"/>
        </w:tabs>
        <w:spacing w:line="240" w:lineRule="auto" w:before="2" w:after="0"/>
        <w:ind w:left="399" w:right="0" w:hanging="240"/>
        <w:jc w:val="left"/>
        <w:rPr>
          <w:sz w:val="12"/>
        </w:rPr>
      </w:pPr>
      <w:r>
        <w:rPr>
          <w:w w:val="105"/>
          <w:sz w:val="12"/>
        </w:rPr>
        <w:t>Excluding</w:t>
      </w:r>
      <w:r>
        <w:rPr>
          <w:spacing w:val="-2"/>
          <w:w w:val="105"/>
          <w:sz w:val="12"/>
        </w:rPr>
        <w:t> </w:t>
      </w:r>
      <w:r>
        <w:rPr>
          <w:w w:val="105"/>
          <w:sz w:val="12"/>
        </w:rPr>
        <w:t>securitisations.</w:t>
      </w:r>
    </w:p>
    <w:p>
      <w:pPr>
        <w:pStyle w:val="BodyText"/>
        <w:spacing w:line="292" w:lineRule="auto" w:before="63"/>
        <w:ind w:left="280" w:right="294"/>
        <w:jc w:val="both"/>
      </w:pPr>
      <w:r>
        <w:rPr/>
        <w:br w:type="column"/>
      </w:r>
      <w:r>
        <w:rPr>
          <w:w w:val="110"/>
        </w:rPr>
        <w:t>The</w:t>
      </w:r>
      <w:r>
        <w:rPr>
          <w:spacing w:val="-24"/>
          <w:w w:val="110"/>
        </w:rPr>
        <w:t> </w:t>
      </w:r>
      <w:r>
        <w:rPr>
          <w:w w:val="110"/>
        </w:rPr>
        <w:t>MPC</w:t>
      </w:r>
      <w:r>
        <w:rPr>
          <w:spacing w:val="-23"/>
          <w:w w:val="110"/>
        </w:rPr>
        <w:t> </w:t>
      </w:r>
      <w:r>
        <w:rPr>
          <w:spacing w:val="-3"/>
          <w:w w:val="110"/>
        </w:rPr>
        <w:t>voted</w:t>
      </w:r>
      <w:r>
        <w:rPr>
          <w:spacing w:val="-24"/>
          <w:w w:val="110"/>
        </w:rPr>
        <w:t> </w:t>
      </w:r>
      <w:r>
        <w:rPr>
          <w:spacing w:val="-4"/>
          <w:w w:val="110"/>
        </w:rPr>
        <w:t>to</w:t>
      </w:r>
      <w:r>
        <w:rPr>
          <w:spacing w:val="-23"/>
          <w:w w:val="110"/>
        </w:rPr>
        <w:t> </w:t>
      </w:r>
      <w:r>
        <w:rPr>
          <w:w w:val="110"/>
        </w:rPr>
        <w:t>cut</w:t>
      </w:r>
      <w:r>
        <w:rPr>
          <w:spacing w:val="-23"/>
          <w:w w:val="110"/>
        </w:rPr>
        <w:t> </w:t>
      </w:r>
      <w:r>
        <w:rPr>
          <w:w w:val="110"/>
        </w:rPr>
        <w:t>the</w:t>
      </w:r>
      <w:r>
        <w:rPr>
          <w:spacing w:val="-24"/>
          <w:w w:val="110"/>
        </w:rPr>
        <w:t> </w:t>
      </w:r>
      <w:r>
        <w:rPr>
          <w:w w:val="110"/>
        </w:rPr>
        <w:t>Bank</w:t>
      </w:r>
      <w:r>
        <w:rPr>
          <w:spacing w:val="-23"/>
          <w:w w:val="110"/>
        </w:rPr>
        <w:t> </w:t>
      </w:r>
      <w:r>
        <w:rPr>
          <w:w w:val="110"/>
        </w:rPr>
        <w:t>of</w:t>
      </w:r>
      <w:r>
        <w:rPr>
          <w:spacing w:val="-24"/>
          <w:w w:val="110"/>
        </w:rPr>
        <w:t> </w:t>
      </w:r>
      <w:r>
        <w:rPr>
          <w:w w:val="110"/>
        </w:rPr>
        <w:t>England’s</w:t>
      </w:r>
      <w:r>
        <w:rPr>
          <w:spacing w:val="-23"/>
          <w:w w:val="110"/>
        </w:rPr>
        <w:t> </w:t>
      </w:r>
      <w:r>
        <w:rPr>
          <w:w w:val="110"/>
        </w:rPr>
        <w:t>official</w:t>
      </w:r>
      <w:r>
        <w:rPr>
          <w:spacing w:val="-23"/>
          <w:w w:val="110"/>
        </w:rPr>
        <w:t> </w:t>
      </w:r>
      <w:r>
        <w:rPr>
          <w:w w:val="110"/>
        </w:rPr>
        <w:t>repo</w:t>
      </w:r>
      <w:r>
        <w:rPr>
          <w:spacing w:val="-24"/>
          <w:w w:val="110"/>
        </w:rPr>
        <w:t> </w:t>
      </w:r>
      <w:r>
        <w:rPr>
          <w:spacing w:val="-4"/>
          <w:w w:val="110"/>
        </w:rPr>
        <w:t>rate </w:t>
      </w:r>
      <w:r>
        <w:rPr>
          <w:spacing w:val="-3"/>
          <w:w w:val="110"/>
        </w:rPr>
        <w:t>by</w:t>
      </w:r>
      <w:r>
        <w:rPr>
          <w:spacing w:val="-14"/>
          <w:w w:val="110"/>
        </w:rPr>
        <w:t> </w:t>
      </w:r>
      <w:r>
        <w:rPr>
          <w:spacing w:val="-12"/>
          <w:w w:val="110"/>
        </w:rPr>
        <w:t>25</w:t>
      </w:r>
      <w:r>
        <w:rPr>
          <w:spacing w:val="-13"/>
          <w:w w:val="110"/>
        </w:rPr>
        <w:t> </w:t>
      </w:r>
      <w:r>
        <w:rPr>
          <w:w w:val="110"/>
        </w:rPr>
        <w:t>basis</w:t>
      </w:r>
      <w:r>
        <w:rPr>
          <w:spacing w:val="-13"/>
          <w:w w:val="110"/>
        </w:rPr>
        <w:t> </w:t>
      </w:r>
      <w:r>
        <w:rPr>
          <w:w w:val="110"/>
        </w:rPr>
        <w:t>points</w:t>
      </w:r>
      <w:r>
        <w:rPr>
          <w:spacing w:val="-14"/>
          <w:w w:val="110"/>
        </w:rPr>
        <w:t> </w:t>
      </w:r>
      <w:r>
        <w:rPr>
          <w:w w:val="110"/>
        </w:rPr>
        <w:t>at</w:t>
      </w:r>
      <w:r>
        <w:rPr>
          <w:spacing w:val="-13"/>
          <w:w w:val="110"/>
        </w:rPr>
        <w:t> </w:t>
      </w:r>
      <w:r>
        <w:rPr>
          <w:w w:val="110"/>
        </w:rPr>
        <w:t>its</w:t>
      </w:r>
      <w:r>
        <w:rPr>
          <w:spacing w:val="-13"/>
          <w:w w:val="110"/>
        </w:rPr>
        <w:t> </w:t>
      </w:r>
      <w:r>
        <w:rPr>
          <w:w w:val="110"/>
        </w:rPr>
        <w:t>February</w:t>
      </w:r>
      <w:r>
        <w:rPr>
          <w:spacing w:val="-14"/>
          <w:w w:val="110"/>
        </w:rPr>
        <w:t> </w:t>
      </w:r>
      <w:r>
        <w:rPr>
          <w:w w:val="110"/>
        </w:rPr>
        <w:t>meeting,</w:t>
      </w:r>
      <w:r>
        <w:rPr>
          <w:spacing w:val="-13"/>
          <w:w w:val="110"/>
        </w:rPr>
        <w:t> </w:t>
      </w:r>
      <w:r>
        <w:rPr>
          <w:w w:val="110"/>
        </w:rPr>
        <w:t>the</w:t>
      </w:r>
      <w:r>
        <w:rPr>
          <w:spacing w:val="-13"/>
          <w:w w:val="110"/>
        </w:rPr>
        <w:t> </w:t>
      </w:r>
      <w:r>
        <w:rPr>
          <w:w w:val="110"/>
        </w:rPr>
        <w:t>first</w:t>
      </w:r>
      <w:r>
        <w:rPr>
          <w:spacing w:val="-14"/>
          <w:w w:val="110"/>
        </w:rPr>
        <w:t> </w:t>
      </w:r>
      <w:r>
        <w:rPr>
          <w:w w:val="110"/>
        </w:rPr>
        <w:t>change</w:t>
      </w:r>
      <w:r>
        <w:rPr>
          <w:spacing w:val="-13"/>
          <w:w w:val="110"/>
        </w:rPr>
        <w:t> </w:t>
      </w:r>
      <w:r>
        <w:rPr>
          <w:w w:val="110"/>
        </w:rPr>
        <w:t>in </w:t>
      </w:r>
      <w:r>
        <w:rPr>
          <w:spacing w:val="-4"/>
          <w:w w:val="110"/>
        </w:rPr>
        <w:t>rates </w:t>
      </w:r>
      <w:r>
        <w:rPr>
          <w:w w:val="110"/>
        </w:rPr>
        <w:t>for a </w:t>
      </w:r>
      <w:r>
        <w:rPr>
          <w:spacing w:val="-4"/>
          <w:w w:val="110"/>
        </w:rPr>
        <w:t>year. </w:t>
      </w:r>
      <w:r>
        <w:rPr>
          <w:w w:val="110"/>
        </w:rPr>
        <w:t>Official </w:t>
      </w:r>
      <w:r>
        <w:rPr>
          <w:spacing w:val="-3"/>
          <w:w w:val="110"/>
        </w:rPr>
        <w:t>interest </w:t>
      </w:r>
      <w:r>
        <w:rPr>
          <w:spacing w:val="-4"/>
          <w:w w:val="110"/>
        </w:rPr>
        <w:t>rates </w:t>
      </w:r>
      <w:r>
        <w:rPr>
          <w:spacing w:val="-3"/>
          <w:w w:val="110"/>
        </w:rPr>
        <w:t>have </w:t>
      </w:r>
      <w:r>
        <w:rPr>
          <w:w w:val="110"/>
        </w:rPr>
        <w:t>been cut</w:t>
      </w:r>
      <w:r>
        <w:rPr>
          <w:spacing w:val="-23"/>
          <w:w w:val="110"/>
        </w:rPr>
        <w:t> </w:t>
      </w:r>
      <w:r>
        <w:rPr>
          <w:w w:val="110"/>
        </w:rPr>
        <w:t>by</w:t>
      </w:r>
    </w:p>
    <w:p>
      <w:pPr>
        <w:pStyle w:val="BodyText"/>
        <w:spacing w:line="292" w:lineRule="auto"/>
        <w:ind w:left="280" w:right="184"/>
      </w:pPr>
      <w:r>
        <w:rPr>
          <w:spacing w:val="-9"/>
          <w:w w:val="110"/>
        </w:rPr>
        <w:t>100 </w:t>
      </w:r>
      <w:r>
        <w:rPr>
          <w:w w:val="110"/>
        </w:rPr>
        <w:t>basis points in the United </w:t>
      </w:r>
      <w:r>
        <w:rPr>
          <w:spacing w:val="-3"/>
          <w:w w:val="110"/>
        </w:rPr>
        <w:t>States, </w:t>
      </w:r>
      <w:r>
        <w:rPr>
          <w:w w:val="110"/>
        </w:rPr>
        <w:t>but remain unchanged in the euro area. Markets expect official </w:t>
      </w:r>
      <w:r>
        <w:rPr>
          <w:spacing w:val="-3"/>
          <w:w w:val="110"/>
        </w:rPr>
        <w:t>interest </w:t>
      </w:r>
      <w:r>
        <w:rPr>
          <w:spacing w:val="-4"/>
          <w:w w:val="110"/>
        </w:rPr>
        <w:t>rates to </w:t>
      </w:r>
      <w:r>
        <w:rPr>
          <w:w w:val="110"/>
        </w:rPr>
        <w:t>be cut further in the United </w:t>
      </w:r>
      <w:r>
        <w:rPr>
          <w:spacing w:val="-3"/>
          <w:w w:val="110"/>
        </w:rPr>
        <w:t>States </w:t>
      </w:r>
      <w:r>
        <w:rPr>
          <w:w w:val="110"/>
        </w:rPr>
        <w:t>and </w:t>
      </w:r>
      <w:r>
        <w:rPr>
          <w:spacing w:val="-4"/>
          <w:w w:val="110"/>
        </w:rPr>
        <w:t>to </w:t>
      </w:r>
      <w:r>
        <w:rPr>
          <w:w w:val="110"/>
        </w:rPr>
        <w:t>fall in the euro area this </w:t>
      </w:r>
      <w:r>
        <w:rPr>
          <w:spacing w:val="-4"/>
          <w:w w:val="110"/>
        </w:rPr>
        <w:t>year. </w:t>
      </w:r>
      <w:r>
        <w:rPr>
          <w:w w:val="110"/>
        </w:rPr>
        <w:t>In the United Kingdom, market prices embody expectations</w:t>
      </w:r>
      <w:r>
        <w:rPr>
          <w:spacing w:val="-13"/>
          <w:w w:val="110"/>
        </w:rPr>
        <w:t> </w:t>
      </w:r>
      <w:r>
        <w:rPr>
          <w:w w:val="110"/>
        </w:rPr>
        <w:t>of</w:t>
      </w:r>
      <w:r>
        <w:rPr>
          <w:spacing w:val="-12"/>
          <w:w w:val="110"/>
        </w:rPr>
        <w:t> </w:t>
      </w:r>
      <w:r>
        <w:rPr>
          <w:w w:val="110"/>
        </w:rPr>
        <w:t>a</w:t>
      </w:r>
      <w:r>
        <w:rPr>
          <w:spacing w:val="-12"/>
          <w:w w:val="110"/>
        </w:rPr>
        <w:t> </w:t>
      </w:r>
      <w:r>
        <w:rPr>
          <w:w w:val="110"/>
        </w:rPr>
        <w:t>further</w:t>
      </w:r>
      <w:r>
        <w:rPr>
          <w:spacing w:val="-12"/>
          <w:w w:val="110"/>
        </w:rPr>
        <w:t> </w:t>
      </w:r>
      <w:r>
        <w:rPr>
          <w:w w:val="110"/>
        </w:rPr>
        <w:t>fall</w:t>
      </w:r>
      <w:r>
        <w:rPr>
          <w:spacing w:val="-12"/>
          <w:w w:val="110"/>
        </w:rPr>
        <w:t> </w:t>
      </w:r>
      <w:r>
        <w:rPr>
          <w:w w:val="110"/>
        </w:rPr>
        <w:t>in</w:t>
      </w:r>
      <w:r>
        <w:rPr>
          <w:spacing w:val="-12"/>
          <w:w w:val="110"/>
        </w:rPr>
        <w:t> </w:t>
      </w:r>
      <w:r>
        <w:rPr>
          <w:spacing w:val="-4"/>
          <w:w w:val="110"/>
        </w:rPr>
        <w:t>rates</w:t>
      </w:r>
      <w:r>
        <w:rPr>
          <w:spacing w:val="-13"/>
          <w:w w:val="110"/>
        </w:rPr>
        <w:t> </w:t>
      </w:r>
      <w:r>
        <w:rPr>
          <w:w w:val="110"/>
        </w:rPr>
        <w:t>of</w:t>
      </w:r>
      <w:r>
        <w:rPr>
          <w:spacing w:val="-12"/>
          <w:w w:val="110"/>
        </w:rPr>
        <w:t> </w:t>
      </w:r>
      <w:r>
        <w:rPr>
          <w:w w:val="110"/>
        </w:rPr>
        <w:t>around</w:t>
      </w:r>
      <w:r>
        <w:rPr>
          <w:spacing w:val="-12"/>
          <w:w w:val="110"/>
        </w:rPr>
        <w:t> </w:t>
      </w:r>
      <w:r>
        <w:rPr>
          <w:spacing w:val="-8"/>
          <w:w w:val="110"/>
        </w:rPr>
        <w:t>50</w:t>
      </w:r>
      <w:r>
        <w:rPr>
          <w:spacing w:val="-12"/>
          <w:w w:val="110"/>
        </w:rPr>
        <w:t> </w:t>
      </w:r>
      <w:r>
        <w:rPr>
          <w:w w:val="110"/>
        </w:rPr>
        <w:t>basis</w:t>
      </w:r>
      <w:r>
        <w:rPr>
          <w:spacing w:val="-12"/>
          <w:w w:val="110"/>
        </w:rPr>
        <w:t> </w:t>
      </w:r>
      <w:r>
        <w:rPr>
          <w:w w:val="110"/>
        </w:rPr>
        <w:t>points during </w:t>
      </w:r>
      <w:r>
        <w:rPr>
          <w:spacing w:val="-9"/>
          <w:w w:val="110"/>
        </w:rPr>
        <w:t>2001. </w:t>
      </w:r>
      <w:r>
        <w:rPr>
          <w:spacing w:val="-3"/>
          <w:w w:val="110"/>
        </w:rPr>
        <w:t>Long-term </w:t>
      </w:r>
      <w:r>
        <w:rPr>
          <w:w w:val="110"/>
        </w:rPr>
        <w:t>government and </w:t>
      </w:r>
      <w:r>
        <w:rPr>
          <w:spacing w:val="-3"/>
          <w:w w:val="110"/>
        </w:rPr>
        <w:t>corporate </w:t>
      </w:r>
      <w:r>
        <w:rPr>
          <w:w w:val="110"/>
        </w:rPr>
        <w:t>bond yields </w:t>
      </w:r>
      <w:r>
        <w:rPr>
          <w:spacing w:val="-3"/>
          <w:w w:val="110"/>
        </w:rPr>
        <w:t>have </w:t>
      </w:r>
      <w:r>
        <w:rPr>
          <w:w w:val="110"/>
        </w:rPr>
        <w:t>declined further. </w:t>
      </w:r>
      <w:r>
        <w:rPr>
          <w:spacing w:val="-3"/>
          <w:w w:val="110"/>
        </w:rPr>
        <w:t>Equity </w:t>
      </w:r>
      <w:r>
        <w:rPr>
          <w:w w:val="110"/>
        </w:rPr>
        <w:t>prices </w:t>
      </w:r>
      <w:r>
        <w:rPr>
          <w:spacing w:val="-3"/>
          <w:w w:val="110"/>
        </w:rPr>
        <w:t>have </w:t>
      </w:r>
      <w:r>
        <w:rPr>
          <w:w w:val="110"/>
        </w:rPr>
        <w:t>fallen since </w:t>
      </w:r>
      <w:r>
        <w:rPr>
          <w:spacing w:val="-3"/>
          <w:w w:val="110"/>
        </w:rPr>
        <w:t>November, </w:t>
      </w:r>
      <w:r>
        <w:rPr>
          <w:w w:val="110"/>
        </w:rPr>
        <w:t>reflecting reductions in share prices in high- technology</w:t>
      </w:r>
      <w:r>
        <w:rPr>
          <w:spacing w:val="-26"/>
          <w:w w:val="110"/>
        </w:rPr>
        <w:t> </w:t>
      </w:r>
      <w:r>
        <w:rPr>
          <w:w w:val="110"/>
        </w:rPr>
        <w:t>sectors.</w:t>
      </w:r>
      <w:r>
        <w:rPr>
          <w:spacing w:val="5"/>
          <w:w w:val="110"/>
        </w:rPr>
        <w:t> </w:t>
      </w:r>
      <w:r>
        <w:rPr>
          <w:w w:val="110"/>
        </w:rPr>
        <w:t>The</w:t>
      </w:r>
      <w:r>
        <w:rPr>
          <w:spacing w:val="-26"/>
          <w:w w:val="110"/>
        </w:rPr>
        <w:t> </w:t>
      </w:r>
      <w:r>
        <w:rPr>
          <w:w w:val="110"/>
        </w:rPr>
        <w:t>sterling</w:t>
      </w:r>
      <w:r>
        <w:rPr>
          <w:spacing w:val="-25"/>
          <w:w w:val="110"/>
        </w:rPr>
        <w:t> </w:t>
      </w:r>
      <w:r>
        <w:rPr>
          <w:w w:val="110"/>
        </w:rPr>
        <w:t>effective</w:t>
      </w:r>
      <w:r>
        <w:rPr>
          <w:spacing w:val="-26"/>
          <w:w w:val="110"/>
        </w:rPr>
        <w:t> </w:t>
      </w:r>
      <w:r>
        <w:rPr>
          <w:w w:val="110"/>
        </w:rPr>
        <w:t>exchange</w:t>
      </w:r>
      <w:r>
        <w:rPr>
          <w:spacing w:val="-25"/>
          <w:w w:val="110"/>
        </w:rPr>
        <w:t> </w:t>
      </w:r>
      <w:r>
        <w:rPr>
          <w:spacing w:val="-4"/>
          <w:w w:val="110"/>
        </w:rPr>
        <w:t>rate</w:t>
      </w:r>
      <w:r>
        <w:rPr>
          <w:spacing w:val="-26"/>
          <w:w w:val="110"/>
        </w:rPr>
        <w:t> </w:t>
      </w:r>
      <w:r>
        <w:rPr>
          <w:w w:val="110"/>
        </w:rPr>
        <w:t>index has declined, with depreciation against the euro more than offsetting appreciation against the dollar in </w:t>
      </w:r>
      <w:r>
        <w:rPr>
          <w:spacing w:val="-3"/>
          <w:w w:val="110"/>
        </w:rPr>
        <w:t>trade-weighted </w:t>
      </w:r>
      <w:r>
        <w:rPr>
          <w:w w:val="110"/>
        </w:rPr>
        <w:t>terms.</w:t>
      </w:r>
    </w:p>
    <w:p>
      <w:pPr>
        <w:pStyle w:val="BodyText"/>
        <w:rPr>
          <w:sz w:val="17"/>
        </w:rPr>
      </w:pPr>
    </w:p>
    <w:p>
      <w:pPr>
        <w:pStyle w:val="Heading3"/>
        <w:numPr>
          <w:ilvl w:val="1"/>
          <w:numId w:val="3"/>
        </w:numPr>
        <w:tabs>
          <w:tab w:pos="640" w:val="left" w:leader="none"/>
          <w:tab w:pos="5639" w:val="left" w:leader="none"/>
        </w:tabs>
        <w:spacing w:line="240" w:lineRule="auto" w:before="0" w:after="0"/>
        <w:ind w:left="640" w:right="0" w:hanging="480"/>
        <w:jc w:val="left"/>
        <w:rPr>
          <w:u w:val="none"/>
        </w:rPr>
      </w:pPr>
      <w:r>
        <w:rPr>
          <w:smallCaps w:val="0"/>
          <w:color w:val="89C6DC"/>
          <w:w w:val="95"/>
          <w:u w:val="single" w:color="006CB4"/>
        </w:rPr>
        <w:t>Money</w:t>
      </w:r>
      <w:r>
        <w:rPr>
          <w:smallCaps w:val="0"/>
          <w:color w:val="89C6DC"/>
          <w:spacing w:val="-43"/>
          <w:w w:val="95"/>
          <w:u w:val="single" w:color="006CB4"/>
        </w:rPr>
        <w:t> </w:t>
      </w:r>
      <w:r>
        <w:rPr>
          <w:smallCaps w:val="0"/>
          <w:color w:val="89C6DC"/>
          <w:w w:val="95"/>
          <w:u w:val="single" w:color="006CB4"/>
        </w:rPr>
        <w:t>and</w:t>
      </w:r>
      <w:r>
        <w:rPr>
          <w:smallCaps w:val="0"/>
          <w:color w:val="89C6DC"/>
          <w:spacing w:val="-42"/>
          <w:w w:val="95"/>
          <w:u w:val="single" w:color="006CB4"/>
        </w:rPr>
        <w:t> </w:t>
      </w:r>
      <w:r>
        <w:rPr>
          <w:smallCaps w:val="0"/>
          <w:color w:val="89C6DC"/>
          <w:w w:val="95"/>
          <w:u w:val="single" w:color="006CB4"/>
        </w:rPr>
        <w:t>credit</w:t>
      </w:r>
      <w:r>
        <w:rPr>
          <w:smallCaps w:val="0"/>
          <w:color w:val="89C6DC"/>
          <w:u w:val="single" w:color="006CB4"/>
        </w:rPr>
        <w:tab/>
      </w:r>
    </w:p>
    <w:p>
      <w:pPr>
        <w:pStyle w:val="BodyText"/>
        <w:spacing w:before="9"/>
        <w:rPr>
          <w:rFonts w:ascii="Trebuchet MS"/>
          <w:b/>
          <w:sz w:val="26"/>
        </w:rPr>
      </w:pPr>
    </w:p>
    <w:p>
      <w:pPr>
        <w:pStyle w:val="BodyText"/>
        <w:spacing w:line="292" w:lineRule="auto"/>
        <w:ind w:left="280" w:right="349"/>
      </w:pPr>
      <w:r>
        <w:rPr>
          <w:w w:val="110"/>
        </w:rPr>
        <w:t>Money and credit data provide useful indications about current and future spending in the economy and thus, for a given supply capacity, the degree of inflationary pressure generated by nominal demand.</w:t>
      </w:r>
    </w:p>
    <w:p>
      <w:pPr>
        <w:pStyle w:val="BodyText"/>
        <w:spacing w:before="7"/>
      </w:pPr>
    </w:p>
    <w:p>
      <w:pPr>
        <w:pStyle w:val="Heading6"/>
        <w:ind w:left="160"/>
      </w:pPr>
      <w:r>
        <w:rPr>
          <w:color w:val="89C6DC"/>
        </w:rPr>
        <w:t>Narrow money</w:t>
      </w:r>
    </w:p>
    <w:p>
      <w:pPr>
        <w:pStyle w:val="BodyText"/>
        <w:rPr>
          <w:rFonts w:ascii="Trebuchet MS"/>
          <w:b/>
          <w:sz w:val="18"/>
        </w:rPr>
      </w:pPr>
    </w:p>
    <w:p>
      <w:pPr>
        <w:pStyle w:val="BodyText"/>
        <w:spacing w:line="292" w:lineRule="auto"/>
        <w:ind w:left="280" w:right="184"/>
      </w:pPr>
      <w:r>
        <w:rPr>
          <w:spacing w:val="-3"/>
          <w:w w:val="110"/>
        </w:rPr>
        <w:t>Notes </w:t>
      </w:r>
      <w:r>
        <w:rPr>
          <w:w w:val="110"/>
        </w:rPr>
        <w:t>and coin in circulation </w:t>
      </w:r>
      <w:r>
        <w:rPr>
          <w:spacing w:val="-3"/>
          <w:w w:val="110"/>
        </w:rPr>
        <w:t>have </w:t>
      </w:r>
      <w:r>
        <w:rPr>
          <w:w w:val="110"/>
        </w:rPr>
        <w:t>continued </w:t>
      </w:r>
      <w:r>
        <w:rPr>
          <w:spacing w:val="-4"/>
          <w:w w:val="110"/>
        </w:rPr>
        <w:t>to </w:t>
      </w:r>
      <w:r>
        <w:rPr>
          <w:w w:val="110"/>
        </w:rPr>
        <w:t>rise </w:t>
      </w:r>
      <w:r>
        <w:rPr>
          <w:spacing w:val="-4"/>
          <w:w w:val="110"/>
        </w:rPr>
        <w:t>rapidly, </w:t>
      </w:r>
      <w:r>
        <w:rPr>
          <w:w w:val="110"/>
        </w:rPr>
        <w:t>although annual growth </w:t>
      </w:r>
      <w:r>
        <w:rPr>
          <w:spacing w:val="-4"/>
          <w:w w:val="110"/>
        </w:rPr>
        <w:t>rates </w:t>
      </w:r>
      <w:r>
        <w:rPr>
          <w:w w:val="110"/>
        </w:rPr>
        <w:t>for </w:t>
      </w:r>
      <w:r>
        <w:rPr>
          <w:spacing w:val="-2"/>
          <w:w w:val="110"/>
        </w:rPr>
        <w:t>narrow </w:t>
      </w:r>
      <w:r>
        <w:rPr>
          <w:w w:val="110"/>
        </w:rPr>
        <w:t>money </w:t>
      </w:r>
      <w:r>
        <w:rPr>
          <w:spacing w:val="-3"/>
          <w:w w:val="110"/>
        </w:rPr>
        <w:t>have </w:t>
      </w:r>
      <w:r>
        <w:rPr>
          <w:w w:val="110"/>
        </w:rPr>
        <w:t>been distorted</w:t>
      </w:r>
      <w:r>
        <w:rPr>
          <w:spacing w:val="-17"/>
          <w:w w:val="110"/>
        </w:rPr>
        <w:t> </w:t>
      </w:r>
      <w:r>
        <w:rPr>
          <w:spacing w:val="-3"/>
          <w:w w:val="110"/>
        </w:rPr>
        <w:t>downwards</w:t>
      </w:r>
      <w:r>
        <w:rPr>
          <w:spacing w:val="-17"/>
          <w:w w:val="110"/>
        </w:rPr>
        <w:t> </w:t>
      </w:r>
      <w:r>
        <w:rPr>
          <w:spacing w:val="-3"/>
          <w:w w:val="110"/>
        </w:rPr>
        <w:t>by</w:t>
      </w:r>
      <w:r>
        <w:rPr>
          <w:spacing w:val="-17"/>
          <w:w w:val="110"/>
        </w:rPr>
        <w:t> </w:t>
      </w:r>
      <w:r>
        <w:rPr>
          <w:w w:val="110"/>
        </w:rPr>
        <w:t>the</w:t>
      </w:r>
      <w:r>
        <w:rPr>
          <w:spacing w:val="-17"/>
          <w:w w:val="110"/>
        </w:rPr>
        <w:t> </w:t>
      </w:r>
      <w:r>
        <w:rPr>
          <w:w w:val="110"/>
        </w:rPr>
        <w:t>increase</w:t>
      </w:r>
      <w:r>
        <w:rPr>
          <w:spacing w:val="-17"/>
          <w:w w:val="110"/>
        </w:rPr>
        <w:t> </w:t>
      </w:r>
      <w:r>
        <w:rPr>
          <w:w w:val="110"/>
        </w:rPr>
        <w:t>in</w:t>
      </w:r>
      <w:r>
        <w:rPr>
          <w:spacing w:val="-17"/>
          <w:w w:val="110"/>
        </w:rPr>
        <w:t> </w:t>
      </w:r>
      <w:r>
        <w:rPr>
          <w:w w:val="110"/>
        </w:rPr>
        <w:t>cash</w:t>
      </w:r>
      <w:r>
        <w:rPr>
          <w:spacing w:val="-17"/>
          <w:w w:val="110"/>
        </w:rPr>
        <w:t> </w:t>
      </w:r>
      <w:r>
        <w:rPr>
          <w:w w:val="110"/>
        </w:rPr>
        <w:t>holdings</w:t>
      </w:r>
      <w:r>
        <w:rPr>
          <w:spacing w:val="-17"/>
          <w:w w:val="110"/>
        </w:rPr>
        <w:t> </w:t>
      </w:r>
      <w:r>
        <w:rPr>
          <w:w w:val="110"/>
        </w:rPr>
        <w:t>around the</w:t>
      </w:r>
      <w:r>
        <w:rPr>
          <w:spacing w:val="-20"/>
          <w:w w:val="110"/>
        </w:rPr>
        <w:t> </w:t>
      </w:r>
      <w:r>
        <w:rPr>
          <w:w w:val="110"/>
        </w:rPr>
        <w:t>time</w:t>
      </w:r>
      <w:r>
        <w:rPr>
          <w:spacing w:val="-19"/>
          <w:w w:val="110"/>
        </w:rPr>
        <w:t> </w:t>
      </w:r>
      <w:r>
        <w:rPr>
          <w:w w:val="110"/>
        </w:rPr>
        <w:t>of</w:t>
      </w:r>
      <w:r>
        <w:rPr>
          <w:spacing w:val="-19"/>
          <w:w w:val="110"/>
        </w:rPr>
        <w:t> </w:t>
      </w:r>
      <w:r>
        <w:rPr>
          <w:w w:val="110"/>
        </w:rPr>
        <w:t>the</w:t>
      </w:r>
      <w:r>
        <w:rPr>
          <w:spacing w:val="-19"/>
          <w:w w:val="110"/>
        </w:rPr>
        <w:t> </w:t>
      </w:r>
      <w:r>
        <w:rPr>
          <w:w w:val="110"/>
        </w:rPr>
        <w:t>millennium</w:t>
      </w:r>
      <w:r>
        <w:rPr>
          <w:spacing w:val="-19"/>
          <w:w w:val="110"/>
        </w:rPr>
        <w:t> </w:t>
      </w:r>
      <w:r>
        <w:rPr>
          <w:w w:val="110"/>
        </w:rPr>
        <w:t>change</w:t>
      </w:r>
      <w:r>
        <w:rPr>
          <w:spacing w:val="-19"/>
          <w:w w:val="110"/>
        </w:rPr>
        <w:t> </w:t>
      </w:r>
      <w:r>
        <w:rPr>
          <w:w w:val="110"/>
        </w:rPr>
        <w:t>(see</w:t>
      </w:r>
      <w:r>
        <w:rPr>
          <w:spacing w:val="-19"/>
          <w:w w:val="110"/>
        </w:rPr>
        <w:t> </w:t>
      </w:r>
      <w:r>
        <w:rPr>
          <w:spacing w:val="-5"/>
          <w:w w:val="110"/>
        </w:rPr>
        <w:t>Table</w:t>
      </w:r>
      <w:r>
        <w:rPr>
          <w:spacing w:val="-19"/>
          <w:w w:val="110"/>
        </w:rPr>
        <w:t> </w:t>
      </w:r>
      <w:r>
        <w:rPr>
          <w:w w:val="110"/>
        </w:rPr>
        <w:t>1.A).</w:t>
      </w:r>
      <w:r>
        <w:rPr>
          <w:spacing w:val="17"/>
          <w:w w:val="110"/>
        </w:rPr>
        <w:t> </w:t>
      </w:r>
      <w:r>
        <w:rPr>
          <w:w w:val="110"/>
        </w:rPr>
        <w:t>As</w:t>
      </w:r>
      <w:r>
        <w:rPr>
          <w:spacing w:val="-19"/>
          <w:w w:val="110"/>
        </w:rPr>
        <w:t> </w:t>
      </w:r>
      <w:r>
        <w:rPr>
          <w:w w:val="110"/>
        </w:rPr>
        <w:t>notes</w:t>
      </w:r>
    </w:p>
    <w:p>
      <w:pPr>
        <w:spacing w:after="0" w:line="292" w:lineRule="auto"/>
        <w:sectPr>
          <w:type w:val="continuous"/>
          <w:pgSz w:w="11900" w:h="16840"/>
          <w:pgMar w:top="1260" w:bottom="280" w:left="640" w:right="640"/>
          <w:cols w:num="2" w:equalWidth="0">
            <w:col w:w="4071" w:space="749"/>
            <w:col w:w="5800"/>
          </w:cols>
        </w:sectPr>
      </w:pPr>
    </w:p>
    <w:p>
      <w:pPr>
        <w:pStyle w:val="BodyText"/>
        <w:spacing w:line="20" w:lineRule="exact"/>
        <w:ind w:left="143"/>
        <w:rPr>
          <w:sz w:val="2"/>
        </w:rPr>
      </w:pPr>
      <w:r>
        <w:rPr>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sz w:val="2"/>
        </w:rPr>
      </w:r>
    </w:p>
    <w:p>
      <w:pPr>
        <w:pStyle w:val="BodyText"/>
      </w:pPr>
    </w:p>
    <w:p>
      <w:pPr>
        <w:spacing w:after="0"/>
        <w:sectPr>
          <w:headerReference w:type="default" r:id="rId26"/>
          <w:headerReference w:type="even" r:id="rId27"/>
          <w:pgSz w:w="11900" w:h="16840"/>
          <w:pgMar w:header="579" w:footer="575" w:top="760" w:bottom="760" w:left="640" w:right="640"/>
        </w:sectPr>
      </w:pPr>
    </w:p>
    <w:p>
      <w:pPr>
        <w:pStyle w:val="BodyText"/>
        <w:spacing w:before="8"/>
        <w:rPr>
          <w:sz w:val="21"/>
        </w:rPr>
      </w:pPr>
    </w:p>
    <w:p>
      <w:pPr>
        <w:pStyle w:val="Heading6"/>
        <w:spacing w:before="1"/>
        <w:ind w:left="180"/>
      </w:pPr>
      <w:bookmarkStart w:name="Broad money and credit" w:id="7"/>
      <w:bookmarkEnd w:id="7"/>
      <w:r>
        <w:rPr>
          <w:b w:val="0"/>
        </w:rPr>
      </w:r>
      <w:bookmarkStart w:name="Household sector" w:id="8"/>
      <w:bookmarkEnd w:id="8"/>
      <w:r>
        <w:rPr>
          <w:b w:val="0"/>
        </w:rPr>
      </w:r>
      <w:bookmarkStart w:name="_bookmark3" w:id="9"/>
      <w:bookmarkEnd w:id="9"/>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75"/>
        </w:rPr>
        <w:t>1.1</w:t>
      </w:r>
    </w:p>
    <w:p>
      <w:pPr>
        <w:spacing w:line="247" w:lineRule="auto" w:before="7"/>
        <w:ind w:left="180" w:right="97" w:firstLine="0"/>
        <w:jc w:val="left"/>
        <w:rPr>
          <w:rFonts w:ascii="Trebuchet MS"/>
          <w:b/>
          <w:sz w:val="20"/>
        </w:rPr>
      </w:pPr>
      <w:r>
        <w:rPr>
          <w:rFonts w:ascii="Trebuchet MS"/>
          <w:b/>
          <w:color w:val="89C6DC"/>
          <w:w w:val="95"/>
          <w:sz w:val="20"/>
        </w:rPr>
        <w:t>Growth</w:t>
      </w:r>
      <w:r>
        <w:rPr>
          <w:rFonts w:ascii="Trebuchet MS"/>
          <w:b/>
          <w:color w:val="89C6DC"/>
          <w:spacing w:val="-23"/>
          <w:w w:val="95"/>
          <w:sz w:val="20"/>
        </w:rPr>
        <w:t> </w:t>
      </w:r>
      <w:r>
        <w:rPr>
          <w:rFonts w:ascii="Trebuchet MS"/>
          <w:b/>
          <w:color w:val="89C6DC"/>
          <w:w w:val="95"/>
          <w:sz w:val="20"/>
        </w:rPr>
        <w:t>rates</w:t>
      </w:r>
      <w:r>
        <w:rPr>
          <w:rFonts w:ascii="Trebuchet MS"/>
          <w:b/>
          <w:color w:val="89C6DC"/>
          <w:spacing w:val="-24"/>
          <w:w w:val="95"/>
          <w:sz w:val="20"/>
        </w:rPr>
        <w:t> </w:t>
      </w:r>
      <w:r>
        <w:rPr>
          <w:rFonts w:ascii="Trebuchet MS"/>
          <w:b/>
          <w:color w:val="89C6DC"/>
          <w:w w:val="95"/>
          <w:sz w:val="20"/>
        </w:rPr>
        <w:t>of</w:t>
      </w:r>
      <w:r>
        <w:rPr>
          <w:rFonts w:ascii="Trebuchet MS"/>
          <w:b/>
          <w:color w:val="89C6DC"/>
          <w:spacing w:val="-23"/>
          <w:w w:val="95"/>
          <w:sz w:val="20"/>
        </w:rPr>
        <w:t> </w:t>
      </w:r>
      <w:r>
        <w:rPr>
          <w:rFonts w:ascii="Trebuchet MS"/>
          <w:b/>
          <w:color w:val="89C6DC"/>
          <w:w w:val="95"/>
          <w:sz w:val="20"/>
        </w:rPr>
        <w:t>notes</w:t>
      </w:r>
      <w:r>
        <w:rPr>
          <w:rFonts w:ascii="Trebuchet MS"/>
          <w:b/>
          <w:color w:val="89C6DC"/>
          <w:spacing w:val="-23"/>
          <w:w w:val="95"/>
          <w:sz w:val="20"/>
        </w:rPr>
        <w:t> </w:t>
      </w:r>
      <w:r>
        <w:rPr>
          <w:rFonts w:ascii="Trebuchet MS"/>
          <w:b/>
          <w:color w:val="89C6DC"/>
          <w:w w:val="95"/>
          <w:sz w:val="20"/>
        </w:rPr>
        <w:t>and</w:t>
      </w:r>
      <w:r>
        <w:rPr>
          <w:rFonts w:ascii="Trebuchet MS"/>
          <w:b/>
          <w:color w:val="89C6DC"/>
          <w:spacing w:val="-23"/>
          <w:w w:val="95"/>
          <w:sz w:val="20"/>
        </w:rPr>
        <w:t> </w:t>
      </w:r>
      <w:r>
        <w:rPr>
          <w:rFonts w:ascii="Trebuchet MS"/>
          <w:b/>
          <w:color w:val="89C6DC"/>
          <w:w w:val="95"/>
          <w:sz w:val="20"/>
        </w:rPr>
        <w:t>coin</w:t>
      </w:r>
      <w:r>
        <w:rPr>
          <w:rFonts w:ascii="Trebuchet MS"/>
          <w:b/>
          <w:color w:val="89C6DC"/>
          <w:spacing w:val="-23"/>
          <w:w w:val="95"/>
          <w:sz w:val="20"/>
        </w:rPr>
        <w:t> </w:t>
      </w:r>
      <w:r>
        <w:rPr>
          <w:rFonts w:ascii="Trebuchet MS"/>
          <w:b/>
          <w:color w:val="89C6DC"/>
          <w:w w:val="95"/>
          <w:sz w:val="20"/>
        </w:rPr>
        <w:t>and</w:t>
      </w:r>
      <w:r>
        <w:rPr>
          <w:rFonts w:ascii="Trebuchet MS"/>
          <w:b/>
          <w:color w:val="89C6DC"/>
          <w:spacing w:val="-23"/>
          <w:w w:val="95"/>
          <w:sz w:val="20"/>
        </w:rPr>
        <w:t> </w:t>
      </w:r>
      <w:r>
        <w:rPr>
          <w:rFonts w:ascii="Trebuchet MS"/>
          <w:b/>
          <w:color w:val="89C6DC"/>
          <w:w w:val="95"/>
          <w:sz w:val="20"/>
        </w:rPr>
        <w:t>retail </w:t>
      </w:r>
      <w:r>
        <w:rPr>
          <w:rFonts w:ascii="Trebuchet MS"/>
          <w:b/>
          <w:color w:val="89C6DC"/>
          <w:sz w:val="20"/>
        </w:rPr>
        <w:t>sales</w:t>
      </w:r>
      <w:r>
        <w:rPr>
          <w:rFonts w:ascii="Trebuchet MS"/>
          <w:b/>
          <w:color w:val="89C6DC"/>
          <w:spacing w:val="4"/>
          <w:sz w:val="20"/>
        </w:rPr>
        <w:t> </w:t>
      </w:r>
      <w:r>
        <w:rPr>
          <w:rFonts w:ascii="Trebuchet MS"/>
          <w:b/>
          <w:color w:val="89C6DC"/>
          <w:sz w:val="20"/>
        </w:rPr>
        <w:t>values</w:t>
      </w:r>
    </w:p>
    <w:p>
      <w:pPr>
        <w:spacing w:line="266" w:lineRule="auto" w:before="64"/>
        <w:ind w:left="2020" w:right="171" w:hanging="216"/>
        <w:jc w:val="left"/>
        <w:rPr>
          <w:sz w:val="12"/>
        </w:rPr>
      </w:pPr>
      <w:r>
        <w:rPr>
          <w:w w:val="110"/>
          <w:sz w:val="12"/>
        </w:rPr>
        <w:t>Percentage changes, three months on three months a year earlier</w:t>
      </w:r>
    </w:p>
    <w:p>
      <w:pPr>
        <w:spacing w:line="126" w:lineRule="exact" w:before="0"/>
        <w:ind w:left="3615" w:right="0" w:firstLine="0"/>
        <w:jc w:val="left"/>
        <w:rPr>
          <w:sz w:val="12"/>
        </w:rPr>
      </w:pPr>
      <w:r>
        <w:rPr/>
        <w:pict>
          <v:group style="position:absolute;margin-left:52.904999pt;margin-top:7.612012pt;width:144.75pt;height:116pt;mso-position-horizontal-relative:page;mso-position-vertical-relative:paragraph;z-index:15757824" coordorigin="1058,152" coordsize="2895,2320">
            <v:shape style="position:absolute;left:1058;top:152;width:2895;height:2320" type="#_x0000_t75" stroked="false">
              <v:imagedata r:id="rId28" o:title=""/>
            </v:shape>
            <v:shape style="position:absolute;left:1479;top:452;width:595;height:121" type="#_x0000_t202" filled="false" stroked="false">
              <v:textbox inset="0,0,0,0">
                <w:txbxContent>
                  <w:p>
                    <w:pPr>
                      <w:spacing w:line="116" w:lineRule="exact" w:before="0"/>
                      <w:ind w:left="0" w:right="0" w:firstLine="0"/>
                      <w:jc w:val="left"/>
                      <w:rPr>
                        <w:sz w:val="12"/>
                      </w:rPr>
                    </w:pPr>
                    <w:r>
                      <w:rPr>
                        <w:w w:val="105"/>
                        <w:sz w:val="12"/>
                      </w:rPr>
                      <w:t>Retail sales</w:t>
                    </w:r>
                  </w:p>
                </w:txbxContent>
              </v:textbox>
              <w10:wrap type="none"/>
            </v:shape>
            <w10:wrap type="none"/>
          </v:group>
        </w:pict>
      </w:r>
      <w:r>
        <w:rPr/>
        <w:drawing>
          <wp:anchor distT="0" distB="0" distL="0" distR="0" allowOverlap="1" layoutInCell="1" locked="0" behindDoc="0" simplePos="0" relativeHeight="15763456">
            <wp:simplePos x="0" y="0"/>
            <wp:positionH relativeFrom="page">
              <wp:posOffset>554558</wp:posOffset>
            </wp:positionH>
            <wp:positionV relativeFrom="paragraph">
              <wp:posOffset>30823</wp:posOffset>
            </wp:positionV>
            <wp:extent cx="55041" cy="6350"/>
            <wp:effectExtent l="0" t="0" r="0" b="0"/>
            <wp:wrapNone/>
            <wp:docPr id="23" name="image8.png"/>
            <wp:cNvGraphicFramePr>
              <a:graphicFrameLocks noChangeAspect="1"/>
            </wp:cNvGraphicFramePr>
            <a:graphic>
              <a:graphicData uri="http://schemas.openxmlformats.org/drawingml/2006/picture">
                <pic:pic>
                  <pic:nvPicPr>
                    <pic:cNvPr id="24"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70624">
            <wp:simplePos x="0" y="0"/>
            <wp:positionH relativeFrom="page">
              <wp:posOffset>2602407</wp:posOffset>
            </wp:positionH>
            <wp:positionV relativeFrom="paragraph">
              <wp:posOffset>35890</wp:posOffset>
            </wp:positionV>
            <wp:extent cx="55041" cy="6350"/>
            <wp:effectExtent l="0" t="0" r="0" b="0"/>
            <wp:wrapNone/>
            <wp:docPr id="25" name="image8.png"/>
            <wp:cNvGraphicFramePr>
              <a:graphicFrameLocks noChangeAspect="1"/>
            </wp:cNvGraphicFramePr>
            <a:graphic>
              <a:graphicData uri="http://schemas.openxmlformats.org/drawingml/2006/picture">
                <pic:pic>
                  <pic:nvPicPr>
                    <pic:cNvPr id="26"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0"/>
          <w:sz w:val="12"/>
        </w:rPr>
        <w:t>12</w:t>
      </w:r>
    </w:p>
    <w:p>
      <w:pPr>
        <w:spacing w:before="107"/>
        <w:ind w:left="0" w:right="38" w:firstLine="0"/>
        <w:jc w:val="right"/>
        <w:rPr>
          <w:sz w:val="12"/>
        </w:rPr>
      </w:pPr>
      <w:r>
        <w:rPr/>
        <w:drawing>
          <wp:anchor distT="0" distB="0" distL="0" distR="0" allowOverlap="1" layoutInCell="1" locked="0" behindDoc="0" simplePos="0" relativeHeight="15758336">
            <wp:simplePos x="0" y="0"/>
            <wp:positionH relativeFrom="page">
              <wp:posOffset>554558</wp:posOffset>
            </wp:positionH>
            <wp:positionV relativeFrom="paragraph">
              <wp:posOffset>103284</wp:posOffset>
            </wp:positionV>
            <wp:extent cx="55041" cy="6350"/>
            <wp:effectExtent l="0" t="0" r="0" b="0"/>
            <wp:wrapNone/>
            <wp:docPr id="27" name="image8.png"/>
            <wp:cNvGraphicFramePr>
              <a:graphicFrameLocks noChangeAspect="1"/>
            </wp:cNvGraphicFramePr>
            <a:graphic>
              <a:graphicData uri="http://schemas.openxmlformats.org/drawingml/2006/picture">
                <pic:pic>
                  <pic:nvPicPr>
                    <pic:cNvPr id="28"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65504">
            <wp:simplePos x="0" y="0"/>
            <wp:positionH relativeFrom="page">
              <wp:posOffset>2602407</wp:posOffset>
            </wp:positionH>
            <wp:positionV relativeFrom="paragraph">
              <wp:posOffset>108364</wp:posOffset>
            </wp:positionV>
            <wp:extent cx="55041" cy="6350"/>
            <wp:effectExtent l="0" t="0" r="0" b="0"/>
            <wp:wrapNone/>
            <wp:docPr id="29" name="image8.png"/>
            <wp:cNvGraphicFramePr>
              <a:graphicFrameLocks noChangeAspect="1"/>
            </wp:cNvGraphicFramePr>
            <a:graphic>
              <a:graphicData uri="http://schemas.openxmlformats.org/drawingml/2006/picture">
                <pic:pic>
                  <pic:nvPicPr>
                    <pic:cNvPr id="30"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0"/>
          <w:sz w:val="12"/>
        </w:rPr>
        <w:t>11</w:t>
      </w:r>
    </w:p>
    <w:p>
      <w:pPr>
        <w:spacing w:before="107"/>
        <w:ind w:left="0" w:right="38" w:firstLine="0"/>
        <w:jc w:val="right"/>
        <w:rPr>
          <w:sz w:val="12"/>
        </w:rPr>
      </w:pPr>
      <w:r>
        <w:rPr/>
        <w:drawing>
          <wp:anchor distT="0" distB="0" distL="0" distR="0" allowOverlap="1" layoutInCell="1" locked="0" behindDoc="0" simplePos="0" relativeHeight="15758848">
            <wp:simplePos x="0" y="0"/>
            <wp:positionH relativeFrom="page">
              <wp:posOffset>554558</wp:posOffset>
            </wp:positionH>
            <wp:positionV relativeFrom="paragraph">
              <wp:posOffset>99967</wp:posOffset>
            </wp:positionV>
            <wp:extent cx="55041" cy="6350"/>
            <wp:effectExtent l="0" t="0" r="0" b="0"/>
            <wp:wrapNone/>
            <wp:docPr id="31" name="image8.png"/>
            <wp:cNvGraphicFramePr>
              <a:graphicFrameLocks noChangeAspect="1"/>
            </wp:cNvGraphicFramePr>
            <a:graphic>
              <a:graphicData uri="http://schemas.openxmlformats.org/drawingml/2006/picture">
                <pic:pic>
                  <pic:nvPicPr>
                    <pic:cNvPr id="32"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66016">
            <wp:simplePos x="0" y="0"/>
            <wp:positionH relativeFrom="page">
              <wp:posOffset>2602407</wp:posOffset>
            </wp:positionH>
            <wp:positionV relativeFrom="paragraph">
              <wp:posOffset>105034</wp:posOffset>
            </wp:positionV>
            <wp:extent cx="55041" cy="6350"/>
            <wp:effectExtent l="0" t="0" r="0" b="0"/>
            <wp:wrapNone/>
            <wp:docPr id="33" name="image8.png"/>
            <wp:cNvGraphicFramePr>
              <a:graphicFrameLocks noChangeAspect="1"/>
            </wp:cNvGraphicFramePr>
            <a:graphic>
              <a:graphicData uri="http://schemas.openxmlformats.org/drawingml/2006/picture">
                <pic:pic>
                  <pic:nvPicPr>
                    <pic:cNvPr id="34"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0"/>
          <w:sz w:val="12"/>
        </w:rPr>
        <w:t>10</w:t>
      </w:r>
    </w:p>
    <w:p>
      <w:pPr>
        <w:spacing w:before="92"/>
        <w:ind w:left="0" w:right="38" w:firstLine="0"/>
        <w:jc w:val="right"/>
        <w:rPr>
          <w:sz w:val="12"/>
        </w:rPr>
      </w:pPr>
      <w:r>
        <w:rPr/>
        <w:drawing>
          <wp:anchor distT="0" distB="0" distL="0" distR="0" allowOverlap="1" layoutInCell="1" locked="0" behindDoc="0" simplePos="0" relativeHeight="15759360">
            <wp:simplePos x="0" y="0"/>
            <wp:positionH relativeFrom="page">
              <wp:posOffset>554558</wp:posOffset>
            </wp:positionH>
            <wp:positionV relativeFrom="paragraph">
              <wp:posOffset>96663</wp:posOffset>
            </wp:positionV>
            <wp:extent cx="55041" cy="6350"/>
            <wp:effectExtent l="0" t="0" r="0" b="0"/>
            <wp:wrapNone/>
            <wp:docPr id="35" name="image8.png"/>
            <wp:cNvGraphicFramePr>
              <a:graphicFrameLocks noChangeAspect="1"/>
            </wp:cNvGraphicFramePr>
            <a:graphic>
              <a:graphicData uri="http://schemas.openxmlformats.org/drawingml/2006/picture">
                <pic:pic>
                  <pic:nvPicPr>
                    <pic:cNvPr id="36"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66528">
            <wp:simplePos x="0" y="0"/>
            <wp:positionH relativeFrom="page">
              <wp:posOffset>2602407</wp:posOffset>
            </wp:positionH>
            <wp:positionV relativeFrom="paragraph">
              <wp:posOffset>101743</wp:posOffset>
            </wp:positionV>
            <wp:extent cx="55041" cy="6350"/>
            <wp:effectExtent l="0" t="0" r="0" b="0"/>
            <wp:wrapNone/>
            <wp:docPr id="37" name="image8.png"/>
            <wp:cNvGraphicFramePr>
              <a:graphicFrameLocks noChangeAspect="1"/>
            </wp:cNvGraphicFramePr>
            <a:graphic>
              <a:graphicData uri="http://schemas.openxmlformats.org/drawingml/2006/picture">
                <pic:pic>
                  <pic:nvPicPr>
                    <pic:cNvPr id="38"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9</w:t>
      </w:r>
    </w:p>
    <w:p>
      <w:pPr>
        <w:spacing w:before="107"/>
        <w:ind w:left="0" w:right="38" w:firstLine="0"/>
        <w:jc w:val="right"/>
        <w:rPr>
          <w:sz w:val="12"/>
        </w:rPr>
      </w:pPr>
      <w:r>
        <w:rPr/>
        <w:drawing>
          <wp:anchor distT="0" distB="0" distL="0" distR="0" allowOverlap="1" layoutInCell="1" locked="0" behindDoc="0" simplePos="0" relativeHeight="15763968">
            <wp:simplePos x="0" y="0"/>
            <wp:positionH relativeFrom="page">
              <wp:posOffset>554558</wp:posOffset>
            </wp:positionH>
            <wp:positionV relativeFrom="paragraph">
              <wp:posOffset>102884</wp:posOffset>
            </wp:positionV>
            <wp:extent cx="55041" cy="6350"/>
            <wp:effectExtent l="0" t="0" r="0" b="0"/>
            <wp:wrapNone/>
            <wp:docPr id="39" name="image8.png"/>
            <wp:cNvGraphicFramePr>
              <a:graphicFrameLocks noChangeAspect="1"/>
            </wp:cNvGraphicFramePr>
            <a:graphic>
              <a:graphicData uri="http://schemas.openxmlformats.org/drawingml/2006/picture">
                <pic:pic>
                  <pic:nvPicPr>
                    <pic:cNvPr id="40"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71136">
            <wp:simplePos x="0" y="0"/>
            <wp:positionH relativeFrom="page">
              <wp:posOffset>2602407</wp:posOffset>
            </wp:positionH>
            <wp:positionV relativeFrom="paragraph">
              <wp:posOffset>107951</wp:posOffset>
            </wp:positionV>
            <wp:extent cx="55041" cy="6350"/>
            <wp:effectExtent l="0" t="0" r="0" b="0"/>
            <wp:wrapNone/>
            <wp:docPr id="41" name="image8.png"/>
            <wp:cNvGraphicFramePr>
              <a:graphicFrameLocks noChangeAspect="1"/>
            </wp:cNvGraphicFramePr>
            <a:graphic>
              <a:graphicData uri="http://schemas.openxmlformats.org/drawingml/2006/picture">
                <pic:pic>
                  <pic:nvPicPr>
                    <pic:cNvPr id="42"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8</w:t>
      </w:r>
    </w:p>
    <w:p>
      <w:pPr>
        <w:spacing w:before="107"/>
        <w:ind w:left="0" w:right="38" w:firstLine="0"/>
        <w:jc w:val="right"/>
        <w:rPr>
          <w:sz w:val="12"/>
        </w:rPr>
      </w:pPr>
      <w:r>
        <w:rPr/>
        <w:drawing>
          <wp:anchor distT="0" distB="0" distL="0" distR="0" allowOverlap="1" layoutInCell="1" locked="0" behindDoc="0" simplePos="0" relativeHeight="15759872">
            <wp:simplePos x="0" y="0"/>
            <wp:positionH relativeFrom="page">
              <wp:posOffset>554558</wp:posOffset>
            </wp:positionH>
            <wp:positionV relativeFrom="paragraph">
              <wp:posOffset>99567</wp:posOffset>
            </wp:positionV>
            <wp:extent cx="55041" cy="6350"/>
            <wp:effectExtent l="0" t="0" r="0" b="0"/>
            <wp:wrapNone/>
            <wp:docPr id="43" name="image8.png"/>
            <wp:cNvGraphicFramePr>
              <a:graphicFrameLocks noChangeAspect="1"/>
            </wp:cNvGraphicFramePr>
            <a:graphic>
              <a:graphicData uri="http://schemas.openxmlformats.org/drawingml/2006/picture">
                <pic:pic>
                  <pic:nvPicPr>
                    <pic:cNvPr id="44"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67040">
            <wp:simplePos x="0" y="0"/>
            <wp:positionH relativeFrom="page">
              <wp:posOffset>2602407</wp:posOffset>
            </wp:positionH>
            <wp:positionV relativeFrom="paragraph">
              <wp:posOffset>104634</wp:posOffset>
            </wp:positionV>
            <wp:extent cx="55041" cy="6350"/>
            <wp:effectExtent l="0" t="0" r="0" b="0"/>
            <wp:wrapNone/>
            <wp:docPr id="45" name="image8.png"/>
            <wp:cNvGraphicFramePr>
              <a:graphicFrameLocks noChangeAspect="1"/>
            </wp:cNvGraphicFramePr>
            <a:graphic>
              <a:graphicData uri="http://schemas.openxmlformats.org/drawingml/2006/picture">
                <pic:pic>
                  <pic:nvPicPr>
                    <pic:cNvPr id="46"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7</w:t>
      </w:r>
    </w:p>
    <w:p>
      <w:pPr>
        <w:spacing w:before="107"/>
        <w:ind w:left="0" w:right="38" w:firstLine="0"/>
        <w:jc w:val="right"/>
        <w:rPr>
          <w:sz w:val="12"/>
        </w:rPr>
      </w:pPr>
      <w:r>
        <w:rPr/>
        <w:drawing>
          <wp:anchor distT="0" distB="0" distL="0" distR="0" allowOverlap="1" layoutInCell="1" locked="0" behindDoc="0" simplePos="0" relativeHeight="15764480">
            <wp:simplePos x="0" y="0"/>
            <wp:positionH relativeFrom="page">
              <wp:posOffset>554558</wp:posOffset>
            </wp:positionH>
            <wp:positionV relativeFrom="paragraph">
              <wp:posOffset>96250</wp:posOffset>
            </wp:positionV>
            <wp:extent cx="55041" cy="6350"/>
            <wp:effectExtent l="0" t="0" r="0" b="0"/>
            <wp:wrapNone/>
            <wp:docPr id="47" name="image8.png"/>
            <wp:cNvGraphicFramePr>
              <a:graphicFrameLocks noChangeAspect="1"/>
            </wp:cNvGraphicFramePr>
            <a:graphic>
              <a:graphicData uri="http://schemas.openxmlformats.org/drawingml/2006/picture">
                <pic:pic>
                  <pic:nvPicPr>
                    <pic:cNvPr id="48"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71648">
            <wp:simplePos x="0" y="0"/>
            <wp:positionH relativeFrom="page">
              <wp:posOffset>2602407</wp:posOffset>
            </wp:positionH>
            <wp:positionV relativeFrom="paragraph">
              <wp:posOffset>101317</wp:posOffset>
            </wp:positionV>
            <wp:extent cx="55041" cy="6350"/>
            <wp:effectExtent l="0" t="0" r="0" b="0"/>
            <wp:wrapNone/>
            <wp:docPr id="49" name="image8.png"/>
            <wp:cNvGraphicFramePr>
              <a:graphicFrameLocks noChangeAspect="1"/>
            </wp:cNvGraphicFramePr>
            <a:graphic>
              <a:graphicData uri="http://schemas.openxmlformats.org/drawingml/2006/picture">
                <pic:pic>
                  <pic:nvPicPr>
                    <pic:cNvPr id="50"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6</w:t>
      </w:r>
    </w:p>
    <w:p>
      <w:pPr>
        <w:spacing w:before="92"/>
        <w:ind w:left="0" w:right="38" w:firstLine="0"/>
        <w:jc w:val="right"/>
        <w:rPr>
          <w:sz w:val="12"/>
        </w:rPr>
      </w:pPr>
      <w:r>
        <w:rPr/>
        <w:drawing>
          <wp:anchor distT="0" distB="0" distL="0" distR="0" allowOverlap="1" layoutInCell="1" locked="0" behindDoc="0" simplePos="0" relativeHeight="15760384">
            <wp:simplePos x="0" y="0"/>
            <wp:positionH relativeFrom="page">
              <wp:posOffset>554558</wp:posOffset>
            </wp:positionH>
            <wp:positionV relativeFrom="paragraph">
              <wp:posOffset>92932</wp:posOffset>
            </wp:positionV>
            <wp:extent cx="55041" cy="6350"/>
            <wp:effectExtent l="0" t="0" r="0" b="0"/>
            <wp:wrapNone/>
            <wp:docPr id="51" name="image8.png"/>
            <wp:cNvGraphicFramePr>
              <a:graphicFrameLocks noChangeAspect="1"/>
            </wp:cNvGraphicFramePr>
            <a:graphic>
              <a:graphicData uri="http://schemas.openxmlformats.org/drawingml/2006/picture">
                <pic:pic>
                  <pic:nvPicPr>
                    <pic:cNvPr id="52"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67552">
            <wp:simplePos x="0" y="0"/>
            <wp:positionH relativeFrom="page">
              <wp:posOffset>2602407</wp:posOffset>
            </wp:positionH>
            <wp:positionV relativeFrom="paragraph">
              <wp:posOffset>98012</wp:posOffset>
            </wp:positionV>
            <wp:extent cx="55041" cy="6350"/>
            <wp:effectExtent l="0" t="0" r="0" b="0"/>
            <wp:wrapNone/>
            <wp:docPr id="53" name="image8.png"/>
            <wp:cNvGraphicFramePr>
              <a:graphicFrameLocks noChangeAspect="1"/>
            </wp:cNvGraphicFramePr>
            <a:graphic>
              <a:graphicData uri="http://schemas.openxmlformats.org/drawingml/2006/picture">
                <pic:pic>
                  <pic:nvPicPr>
                    <pic:cNvPr id="54"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5</w:t>
      </w:r>
    </w:p>
    <w:p>
      <w:pPr>
        <w:spacing w:before="107"/>
        <w:ind w:left="0" w:right="38" w:firstLine="0"/>
        <w:jc w:val="right"/>
        <w:rPr>
          <w:sz w:val="12"/>
        </w:rPr>
      </w:pPr>
      <w:r>
        <w:rPr/>
        <w:drawing>
          <wp:anchor distT="0" distB="0" distL="0" distR="0" allowOverlap="1" layoutInCell="1" locked="0" behindDoc="0" simplePos="0" relativeHeight="15760896">
            <wp:simplePos x="0" y="0"/>
            <wp:positionH relativeFrom="page">
              <wp:posOffset>554558</wp:posOffset>
            </wp:positionH>
            <wp:positionV relativeFrom="paragraph">
              <wp:posOffset>99140</wp:posOffset>
            </wp:positionV>
            <wp:extent cx="55041" cy="6350"/>
            <wp:effectExtent l="0" t="0" r="0" b="0"/>
            <wp:wrapNone/>
            <wp:docPr id="55" name="image8.png"/>
            <wp:cNvGraphicFramePr>
              <a:graphicFrameLocks noChangeAspect="1"/>
            </wp:cNvGraphicFramePr>
            <a:graphic>
              <a:graphicData uri="http://schemas.openxmlformats.org/drawingml/2006/picture">
                <pic:pic>
                  <pic:nvPicPr>
                    <pic:cNvPr id="56"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68064">
            <wp:simplePos x="0" y="0"/>
            <wp:positionH relativeFrom="page">
              <wp:posOffset>2602407</wp:posOffset>
            </wp:positionH>
            <wp:positionV relativeFrom="paragraph">
              <wp:posOffset>104220</wp:posOffset>
            </wp:positionV>
            <wp:extent cx="55041" cy="6350"/>
            <wp:effectExtent l="0" t="0" r="0" b="0"/>
            <wp:wrapNone/>
            <wp:docPr id="57" name="image8.png"/>
            <wp:cNvGraphicFramePr>
              <a:graphicFrameLocks noChangeAspect="1"/>
            </wp:cNvGraphicFramePr>
            <a:graphic>
              <a:graphicData uri="http://schemas.openxmlformats.org/drawingml/2006/picture">
                <pic:pic>
                  <pic:nvPicPr>
                    <pic:cNvPr id="58"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4</w:t>
      </w:r>
    </w:p>
    <w:p>
      <w:pPr>
        <w:spacing w:before="107"/>
        <w:ind w:left="0" w:right="38" w:firstLine="0"/>
        <w:jc w:val="right"/>
        <w:rPr>
          <w:sz w:val="12"/>
        </w:rPr>
      </w:pPr>
      <w:r>
        <w:rPr/>
        <w:drawing>
          <wp:anchor distT="0" distB="0" distL="0" distR="0" allowOverlap="1" layoutInCell="1" locked="0" behindDoc="0" simplePos="0" relativeHeight="15761408">
            <wp:simplePos x="0" y="0"/>
            <wp:positionH relativeFrom="page">
              <wp:posOffset>554558</wp:posOffset>
            </wp:positionH>
            <wp:positionV relativeFrom="paragraph">
              <wp:posOffset>95836</wp:posOffset>
            </wp:positionV>
            <wp:extent cx="55041" cy="6350"/>
            <wp:effectExtent l="0" t="0" r="0" b="0"/>
            <wp:wrapNone/>
            <wp:docPr id="59" name="image8.png"/>
            <wp:cNvGraphicFramePr>
              <a:graphicFrameLocks noChangeAspect="1"/>
            </wp:cNvGraphicFramePr>
            <a:graphic>
              <a:graphicData uri="http://schemas.openxmlformats.org/drawingml/2006/picture">
                <pic:pic>
                  <pic:nvPicPr>
                    <pic:cNvPr id="60"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68576">
            <wp:simplePos x="0" y="0"/>
            <wp:positionH relativeFrom="page">
              <wp:posOffset>2602407</wp:posOffset>
            </wp:positionH>
            <wp:positionV relativeFrom="paragraph">
              <wp:posOffset>100903</wp:posOffset>
            </wp:positionV>
            <wp:extent cx="55041" cy="6350"/>
            <wp:effectExtent l="0" t="0" r="0" b="0"/>
            <wp:wrapNone/>
            <wp:docPr id="61" name="image8.png"/>
            <wp:cNvGraphicFramePr>
              <a:graphicFrameLocks noChangeAspect="1"/>
            </wp:cNvGraphicFramePr>
            <a:graphic>
              <a:graphicData uri="http://schemas.openxmlformats.org/drawingml/2006/picture">
                <pic:pic>
                  <pic:nvPicPr>
                    <pic:cNvPr id="62"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3</w:t>
      </w:r>
    </w:p>
    <w:p>
      <w:pPr>
        <w:spacing w:line="122" w:lineRule="exact" w:before="107"/>
        <w:ind w:left="3688" w:right="0" w:firstLine="0"/>
        <w:jc w:val="left"/>
        <w:rPr>
          <w:sz w:val="12"/>
        </w:rPr>
      </w:pPr>
      <w:r>
        <w:rPr/>
        <w:drawing>
          <wp:anchor distT="0" distB="0" distL="0" distR="0" allowOverlap="1" layoutInCell="1" locked="0" behindDoc="0" simplePos="0" relativeHeight="15762432">
            <wp:simplePos x="0" y="0"/>
            <wp:positionH relativeFrom="page">
              <wp:posOffset>554558</wp:posOffset>
            </wp:positionH>
            <wp:positionV relativeFrom="paragraph">
              <wp:posOffset>92532</wp:posOffset>
            </wp:positionV>
            <wp:extent cx="55041" cy="6350"/>
            <wp:effectExtent l="0" t="0" r="0" b="0"/>
            <wp:wrapNone/>
            <wp:docPr id="63" name="image8.png"/>
            <wp:cNvGraphicFramePr>
              <a:graphicFrameLocks noChangeAspect="1"/>
            </wp:cNvGraphicFramePr>
            <a:graphic>
              <a:graphicData uri="http://schemas.openxmlformats.org/drawingml/2006/picture">
                <pic:pic>
                  <pic:nvPicPr>
                    <pic:cNvPr id="64"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69600">
            <wp:simplePos x="0" y="0"/>
            <wp:positionH relativeFrom="page">
              <wp:posOffset>2602407</wp:posOffset>
            </wp:positionH>
            <wp:positionV relativeFrom="paragraph">
              <wp:posOffset>97599</wp:posOffset>
            </wp:positionV>
            <wp:extent cx="55041" cy="6350"/>
            <wp:effectExtent l="0" t="0" r="0" b="0"/>
            <wp:wrapNone/>
            <wp:docPr id="65" name="image8.png"/>
            <wp:cNvGraphicFramePr>
              <a:graphicFrameLocks noChangeAspect="1"/>
            </wp:cNvGraphicFramePr>
            <a:graphic>
              <a:graphicData uri="http://schemas.openxmlformats.org/drawingml/2006/picture">
                <pic:pic>
                  <pic:nvPicPr>
                    <pic:cNvPr id="66"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2</w:t>
      </w:r>
    </w:p>
    <w:p>
      <w:pPr>
        <w:spacing w:line="115" w:lineRule="exact" w:before="0"/>
        <w:ind w:left="1161" w:right="0" w:firstLine="0"/>
        <w:jc w:val="left"/>
        <w:rPr>
          <w:sz w:val="12"/>
        </w:rPr>
      </w:pPr>
      <w:r>
        <w:rPr>
          <w:w w:val="110"/>
          <w:sz w:val="12"/>
        </w:rPr>
        <w:t>Notes and coin</w:t>
      </w:r>
    </w:p>
    <w:p>
      <w:pPr>
        <w:spacing w:line="131" w:lineRule="exact" w:before="0"/>
        <w:ind w:left="3688" w:right="0" w:firstLine="0"/>
        <w:jc w:val="left"/>
        <w:rPr>
          <w:sz w:val="12"/>
        </w:rPr>
      </w:pPr>
      <w:r>
        <w:rPr/>
        <w:drawing>
          <wp:anchor distT="0" distB="0" distL="0" distR="0" allowOverlap="1" layoutInCell="1" locked="0" behindDoc="0" simplePos="0" relativeHeight="15761920">
            <wp:simplePos x="0" y="0"/>
            <wp:positionH relativeFrom="page">
              <wp:posOffset>554558</wp:posOffset>
            </wp:positionH>
            <wp:positionV relativeFrom="paragraph">
              <wp:posOffset>26510</wp:posOffset>
            </wp:positionV>
            <wp:extent cx="55041" cy="6350"/>
            <wp:effectExtent l="0" t="0" r="0" b="0"/>
            <wp:wrapNone/>
            <wp:docPr id="67" name="image8.png"/>
            <wp:cNvGraphicFramePr>
              <a:graphicFrameLocks noChangeAspect="1"/>
            </wp:cNvGraphicFramePr>
            <a:graphic>
              <a:graphicData uri="http://schemas.openxmlformats.org/drawingml/2006/picture">
                <pic:pic>
                  <pic:nvPicPr>
                    <pic:cNvPr id="68"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69088">
            <wp:simplePos x="0" y="0"/>
            <wp:positionH relativeFrom="page">
              <wp:posOffset>2602407</wp:posOffset>
            </wp:positionH>
            <wp:positionV relativeFrom="paragraph">
              <wp:posOffset>31590</wp:posOffset>
            </wp:positionV>
            <wp:extent cx="55041" cy="6350"/>
            <wp:effectExtent l="0" t="0" r="0" b="0"/>
            <wp:wrapNone/>
            <wp:docPr id="69" name="image8.png"/>
            <wp:cNvGraphicFramePr>
              <a:graphicFrameLocks noChangeAspect="1"/>
            </wp:cNvGraphicFramePr>
            <a:graphic>
              <a:graphicData uri="http://schemas.openxmlformats.org/drawingml/2006/picture">
                <pic:pic>
                  <pic:nvPicPr>
                    <pic:cNvPr id="70"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1</w:t>
      </w:r>
    </w:p>
    <w:p>
      <w:pPr>
        <w:spacing w:line="122" w:lineRule="exact" w:before="107"/>
        <w:ind w:left="3688" w:right="0" w:firstLine="0"/>
        <w:jc w:val="left"/>
        <w:rPr>
          <w:sz w:val="12"/>
        </w:rPr>
      </w:pPr>
      <w:r>
        <w:rPr/>
        <w:drawing>
          <wp:anchor distT="0" distB="0" distL="0" distR="0" allowOverlap="1" layoutInCell="1" locked="0" behindDoc="0" simplePos="0" relativeHeight="15762944">
            <wp:simplePos x="0" y="0"/>
            <wp:positionH relativeFrom="page">
              <wp:posOffset>554558</wp:posOffset>
            </wp:positionH>
            <wp:positionV relativeFrom="paragraph">
              <wp:posOffset>100502</wp:posOffset>
            </wp:positionV>
            <wp:extent cx="55041" cy="6350"/>
            <wp:effectExtent l="0" t="0" r="0" b="0"/>
            <wp:wrapNone/>
            <wp:docPr id="71" name="image8.png"/>
            <wp:cNvGraphicFramePr>
              <a:graphicFrameLocks noChangeAspect="1"/>
            </wp:cNvGraphicFramePr>
            <a:graphic>
              <a:graphicData uri="http://schemas.openxmlformats.org/drawingml/2006/picture">
                <pic:pic>
                  <pic:nvPicPr>
                    <pic:cNvPr id="72"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764992">
            <wp:simplePos x="0" y="0"/>
            <wp:positionH relativeFrom="page">
              <wp:posOffset>669264</wp:posOffset>
            </wp:positionH>
            <wp:positionV relativeFrom="paragraph">
              <wp:posOffset>60319</wp:posOffset>
            </wp:positionV>
            <wp:extent cx="1838909" cy="46532"/>
            <wp:effectExtent l="0" t="0" r="0" b="0"/>
            <wp:wrapNone/>
            <wp:docPr id="73" name="image9.png"/>
            <wp:cNvGraphicFramePr>
              <a:graphicFrameLocks noChangeAspect="1"/>
            </wp:cNvGraphicFramePr>
            <a:graphic>
              <a:graphicData uri="http://schemas.openxmlformats.org/drawingml/2006/picture">
                <pic:pic>
                  <pic:nvPicPr>
                    <pic:cNvPr id="74" name="image9.png"/>
                    <pic:cNvPicPr/>
                  </pic:nvPicPr>
                  <pic:blipFill>
                    <a:blip r:embed="rId30" cstate="print"/>
                    <a:stretch>
                      <a:fillRect/>
                    </a:stretch>
                  </pic:blipFill>
                  <pic:spPr>
                    <a:xfrm>
                      <a:off x="0" y="0"/>
                      <a:ext cx="1838909" cy="46532"/>
                    </a:xfrm>
                    <a:prstGeom prst="rect">
                      <a:avLst/>
                    </a:prstGeom>
                  </pic:spPr>
                </pic:pic>
              </a:graphicData>
            </a:graphic>
          </wp:anchor>
        </w:drawing>
      </w:r>
      <w:r>
        <w:rPr/>
        <w:drawing>
          <wp:anchor distT="0" distB="0" distL="0" distR="0" allowOverlap="1" layoutInCell="1" locked="0" behindDoc="0" simplePos="0" relativeHeight="15770112">
            <wp:simplePos x="0" y="0"/>
            <wp:positionH relativeFrom="page">
              <wp:posOffset>2602407</wp:posOffset>
            </wp:positionH>
            <wp:positionV relativeFrom="paragraph">
              <wp:posOffset>100502</wp:posOffset>
            </wp:positionV>
            <wp:extent cx="55041" cy="6350"/>
            <wp:effectExtent l="0" t="0" r="0" b="0"/>
            <wp:wrapNone/>
            <wp:docPr id="75" name="image8.png"/>
            <wp:cNvGraphicFramePr>
              <a:graphicFrameLocks noChangeAspect="1"/>
            </wp:cNvGraphicFramePr>
            <a:graphic>
              <a:graphicData uri="http://schemas.openxmlformats.org/drawingml/2006/picture">
                <pic:pic>
                  <pic:nvPicPr>
                    <pic:cNvPr id="76"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0</w:t>
      </w:r>
    </w:p>
    <w:p>
      <w:pPr>
        <w:tabs>
          <w:tab w:pos="878" w:val="left" w:leader="none"/>
          <w:tab w:pos="1290" w:val="left" w:leader="none"/>
          <w:tab w:pos="1713" w:val="left" w:leader="none"/>
          <w:tab w:pos="2121" w:val="left" w:leader="none"/>
          <w:tab w:pos="2537" w:val="left" w:leader="none"/>
          <w:tab w:pos="2930" w:val="left" w:leader="none"/>
        </w:tabs>
        <w:spacing w:line="122" w:lineRule="exact" w:before="0"/>
        <w:ind w:left="339" w:right="0" w:firstLine="0"/>
        <w:jc w:val="left"/>
        <w:rPr>
          <w:sz w:val="12"/>
        </w:rPr>
      </w:pPr>
      <w:r>
        <w:rPr>
          <w:w w:val="120"/>
          <w:sz w:val="12"/>
        </w:rPr>
        <w:t>1987</w:t>
        <w:tab/>
        <w:t>89</w:t>
        <w:tab/>
        <w:t>91</w:t>
        <w:tab/>
        <w:t>93</w:t>
        <w:tab/>
        <w:t>95</w:t>
        <w:tab/>
        <w:t>97</w:t>
        <w:tab/>
        <w:t>99</w:t>
      </w:r>
      <w:r>
        <w:rPr>
          <w:spacing w:val="3"/>
          <w:w w:val="120"/>
          <w:sz w:val="12"/>
        </w:rPr>
        <w:t> </w:t>
      </w:r>
      <w:r>
        <w:rPr>
          <w:w w:val="120"/>
          <w:sz w:val="12"/>
        </w:rPr>
        <w:t>2001</w:t>
      </w:r>
    </w:p>
    <w:p>
      <w:pPr>
        <w:pStyle w:val="BodyText"/>
        <w:spacing w:before="3"/>
        <w:rPr>
          <w:sz w:val="10"/>
        </w:rPr>
      </w:pPr>
    </w:p>
    <w:p>
      <w:pPr>
        <w:spacing w:before="1"/>
        <w:ind w:left="194" w:right="0" w:firstLine="0"/>
        <w:jc w:val="left"/>
        <w:rPr>
          <w:sz w:val="12"/>
        </w:rPr>
      </w:pPr>
      <w:r>
        <w:rPr>
          <w:w w:val="105"/>
          <w:sz w:val="12"/>
        </w:rPr>
        <w:t>Sources: ONS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3"/>
        </w:rPr>
      </w:pPr>
    </w:p>
    <w:p>
      <w:pPr>
        <w:pStyle w:val="Heading6"/>
        <w:spacing w:before="1"/>
        <w:ind w:left="179"/>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1.2</w:t>
      </w:r>
    </w:p>
    <w:p>
      <w:pPr>
        <w:spacing w:line="247" w:lineRule="auto" w:before="7"/>
        <w:ind w:left="179" w:right="171" w:firstLine="0"/>
        <w:jc w:val="left"/>
        <w:rPr>
          <w:rFonts w:ascii="Trebuchet MS"/>
          <w:b/>
          <w:sz w:val="20"/>
        </w:rPr>
      </w:pPr>
      <w:r>
        <w:rPr>
          <w:rFonts w:ascii="Trebuchet MS"/>
          <w:b/>
          <w:color w:val="89C6DC"/>
          <w:w w:val="95"/>
          <w:sz w:val="20"/>
        </w:rPr>
        <w:t>Growth in M4, M4 excluding OFCs, and </w:t>
      </w:r>
      <w:r>
        <w:rPr>
          <w:rFonts w:ascii="Trebuchet MS"/>
          <w:b/>
          <w:color w:val="89C6DC"/>
          <w:sz w:val="20"/>
        </w:rPr>
        <w:t>nominal GDP</w:t>
      </w:r>
    </w:p>
    <w:p>
      <w:pPr>
        <w:spacing w:line="117" w:lineRule="exact" w:before="84"/>
        <w:ind w:left="1479" w:right="0" w:firstLine="0"/>
        <w:jc w:val="left"/>
        <w:rPr>
          <w:sz w:val="12"/>
        </w:rPr>
      </w:pPr>
      <w:r>
        <w:rPr>
          <w:w w:val="110"/>
          <w:sz w:val="12"/>
        </w:rPr>
        <w:t>Percentage changes on a year earli</w:t>
      </w:r>
      <w:r>
        <w:rPr>
          <w:w w:val="110"/>
          <w:sz w:val="12"/>
          <w:u w:val="single"/>
        </w:rPr>
        <w:t>er</w:t>
      </w:r>
    </w:p>
    <w:p>
      <w:pPr>
        <w:spacing w:line="117" w:lineRule="exact" w:before="0"/>
        <w:ind w:left="3394" w:right="0" w:firstLine="0"/>
        <w:jc w:val="left"/>
        <w:rPr>
          <w:sz w:val="12"/>
        </w:rPr>
      </w:pPr>
      <w:r>
        <w:rPr/>
        <w:drawing>
          <wp:anchor distT="0" distB="0" distL="0" distR="0" allowOverlap="1" layoutInCell="1" locked="0" behindDoc="0" simplePos="0" relativeHeight="15755776">
            <wp:simplePos x="0" y="0"/>
            <wp:positionH relativeFrom="page">
              <wp:posOffset>518731</wp:posOffset>
            </wp:positionH>
            <wp:positionV relativeFrom="paragraph">
              <wp:posOffset>24685</wp:posOffset>
            </wp:positionV>
            <wp:extent cx="55029" cy="6350"/>
            <wp:effectExtent l="0" t="0" r="0" b="0"/>
            <wp:wrapNone/>
            <wp:docPr id="77" name="image10.png"/>
            <wp:cNvGraphicFramePr>
              <a:graphicFrameLocks noChangeAspect="1"/>
            </wp:cNvGraphicFramePr>
            <a:graphic>
              <a:graphicData uri="http://schemas.openxmlformats.org/drawingml/2006/picture">
                <pic:pic>
                  <pic:nvPicPr>
                    <pic:cNvPr id="78" name="image10.png"/>
                    <pic:cNvPicPr/>
                  </pic:nvPicPr>
                  <pic:blipFill>
                    <a:blip r:embed="rId31" cstate="print"/>
                    <a:stretch>
                      <a:fillRect/>
                    </a:stretch>
                  </pic:blipFill>
                  <pic:spPr>
                    <a:xfrm>
                      <a:off x="0" y="0"/>
                      <a:ext cx="55029" cy="6350"/>
                    </a:xfrm>
                    <a:prstGeom prst="rect">
                      <a:avLst/>
                    </a:prstGeom>
                  </pic:spPr>
                </pic:pic>
              </a:graphicData>
            </a:graphic>
          </wp:anchor>
        </w:drawing>
      </w:r>
      <w:r>
        <w:rPr>
          <w:w w:val="120"/>
          <w:sz w:val="12"/>
        </w:rPr>
        <w:t>20</w:t>
      </w:r>
    </w:p>
    <w:p>
      <w:pPr>
        <w:pStyle w:val="BodyText"/>
        <w:spacing w:before="1"/>
        <w:rPr>
          <w:sz w:val="13"/>
        </w:rPr>
      </w:pPr>
    </w:p>
    <w:p>
      <w:pPr>
        <w:spacing w:before="0"/>
        <w:ind w:left="0" w:right="259" w:firstLine="0"/>
        <w:jc w:val="right"/>
        <w:rPr>
          <w:sz w:val="12"/>
        </w:rPr>
      </w:pPr>
      <w:r>
        <w:rPr/>
        <w:pict>
          <v:group style="position:absolute;margin-left:48.720001pt;margin-top:2.922499pt;width:151.85pt;height:108.9pt;mso-position-horizontal-relative:page;mso-position-vertical-relative:paragraph;z-index:-23579648" coordorigin="974,58" coordsize="3037,2178">
            <v:shape style="position:absolute;left:974;top:58;width:3037;height:2178" type="#_x0000_t75" stroked="false">
              <v:imagedata r:id="rId32" o:title=""/>
            </v:shape>
            <v:shape style="position:absolute;left:1719;top:164;width:1032;height:121" type="#_x0000_t202" filled="false" stroked="false">
              <v:textbox inset="0,0,0,0">
                <w:txbxContent>
                  <w:p>
                    <w:pPr>
                      <w:spacing w:line="116" w:lineRule="exact" w:before="0"/>
                      <w:ind w:left="0" w:right="0" w:firstLine="0"/>
                      <w:jc w:val="left"/>
                      <w:rPr>
                        <w:sz w:val="12"/>
                      </w:rPr>
                    </w:pPr>
                    <w:r>
                      <w:rPr>
                        <w:w w:val="105"/>
                        <w:sz w:val="12"/>
                      </w:rPr>
                      <w:t>M4 excluding OFCs</w:t>
                    </w:r>
                  </w:p>
                </w:txbxContent>
              </v:textbox>
              <w10:wrap type="none"/>
            </v:shape>
            <v:shape style="position:absolute;left:3156;top:869;width:195;height:121" type="#_x0000_t202" filled="false" stroked="false">
              <v:textbox inset="0,0,0,0">
                <w:txbxContent>
                  <w:p>
                    <w:pPr>
                      <w:spacing w:line="116" w:lineRule="exact" w:before="0"/>
                      <w:ind w:left="0" w:right="0" w:firstLine="0"/>
                      <w:jc w:val="left"/>
                      <w:rPr>
                        <w:sz w:val="12"/>
                      </w:rPr>
                    </w:pPr>
                    <w:r>
                      <w:rPr>
                        <w:w w:val="105"/>
                        <w:sz w:val="12"/>
                      </w:rPr>
                      <w:t>M4</w:t>
                    </w:r>
                  </w:p>
                </w:txbxContent>
              </v:textbox>
              <w10:wrap type="none"/>
            </v:shape>
            <w10:wrap type="none"/>
          </v:group>
        </w:pict>
      </w:r>
      <w:r>
        <w:rPr/>
        <w:drawing>
          <wp:anchor distT="0" distB="0" distL="0" distR="0" allowOverlap="1" layoutInCell="1" locked="0" behindDoc="0" simplePos="0" relativeHeight="15750656">
            <wp:simplePos x="0" y="0"/>
            <wp:positionH relativeFrom="page">
              <wp:posOffset>518731</wp:posOffset>
            </wp:positionH>
            <wp:positionV relativeFrom="paragraph">
              <wp:posOffset>37839</wp:posOffset>
            </wp:positionV>
            <wp:extent cx="55029" cy="6350"/>
            <wp:effectExtent l="0" t="0" r="0" b="0"/>
            <wp:wrapNone/>
            <wp:docPr id="79" name="image12.png"/>
            <wp:cNvGraphicFramePr>
              <a:graphicFrameLocks noChangeAspect="1"/>
            </wp:cNvGraphicFramePr>
            <a:graphic>
              <a:graphicData uri="http://schemas.openxmlformats.org/drawingml/2006/picture">
                <pic:pic>
                  <pic:nvPicPr>
                    <pic:cNvPr id="80" name="image12.png"/>
                    <pic:cNvPicPr/>
                  </pic:nvPicPr>
                  <pic:blipFill>
                    <a:blip r:embed="rId33" cstate="print"/>
                    <a:stretch>
                      <a:fillRect/>
                    </a:stretch>
                  </pic:blipFill>
                  <pic:spPr>
                    <a:xfrm>
                      <a:off x="0" y="0"/>
                      <a:ext cx="55029" cy="6350"/>
                    </a:xfrm>
                    <a:prstGeom prst="rect">
                      <a:avLst/>
                    </a:prstGeom>
                  </pic:spPr>
                </pic:pic>
              </a:graphicData>
            </a:graphic>
          </wp:anchor>
        </w:drawing>
      </w:r>
      <w:r>
        <w:rPr>
          <w:w w:val="120"/>
          <w:sz w:val="12"/>
        </w:rPr>
        <w:t>18</w:t>
      </w:r>
    </w:p>
    <w:p>
      <w:pPr>
        <w:pStyle w:val="BodyText"/>
        <w:spacing w:before="2"/>
        <w:rPr>
          <w:sz w:val="13"/>
        </w:rPr>
      </w:pPr>
    </w:p>
    <w:p>
      <w:pPr>
        <w:spacing w:before="0"/>
        <w:ind w:left="0" w:right="259" w:firstLine="0"/>
        <w:jc w:val="right"/>
        <w:rPr>
          <w:sz w:val="12"/>
        </w:rPr>
      </w:pPr>
      <w:r>
        <w:rPr/>
        <w:drawing>
          <wp:anchor distT="0" distB="0" distL="0" distR="0" allowOverlap="1" layoutInCell="1" locked="0" behindDoc="0" simplePos="0" relativeHeight="15751168">
            <wp:simplePos x="0" y="0"/>
            <wp:positionH relativeFrom="page">
              <wp:posOffset>518731</wp:posOffset>
            </wp:positionH>
            <wp:positionV relativeFrom="paragraph">
              <wp:posOffset>37880</wp:posOffset>
            </wp:positionV>
            <wp:extent cx="55029" cy="6350"/>
            <wp:effectExtent l="0" t="0" r="0" b="0"/>
            <wp:wrapNone/>
            <wp:docPr id="81" name="image10.png"/>
            <wp:cNvGraphicFramePr>
              <a:graphicFrameLocks noChangeAspect="1"/>
            </wp:cNvGraphicFramePr>
            <a:graphic>
              <a:graphicData uri="http://schemas.openxmlformats.org/drawingml/2006/picture">
                <pic:pic>
                  <pic:nvPicPr>
                    <pic:cNvPr id="82" name="image10.png"/>
                    <pic:cNvPicPr/>
                  </pic:nvPicPr>
                  <pic:blipFill>
                    <a:blip r:embed="rId31" cstate="print"/>
                    <a:stretch>
                      <a:fillRect/>
                    </a:stretch>
                  </pic:blipFill>
                  <pic:spPr>
                    <a:xfrm>
                      <a:off x="0" y="0"/>
                      <a:ext cx="55029" cy="6350"/>
                    </a:xfrm>
                    <a:prstGeom prst="rect">
                      <a:avLst/>
                    </a:prstGeom>
                  </pic:spPr>
                </pic:pic>
              </a:graphicData>
            </a:graphic>
          </wp:anchor>
        </w:drawing>
      </w:r>
      <w:r>
        <w:rPr>
          <w:w w:val="120"/>
          <w:sz w:val="12"/>
        </w:rPr>
        <w:t>16</w:t>
      </w:r>
    </w:p>
    <w:p>
      <w:pPr>
        <w:pStyle w:val="BodyText"/>
        <w:spacing w:before="1"/>
        <w:rPr>
          <w:sz w:val="13"/>
        </w:rPr>
      </w:pPr>
    </w:p>
    <w:p>
      <w:pPr>
        <w:spacing w:before="0"/>
        <w:ind w:left="0" w:right="259" w:firstLine="0"/>
        <w:jc w:val="right"/>
        <w:rPr>
          <w:sz w:val="12"/>
        </w:rPr>
      </w:pPr>
      <w:r>
        <w:rPr/>
        <w:drawing>
          <wp:anchor distT="0" distB="0" distL="0" distR="0" allowOverlap="1" layoutInCell="1" locked="0" behindDoc="0" simplePos="0" relativeHeight="15751680">
            <wp:simplePos x="0" y="0"/>
            <wp:positionH relativeFrom="page">
              <wp:posOffset>518731</wp:posOffset>
            </wp:positionH>
            <wp:positionV relativeFrom="paragraph">
              <wp:posOffset>37933</wp:posOffset>
            </wp:positionV>
            <wp:extent cx="55029" cy="6350"/>
            <wp:effectExtent l="0" t="0" r="0" b="0"/>
            <wp:wrapNone/>
            <wp:docPr id="83" name="image12.png"/>
            <wp:cNvGraphicFramePr>
              <a:graphicFrameLocks noChangeAspect="1"/>
            </wp:cNvGraphicFramePr>
            <a:graphic>
              <a:graphicData uri="http://schemas.openxmlformats.org/drawingml/2006/picture">
                <pic:pic>
                  <pic:nvPicPr>
                    <pic:cNvPr id="84" name="image12.png"/>
                    <pic:cNvPicPr/>
                  </pic:nvPicPr>
                  <pic:blipFill>
                    <a:blip r:embed="rId33" cstate="print"/>
                    <a:stretch>
                      <a:fillRect/>
                    </a:stretch>
                  </pic:blipFill>
                  <pic:spPr>
                    <a:xfrm>
                      <a:off x="0" y="0"/>
                      <a:ext cx="55029" cy="6350"/>
                    </a:xfrm>
                    <a:prstGeom prst="rect">
                      <a:avLst/>
                    </a:prstGeom>
                  </pic:spPr>
                </pic:pic>
              </a:graphicData>
            </a:graphic>
          </wp:anchor>
        </w:drawing>
      </w:r>
      <w:r>
        <w:rPr>
          <w:w w:val="120"/>
          <w:sz w:val="12"/>
        </w:rPr>
        <w:t>14</w:t>
      </w:r>
    </w:p>
    <w:p>
      <w:pPr>
        <w:pStyle w:val="BodyText"/>
        <w:spacing w:before="2"/>
        <w:rPr>
          <w:sz w:val="13"/>
        </w:rPr>
      </w:pPr>
    </w:p>
    <w:p>
      <w:pPr>
        <w:spacing w:before="0"/>
        <w:ind w:left="0" w:right="259" w:firstLine="0"/>
        <w:jc w:val="right"/>
        <w:rPr>
          <w:sz w:val="12"/>
        </w:rPr>
      </w:pPr>
      <w:r>
        <w:rPr/>
        <w:drawing>
          <wp:anchor distT="0" distB="0" distL="0" distR="0" allowOverlap="1" layoutInCell="1" locked="0" behindDoc="0" simplePos="0" relativeHeight="15752192">
            <wp:simplePos x="0" y="0"/>
            <wp:positionH relativeFrom="page">
              <wp:posOffset>518731</wp:posOffset>
            </wp:positionH>
            <wp:positionV relativeFrom="paragraph">
              <wp:posOffset>37974</wp:posOffset>
            </wp:positionV>
            <wp:extent cx="55029" cy="6350"/>
            <wp:effectExtent l="0" t="0" r="0" b="0"/>
            <wp:wrapNone/>
            <wp:docPr id="85" name="image10.png"/>
            <wp:cNvGraphicFramePr>
              <a:graphicFrameLocks noChangeAspect="1"/>
            </wp:cNvGraphicFramePr>
            <a:graphic>
              <a:graphicData uri="http://schemas.openxmlformats.org/drawingml/2006/picture">
                <pic:pic>
                  <pic:nvPicPr>
                    <pic:cNvPr id="86" name="image10.png"/>
                    <pic:cNvPicPr/>
                  </pic:nvPicPr>
                  <pic:blipFill>
                    <a:blip r:embed="rId31" cstate="print"/>
                    <a:stretch>
                      <a:fillRect/>
                    </a:stretch>
                  </pic:blipFill>
                  <pic:spPr>
                    <a:xfrm>
                      <a:off x="0" y="0"/>
                      <a:ext cx="55029" cy="6350"/>
                    </a:xfrm>
                    <a:prstGeom prst="rect">
                      <a:avLst/>
                    </a:prstGeom>
                  </pic:spPr>
                </pic:pic>
              </a:graphicData>
            </a:graphic>
          </wp:anchor>
        </w:drawing>
      </w:r>
      <w:r>
        <w:rPr>
          <w:w w:val="120"/>
          <w:sz w:val="12"/>
        </w:rPr>
        <w:t>12</w:t>
      </w:r>
    </w:p>
    <w:p>
      <w:pPr>
        <w:pStyle w:val="BodyText"/>
        <w:spacing w:before="1"/>
        <w:rPr>
          <w:sz w:val="13"/>
        </w:rPr>
      </w:pPr>
    </w:p>
    <w:p>
      <w:pPr>
        <w:spacing w:before="0"/>
        <w:ind w:left="0" w:right="259" w:firstLine="0"/>
        <w:jc w:val="right"/>
        <w:rPr>
          <w:sz w:val="12"/>
        </w:rPr>
      </w:pPr>
      <w:r>
        <w:rPr/>
        <w:drawing>
          <wp:anchor distT="0" distB="0" distL="0" distR="0" allowOverlap="1" layoutInCell="1" locked="0" behindDoc="0" simplePos="0" relativeHeight="15752704">
            <wp:simplePos x="0" y="0"/>
            <wp:positionH relativeFrom="page">
              <wp:posOffset>518731</wp:posOffset>
            </wp:positionH>
            <wp:positionV relativeFrom="paragraph">
              <wp:posOffset>38014</wp:posOffset>
            </wp:positionV>
            <wp:extent cx="55029" cy="6350"/>
            <wp:effectExtent l="0" t="0" r="0" b="0"/>
            <wp:wrapNone/>
            <wp:docPr id="87" name="image12.png"/>
            <wp:cNvGraphicFramePr>
              <a:graphicFrameLocks noChangeAspect="1"/>
            </wp:cNvGraphicFramePr>
            <a:graphic>
              <a:graphicData uri="http://schemas.openxmlformats.org/drawingml/2006/picture">
                <pic:pic>
                  <pic:nvPicPr>
                    <pic:cNvPr id="88" name="image12.png"/>
                    <pic:cNvPicPr/>
                  </pic:nvPicPr>
                  <pic:blipFill>
                    <a:blip r:embed="rId33" cstate="print"/>
                    <a:stretch>
                      <a:fillRect/>
                    </a:stretch>
                  </pic:blipFill>
                  <pic:spPr>
                    <a:xfrm>
                      <a:off x="0" y="0"/>
                      <a:ext cx="55029" cy="6350"/>
                    </a:xfrm>
                    <a:prstGeom prst="rect">
                      <a:avLst/>
                    </a:prstGeom>
                  </pic:spPr>
                </pic:pic>
              </a:graphicData>
            </a:graphic>
          </wp:anchor>
        </w:drawing>
      </w:r>
      <w:r>
        <w:rPr>
          <w:w w:val="120"/>
          <w:sz w:val="12"/>
        </w:rPr>
        <w:t>10</w:t>
      </w:r>
    </w:p>
    <w:p>
      <w:pPr>
        <w:pStyle w:val="BodyText"/>
        <w:spacing w:before="2"/>
        <w:rPr>
          <w:sz w:val="13"/>
        </w:rPr>
      </w:pPr>
    </w:p>
    <w:p>
      <w:pPr>
        <w:spacing w:before="0"/>
        <w:ind w:left="0" w:right="259" w:firstLine="0"/>
        <w:jc w:val="right"/>
        <w:rPr>
          <w:sz w:val="12"/>
        </w:rPr>
      </w:pPr>
      <w:r>
        <w:rPr/>
        <w:drawing>
          <wp:anchor distT="0" distB="0" distL="0" distR="0" allowOverlap="1" layoutInCell="1" locked="0" behindDoc="0" simplePos="0" relativeHeight="15753216">
            <wp:simplePos x="0" y="0"/>
            <wp:positionH relativeFrom="page">
              <wp:posOffset>518731</wp:posOffset>
            </wp:positionH>
            <wp:positionV relativeFrom="paragraph">
              <wp:posOffset>38049</wp:posOffset>
            </wp:positionV>
            <wp:extent cx="55029" cy="6350"/>
            <wp:effectExtent l="0" t="0" r="0" b="0"/>
            <wp:wrapNone/>
            <wp:docPr id="89" name="image10.png"/>
            <wp:cNvGraphicFramePr>
              <a:graphicFrameLocks noChangeAspect="1"/>
            </wp:cNvGraphicFramePr>
            <a:graphic>
              <a:graphicData uri="http://schemas.openxmlformats.org/drawingml/2006/picture">
                <pic:pic>
                  <pic:nvPicPr>
                    <pic:cNvPr id="90" name="image10.png"/>
                    <pic:cNvPicPr/>
                  </pic:nvPicPr>
                  <pic:blipFill>
                    <a:blip r:embed="rId31" cstate="print"/>
                    <a:stretch>
                      <a:fillRect/>
                    </a:stretch>
                  </pic:blipFill>
                  <pic:spPr>
                    <a:xfrm>
                      <a:off x="0" y="0"/>
                      <a:ext cx="55029" cy="6350"/>
                    </a:xfrm>
                    <a:prstGeom prst="rect">
                      <a:avLst/>
                    </a:prstGeom>
                  </pic:spPr>
                </pic:pic>
              </a:graphicData>
            </a:graphic>
          </wp:anchor>
        </w:drawing>
      </w:r>
      <w:r>
        <w:rPr>
          <w:w w:val="121"/>
          <w:sz w:val="12"/>
        </w:rPr>
        <w:t>8</w:t>
      </w:r>
    </w:p>
    <w:p>
      <w:pPr>
        <w:pStyle w:val="BodyText"/>
        <w:spacing w:before="1"/>
        <w:rPr>
          <w:sz w:val="13"/>
        </w:rPr>
      </w:pPr>
    </w:p>
    <w:p>
      <w:pPr>
        <w:spacing w:before="0"/>
        <w:ind w:left="0" w:right="259" w:firstLine="0"/>
        <w:jc w:val="right"/>
        <w:rPr>
          <w:sz w:val="12"/>
        </w:rPr>
      </w:pPr>
      <w:r>
        <w:rPr/>
        <w:drawing>
          <wp:anchor distT="0" distB="0" distL="0" distR="0" allowOverlap="1" layoutInCell="1" locked="0" behindDoc="0" simplePos="0" relativeHeight="15753728">
            <wp:simplePos x="0" y="0"/>
            <wp:positionH relativeFrom="page">
              <wp:posOffset>518731</wp:posOffset>
            </wp:positionH>
            <wp:positionV relativeFrom="paragraph">
              <wp:posOffset>38110</wp:posOffset>
            </wp:positionV>
            <wp:extent cx="55029" cy="6350"/>
            <wp:effectExtent l="0" t="0" r="0" b="0"/>
            <wp:wrapNone/>
            <wp:docPr id="91" name="image12.png"/>
            <wp:cNvGraphicFramePr>
              <a:graphicFrameLocks noChangeAspect="1"/>
            </wp:cNvGraphicFramePr>
            <a:graphic>
              <a:graphicData uri="http://schemas.openxmlformats.org/drawingml/2006/picture">
                <pic:pic>
                  <pic:nvPicPr>
                    <pic:cNvPr id="92" name="image12.png"/>
                    <pic:cNvPicPr/>
                  </pic:nvPicPr>
                  <pic:blipFill>
                    <a:blip r:embed="rId33" cstate="print"/>
                    <a:stretch>
                      <a:fillRect/>
                    </a:stretch>
                  </pic:blipFill>
                  <pic:spPr>
                    <a:xfrm>
                      <a:off x="0" y="0"/>
                      <a:ext cx="55029" cy="6350"/>
                    </a:xfrm>
                    <a:prstGeom prst="rect">
                      <a:avLst/>
                    </a:prstGeom>
                  </pic:spPr>
                </pic:pic>
              </a:graphicData>
            </a:graphic>
          </wp:anchor>
        </w:drawing>
      </w:r>
      <w:r>
        <w:rPr>
          <w:w w:val="121"/>
          <w:sz w:val="12"/>
        </w:rPr>
        <w:t>6</w:t>
      </w:r>
    </w:p>
    <w:p>
      <w:pPr>
        <w:pStyle w:val="BodyText"/>
        <w:spacing w:before="2"/>
        <w:rPr>
          <w:sz w:val="13"/>
        </w:rPr>
      </w:pPr>
    </w:p>
    <w:p>
      <w:pPr>
        <w:spacing w:before="0"/>
        <w:ind w:left="0" w:right="259" w:firstLine="0"/>
        <w:jc w:val="right"/>
        <w:rPr>
          <w:sz w:val="12"/>
        </w:rPr>
      </w:pPr>
      <w:r>
        <w:rPr/>
        <w:drawing>
          <wp:anchor distT="0" distB="0" distL="0" distR="0" allowOverlap="1" layoutInCell="1" locked="0" behindDoc="0" simplePos="0" relativeHeight="15754752">
            <wp:simplePos x="0" y="0"/>
            <wp:positionH relativeFrom="page">
              <wp:posOffset>518731</wp:posOffset>
            </wp:positionH>
            <wp:positionV relativeFrom="paragraph">
              <wp:posOffset>38143</wp:posOffset>
            </wp:positionV>
            <wp:extent cx="55029" cy="6350"/>
            <wp:effectExtent l="0" t="0" r="0" b="0"/>
            <wp:wrapNone/>
            <wp:docPr id="93" name="image10.png"/>
            <wp:cNvGraphicFramePr>
              <a:graphicFrameLocks noChangeAspect="1"/>
            </wp:cNvGraphicFramePr>
            <a:graphic>
              <a:graphicData uri="http://schemas.openxmlformats.org/drawingml/2006/picture">
                <pic:pic>
                  <pic:nvPicPr>
                    <pic:cNvPr id="94" name="image10.png"/>
                    <pic:cNvPicPr/>
                  </pic:nvPicPr>
                  <pic:blipFill>
                    <a:blip r:embed="rId31" cstate="print"/>
                    <a:stretch>
                      <a:fillRect/>
                    </a:stretch>
                  </pic:blipFill>
                  <pic:spPr>
                    <a:xfrm>
                      <a:off x="0" y="0"/>
                      <a:ext cx="55029" cy="6350"/>
                    </a:xfrm>
                    <a:prstGeom prst="rect">
                      <a:avLst/>
                    </a:prstGeom>
                  </pic:spPr>
                </pic:pic>
              </a:graphicData>
            </a:graphic>
          </wp:anchor>
        </w:drawing>
      </w:r>
      <w:r>
        <w:rPr>
          <w:w w:val="121"/>
          <w:sz w:val="12"/>
        </w:rPr>
        <w:t>4</w:t>
      </w:r>
    </w:p>
    <w:p>
      <w:pPr>
        <w:spacing w:before="10"/>
        <w:ind w:left="521" w:right="0" w:firstLine="0"/>
        <w:jc w:val="left"/>
        <w:rPr>
          <w:sz w:val="12"/>
        </w:rPr>
      </w:pPr>
      <w:r>
        <w:rPr>
          <w:w w:val="105"/>
          <w:sz w:val="12"/>
        </w:rPr>
        <w:t>Nominal GDP</w:t>
      </w:r>
    </w:p>
    <w:p>
      <w:pPr>
        <w:spacing w:before="3"/>
        <w:ind w:left="0" w:right="259" w:firstLine="0"/>
        <w:jc w:val="right"/>
        <w:rPr>
          <w:sz w:val="12"/>
        </w:rPr>
      </w:pPr>
      <w:r>
        <w:rPr/>
        <w:drawing>
          <wp:anchor distT="0" distB="0" distL="0" distR="0" allowOverlap="1" layoutInCell="1" locked="0" behindDoc="0" simplePos="0" relativeHeight="15754240">
            <wp:simplePos x="0" y="0"/>
            <wp:positionH relativeFrom="page">
              <wp:posOffset>518731</wp:posOffset>
            </wp:positionH>
            <wp:positionV relativeFrom="paragraph">
              <wp:posOffset>40081</wp:posOffset>
            </wp:positionV>
            <wp:extent cx="55029" cy="6350"/>
            <wp:effectExtent l="0" t="0" r="0" b="0"/>
            <wp:wrapNone/>
            <wp:docPr id="95" name="image10.png"/>
            <wp:cNvGraphicFramePr>
              <a:graphicFrameLocks noChangeAspect="1"/>
            </wp:cNvGraphicFramePr>
            <a:graphic>
              <a:graphicData uri="http://schemas.openxmlformats.org/drawingml/2006/picture">
                <pic:pic>
                  <pic:nvPicPr>
                    <pic:cNvPr id="96" name="image10.png"/>
                    <pic:cNvPicPr/>
                  </pic:nvPicPr>
                  <pic:blipFill>
                    <a:blip r:embed="rId3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756288">
            <wp:simplePos x="0" y="0"/>
            <wp:positionH relativeFrom="page">
              <wp:posOffset>2491994</wp:posOffset>
            </wp:positionH>
            <wp:positionV relativeFrom="paragraph">
              <wp:posOffset>39357</wp:posOffset>
            </wp:positionV>
            <wp:extent cx="55029" cy="6350"/>
            <wp:effectExtent l="0" t="0" r="0" b="0"/>
            <wp:wrapNone/>
            <wp:docPr id="97" name="image13.png"/>
            <wp:cNvGraphicFramePr>
              <a:graphicFrameLocks noChangeAspect="1"/>
            </wp:cNvGraphicFramePr>
            <a:graphic>
              <a:graphicData uri="http://schemas.openxmlformats.org/drawingml/2006/picture">
                <pic:pic>
                  <pic:nvPicPr>
                    <pic:cNvPr id="98" name="image13.png"/>
                    <pic:cNvPicPr/>
                  </pic:nvPicPr>
                  <pic:blipFill>
                    <a:blip r:embed="rId34" cstate="print"/>
                    <a:stretch>
                      <a:fillRect/>
                    </a:stretch>
                  </pic:blipFill>
                  <pic:spPr>
                    <a:xfrm>
                      <a:off x="0" y="0"/>
                      <a:ext cx="55029" cy="6350"/>
                    </a:xfrm>
                    <a:prstGeom prst="rect">
                      <a:avLst/>
                    </a:prstGeom>
                  </pic:spPr>
                </pic:pic>
              </a:graphicData>
            </a:graphic>
          </wp:anchor>
        </w:drawing>
      </w:r>
      <w:r>
        <w:rPr>
          <w:w w:val="121"/>
          <w:sz w:val="12"/>
        </w:rPr>
        <w:t>2</w:t>
      </w:r>
    </w:p>
    <w:p>
      <w:pPr>
        <w:pStyle w:val="BodyText"/>
        <w:spacing w:before="1"/>
        <w:rPr>
          <w:sz w:val="13"/>
        </w:rPr>
      </w:pPr>
    </w:p>
    <w:p>
      <w:pPr>
        <w:spacing w:line="109" w:lineRule="exact" w:before="0"/>
        <w:ind w:left="3467" w:right="0" w:firstLine="0"/>
        <w:jc w:val="left"/>
        <w:rPr>
          <w:sz w:val="12"/>
        </w:rPr>
      </w:pPr>
      <w:r>
        <w:rPr/>
        <w:drawing>
          <wp:anchor distT="0" distB="0" distL="0" distR="0" allowOverlap="1" layoutInCell="1" locked="0" behindDoc="0" simplePos="0" relativeHeight="15755264">
            <wp:simplePos x="0" y="0"/>
            <wp:positionH relativeFrom="page">
              <wp:posOffset>518731</wp:posOffset>
            </wp:positionH>
            <wp:positionV relativeFrom="paragraph">
              <wp:posOffset>38209</wp:posOffset>
            </wp:positionV>
            <wp:extent cx="55029" cy="6350"/>
            <wp:effectExtent l="0" t="0" r="0" b="0"/>
            <wp:wrapNone/>
            <wp:docPr id="99" name="image10.png"/>
            <wp:cNvGraphicFramePr>
              <a:graphicFrameLocks noChangeAspect="1"/>
            </wp:cNvGraphicFramePr>
            <a:graphic>
              <a:graphicData uri="http://schemas.openxmlformats.org/drawingml/2006/picture">
                <pic:pic>
                  <pic:nvPicPr>
                    <pic:cNvPr id="100" name="image10.png"/>
                    <pic:cNvPicPr/>
                  </pic:nvPicPr>
                  <pic:blipFill>
                    <a:blip r:embed="rId3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622452</wp:posOffset>
            </wp:positionH>
            <wp:positionV relativeFrom="paragraph">
              <wp:posOffset>-1935</wp:posOffset>
            </wp:positionV>
            <wp:extent cx="1924570" cy="45770"/>
            <wp:effectExtent l="0" t="0" r="0" b="0"/>
            <wp:wrapNone/>
            <wp:docPr id="101" name="image14.png"/>
            <wp:cNvGraphicFramePr>
              <a:graphicFrameLocks noChangeAspect="1"/>
            </wp:cNvGraphicFramePr>
            <a:graphic>
              <a:graphicData uri="http://schemas.openxmlformats.org/drawingml/2006/picture">
                <pic:pic>
                  <pic:nvPicPr>
                    <pic:cNvPr id="102" name="image14.png"/>
                    <pic:cNvPicPr/>
                  </pic:nvPicPr>
                  <pic:blipFill>
                    <a:blip r:embed="rId35" cstate="print"/>
                    <a:stretch>
                      <a:fillRect/>
                    </a:stretch>
                  </pic:blipFill>
                  <pic:spPr>
                    <a:xfrm>
                      <a:off x="0" y="0"/>
                      <a:ext cx="1924570" cy="45770"/>
                    </a:xfrm>
                    <a:prstGeom prst="rect">
                      <a:avLst/>
                    </a:prstGeom>
                  </pic:spPr>
                </pic:pic>
              </a:graphicData>
            </a:graphic>
          </wp:anchor>
        </w:drawing>
      </w:r>
      <w:r>
        <w:rPr>
          <w:w w:val="121"/>
          <w:sz w:val="12"/>
        </w:rPr>
        <w:t>0</w:t>
      </w:r>
    </w:p>
    <w:p>
      <w:pPr>
        <w:tabs>
          <w:tab w:pos="891" w:val="left" w:leader="none"/>
          <w:tab w:pos="1384" w:val="left" w:leader="none"/>
          <w:tab w:pos="1874" w:val="left" w:leader="none"/>
          <w:tab w:pos="2351" w:val="left" w:leader="none"/>
          <w:tab w:pos="2841" w:val="left" w:leader="none"/>
        </w:tabs>
        <w:spacing w:line="109" w:lineRule="exact" w:before="0"/>
        <w:ind w:left="281" w:right="0" w:firstLine="0"/>
        <w:jc w:val="left"/>
        <w:rPr>
          <w:sz w:val="12"/>
        </w:rPr>
      </w:pPr>
      <w:r>
        <w:rPr>
          <w:w w:val="120"/>
          <w:sz w:val="12"/>
        </w:rPr>
        <w:t>1989</w:t>
        <w:tab/>
        <w:t>91</w:t>
        <w:tab/>
        <w:t>93</w:t>
        <w:tab/>
        <w:t>95</w:t>
        <w:tab/>
        <w:t>97</w:t>
        <w:tab/>
        <w:t>99</w:t>
      </w:r>
    </w:p>
    <w:p>
      <w:pPr>
        <w:spacing w:before="98"/>
        <w:ind w:left="174" w:right="0" w:firstLine="0"/>
        <w:jc w:val="left"/>
        <w:rPr>
          <w:sz w:val="12"/>
        </w:rPr>
      </w:pPr>
      <w:r>
        <w:rPr>
          <w:w w:val="105"/>
          <w:sz w:val="12"/>
        </w:rPr>
        <w:t>Sources: ONS and Bank of England.</w:t>
      </w:r>
    </w:p>
    <w:p>
      <w:pPr>
        <w:pStyle w:val="BodyText"/>
        <w:rPr>
          <w:sz w:val="12"/>
        </w:rPr>
      </w:pPr>
    </w:p>
    <w:p>
      <w:pPr>
        <w:pStyle w:val="BodyText"/>
        <w:rPr>
          <w:sz w:val="12"/>
        </w:rPr>
      </w:pPr>
    </w:p>
    <w:p>
      <w:pPr>
        <w:pStyle w:val="BodyText"/>
        <w:rPr>
          <w:sz w:val="12"/>
        </w:rPr>
      </w:pPr>
    </w:p>
    <w:p>
      <w:pPr>
        <w:pStyle w:val="BodyText"/>
        <w:spacing w:before="2"/>
        <w:rPr>
          <w:sz w:val="14"/>
        </w:rPr>
      </w:pPr>
    </w:p>
    <w:p>
      <w:pPr>
        <w:pStyle w:val="Heading6"/>
        <w:ind w:left="181"/>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1.3</w:t>
      </w:r>
    </w:p>
    <w:p>
      <w:pPr>
        <w:spacing w:before="8"/>
        <w:ind w:left="181" w:right="0" w:firstLine="0"/>
        <w:jc w:val="left"/>
        <w:rPr>
          <w:rFonts w:ascii="Trebuchet MS"/>
          <w:b/>
          <w:sz w:val="20"/>
        </w:rPr>
      </w:pPr>
      <w:r>
        <w:rPr/>
        <w:pict>
          <v:group style="position:absolute;margin-left:49.715pt;margin-top:17.911478pt;width:161.950pt;height:136.15pt;mso-position-horizontal-relative:page;mso-position-vertical-relative:paragraph;z-index:-23583744" coordorigin="994,358" coordsize="3239,2723">
            <v:shape style="position:absolute;left:994;top:658;width:3040;height:2423" type="#_x0000_t75" stroked="false">
              <v:imagedata r:id="rId36" o:title=""/>
            </v:shape>
            <v:shape style="position:absolute;left:2141;top:358;width:1912;height:121" type="#_x0000_t202" filled="false" stroked="false">
              <v:textbox inset="0,0,0,0">
                <w:txbxContent>
                  <w:p>
                    <w:pPr>
                      <w:spacing w:line="116" w:lineRule="exact" w:before="0"/>
                      <w:ind w:left="0" w:right="0" w:firstLine="0"/>
                      <w:jc w:val="left"/>
                      <w:rPr>
                        <w:sz w:val="12"/>
                      </w:rPr>
                    </w:pPr>
                    <w:r>
                      <w:rPr>
                        <w:w w:val="110"/>
                        <w:sz w:val="12"/>
                      </w:rPr>
                      <w:t>Percentage</w:t>
                    </w:r>
                    <w:r>
                      <w:rPr>
                        <w:spacing w:val="-7"/>
                        <w:w w:val="110"/>
                        <w:sz w:val="12"/>
                      </w:rPr>
                      <w:t> </w:t>
                    </w:r>
                    <w:r>
                      <w:rPr>
                        <w:w w:val="110"/>
                        <w:sz w:val="12"/>
                      </w:rPr>
                      <w:t>changes</w:t>
                    </w:r>
                    <w:r>
                      <w:rPr>
                        <w:spacing w:val="-6"/>
                        <w:w w:val="110"/>
                        <w:sz w:val="12"/>
                      </w:rPr>
                      <w:t> </w:t>
                    </w:r>
                    <w:r>
                      <w:rPr>
                        <w:w w:val="110"/>
                        <w:sz w:val="12"/>
                      </w:rPr>
                      <w:t>on</w:t>
                    </w:r>
                    <w:r>
                      <w:rPr>
                        <w:spacing w:val="-6"/>
                        <w:w w:val="110"/>
                        <w:sz w:val="12"/>
                      </w:rPr>
                      <w:t> </w:t>
                    </w:r>
                    <w:r>
                      <w:rPr>
                        <w:w w:val="110"/>
                        <w:sz w:val="12"/>
                      </w:rPr>
                      <w:t>a</w:t>
                    </w:r>
                    <w:r>
                      <w:rPr>
                        <w:spacing w:val="-7"/>
                        <w:w w:val="110"/>
                        <w:sz w:val="12"/>
                      </w:rPr>
                      <w:t> </w:t>
                    </w:r>
                    <w:r>
                      <w:rPr>
                        <w:w w:val="110"/>
                        <w:sz w:val="12"/>
                      </w:rPr>
                      <w:t>year</w:t>
                    </w:r>
                    <w:r>
                      <w:rPr>
                        <w:spacing w:val="-6"/>
                        <w:w w:val="110"/>
                        <w:sz w:val="12"/>
                      </w:rPr>
                      <w:t> </w:t>
                    </w:r>
                    <w:r>
                      <w:rPr>
                        <w:w w:val="110"/>
                        <w:sz w:val="12"/>
                      </w:rPr>
                      <w:t>earlier</w:t>
                    </w:r>
                  </w:p>
                </w:txbxContent>
              </v:textbox>
              <w10:wrap type="none"/>
            </v:shape>
            <v:shape style="position:absolute;left:4067;top:473;width:166;height:121" type="#_x0000_t202" filled="false" stroked="false">
              <v:textbox inset="0,0,0,0">
                <w:txbxContent>
                  <w:p>
                    <w:pPr>
                      <w:spacing w:line="116" w:lineRule="exact" w:before="0"/>
                      <w:ind w:left="0" w:right="0" w:firstLine="0"/>
                      <w:jc w:val="left"/>
                      <w:rPr>
                        <w:sz w:val="12"/>
                      </w:rPr>
                    </w:pPr>
                    <w:r>
                      <w:rPr>
                        <w:w w:val="120"/>
                        <w:sz w:val="12"/>
                      </w:rPr>
                      <w:t>35</w:t>
                    </w:r>
                  </w:p>
                </w:txbxContent>
              </v:textbox>
              <w10:wrap type="none"/>
            </v:shape>
            <v:shape style="position:absolute;left:1236;top:815;width:1126;height:121" type="#_x0000_t202" filled="false" stroked="false">
              <v:textbox inset="0,0,0,0">
                <w:txbxContent>
                  <w:p>
                    <w:pPr>
                      <w:spacing w:line="116" w:lineRule="exact" w:before="0"/>
                      <w:ind w:left="0" w:right="0" w:firstLine="0"/>
                      <w:jc w:val="left"/>
                      <w:rPr>
                        <w:sz w:val="12"/>
                      </w:rPr>
                    </w:pPr>
                    <w:r>
                      <w:rPr>
                        <w:w w:val="110"/>
                        <w:sz w:val="12"/>
                      </w:rPr>
                      <w:t>M4</w:t>
                    </w:r>
                    <w:r>
                      <w:rPr>
                        <w:spacing w:val="-17"/>
                        <w:w w:val="110"/>
                        <w:sz w:val="12"/>
                      </w:rPr>
                      <w:t> </w:t>
                    </w:r>
                    <w:r>
                      <w:rPr>
                        <w:w w:val="110"/>
                        <w:sz w:val="12"/>
                      </w:rPr>
                      <w:t>lending</w:t>
                    </w:r>
                    <w:r>
                      <w:rPr>
                        <w:spacing w:val="-16"/>
                        <w:w w:val="110"/>
                        <w:sz w:val="12"/>
                      </w:rPr>
                      <w:t> </w:t>
                    </w:r>
                    <w:r>
                      <w:rPr>
                        <w:w w:val="110"/>
                        <w:sz w:val="12"/>
                      </w:rPr>
                      <w:t>to</w:t>
                    </w:r>
                    <w:r>
                      <w:rPr>
                        <w:spacing w:val="-16"/>
                        <w:w w:val="110"/>
                        <w:sz w:val="12"/>
                      </w:rPr>
                      <w:t> </w:t>
                    </w:r>
                    <w:r>
                      <w:rPr>
                        <w:w w:val="110"/>
                        <w:sz w:val="12"/>
                      </w:rPr>
                      <w:t>PNFCs</w:t>
                    </w:r>
                  </w:p>
                </w:txbxContent>
              </v:textbox>
              <w10:wrap type="none"/>
            </v:shape>
            <v:shape style="position:absolute;left:4067;top:793;width:166;height:441" type="#_x0000_t202" filled="false" stroked="false">
              <v:textbox inset="0,0,0,0">
                <w:txbxContent>
                  <w:p>
                    <w:pPr>
                      <w:spacing w:line="116" w:lineRule="exact" w:before="0"/>
                      <w:ind w:left="0" w:right="0" w:firstLine="0"/>
                      <w:jc w:val="left"/>
                      <w:rPr>
                        <w:sz w:val="12"/>
                      </w:rPr>
                    </w:pPr>
                    <w:r>
                      <w:rPr>
                        <w:w w:val="120"/>
                        <w:sz w:val="12"/>
                      </w:rPr>
                      <w:t>30</w:t>
                    </w:r>
                  </w:p>
                  <w:p>
                    <w:pPr>
                      <w:spacing w:line="240" w:lineRule="auto" w:before="9"/>
                      <w:rPr>
                        <w:sz w:val="15"/>
                      </w:rPr>
                    </w:pPr>
                  </w:p>
                  <w:p>
                    <w:pPr>
                      <w:spacing w:before="0"/>
                      <w:ind w:left="0" w:right="0" w:firstLine="0"/>
                      <w:jc w:val="left"/>
                      <w:rPr>
                        <w:sz w:val="12"/>
                      </w:rPr>
                    </w:pPr>
                    <w:r>
                      <w:rPr>
                        <w:w w:val="120"/>
                        <w:sz w:val="12"/>
                      </w:rPr>
                      <w:t>25</w:t>
                    </w:r>
                  </w:p>
                </w:txbxContent>
              </v:textbox>
              <w10:wrap type="none"/>
            </v:shape>
            <v:shape style="position:absolute;left:2854;top:1356;width:616;height:121" type="#_x0000_t202" filled="false" stroked="false">
              <v:textbox inset="0,0,0,0">
                <w:txbxContent>
                  <w:p>
                    <w:pPr>
                      <w:spacing w:line="116" w:lineRule="exact" w:before="0"/>
                      <w:ind w:left="0" w:right="0" w:firstLine="0"/>
                      <w:jc w:val="left"/>
                      <w:rPr>
                        <w:sz w:val="12"/>
                      </w:rPr>
                    </w:pPr>
                    <w:r>
                      <w:rPr>
                        <w:w w:val="105"/>
                        <w:sz w:val="12"/>
                      </w:rPr>
                      <w:t>M4 lending</w:t>
                    </w:r>
                  </w:p>
                </w:txbxContent>
              </v:textbox>
              <w10:wrap type="none"/>
            </v:shape>
            <v:shape style="position:absolute;left:4067;top:1432;width:166;height:441" type="#_x0000_t202" filled="false" stroked="false">
              <v:textbox inset="0,0,0,0">
                <w:txbxContent>
                  <w:p>
                    <w:pPr>
                      <w:spacing w:line="116" w:lineRule="exact" w:before="0"/>
                      <w:ind w:left="0" w:right="0" w:firstLine="0"/>
                      <w:jc w:val="left"/>
                      <w:rPr>
                        <w:sz w:val="12"/>
                      </w:rPr>
                    </w:pPr>
                    <w:r>
                      <w:rPr>
                        <w:w w:val="120"/>
                        <w:sz w:val="12"/>
                      </w:rPr>
                      <w:t>20</w:t>
                    </w:r>
                  </w:p>
                  <w:p>
                    <w:pPr>
                      <w:spacing w:line="240" w:lineRule="auto" w:before="9"/>
                      <w:rPr>
                        <w:sz w:val="15"/>
                      </w:rPr>
                    </w:pPr>
                  </w:p>
                  <w:p>
                    <w:pPr>
                      <w:spacing w:before="0"/>
                      <w:ind w:left="0" w:right="0" w:firstLine="0"/>
                      <w:jc w:val="left"/>
                      <w:rPr>
                        <w:sz w:val="12"/>
                      </w:rPr>
                    </w:pPr>
                    <w:r>
                      <w:rPr>
                        <w:w w:val="120"/>
                        <w:sz w:val="12"/>
                      </w:rPr>
                      <w:t>15</w:t>
                    </w:r>
                  </w:p>
                </w:txbxContent>
              </v:textbox>
              <w10:wrap type="none"/>
            </v:shape>
            <v:shape style="position:absolute;left:1672;top:2015;width:753;height:241" type="#_x0000_t202" filled="false" stroked="false">
              <v:textbox inset="0,0,0,0">
                <w:txbxContent>
                  <w:p>
                    <w:pPr>
                      <w:spacing w:line="208" w:lineRule="auto" w:before="0"/>
                      <w:ind w:left="60" w:right="-14" w:hanging="61"/>
                      <w:jc w:val="left"/>
                      <w:rPr>
                        <w:sz w:val="12"/>
                      </w:rPr>
                    </w:pPr>
                    <w:r>
                      <w:rPr>
                        <w:w w:val="110"/>
                        <w:sz w:val="12"/>
                      </w:rPr>
                      <w:t>M4 lending to households</w:t>
                    </w:r>
                  </w:p>
                </w:txbxContent>
              </v:textbox>
              <w10:wrap type="none"/>
            </v:shape>
            <v:shape style="position:absolute;left:4067;top:2072;width:166;height:121" type="#_x0000_t202" filled="false" stroked="false">
              <v:textbox inset="0,0,0,0">
                <w:txbxContent>
                  <w:p>
                    <w:pPr>
                      <w:spacing w:line="116" w:lineRule="exact" w:before="0"/>
                      <w:ind w:left="0" w:right="0" w:firstLine="0"/>
                      <w:jc w:val="left"/>
                      <w:rPr>
                        <w:sz w:val="12"/>
                      </w:rPr>
                    </w:pPr>
                    <w:r>
                      <w:rPr>
                        <w:w w:val="120"/>
                        <w:sz w:val="12"/>
                      </w:rPr>
                      <w:t>10</w:t>
                    </w:r>
                  </w:p>
                </w:txbxContent>
              </v:textbox>
              <w10:wrap type="none"/>
            </v:shape>
            <v:shape style="position:absolute;left:1010;top:2527;width:3144;height:414" type="#_x0000_t202" filled="false" stroked="false">
              <v:textbox inset="0,0,0,0">
                <w:txbxContent>
                  <w:p>
                    <w:pPr>
                      <w:tabs>
                        <w:tab w:pos="2873" w:val="left" w:leader="none"/>
                      </w:tabs>
                      <w:spacing w:line="178" w:lineRule="exact" w:before="0"/>
                      <w:ind w:left="0" w:right="18" w:firstLine="0"/>
                      <w:jc w:val="right"/>
                      <w:rPr>
                        <w:sz w:val="16"/>
                      </w:rPr>
                    </w:pPr>
                    <w:r>
                      <w:rPr>
                        <w:sz w:val="16"/>
                        <w:u w:val="single"/>
                      </w:rPr>
                      <w:t> </w:t>
                      <w:tab/>
                    </w:r>
                    <w:r>
                      <w:rPr>
                        <w:sz w:val="16"/>
                      </w:rPr>
                      <w:t> </w:t>
                    </w:r>
                    <w:r>
                      <w:rPr>
                        <w:spacing w:val="-17"/>
                        <w:sz w:val="16"/>
                      </w:rPr>
                      <w:t> </w:t>
                    </w:r>
                    <w:r>
                      <w:rPr>
                        <w:sz w:val="16"/>
                        <w:u w:val="single"/>
                      </w:rPr>
                      <w:t> </w:t>
                    </w:r>
                    <w:r>
                      <w:rPr>
                        <w:spacing w:val="6"/>
                        <w:sz w:val="16"/>
                        <w:u w:val="single"/>
                      </w:rPr>
                      <w:t> </w:t>
                    </w:r>
                    <w:r>
                      <w:rPr>
                        <w:spacing w:val="-14"/>
                        <w:w w:val="105"/>
                        <w:sz w:val="16"/>
                      </w:rPr>
                      <w:t>+</w:t>
                    </w:r>
                  </w:p>
                  <w:p>
                    <w:pPr>
                      <w:spacing w:before="46"/>
                      <w:ind w:left="0" w:right="19" w:firstLine="0"/>
                      <w:jc w:val="right"/>
                      <w:rPr>
                        <w:sz w:val="16"/>
                      </w:rPr>
                    </w:pPr>
                    <w:r>
                      <w:rPr>
                        <w:w w:val="117"/>
                        <w:sz w:val="16"/>
                      </w:rPr>
                      <w:t>–</w:t>
                    </w:r>
                  </w:p>
                </w:txbxContent>
              </v:textbox>
              <w10:wrap type="none"/>
            </v:shape>
            <w10:wrap type="none"/>
          </v:group>
        </w:pict>
      </w:r>
      <w:r>
        <w:rPr>
          <w:rFonts w:ascii="Trebuchet MS"/>
          <w:b/>
          <w:color w:val="89C6DC"/>
          <w:sz w:val="20"/>
        </w:rPr>
        <w:t>Growth in M4 lending</w:t>
      </w:r>
    </w:p>
    <w:p>
      <w:pPr>
        <w:pStyle w:val="BodyText"/>
        <w:spacing w:before="9"/>
        <w:rPr>
          <w:rFonts w:ascii="Trebuchet MS"/>
          <w:b/>
          <w:sz w:val="19"/>
        </w:rPr>
      </w:pPr>
      <w:r>
        <w:rPr/>
        <w:drawing>
          <wp:anchor distT="0" distB="0" distL="0" distR="0" allowOverlap="1" layoutInCell="1" locked="0" behindDoc="0" simplePos="0" relativeHeight="18">
            <wp:simplePos x="0" y="0"/>
            <wp:positionH relativeFrom="page">
              <wp:posOffset>528726</wp:posOffset>
            </wp:positionH>
            <wp:positionV relativeFrom="paragraph">
              <wp:posOffset>170691</wp:posOffset>
            </wp:positionV>
            <wp:extent cx="54478" cy="6286"/>
            <wp:effectExtent l="0" t="0" r="0" b="0"/>
            <wp:wrapTopAndBottom/>
            <wp:docPr id="103" name="image13.png"/>
            <wp:cNvGraphicFramePr>
              <a:graphicFrameLocks noChangeAspect="1"/>
            </wp:cNvGraphicFramePr>
            <a:graphic>
              <a:graphicData uri="http://schemas.openxmlformats.org/drawingml/2006/picture">
                <pic:pic>
                  <pic:nvPicPr>
                    <pic:cNvPr id="104"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9">
            <wp:simplePos x="0" y="0"/>
            <wp:positionH relativeFrom="page">
              <wp:posOffset>2506230</wp:posOffset>
            </wp:positionH>
            <wp:positionV relativeFrom="paragraph">
              <wp:posOffset>171288</wp:posOffset>
            </wp:positionV>
            <wp:extent cx="54466" cy="6286"/>
            <wp:effectExtent l="0" t="0" r="0" b="0"/>
            <wp:wrapTopAndBottom/>
            <wp:docPr id="105" name="image13.png"/>
            <wp:cNvGraphicFramePr>
              <a:graphicFrameLocks noChangeAspect="1"/>
            </wp:cNvGraphicFramePr>
            <a:graphic>
              <a:graphicData uri="http://schemas.openxmlformats.org/drawingml/2006/picture">
                <pic:pic>
                  <pic:nvPicPr>
                    <pic:cNvPr id="106" name="image13.png"/>
                    <pic:cNvPicPr/>
                  </pic:nvPicPr>
                  <pic:blipFill>
                    <a:blip r:embed="rId34" cstate="print"/>
                    <a:stretch>
                      <a:fillRect/>
                    </a:stretch>
                  </pic:blipFill>
                  <pic:spPr>
                    <a:xfrm>
                      <a:off x="0" y="0"/>
                      <a:ext cx="54466" cy="6286"/>
                    </a:xfrm>
                    <a:prstGeom prst="rect">
                      <a:avLst/>
                    </a:prstGeom>
                  </pic:spPr>
                </pic:pic>
              </a:graphicData>
            </a:graphic>
          </wp:anchor>
        </w:drawing>
      </w:r>
      <w:r>
        <w:rPr/>
        <w:drawing>
          <wp:anchor distT="0" distB="0" distL="0" distR="0" allowOverlap="1" layoutInCell="1" locked="0" behindDoc="0" simplePos="0" relativeHeight="20">
            <wp:simplePos x="0" y="0"/>
            <wp:positionH relativeFrom="page">
              <wp:posOffset>528726</wp:posOffset>
            </wp:positionH>
            <wp:positionV relativeFrom="paragraph">
              <wp:posOffset>373993</wp:posOffset>
            </wp:positionV>
            <wp:extent cx="55304" cy="6381"/>
            <wp:effectExtent l="0" t="0" r="0" b="0"/>
            <wp:wrapTopAndBottom/>
            <wp:docPr id="107" name="image8.png"/>
            <wp:cNvGraphicFramePr>
              <a:graphicFrameLocks noChangeAspect="1"/>
            </wp:cNvGraphicFramePr>
            <a:graphic>
              <a:graphicData uri="http://schemas.openxmlformats.org/drawingml/2006/picture">
                <pic:pic>
                  <pic:nvPicPr>
                    <pic:cNvPr id="108"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1">
            <wp:simplePos x="0" y="0"/>
            <wp:positionH relativeFrom="page">
              <wp:posOffset>528726</wp:posOffset>
            </wp:positionH>
            <wp:positionV relativeFrom="paragraph">
              <wp:posOffset>577307</wp:posOffset>
            </wp:positionV>
            <wp:extent cx="55304" cy="6381"/>
            <wp:effectExtent l="0" t="0" r="0" b="0"/>
            <wp:wrapTopAndBottom/>
            <wp:docPr id="109" name="image8.png"/>
            <wp:cNvGraphicFramePr>
              <a:graphicFrameLocks noChangeAspect="1"/>
            </wp:cNvGraphicFramePr>
            <a:graphic>
              <a:graphicData uri="http://schemas.openxmlformats.org/drawingml/2006/picture">
                <pic:pic>
                  <pic:nvPicPr>
                    <pic:cNvPr id="110"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2">
            <wp:simplePos x="0" y="0"/>
            <wp:positionH relativeFrom="page">
              <wp:posOffset>528726</wp:posOffset>
            </wp:positionH>
            <wp:positionV relativeFrom="paragraph">
              <wp:posOffset>780609</wp:posOffset>
            </wp:positionV>
            <wp:extent cx="54478" cy="6286"/>
            <wp:effectExtent l="0" t="0" r="0" b="0"/>
            <wp:wrapTopAndBottom/>
            <wp:docPr id="111" name="image13.png"/>
            <wp:cNvGraphicFramePr>
              <a:graphicFrameLocks noChangeAspect="1"/>
            </wp:cNvGraphicFramePr>
            <a:graphic>
              <a:graphicData uri="http://schemas.openxmlformats.org/drawingml/2006/picture">
                <pic:pic>
                  <pic:nvPicPr>
                    <pic:cNvPr id="112"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23">
            <wp:simplePos x="0" y="0"/>
            <wp:positionH relativeFrom="page">
              <wp:posOffset>528726</wp:posOffset>
            </wp:positionH>
            <wp:positionV relativeFrom="paragraph">
              <wp:posOffset>983910</wp:posOffset>
            </wp:positionV>
            <wp:extent cx="55304" cy="6381"/>
            <wp:effectExtent l="0" t="0" r="0" b="0"/>
            <wp:wrapTopAndBottom/>
            <wp:docPr id="113" name="image8.png"/>
            <wp:cNvGraphicFramePr>
              <a:graphicFrameLocks noChangeAspect="1"/>
            </wp:cNvGraphicFramePr>
            <a:graphic>
              <a:graphicData uri="http://schemas.openxmlformats.org/drawingml/2006/picture">
                <pic:pic>
                  <pic:nvPicPr>
                    <pic:cNvPr id="114"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4">
            <wp:simplePos x="0" y="0"/>
            <wp:positionH relativeFrom="page">
              <wp:posOffset>528726</wp:posOffset>
            </wp:positionH>
            <wp:positionV relativeFrom="paragraph">
              <wp:posOffset>1187212</wp:posOffset>
            </wp:positionV>
            <wp:extent cx="55304" cy="6381"/>
            <wp:effectExtent l="0" t="0" r="0" b="0"/>
            <wp:wrapTopAndBottom/>
            <wp:docPr id="115" name="image8.png"/>
            <wp:cNvGraphicFramePr>
              <a:graphicFrameLocks noChangeAspect="1"/>
            </wp:cNvGraphicFramePr>
            <a:graphic>
              <a:graphicData uri="http://schemas.openxmlformats.org/drawingml/2006/picture">
                <pic:pic>
                  <pic:nvPicPr>
                    <pic:cNvPr id="116" name="image8.png"/>
                    <pic:cNvPicPr/>
                  </pic:nvPicPr>
                  <pic:blipFill>
                    <a:blip r:embed="rId29" cstate="print"/>
                    <a:stretch>
                      <a:fillRect/>
                    </a:stretch>
                  </pic:blipFill>
                  <pic:spPr>
                    <a:xfrm>
                      <a:off x="0" y="0"/>
                      <a:ext cx="55304" cy="6381"/>
                    </a:xfrm>
                    <a:prstGeom prst="rect">
                      <a:avLst/>
                    </a:prstGeom>
                  </pic:spPr>
                </pic:pic>
              </a:graphicData>
            </a:graphic>
          </wp:anchor>
        </w:drawing>
      </w:r>
    </w:p>
    <w:p>
      <w:pPr>
        <w:pStyle w:val="BodyText"/>
        <w:spacing w:before="9"/>
        <w:rPr>
          <w:rFonts w:ascii="Trebuchet MS"/>
          <w:b/>
        </w:rPr>
      </w:pPr>
    </w:p>
    <w:p>
      <w:pPr>
        <w:pStyle w:val="BodyText"/>
        <w:spacing w:before="9"/>
        <w:rPr>
          <w:rFonts w:ascii="Trebuchet MS"/>
          <w:b/>
        </w:rPr>
      </w:pPr>
    </w:p>
    <w:p>
      <w:pPr>
        <w:pStyle w:val="BodyText"/>
        <w:spacing w:before="9"/>
        <w:rPr>
          <w:rFonts w:ascii="Trebuchet MS"/>
          <w:b/>
        </w:rPr>
      </w:pPr>
    </w:p>
    <w:p>
      <w:pPr>
        <w:pStyle w:val="BodyText"/>
        <w:spacing w:before="10"/>
        <w:rPr>
          <w:rFonts w:ascii="Trebuchet MS"/>
          <w:b/>
        </w:rPr>
      </w:pPr>
    </w:p>
    <w:p>
      <w:pPr>
        <w:pStyle w:val="BodyText"/>
        <w:spacing w:before="9"/>
        <w:rPr>
          <w:rFonts w:ascii="Trebuchet MS"/>
          <w:b/>
        </w:rPr>
      </w:pPr>
    </w:p>
    <w:p>
      <w:pPr>
        <w:pStyle w:val="BodyText"/>
        <w:rPr>
          <w:rFonts w:ascii="Trebuchet MS"/>
          <w:b/>
          <w:sz w:val="19"/>
        </w:rPr>
      </w:pPr>
    </w:p>
    <w:p>
      <w:pPr>
        <w:spacing w:before="0"/>
        <w:ind w:left="0" w:right="226" w:firstLine="0"/>
        <w:jc w:val="right"/>
        <w:rPr>
          <w:sz w:val="12"/>
        </w:rPr>
      </w:pPr>
      <w:r>
        <w:rPr/>
        <w:drawing>
          <wp:anchor distT="0" distB="0" distL="0" distR="0" allowOverlap="1" layoutInCell="1" locked="0" behindDoc="0" simplePos="0" relativeHeight="15746560">
            <wp:simplePos x="0" y="0"/>
            <wp:positionH relativeFrom="page">
              <wp:posOffset>528726</wp:posOffset>
            </wp:positionH>
            <wp:positionV relativeFrom="paragraph">
              <wp:posOffset>37911</wp:posOffset>
            </wp:positionV>
            <wp:extent cx="55029" cy="6350"/>
            <wp:effectExtent l="0" t="0" r="0" b="0"/>
            <wp:wrapNone/>
            <wp:docPr id="117" name="image13.png"/>
            <wp:cNvGraphicFramePr>
              <a:graphicFrameLocks noChangeAspect="1"/>
            </wp:cNvGraphicFramePr>
            <a:graphic>
              <a:graphicData uri="http://schemas.openxmlformats.org/drawingml/2006/picture">
                <pic:pic>
                  <pic:nvPicPr>
                    <pic:cNvPr id="118" name="image13.png"/>
                    <pic:cNvPicPr/>
                  </pic:nvPicPr>
                  <pic:blipFill>
                    <a:blip r:embed="rId34" cstate="print"/>
                    <a:stretch>
                      <a:fillRect/>
                    </a:stretch>
                  </pic:blipFill>
                  <pic:spPr>
                    <a:xfrm>
                      <a:off x="0" y="0"/>
                      <a:ext cx="55029" cy="6350"/>
                    </a:xfrm>
                    <a:prstGeom prst="rect">
                      <a:avLst/>
                    </a:prstGeom>
                  </pic:spPr>
                </pic:pic>
              </a:graphicData>
            </a:graphic>
          </wp:anchor>
        </w:drawing>
      </w:r>
      <w:r>
        <w:rPr>
          <w:w w:val="121"/>
          <w:sz w:val="12"/>
        </w:rPr>
        <w:t>5</w:t>
      </w:r>
    </w:p>
    <w:p>
      <w:pPr>
        <w:pStyle w:val="BodyText"/>
        <w:spacing w:before="10"/>
        <w:rPr>
          <w:sz w:val="15"/>
        </w:rPr>
      </w:pPr>
    </w:p>
    <w:p>
      <w:pPr>
        <w:spacing w:before="0"/>
        <w:ind w:left="0" w:right="226" w:firstLine="0"/>
        <w:jc w:val="right"/>
        <w:rPr>
          <w:sz w:val="12"/>
        </w:rPr>
      </w:pPr>
      <w:r>
        <w:rPr/>
        <w:drawing>
          <wp:anchor distT="0" distB="0" distL="0" distR="0" allowOverlap="1" layoutInCell="1" locked="0" behindDoc="0" simplePos="0" relativeHeight="15747584">
            <wp:simplePos x="0" y="0"/>
            <wp:positionH relativeFrom="page">
              <wp:posOffset>528726</wp:posOffset>
            </wp:positionH>
            <wp:positionV relativeFrom="paragraph">
              <wp:posOffset>38198</wp:posOffset>
            </wp:positionV>
            <wp:extent cx="55029" cy="6350"/>
            <wp:effectExtent l="0" t="0" r="0" b="0"/>
            <wp:wrapNone/>
            <wp:docPr id="119" name="image8.png"/>
            <wp:cNvGraphicFramePr>
              <a:graphicFrameLocks noChangeAspect="1"/>
            </wp:cNvGraphicFramePr>
            <a:graphic>
              <a:graphicData uri="http://schemas.openxmlformats.org/drawingml/2006/picture">
                <pic:pic>
                  <pic:nvPicPr>
                    <pic:cNvPr id="120"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21"/>
          <w:sz w:val="12"/>
        </w:rPr>
        <w:t>0</w:t>
      </w:r>
    </w:p>
    <w:p>
      <w:pPr>
        <w:pStyle w:val="BodyText"/>
        <w:spacing w:before="9"/>
        <w:rPr>
          <w:sz w:val="15"/>
        </w:rPr>
      </w:pPr>
    </w:p>
    <w:p>
      <w:pPr>
        <w:spacing w:before="0"/>
        <w:ind w:left="0" w:right="226" w:firstLine="0"/>
        <w:jc w:val="right"/>
        <w:rPr>
          <w:sz w:val="12"/>
        </w:rPr>
      </w:pPr>
      <w:r>
        <w:rPr/>
        <w:drawing>
          <wp:anchor distT="0" distB="0" distL="0" distR="0" allowOverlap="1" layoutInCell="1" locked="0" behindDoc="0" simplePos="0" relativeHeight="15747072">
            <wp:simplePos x="0" y="0"/>
            <wp:positionH relativeFrom="page">
              <wp:posOffset>528726</wp:posOffset>
            </wp:positionH>
            <wp:positionV relativeFrom="paragraph">
              <wp:posOffset>38473</wp:posOffset>
            </wp:positionV>
            <wp:extent cx="55029" cy="6350"/>
            <wp:effectExtent l="0" t="0" r="0" b="0"/>
            <wp:wrapNone/>
            <wp:docPr id="121" name="image8.png"/>
            <wp:cNvGraphicFramePr>
              <a:graphicFrameLocks noChangeAspect="1"/>
            </wp:cNvGraphicFramePr>
            <a:graphic>
              <a:graphicData uri="http://schemas.openxmlformats.org/drawingml/2006/picture">
                <pic:pic>
                  <pic:nvPicPr>
                    <pic:cNvPr id="122"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21"/>
          <w:sz w:val="12"/>
        </w:rPr>
        <w:t>5</w:t>
      </w:r>
    </w:p>
    <w:p>
      <w:pPr>
        <w:pStyle w:val="BodyText"/>
        <w:spacing w:before="9"/>
        <w:rPr>
          <w:sz w:val="15"/>
        </w:rPr>
      </w:pPr>
    </w:p>
    <w:p>
      <w:pPr>
        <w:spacing w:line="114" w:lineRule="exact" w:before="0"/>
        <w:ind w:left="3427" w:right="0" w:firstLine="0"/>
        <w:jc w:val="left"/>
        <w:rPr>
          <w:sz w:val="12"/>
        </w:rPr>
      </w:pPr>
      <w:r>
        <w:rPr/>
        <w:drawing>
          <wp:anchor distT="0" distB="0" distL="0" distR="0" allowOverlap="1" layoutInCell="1" locked="0" behindDoc="0" simplePos="0" relativeHeight="15748096">
            <wp:simplePos x="0" y="0"/>
            <wp:positionH relativeFrom="page">
              <wp:posOffset>528726</wp:posOffset>
            </wp:positionH>
            <wp:positionV relativeFrom="paragraph">
              <wp:posOffset>38746</wp:posOffset>
            </wp:positionV>
            <wp:extent cx="55029" cy="6350"/>
            <wp:effectExtent l="0" t="0" r="0" b="0"/>
            <wp:wrapNone/>
            <wp:docPr id="123" name="image8.png"/>
            <wp:cNvGraphicFramePr>
              <a:graphicFrameLocks noChangeAspect="1"/>
            </wp:cNvGraphicFramePr>
            <a:graphic>
              <a:graphicData uri="http://schemas.openxmlformats.org/drawingml/2006/picture">
                <pic:pic>
                  <pic:nvPicPr>
                    <pic:cNvPr id="124" name="image8.png"/>
                    <pic:cNvPicPr/>
                  </pic:nvPicPr>
                  <pic:blipFill>
                    <a:blip r:embed="rId29"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748608">
            <wp:simplePos x="0" y="0"/>
            <wp:positionH relativeFrom="page">
              <wp:posOffset>636663</wp:posOffset>
            </wp:positionH>
            <wp:positionV relativeFrom="paragraph">
              <wp:posOffset>-65</wp:posOffset>
            </wp:positionV>
            <wp:extent cx="1924583" cy="45758"/>
            <wp:effectExtent l="0" t="0" r="0" b="0"/>
            <wp:wrapNone/>
            <wp:docPr id="125" name="image16.png"/>
            <wp:cNvGraphicFramePr>
              <a:graphicFrameLocks noChangeAspect="1"/>
            </wp:cNvGraphicFramePr>
            <a:graphic>
              <a:graphicData uri="http://schemas.openxmlformats.org/drawingml/2006/picture">
                <pic:pic>
                  <pic:nvPicPr>
                    <pic:cNvPr id="126" name="image16.png"/>
                    <pic:cNvPicPr/>
                  </pic:nvPicPr>
                  <pic:blipFill>
                    <a:blip r:embed="rId37" cstate="print"/>
                    <a:stretch>
                      <a:fillRect/>
                    </a:stretch>
                  </pic:blipFill>
                  <pic:spPr>
                    <a:xfrm>
                      <a:off x="0" y="0"/>
                      <a:ext cx="1924583" cy="45758"/>
                    </a:xfrm>
                    <a:prstGeom prst="rect">
                      <a:avLst/>
                    </a:prstGeom>
                  </pic:spPr>
                </pic:pic>
              </a:graphicData>
            </a:graphic>
          </wp:anchor>
        </w:drawing>
      </w:r>
      <w:r>
        <w:rPr>
          <w:w w:val="120"/>
          <w:sz w:val="12"/>
        </w:rPr>
        <w:t>10</w:t>
      </w:r>
    </w:p>
    <w:p>
      <w:pPr>
        <w:tabs>
          <w:tab w:pos="925" w:val="left" w:leader="none"/>
          <w:tab w:pos="1412" w:val="left" w:leader="none"/>
          <w:tab w:pos="1912" w:val="left" w:leader="none"/>
          <w:tab w:pos="2400" w:val="left" w:leader="none"/>
          <w:tab w:pos="2890" w:val="left" w:leader="none"/>
        </w:tabs>
        <w:spacing w:line="114" w:lineRule="exact" w:before="0"/>
        <w:ind w:left="337" w:right="0" w:firstLine="0"/>
        <w:jc w:val="left"/>
        <w:rPr>
          <w:sz w:val="12"/>
        </w:rPr>
      </w:pPr>
      <w:r>
        <w:rPr>
          <w:w w:val="120"/>
          <w:sz w:val="12"/>
        </w:rPr>
        <w:t>1989</w:t>
        <w:tab/>
        <w:t>91</w:t>
        <w:tab/>
        <w:t>93</w:t>
        <w:tab/>
        <w:t>95</w:t>
        <w:tab/>
        <w:t>97</w:t>
        <w:tab/>
        <w:t>99</w:t>
      </w:r>
    </w:p>
    <w:p>
      <w:pPr>
        <w:pStyle w:val="BodyText"/>
        <w:rPr>
          <w:sz w:val="12"/>
        </w:rPr>
      </w:pPr>
    </w:p>
    <w:p>
      <w:pPr>
        <w:spacing w:before="78"/>
        <w:ind w:left="184" w:right="0" w:firstLine="0"/>
        <w:jc w:val="left"/>
        <w:rPr>
          <w:sz w:val="12"/>
        </w:rPr>
      </w:pPr>
      <w:r>
        <w:rPr>
          <w:w w:val="105"/>
          <w:sz w:val="12"/>
        </w:rPr>
        <w:t>Source: Bank of England.</w:t>
      </w:r>
    </w:p>
    <w:p>
      <w:pPr>
        <w:pStyle w:val="BodyText"/>
        <w:spacing w:before="6"/>
        <w:rPr>
          <w:sz w:val="21"/>
        </w:rPr>
      </w:pPr>
      <w:r>
        <w:rPr/>
        <w:br w:type="column"/>
      </w:r>
      <w:r>
        <w:rPr>
          <w:sz w:val="21"/>
        </w:rPr>
      </w:r>
    </w:p>
    <w:p>
      <w:pPr>
        <w:pStyle w:val="BodyText"/>
        <w:spacing w:line="292" w:lineRule="auto"/>
        <w:ind w:left="294" w:right="92"/>
      </w:pPr>
      <w:r>
        <w:rPr>
          <w:w w:val="110"/>
        </w:rPr>
        <w:t>and coin earn no </w:t>
      </w:r>
      <w:r>
        <w:rPr>
          <w:spacing w:val="-3"/>
          <w:w w:val="110"/>
        </w:rPr>
        <w:t>interest </w:t>
      </w:r>
      <w:r>
        <w:rPr>
          <w:w w:val="110"/>
        </w:rPr>
        <w:t>they are primarily held </w:t>
      </w:r>
      <w:r>
        <w:rPr>
          <w:spacing w:val="-3"/>
          <w:w w:val="110"/>
        </w:rPr>
        <w:t>by </w:t>
      </w:r>
      <w:r>
        <w:rPr>
          <w:w w:val="110"/>
        </w:rPr>
        <w:t>households for transaction purposes and so </w:t>
      </w:r>
      <w:r>
        <w:rPr>
          <w:spacing w:val="-3"/>
          <w:w w:val="110"/>
        </w:rPr>
        <w:t>may </w:t>
      </w:r>
      <w:r>
        <w:rPr>
          <w:w w:val="110"/>
        </w:rPr>
        <w:t>contain information about retail sales trends. </w:t>
      </w:r>
      <w:r>
        <w:rPr>
          <w:spacing w:val="-4"/>
          <w:w w:val="110"/>
        </w:rPr>
        <w:t>However, </w:t>
      </w:r>
      <w:r>
        <w:rPr>
          <w:spacing w:val="-3"/>
          <w:w w:val="110"/>
        </w:rPr>
        <w:t>notes </w:t>
      </w:r>
      <w:r>
        <w:rPr>
          <w:w w:val="110"/>
        </w:rPr>
        <w:t>and coin continue </w:t>
      </w:r>
      <w:r>
        <w:rPr>
          <w:spacing w:val="-4"/>
          <w:w w:val="110"/>
        </w:rPr>
        <w:t>to </w:t>
      </w:r>
      <w:r>
        <w:rPr>
          <w:spacing w:val="-3"/>
          <w:w w:val="110"/>
        </w:rPr>
        <w:t>grow </w:t>
      </w:r>
      <w:r>
        <w:rPr>
          <w:w w:val="110"/>
        </w:rPr>
        <w:t>more rapidly than retail sales values (see Chart 1.1). That decline in the </w:t>
      </w:r>
      <w:r>
        <w:rPr>
          <w:spacing w:val="-3"/>
          <w:w w:val="110"/>
        </w:rPr>
        <w:t>velocity </w:t>
      </w:r>
      <w:r>
        <w:rPr>
          <w:w w:val="110"/>
        </w:rPr>
        <w:t>of circulation of narrow money in recent </w:t>
      </w:r>
      <w:r>
        <w:rPr>
          <w:spacing w:val="-3"/>
          <w:w w:val="110"/>
        </w:rPr>
        <w:t>years may </w:t>
      </w:r>
      <w:r>
        <w:rPr>
          <w:w w:val="110"/>
        </w:rPr>
        <w:t>reflect the reduction in the opportunity cost of holding money brought about </w:t>
      </w:r>
      <w:r>
        <w:rPr>
          <w:spacing w:val="-3"/>
          <w:w w:val="110"/>
        </w:rPr>
        <w:t>by lower </w:t>
      </w:r>
      <w:r>
        <w:rPr>
          <w:w w:val="110"/>
        </w:rPr>
        <w:t>nominal </w:t>
      </w:r>
      <w:r>
        <w:rPr>
          <w:spacing w:val="-3"/>
          <w:w w:val="110"/>
        </w:rPr>
        <w:t>interest </w:t>
      </w:r>
      <w:r>
        <w:rPr>
          <w:spacing w:val="-4"/>
          <w:w w:val="110"/>
        </w:rPr>
        <w:t>rates </w:t>
      </w:r>
      <w:r>
        <w:rPr>
          <w:w w:val="110"/>
        </w:rPr>
        <w:t>and inflation. But robust underlying growth in </w:t>
      </w:r>
      <w:r>
        <w:rPr>
          <w:spacing w:val="-3"/>
          <w:w w:val="110"/>
        </w:rPr>
        <w:t>notes </w:t>
      </w:r>
      <w:r>
        <w:rPr>
          <w:w w:val="110"/>
        </w:rPr>
        <w:t>and coin is consistent with the recent rise in retail sales growth.</w:t>
      </w:r>
    </w:p>
    <w:p>
      <w:pPr>
        <w:pStyle w:val="BodyText"/>
        <w:spacing w:before="3"/>
      </w:pPr>
    </w:p>
    <w:p>
      <w:pPr>
        <w:pStyle w:val="Heading6"/>
        <w:ind w:left="174"/>
      </w:pPr>
      <w:r>
        <w:rPr>
          <w:color w:val="89C6DC"/>
        </w:rPr>
        <w:t>Broad money and credit</w:t>
      </w:r>
    </w:p>
    <w:p>
      <w:pPr>
        <w:pStyle w:val="BodyText"/>
        <w:rPr>
          <w:rFonts w:ascii="Trebuchet MS"/>
          <w:b/>
          <w:sz w:val="18"/>
        </w:rPr>
      </w:pPr>
    </w:p>
    <w:p>
      <w:pPr>
        <w:pStyle w:val="BodyText"/>
        <w:spacing w:line="292" w:lineRule="auto"/>
        <w:ind w:left="294" w:right="396"/>
      </w:pPr>
      <w:r>
        <w:rPr>
          <w:w w:val="110"/>
        </w:rPr>
        <w:t>Annual</w:t>
      </w:r>
      <w:r>
        <w:rPr>
          <w:spacing w:val="-19"/>
          <w:w w:val="110"/>
        </w:rPr>
        <w:t> </w:t>
      </w:r>
      <w:r>
        <w:rPr>
          <w:w w:val="110"/>
        </w:rPr>
        <w:t>growth</w:t>
      </w:r>
      <w:r>
        <w:rPr>
          <w:spacing w:val="-19"/>
          <w:w w:val="110"/>
        </w:rPr>
        <w:t> </w:t>
      </w:r>
      <w:r>
        <w:rPr>
          <w:w w:val="110"/>
        </w:rPr>
        <w:t>in</w:t>
      </w:r>
      <w:r>
        <w:rPr>
          <w:spacing w:val="-19"/>
          <w:w w:val="110"/>
        </w:rPr>
        <w:t> </w:t>
      </w:r>
      <w:r>
        <w:rPr>
          <w:w w:val="110"/>
        </w:rPr>
        <w:t>sterling</w:t>
      </w:r>
      <w:r>
        <w:rPr>
          <w:spacing w:val="-19"/>
          <w:w w:val="110"/>
        </w:rPr>
        <w:t> </w:t>
      </w:r>
      <w:r>
        <w:rPr>
          <w:w w:val="110"/>
        </w:rPr>
        <w:t>deposits</w:t>
      </w:r>
      <w:r>
        <w:rPr>
          <w:spacing w:val="-19"/>
          <w:w w:val="110"/>
        </w:rPr>
        <w:t> </w:t>
      </w:r>
      <w:r>
        <w:rPr>
          <w:w w:val="110"/>
        </w:rPr>
        <w:t>held</w:t>
      </w:r>
      <w:r>
        <w:rPr>
          <w:spacing w:val="-19"/>
          <w:w w:val="110"/>
        </w:rPr>
        <w:t> </w:t>
      </w:r>
      <w:r>
        <w:rPr>
          <w:spacing w:val="-3"/>
          <w:w w:val="110"/>
        </w:rPr>
        <w:t>by</w:t>
      </w:r>
      <w:r>
        <w:rPr>
          <w:spacing w:val="-19"/>
          <w:w w:val="110"/>
        </w:rPr>
        <w:t> </w:t>
      </w:r>
      <w:r>
        <w:rPr>
          <w:w w:val="110"/>
        </w:rPr>
        <w:t>the</w:t>
      </w:r>
      <w:r>
        <w:rPr>
          <w:spacing w:val="-19"/>
          <w:w w:val="110"/>
        </w:rPr>
        <w:t> </w:t>
      </w:r>
      <w:r>
        <w:rPr>
          <w:w w:val="110"/>
        </w:rPr>
        <w:t>UK</w:t>
      </w:r>
      <w:r>
        <w:rPr>
          <w:spacing w:val="-19"/>
          <w:w w:val="110"/>
        </w:rPr>
        <w:t> </w:t>
      </w:r>
      <w:r>
        <w:rPr>
          <w:spacing w:val="-3"/>
          <w:w w:val="110"/>
        </w:rPr>
        <w:t>private </w:t>
      </w:r>
      <w:r>
        <w:rPr>
          <w:w w:val="110"/>
        </w:rPr>
        <w:t>sector (M4) slowed </w:t>
      </w:r>
      <w:r>
        <w:rPr>
          <w:spacing w:val="-4"/>
          <w:w w:val="110"/>
        </w:rPr>
        <w:t>to </w:t>
      </w:r>
      <w:r>
        <w:rPr>
          <w:w w:val="110"/>
        </w:rPr>
        <w:t>8.0% in the fourth quarter (see </w:t>
      </w:r>
      <w:r>
        <w:rPr>
          <w:spacing w:val="-5"/>
          <w:w w:val="110"/>
        </w:rPr>
        <w:t>Table </w:t>
      </w:r>
      <w:r>
        <w:rPr>
          <w:w w:val="110"/>
        </w:rPr>
        <w:t>1.A). Deposits held </w:t>
      </w:r>
      <w:r>
        <w:rPr>
          <w:spacing w:val="-3"/>
          <w:w w:val="110"/>
        </w:rPr>
        <w:t>by </w:t>
      </w:r>
      <w:r>
        <w:rPr>
          <w:w w:val="110"/>
        </w:rPr>
        <w:t>other financial corporations (OFCs)</w:t>
      </w:r>
      <w:r>
        <w:rPr>
          <w:spacing w:val="-20"/>
          <w:w w:val="110"/>
        </w:rPr>
        <w:t> </w:t>
      </w:r>
      <w:r>
        <w:rPr>
          <w:w w:val="110"/>
        </w:rPr>
        <w:t>rose</w:t>
      </w:r>
      <w:r>
        <w:rPr>
          <w:spacing w:val="-19"/>
          <w:w w:val="110"/>
        </w:rPr>
        <w:t> </w:t>
      </w:r>
      <w:r>
        <w:rPr>
          <w:w w:val="110"/>
        </w:rPr>
        <w:t>less</w:t>
      </w:r>
      <w:r>
        <w:rPr>
          <w:spacing w:val="-20"/>
          <w:w w:val="110"/>
        </w:rPr>
        <w:t> </w:t>
      </w:r>
      <w:r>
        <w:rPr>
          <w:w w:val="110"/>
        </w:rPr>
        <w:t>rapidly</w:t>
      </w:r>
      <w:r>
        <w:rPr>
          <w:spacing w:val="-19"/>
          <w:w w:val="110"/>
        </w:rPr>
        <w:t> </w:t>
      </w:r>
      <w:r>
        <w:rPr>
          <w:w w:val="110"/>
        </w:rPr>
        <w:t>than</w:t>
      </w:r>
      <w:r>
        <w:rPr>
          <w:spacing w:val="-20"/>
          <w:w w:val="110"/>
        </w:rPr>
        <w:t> </w:t>
      </w:r>
      <w:r>
        <w:rPr>
          <w:w w:val="110"/>
        </w:rPr>
        <w:t>in</w:t>
      </w:r>
      <w:r>
        <w:rPr>
          <w:spacing w:val="-19"/>
          <w:w w:val="110"/>
        </w:rPr>
        <w:t> </w:t>
      </w:r>
      <w:r>
        <w:rPr>
          <w:w w:val="110"/>
        </w:rPr>
        <w:t>recent</w:t>
      </w:r>
      <w:r>
        <w:rPr>
          <w:spacing w:val="-20"/>
          <w:w w:val="110"/>
        </w:rPr>
        <w:t> </w:t>
      </w:r>
      <w:r>
        <w:rPr>
          <w:w w:val="110"/>
        </w:rPr>
        <w:t>quarters.</w:t>
      </w:r>
      <w:r>
        <w:rPr>
          <w:spacing w:val="17"/>
          <w:w w:val="110"/>
        </w:rPr>
        <w:t> </w:t>
      </w:r>
      <w:r>
        <w:rPr>
          <w:spacing w:val="-2"/>
          <w:w w:val="110"/>
        </w:rPr>
        <w:t>Growth</w:t>
      </w:r>
      <w:r>
        <w:rPr>
          <w:spacing w:val="-19"/>
          <w:w w:val="110"/>
        </w:rPr>
        <w:t> </w:t>
      </w:r>
      <w:r>
        <w:rPr>
          <w:w w:val="110"/>
        </w:rPr>
        <w:t>in</w:t>
      </w:r>
    </w:p>
    <w:p>
      <w:pPr>
        <w:pStyle w:val="BodyText"/>
        <w:spacing w:line="292" w:lineRule="auto"/>
        <w:ind w:left="294" w:right="92"/>
      </w:pPr>
      <w:r>
        <w:rPr>
          <w:w w:val="110"/>
        </w:rPr>
        <w:t>M4</w:t>
      </w:r>
      <w:r>
        <w:rPr>
          <w:spacing w:val="-24"/>
          <w:w w:val="110"/>
        </w:rPr>
        <w:t> </w:t>
      </w:r>
      <w:r>
        <w:rPr>
          <w:w w:val="110"/>
        </w:rPr>
        <w:t>excluding</w:t>
      </w:r>
      <w:r>
        <w:rPr>
          <w:spacing w:val="-23"/>
          <w:w w:val="110"/>
        </w:rPr>
        <w:t> </w:t>
      </w:r>
      <w:r>
        <w:rPr>
          <w:w w:val="110"/>
        </w:rPr>
        <w:t>OFCs,</w:t>
      </w:r>
      <w:r>
        <w:rPr>
          <w:spacing w:val="-23"/>
          <w:w w:val="110"/>
        </w:rPr>
        <w:t> </w:t>
      </w:r>
      <w:r>
        <w:rPr>
          <w:w w:val="110"/>
        </w:rPr>
        <w:t>which</w:t>
      </w:r>
      <w:r>
        <w:rPr>
          <w:spacing w:val="-24"/>
          <w:w w:val="110"/>
        </w:rPr>
        <w:t> </w:t>
      </w:r>
      <w:r>
        <w:rPr>
          <w:w w:val="110"/>
        </w:rPr>
        <w:t>tends</w:t>
      </w:r>
      <w:r>
        <w:rPr>
          <w:spacing w:val="-23"/>
          <w:w w:val="110"/>
        </w:rPr>
        <w:t> </w:t>
      </w:r>
      <w:r>
        <w:rPr>
          <w:spacing w:val="-4"/>
          <w:w w:val="110"/>
        </w:rPr>
        <w:t>to</w:t>
      </w:r>
      <w:r>
        <w:rPr>
          <w:spacing w:val="-23"/>
          <w:w w:val="110"/>
        </w:rPr>
        <w:t> </w:t>
      </w:r>
      <w:r>
        <w:rPr>
          <w:w w:val="110"/>
        </w:rPr>
        <w:t>be</w:t>
      </w:r>
      <w:r>
        <w:rPr>
          <w:spacing w:val="-23"/>
          <w:w w:val="110"/>
        </w:rPr>
        <w:t> </w:t>
      </w:r>
      <w:r>
        <w:rPr>
          <w:w w:val="110"/>
        </w:rPr>
        <w:t>more</w:t>
      </w:r>
      <w:r>
        <w:rPr>
          <w:spacing w:val="-24"/>
          <w:w w:val="110"/>
        </w:rPr>
        <w:t> </w:t>
      </w:r>
      <w:r>
        <w:rPr>
          <w:w w:val="110"/>
        </w:rPr>
        <w:t>closely</w:t>
      </w:r>
      <w:r>
        <w:rPr>
          <w:spacing w:val="-23"/>
          <w:w w:val="110"/>
        </w:rPr>
        <w:t> </w:t>
      </w:r>
      <w:r>
        <w:rPr>
          <w:spacing w:val="-3"/>
          <w:w w:val="110"/>
        </w:rPr>
        <w:t>related</w:t>
      </w:r>
      <w:r>
        <w:rPr>
          <w:spacing w:val="-23"/>
          <w:w w:val="110"/>
        </w:rPr>
        <w:t> </w:t>
      </w:r>
      <w:r>
        <w:rPr>
          <w:spacing w:val="-4"/>
          <w:w w:val="110"/>
        </w:rPr>
        <w:t>to </w:t>
      </w:r>
      <w:r>
        <w:rPr>
          <w:spacing w:val="-3"/>
          <w:w w:val="110"/>
        </w:rPr>
        <w:t>total </w:t>
      </w:r>
      <w:r>
        <w:rPr>
          <w:w w:val="110"/>
        </w:rPr>
        <w:t>spending on goods and services in the economy than aggregate</w:t>
      </w:r>
      <w:r>
        <w:rPr>
          <w:spacing w:val="-28"/>
          <w:w w:val="110"/>
        </w:rPr>
        <w:t> </w:t>
      </w:r>
      <w:r>
        <w:rPr>
          <w:w w:val="110"/>
        </w:rPr>
        <w:t>M4,</w:t>
      </w:r>
      <w:r>
        <w:rPr>
          <w:spacing w:val="-27"/>
          <w:w w:val="110"/>
        </w:rPr>
        <w:t> </w:t>
      </w:r>
      <w:r>
        <w:rPr>
          <w:w w:val="110"/>
        </w:rPr>
        <w:t>has</w:t>
      </w:r>
      <w:r>
        <w:rPr>
          <w:spacing w:val="-27"/>
          <w:w w:val="110"/>
        </w:rPr>
        <w:t> </w:t>
      </w:r>
      <w:r>
        <w:rPr>
          <w:w w:val="110"/>
        </w:rPr>
        <w:t>also</w:t>
      </w:r>
      <w:r>
        <w:rPr>
          <w:spacing w:val="-28"/>
          <w:w w:val="110"/>
        </w:rPr>
        <w:t> </w:t>
      </w:r>
      <w:r>
        <w:rPr>
          <w:w w:val="110"/>
        </w:rPr>
        <w:t>eased</w:t>
      </w:r>
      <w:r>
        <w:rPr>
          <w:spacing w:val="-27"/>
          <w:w w:val="110"/>
        </w:rPr>
        <w:t> </w:t>
      </w:r>
      <w:r>
        <w:rPr>
          <w:w w:val="110"/>
        </w:rPr>
        <w:t>back</w:t>
      </w:r>
      <w:r>
        <w:rPr>
          <w:spacing w:val="-27"/>
          <w:w w:val="110"/>
        </w:rPr>
        <w:t> </w:t>
      </w:r>
      <w:r>
        <w:rPr>
          <w:w w:val="110"/>
        </w:rPr>
        <w:t>somewhat</w:t>
      </w:r>
      <w:r>
        <w:rPr>
          <w:spacing w:val="-28"/>
          <w:w w:val="110"/>
        </w:rPr>
        <w:t> </w:t>
      </w:r>
      <w:r>
        <w:rPr>
          <w:w w:val="110"/>
        </w:rPr>
        <w:t>from</w:t>
      </w:r>
      <w:r>
        <w:rPr>
          <w:spacing w:val="-27"/>
          <w:w w:val="110"/>
        </w:rPr>
        <w:t> </w:t>
      </w:r>
      <w:r>
        <w:rPr>
          <w:w w:val="110"/>
        </w:rPr>
        <w:t>a</w:t>
      </w:r>
      <w:r>
        <w:rPr>
          <w:spacing w:val="-27"/>
          <w:w w:val="110"/>
        </w:rPr>
        <w:t> </w:t>
      </w:r>
      <w:r>
        <w:rPr>
          <w:w w:val="110"/>
        </w:rPr>
        <w:t>high</w:t>
      </w:r>
      <w:r>
        <w:rPr>
          <w:spacing w:val="-27"/>
          <w:w w:val="110"/>
        </w:rPr>
        <w:t> </w:t>
      </w:r>
      <w:r>
        <w:rPr>
          <w:spacing w:val="-3"/>
          <w:w w:val="110"/>
        </w:rPr>
        <w:t>level </w:t>
      </w:r>
      <w:r>
        <w:rPr>
          <w:w w:val="110"/>
        </w:rPr>
        <w:t>(see Chart</w:t>
      </w:r>
      <w:r>
        <w:rPr>
          <w:spacing w:val="-11"/>
          <w:w w:val="110"/>
        </w:rPr>
        <w:t> </w:t>
      </w:r>
      <w:r>
        <w:rPr>
          <w:w w:val="110"/>
        </w:rPr>
        <w:t>1.2).</w:t>
      </w:r>
    </w:p>
    <w:p>
      <w:pPr>
        <w:pStyle w:val="BodyText"/>
        <w:spacing w:before="10"/>
        <w:rPr>
          <w:sz w:val="23"/>
        </w:rPr>
      </w:pPr>
    </w:p>
    <w:p>
      <w:pPr>
        <w:pStyle w:val="BodyText"/>
        <w:spacing w:line="292" w:lineRule="auto" w:before="1"/>
        <w:ind w:left="294" w:right="317"/>
      </w:pPr>
      <w:r>
        <w:rPr>
          <w:w w:val="110"/>
        </w:rPr>
        <w:t>UK bank and building </w:t>
      </w:r>
      <w:r>
        <w:rPr>
          <w:spacing w:val="-3"/>
          <w:w w:val="110"/>
        </w:rPr>
        <w:t>society </w:t>
      </w:r>
      <w:r>
        <w:rPr>
          <w:w w:val="110"/>
        </w:rPr>
        <w:t>sterling lending </w:t>
      </w:r>
      <w:r>
        <w:rPr>
          <w:spacing w:val="-4"/>
          <w:w w:val="110"/>
        </w:rPr>
        <w:t>to </w:t>
      </w:r>
      <w:r>
        <w:rPr>
          <w:w w:val="110"/>
        </w:rPr>
        <w:t>the UK </w:t>
      </w:r>
      <w:r>
        <w:rPr>
          <w:spacing w:val="-3"/>
          <w:w w:val="110"/>
        </w:rPr>
        <w:t>private </w:t>
      </w:r>
      <w:r>
        <w:rPr>
          <w:w w:val="110"/>
        </w:rPr>
        <w:t>sector (M4 lending) remained strong in </w:t>
      </w:r>
      <w:r>
        <w:rPr>
          <w:spacing w:val="-4"/>
          <w:w w:val="110"/>
        </w:rPr>
        <w:t>2000 </w:t>
      </w:r>
      <w:r>
        <w:rPr>
          <w:w w:val="110"/>
        </w:rPr>
        <w:t>Q4, though</w:t>
      </w:r>
      <w:r>
        <w:rPr>
          <w:spacing w:val="-14"/>
          <w:w w:val="110"/>
        </w:rPr>
        <w:t> </w:t>
      </w:r>
      <w:r>
        <w:rPr>
          <w:w w:val="110"/>
        </w:rPr>
        <w:t>growth</w:t>
      </w:r>
      <w:r>
        <w:rPr>
          <w:spacing w:val="-14"/>
          <w:w w:val="110"/>
        </w:rPr>
        <w:t> </w:t>
      </w:r>
      <w:r>
        <w:rPr>
          <w:w w:val="110"/>
        </w:rPr>
        <w:t>has</w:t>
      </w:r>
      <w:r>
        <w:rPr>
          <w:spacing w:val="-13"/>
          <w:w w:val="110"/>
        </w:rPr>
        <w:t> </w:t>
      </w:r>
      <w:r>
        <w:rPr>
          <w:spacing w:val="-2"/>
          <w:w w:val="110"/>
        </w:rPr>
        <w:t>slowed</w:t>
      </w:r>
      <w:r>
        <w:rPr>
          <w:spacing w:val="-14"/>
          <w:w w:val="110"/>
        </w:rPr>
        <w:t> </w:t>
      </w:r>
      <w:r>
        <w:rPr>
          <w:w w:val="110"/>
        </w:rPr>
        <w:t>a</w:t>
      </w:r>
      <w:r>
        <w:rPr>
          <w:spacing w:val="-13"/>
          <w:w w:val="110"/>
        </w:rPr>
        <w:t> </w:t>
      </w:r>
      <w:r>
        <w:rPr>
          <w:w w:val="110"/>
        </w:rPr>
        <w:t>little</w:t>
      </w:r>
      <w:r>
        <w:rPr>
          <w:spacing w:val="-14"/>
          <w:w w:val="110"/>
        </w:rPr>
        <w:t> </w:t>
      </w:r>
      <w:r>
        <w:rPr>
          <w:w w:val="110"/>
        </w:rPr>
        <w:t>since</w:t>
      </w:r>
      <w:r>
        <w:rPr>
          <w:spacing w:val="-13"/>
          <w:w w:val="110"/>
        </w:rPr>
        <w:t> </w:t>
      </w:r>
      <w:r>
        <w:rPr>
          <w:w w:val="110"/>
        </w:rPr>
        <w:t>the</w:t>
      </w:r>
      <w:r>
        <w:rPr>
          <w:spacing w:val="-14"/>
          <w:w w:val="110"/>
        </w:rPr>
        <w:t> </w:t>
      </w:r>
      <w:r>
        <w:rPr>
          <w:w w:val="110"/>
        </w:rPr>
        <w:t>third</w:t>
      </w:r>
      <w:r>
        <w:rPr>
          <w:spacing w:val="-13"/>
          <w:w w:val="110"/>
        </w:rPr>
        <w:t> </w:t>
      </w:r>
      <w:r>
        <w:rPr>
          <w:w w:val="110"/>
        </w:rPr>
        <w:t>quarter</w:t>
      </w:r>
      <w:r>
        <w:rPr>
          <w:spacing w:val="-14"/>
          <w:w w:val="110"/>
        </w:rPr>
        <w:t> </w:t>
      </w:r>
      <w:r>
        <w:rPr>
          <w:w w:val="110"/>
        </w:rPr>
        <w:t>(see Chart</w:t>
      </w:r>
      <w:r>
        <w:rPr>
          <w:spacing w:val="-18"/>
          <w:w w:val="110"/>
        </w:rPr>
        <w:t> </w:t>
      </w:r>
      <w:r>
        <w:rPr>
          <w:w w:val="110"/>
        </w:rPr>
        <w:t>1.3).</w:t>
      </w:r>
      <w:r>
        <w:rPr>
          <w:spacing w:val="21"/>
          <w:w w:val="110"/>
        </w:rPr>
        <w:t> </w:t>
      </w:r>
      <w:r>
        <w:rPr>
          <w:w w:val="110"/>
        </w:rPr>
        <w:t>Household</w:t>
      </w:r>
      <w:r>
        <w:rPr>
          <w:spacing w:val="-18"/>
          <w:w w:val="110"/>
        </w:rPr>
        <w:t> </w:t>
      </w:r>
      <w:r>
        <w:rPr>
          <w:w w:val="110"/>
        </w:rPr>
        <w:t>credit</w:t>
      </w:r>
      <w:r>
        <w:rPr>
          <w:spacing w:val="-17"/>
          <w:w w:val="110"/>
        </w:rPr>
        <w:t> </w:t>
      </w:r>
      <w:r>
        <w:rPr>
          <w:w w:val="110"/>
        </w:rPr>
        <w:t>growth</w:t>
      </w:r>
      <w:r>
        <w:rPr>
          <w:spacing w:val="-18"/>
          <w:w w:val="110"/>
        </w:rPr>
        <w:t> </w:t>
      </w:r>
      <w:r>
        <w:rPr>
          <w:w w:val="110"/>
        </w:rPr>
        <w:t>remained</w:t>
      </w:r>
      <w:r>
        <w:rPr>
          <w:spacing w:val="-18"/>
          <w:w w:val="110"/>
        </w:rPr>
        <w:t> </w:t>
      </w:r>
      <w:r>
        <w:rPr>
          <w:w w:val="110"/>
        </w:rPr>
        <w:t>buoyant,</w:t>
      </w:r>
      <w:r>
        <w:rPr>
          <w:spacing w:val="-17"/>
          <w:w w:val="110"/>
        </w:rPr>
        <w:t> </w:t>
      </w:r>
      <w:r>
        <w:rPr>
          <w:w w:val="110"/>
        </w:rPr>
        <w:t>and lending</w:t>
      </w:r>
      <w:r>
        <w:rPr>
          <w:spacing w:val="-17"/>
          <w:w w:val="110"/>
        </w:rPr>
        <w:t> </w:t>
      </w:r>
      <w:r>
        <w:rPr>
          <w:spacing w:val="-4"/>
          <w:w w:val="110"/>
        </w:rPr>
        <w:t>to</w:t>
      </w:r>
      <w:r>
        <w:rPr>
          <w:spacing w:val="-16"/>
          <w:w w:val="110"/>
        </w:rPr>
        <w:t> </w:t>
      </w:r>
      <w:r>
        <w:rPr>
          <w:w w:val="110"/>
        </w:rPr>
        <w:t>OFCs</w:t>
      </w:r>
      <w:r>
        <w:rPr>
          <w:spacing w:val="-16"/>
          <w:w w:val="110"/>
        </w:rPr>
        <w:t> </w:t>
      </w:r>
      <w:r>
        <w:rPr>
          <w:w w:val="110"/>
        </w:rPr>
        <w:t>continued</w:t>
      </w:r>
      <w:r>
        <w:rPr>
          <w:spacing w:val="-16"/>
          <w:w w:val="110"/>
        </w:rPr>
        <w:t> </w:t>
      </w:r>
      <w:r>
        <w:rPr>
          <w:spacing w:val="-4"/>
          <w:w w:val="110"/>
        </w:rPr>
        <w:t>to</w:t>
      </w:r>
      <w:r>
        <w:rPr>
          <w:spacing w:val="-17"/>
          <w:w w:val="110"/>
        </w:rPr>
        <w:t> </w:t>
      </w:r>
      <w:r>
        <w:rPr>
          <w:w w:val="110"/>
        </w:rPr>
        <w:t>rise</w:t>
      </w:r>
      <w:r>
        <w:rPr>
          <w:spacing w:val="-16"/>
          <w:w w:val="110"/>
        </w:rPr>
        <w:t> </w:t>
      </w:r>
      <w:r>
        <w:rPr>
          <w:spacing w:val="-4"/>
          <w:w w:val="110"/>
        </w:rPr>
        <w:t>rapidly.</w:t>
      </w:r>
      <w:r>
        <w:rPr>
          <w:spacing w:val="24"/>
          <w:w w:val="110"/>
        </w:rPr>
        <w:t> </w:t>
      </w:r>
      <w:r>
        <w:rPr>
          <w:w w:val="110"/>
        </w:rPr>
        <w:t>Growth</w:t>
      </w:r>
      <w:r>
        <w:rPr>
          <w:spacing w:val="-17"/>
          <w:w w:val="110"/>
        </w:rPr>
        <w:t> </w:t>
      </w:r>
      <w:r>
        <w:rPr>
          <w:w w:val="110"/>
        </w:rPr>
        <w:t>in</w:t>
      </w:r>
      <w:r>
        <w:rPr>
          <w:spacing w:val="-16"/>
          <w:w w:val="110"/>
        </w:rPr>
        <w:t> </w:t>
      </w:r>
      <w:r>
        <w:rPr>
          <w:spacing w:val="-3"/>
          <w:w w:val="110"/>
        </w:rPr>
        <w:t>private </w:t>
      </w:r>
      <w:r>
        <w:rPr>
          <w:w w:val="110"/>
        </w:rPr>
        <w:t>non-financial</w:t>
      </w:r>
      <w:r>
        <w:rPr>
          <w:spacing w:val="-37"/>
          <w:w w:val="110"/>
        </w:rPr>
        <w:t> </w:t>
      </w:r>
      <w:r>
        <w:rPr>
          <w:w w:val="110"/>
        </w:rPr>
        <w:t>corporations’</w:t>
      </w:r>
      <w:r>
        <w:rPr>
          <w:spacing w:val="-36"/>
          <w:w w:val="110"/>
        </w:rPr>
        <w:t> </w:t>
      </w:r>
      <w:r>
        <w:rPr>
          <w:w w:val="110"/>
        </w:rPr>
        <w:t>(PNFCs’)</w:t>
      </w:r>
      <w:r>
        <w:rPr>
          <w:spacing w:val="-36"/>
          <w:w w:val="110"/>
        </w:rPr>
        <w:t> </w:t>
      </w:r>
      <w:r>
        <w:rPr>
          <w:w w:val="110"/>
        </w:rPr>
        <w:t>borrowing</w:t>
      </w:r>
      <w:r>
        <w:rPr>
          <w:spacing w:val="-36"/>
          <w:w w:val="110"/>
        </w:rPr>
        <w:t> </w:t>
      </w:r>
      <w:r>
        <w:rPr>
          <w:w w:val="110"/>
        </w:rPr>
        <w:t>eased</w:t>
      </w:r>
      <w:r>
        <w:rPr>
          <w:spacing w:val="-36"/>
          <w:w w:val="110"/>
        </w:rPr>
        <w:t> </w:t>
      </w:r>
      <w:r>
        <w:rPr>
          <w:w w:val="110"/>
        </w:rPr>
        <w:t>from the strong </w:t>
      </w:r>
      <w:r>
        <w:rPr>
          <w:spacing w:val="-4"/>
          <w:w w:val="110"/>
        </w:rPr>
        <w:t>rate </w:t>
      </w:r>
      <w:r>
        <w:rPr>
          <w:w w:val="110"/>
        </w:rPr>
        <w:t>seen in the third</w:t>
      </w:r>
      <w:r>
        <w:rPr>
          <w:spacing w:val="-25"/>
          <w:w w:val="110"/>
        </w:rPr>
        <w:t> </w:t>
      </w:r>
      <w:r>
        <w:rPr>
          <w:spacing w:val="-3"/>
          <w:w w:val="110"/>
        </w:rPr>
        <w:t>quarter.</w:t>
      </w:r>
    </w:p>
    <w:p>
      <w:pPr>
        <w:pStyle w:val="BodyText"/>
        <w:spacing w:before="11"/>
        <w:rPr>
          <w:sz w:val="23"/>
        </w:rPr>
      </w:pPr>
    </w:p>
    <w:p>
      <w:pPr>
        <w:pStyle w:val="BodyText"/>
        <w:spacing w:line="292" w:lineRule="auto"/>
        <w:ind w:left="294" w:right="134"/>
      </w:pPr>
      <w:r>
        <w:rPr>
          <w:w w:val="110"/>
        </w:rPr>
        <w:t>The flow of M4 lending continues </w:t>
      </w:r>
      <w:r>
        <w:rPr>
          <w:spacing w:val="-4"/>
          <w:w w:val="110"/>
        </w:rPr>
        <w:t>to </w:t>
      </w:r>
      <w:r>
        <w:rPr>
          <w:w w:val="110"/>
        </w:rPr>
        <w:t>exceed that of sterling deposits placed with UK banks and building societies </w:t>
      </w:r>
      <w:r>
        <w:rPr>
          <w:spacing w:val="-3"/>
          <w:w w:val="110"/>
        </w:rPr>
        <w:t>by </w:t>
      </w:r>
      <w:r>
        <w:rPr>
          <w:w w:val="110"/>
        </w:rPr>
        <w:t>the UK private </w:t>
      </w:r>
      <w:r>
        <w:rPr>
          <w:spacing w:val="-3"/>
          <w:w w:val="110"/>
        </w:rPr>
        <w:t>sector. Recently, </w:t>
      </w:r>
      <w:r>
        <w:rPr>
          <w:w w:val="110"/>
        </w:rPr>
        <w:t>much of the gap has been accounted for </w:t>
      </w:r>
      <w:r>
        <w:rPr>
          <w:spacing w:val="-3"/>
          <w:w w:val="110"/>
        </w:rPr>
        <w:t>by </w:t>
      </w:r>
      <w:r>
        <w:rPr>
          <w:w w:val="110"/>
        </w:rPr>
        <w:t>higher public sector deposits, which </w:t>
      </w:r>
      <w:r>
        <w:rPr>
          <w:spacing w:val="-3"/>
          <w:w w:val="110"/>
        </w:rPr>
        <w:t>have </w:t>
      </w:r>
      <w:r>
        <w:rPr>
          <w:w w:val="110"/>
        </w:rPr>
        <w:t>been boosted </w:t>
      </w:r>
      <w:r>
        <w:rPr>
          <w:spacing w:val="-3"/>
          <w:w w:val="110"/>
        </w:rPr>
        <w:t>by </w:t>
      </w:r>
      <w:r>
        <w:rPr>
          <w:w w:val="110"/>
        </w:rPr>
        <w:t>buoyant public finances and government receipts from the sale of third-generation mobile telecommunications</w:t>
      </w:r>
      <w:r>
        <w:rPr>
          <w:spacing w:val="-23"/>
          <w:w w:val="110"/>
        </w:rPr>
        <w:t> </w:t>
      </w:r>
      <w:r>
        <w:rPr>
          <w:w w:val="110"/>
        </w:rPr>
        <w:t>licences.</w:t>
      </w:r>
      <w:r>
        <w:rPr>
          <w:spacing w:val="10"/>
          <w:w w:val="110"/>
        </w:rPr>
        <w:t> </w:t>
      </w:r>
      <w:r>
        <w:rPr>
          <w:spacing w:val="-3"/>
          <w:w w:val="110"/>
        </w:rPr>
        <w:t>Payments</w:t>
      </w:r>
      <w:r>
        <w:rPr>
          <w:spacing w:val="-22"/>
          <w:w w:val="110"/>
        </w:rPr>
        <w:t> </w:t>
      </w:r>
      <w:r>
        <w:rPr>
          <w:spacing w:val="-3"/>
          <w:w w:val="110"/>
        </w:rPr>
        <w:t>were</w:t>
      </w:r>
      <w:r>
        <w:rPr>
          <w:spacing w:val="-23"/>
          <w:w w:val="110"/>
        </w:rPr>
        <w:t> </w:t>
      </w:r>
      <w:r>
        <w:rPr>
          <w:w w:val="110"/>
        </w:rPr>
        <w:t>completed</w:t>
      </w:r>
      <w:r>
        <w:rPr>
          <w:spacing w:val="-22"/>
          <w:w w:val="110"/>
        </w:rPr>
        <w:t> </w:t>
      </w:r>
      <w:r>
        <w:rPr>
          <w:w w:val="110"/>
        </w:rPr>
        <w:t>in</w:t>
      </w:r>
      <w:r>
        <w:rPr>
          <w:spacing w:val="-23"/>
          <w:w w:val="110"/>
        </w:rPr>
        <w:t> </w:t>
      </w:r>
      <w:r>
        <w:rPr>
          <w:w w:val="110"/>
        </w:rPr>
        <w:t>the third </w:t>
      </w:r>
      <w:r>
        <w:rPr>
          <w:spacing w:val="-3"/>
          <w:w w:val="110"/>
        </w:rPr>
        <w:t>quarter, </w:t>
      </w:r>
      <w:r>
        <w:rPr>
          <w:w w:val="110"/>
        </w:rPr>
        <w:t>and in </w:t>
      </w:r>
      <w:r>
        <w:rPr>
          <w:spacing w:val="-4"/>
          <w:w w:val="110"/>
        </w:rPr>
        <w:t>2000 </w:t>
      </w:r>
      <w:r>
        <w:rPr>
          <w:w w:val="110"/>
        </w:rPr>
        <w:t>Q4 deposits from other sources, particularly</w:t>
      </w:r>
      <w:r>
        <w:rPr>
          <w:spacing w:val="-12"/>
          <w:w w:val="110"/>
        </w:rPr>
        <w:t> </w:t>
      </w:r>
      <w:r>
        <w:rPr>
          <w:w w:val="110"/>
        </w:rPr>
        <w:t>those</w:t>
      </w:r>
      <w:r>
        <w:rPr>
          <w:spacing w:val="-12"/>
          <w:w w:val="110"/>
        </w:rPr>
        <w:t> </w:t>
      </w:r>
      <w:r>
        <w:rPr>
          <w:w w:val="110"/>
        </w:rPr>
        <w:t>from</w:t>
      </w:r>
      <w:r>
        <w:rPr>
          <w:spacing w:val="-11"/>
          <w:w w:val="110"/>
        </w:rPr>
        <w:t> </w:t>
      </w:r>
      <w:r>
        <w:rPr>
          <w:spacing w:val="-3"/>
          <w:w w:val="110"/>
        </w:rPr>
        <w:t>overseas,</w:t>
      </w:r>
      <w:r>
        <w:rPr>
          <w:spacing w:val="-12"/>
          <w:w w:val="110"/>
        </w:rPr>
        <w:t> </w:t>
      </w:r>
      <w:r>
        <w:rPr>
          <w:w w:val="110"/>
        </w:rPr>
        <w:t>accounted</w:t>
      </w:r>
      <w:r>
        <w:rPr>
          <w:spacing w:val="-11"/>
          <w:w w:val="110"/>
        </w:rPr>
        <w:t> </w:t>
      </w:r>
      <w:r>
        <w:rPr>
          <w:w w:val="110"/>
        </w:rPr>
        <w:t>for</w:t>
      </w:r>
      <w:r>
        <w:rPr>
          <w:spacing w:val="-12"/>
          <w:w w:val="110"/>
        </w:rPr>
        <w:t> </w:t>
      </w:r>
      <w:r>
        <w:rPr>
          <w:w w:val="110"/>
        </w:rPr>
        <w:t>the</w:t>
      </w:r>
      <w:r>
        <w:rPr>
          <w:spacing w:val="-11"/>
          <w:w w:val="110"/>
        </w:rPr>
        <w:t> </w:t>
      </w:r>
      <w:r>
        <w:rPr>
          <w:w w:val="110"/>
        </w:rPr>
        <w:t>gap.</w:t>
      </w:r>
    </w:p>
    <w:p>
      <w:pPr>
        <w:pStyle w:val="BodyText"/>
        <w:spacing w:before="4"/>
      </w:pPr>
    </w:p>
    <w:p>
      <w:pPr>
        <w:pStyle w:val="Heading6"/>
        <w:ind w:left="174"/>
      </w:pPr>
      <w:r>
        <w:rPr>
          <w:color w:val="89C6DC"/>
        </w:rPr>
        <w:t>Household sector</w:t>
      </w:r>
    </w:p>
    <w:p>
      <w:pPr>
        <w:pStyle w:val="BodyText"/>
        <w:rPr>
          <w:rFonts w:ascii="Trebuchet MS"/>
          <w:b/>
          <w:sz w:val="18"/>
        </w:rPr>
      </w:pPr>
    </w:p>
    <w:p>
      <w:pPr>
        <w:pStyle w:val="BodyText"/>
        <w:ind w:left="294"/>
      </w:pPr>
      <w:r>
        <w:rPr>
          <w:w w:val="105"/>
        </w:rPr>
        <w:t>Households’ M4 deposits rose by 6.1% in the year to</w:t>
      </w:r>
    </w:p>
    <w:p>
      <w:pPr>
        <w:pStyle w:val="BodyText"/>
        <w:spacing w:line="292" w:lineRule="auto" w:before="50"/>
        <w:ind w:left="294" w:right="134"/>
      </w:pPr>
      <w:r>
        <w:rPr>
          <w:spacing w:val="-4"/>
          <w:w w:val="110"/>
        </w:rPr>
        <w:t>2000 </w:t>
      </w:r>
      <w:r>
        <w:rPr>
          <w:w w:val="110"/>
        </w:rPr>
        <w:t>Q4, a slightly </w:t>
      </w:r>
      <w:r>
        <w:rPr>
          <w:spacing w:val="-3"/>
          <w:w w:val="110"/>
        </w:rPr>
        <w:t>slower </w:t>
      </w:r>
      <w:r>
        <w:rPr>
          <w:spacing w:val="-4"/>
          <w:w w:val="110"/>
        </w:rPr>
        <w:t>rate </w:t>
      </w:r>
      <w:r>
        <w:rPr>
          <w:w w:val="110"/>
        </w:rPr>
        <w:t>than in the previous </w:t>
      </w:r>
      <w:r>
        <w:rPr>
          <w:spacing w:val="-3"/>
          <w:w w:val="110"/>
        </w:rPr>
        <w:t>quarter. </w:t>
      </w:r>
      <w:r>
        <w:rPr>
          <w:w w:val="110"/>
        </w:rPr>
        <w:t>An</w:t>
      </w:r>
      <w:r>
        <w:rPr>
          <w:spacing w:val="-22"/>
          <w:w w:val="110"/>
        </w:rPr>
        <w:t> </w:t>
      </w:r>
      <w:r>
        <w:rPr>
          <w:w w:val="110"/>
        </w:rPr>
        <w:t>indicator</w:t>
      </w:r>
      <w:r>
        <w:rPr>
          <w:spacing w:val="-21"/>
          <w:w w:val="110"/>
        </w:rPr>
        <w:t> </w:t>
      </w:r>
      <w:r>
        <w:rPr>
          <w:w w:val="110"/>
        </w:rPr>
        <w:t>of</w:t>
      </w:r>
      <w:r>
        <w:rPr>
          <w:spacing w:val="-21"/>
          <w:w w:val="110"/>
        </w:rPr>
        <w:t> </w:t>
      </w:r>
      <w:r>
        <w:rPr>
          <w:w w:val="110"/>
        </w:rPr>
        <w:t>deposits</w:t>
      </w:r>
      <w:r>
        <w:rPr>
          <w:spacing w:val="-22"/>
          <w:w w:val="110"/>
        </w:rPr>
        <w:t> </w:t>
      </w:r>
      <w:r>
        <w:rPr>
          <w:w w:val="110"/>
        </w:rPr>
        <w:t>likely</w:t>
      </w:r>
      <w:r>
        <w:rPr>
          <w:spacing w:val="-21"/>
          <w:w w:val="110"/>
        </w:rPr>
        <w:t> </w:t>
      </w:r>
      <w:r>
        <w:rPr>
          <w:spacing w:val="-4"/>
          <w:w w:val="110"/>
        </w:rPr>
        <w:t>to</w:t>
      </w:r>
      <w:r>
        <w:rPr>
          <w:spacing w:val="-21"/>
          <w:w w:val="110"/>
        </w:rPr>
        <w:t> </w:t>
      </w:r>
      <w:r>
        <w:rPr>
          <w:w w:val="110"/>
        </w:rPr>
        <w:t>provide</w:t>
      </w:r>
      <w:r>
        <w:rPr>
          <w:spacing w:val="-21"/>
          <w:w w:val="110"/>
        </w:rPr>
        <w:t> </w:t>
      </w:r>
      <w:r>
        <w:rPr>
          <w:spacing w:val="-3"/>
          <w:w w:val="110"/>
        </w:rPr>
        <w:t>better</w:t>
      </w:r>
      <w:r>
        <w:rPr>
          <w:spacing w:val="-22"/>
          <w:w w:val="110"/>
        </w:rPr>
        <w:t> </w:t>
      </w:r>
      <w:r>
        <w:rPr>
          <w:w w:val="110"/>
        </w:rPr>
        <w:t>information</w:t>
      </w:r>
      <w:r>
        <w:rPr>
          <w:spacing w:val="-21"/>
          <w:w w:val="110"/>
        </w:rPr>
        <w:t> </w:t>
      </w:r>
      <w:r>
        <w:rPr>
          <w:w w:val="110"/>
        </w:rPr>
        <w:t>on spending trends is the household Divisia M4 index, which weights</w:t>
      </w:r>
      <w:r>
        <w:rPr>
          <w:spacing w:val="-16"/>
          <w:w w:val="110"/>
        </w:rPr>
        <w:t> </w:t>
      </w:r>
      <w:r>
        <w:rPr>
          <w:w w:val="110"/>
        </w:rPr>
        <w:t>money</w:t>
      </w:r>
      <w:r>
        <w:rPr>
          <w:spacing w:val="-16"/>
          <w:w w:val="110"/>
        </w:rPr>
        <w:t> </w:t>
      </w:r>
      <w:r>
        <w:rPr>
          <w:w w:val="110"/>
        </w:rPr>
        <w:t>components</w:t>
      </w:r>
      <w:r>
        <w:rPr>
          <w:spacing w:val="-16"/>
          <w:w w:val="110"/>
        </w:rPr>
        <w:t> </w:t>
      </w:r>
      <w:r>
        <w:rPr>
          <w:spacing w:val="-3"/>
          <w:w w:val="110"/>
        </w:rPr>
        <w:t>by</w:t>
      </w:r>
      <w:r>
        <w:rPr>
          <w:spacing w:val="-16"/>
          <w:w w:val="110"/>
        </w:rPr>
        <w:t> </w:t>
      </w:r>
      <w:r>
        <w:rPr>
          <w:w w:val="110"/>
        </w:rPr>
        <w:t>a</w:t>
      </w:r>
      <w:r>
        <w:rPr>
          <w:spacing w:val="-15"/>
          <w:w w:val="110"/>
        </w:rPr>
        <w:t> </w:t>
      </w:r>
      <w:r>
        <w:rPr>
          <w:w w:val="110"/>
        </w:rPr>
        <w:t>measure</w:t>
      </w:r>
      <w:r>
        <w:rPr>
          <w:spacing w:val="-16"/>
          <w:w w:val="110"/>
        </w:rPr>
        <w:t> </w:t>
      </w:r>
      <w:r>
        <w:rPr>
          <w:w w:val="110"/>
        </w:rPr>
        <w:t>of</w:t>
      </w:r>
      <w:r>
        <w:rPr>
          <w:spacing w:val="-16"/>
          <w:w w:val="110"/>
        </w:rPr>
        <w:t> </w:t>
      </w:r>
      <w:r>
        <w:rPr>
          <w:w w:val="110"/>
        </w:rPr>
        <w:t>their</w:t>
      </w:r>
      <w:r>
        <w:rPr>
          <w:spacing w:val="-16"/>
          <w:w w:val="110"/>
        </w:rPr>
        <w:t> </w:t>
      </w:r>
      <w:r>
        <w:rPr>
          <w:spacing w:val="-4"/>
          <w:w w:val="110"/>
        </w:rPr>
        <w:t>liquidity.</w:t>
      </w:r>
    </w:p>
    <w:p>
      <w:pPr>
        <w:pStyle w:val="BodyText"/>
        <w:spacing w:line="292" w:lineRule="auto"/>
        <w:ind w:left="294" w:right="92"/>
      </w:pPr>
      <w:r>
        <w:rPr>
          <w:w w:val="110"/>
        </w:rPr>
        <w:t>Chart</w:t>
      </w:r>
      <w:r>
        <w:rPr>
          <w:spacing w:val="-21"/>
          <w:w w:val="110"/>
        </w:rPr>
        <w:t> </w:t>
      </w:r>
      <w:r>
        <w:rPr>
          <w:w w:val="110"/>
        </w:rPr>
        <w:t>1.4</w:t>
      </w:r>
      <w:r>
        <w:rPr>
          <w:spacing w:val="-20"/>
          <w:w w:val="110"/>
        </w:rPr>
        <w:t> </w:t>
      </w:r>
      <w:r>
        <w:rPr>
          <w:w w:val="110"/>
        </w:rPr>
        <w:t>shows</w:t>
      </w:r>
      <w:r>
        <w:rPr>
          <w:spacing w:val="-20"/>
          <w:w w:val="110"/>
        </w:rPr>
        <w:t> </w:t>
      </w:r>
      <w:r>
        <w:rPr>
          <w:w w:val="110"/>
        </w:rPr>
        <w:t>that</w:t>
      </w:r>
      <w:r>
        <w:rPr>
          <w:spacing w:val="-20"/>
          <w:w w:val="110"/>
        </w:rPr>
        <w:t> </w:t>
      </w:r>
      <w:r>
        <w:rPr>
          <w:w w:val="110"/>
        </w:rPr>
        <w:t>real</w:t>
      </w:r>
      <w:r>
        <w:rPr>
          <w:spacing w:val="-20"/>
          <w:w w:val="110"/>
        </w:rPr>
        <w:t> </w:t>
      </w:r>
      <w:r>
        <w:rPr>
          <w:w w:val="110"/>
        </w:rPr>
        <w:t>households’</w:t>
      </w:r>
      <w:r>
        <w:rPr>
          <w:spacing w:val="-20"/>
          <w:w w:val="110"/>
        </w:rPr>
        <w:t> </w:t>
      </w:r>
      <w:r>
        <w:rPr>
          <w:w w:val="110"/>
        </w:rPr>
        <w:t>Divisia</w:t>
      </w:r>
      <w:r>
        <w:rPr>
          <w:spacing w:val="-20"/>
          <w:w w:val="110"/>
        </w:rPr>
        <w:t> </w:t>
      </w:r>
      <w:r>
        <w:rPr>
          <w:w w:val="110"/>
        </w:rPr>
        <w:t>money</w:t>
      </w:r>
      <w:r>
        <w:rPr>
          <w:spacing w:val="-20"/>
          <w:w w:val="110"/>
        </w:rPr>
        <w:t> </w:t>
      </w:r>
      <w:r>
        <w:rPr>
          <w:spacing w:val="-3"/>
          <w:w w:val="110"/>
        </w:rPr>
        <w:t>growth </w:t>
      </w:r>
      <w:r>
        <w:rPr>
          <w:w w:val="110"/>
        </w:rPr>
        <w:t>has been quite closely correlated with real consumption growth</w:t>
      </w:r>
      <w:r>
        <w:rPr>
          <w:spacing w:val="-26"/>
          <w:w w:val="110"/>
        </w:rPr>
        <w:t> </w:t>
      </w:r>
      <w:r>
        <w:rPr>
          <w:w w:val="110"/>
        </w:rPr>
        <w:t>in</w:t>
      </w:r>
      <w:r>
        <w:rPr>
          <w:spacing w:val="-26"/>
          <w:w w:val="110"/>
        </w:rPr>
        <w:t> </w:t>
      </w:r>
      <w:r>
        <w:rPr>
          <w:w w:val="110"/>
        </w:rPr>
        <w:t>recent</w:t>
      </w:r>
      <w:r>
        <w:rPr>
          <w:spacing w:val="-25"/>
          <w:w w:val="110"/>
        </w:rPr>
        <w:t> </w:t>
      </w:r>
      <w:r>
        <w:rPr>
          <w:spacing w:val="-3"/>
          <w:w w:val="110"/>
        </w:rPr>
        <w:t>years.</w:t>
      </w:r>
      <w:r>
        <w:rPr>
          <w:spacing w:val="4"/>
          <w:w w:val="110"/>
        </w:rPr>
        <w:t> </w:t>
      </w:r>
      <w:r>
        <w:rPr>
          <w:w w:val="110"/>
        </w:rPr>
        <w:t>Real</w:t>
      </w:r>
      <w:r>
        <w:rPr>
          <w:spacing w:val="-26"/>
          <w:w w:val="110"/>
        </w:rPr>
        <w:t> </w:t>
      </w:r>
      <w:r>
        <w:rPr>
          <w:w w:val="110"/>
        </w:rPr>
        <w:t>household</w:t>
      </w:r>
      <w:r>
        <w:rPr>
          <w:spacing w:val="-25"/>
          <w:w w:val="110"/>
        </w:rPr>
        <w:t> </w:t>
      </w:r>
      <w:r>
        <w:rPr>
          <w:w w:val="110"/>
        </w:rPr>
        <w:t>Divisia</w:t>
      </w:r>
      <w:r>
        <w:rPr>
          <w:spacing w:val="-26"/>
          <w:w w:val="110"/>
        </w:rPr>
        <w:t> </w:t>
      </w:r>
      <w:r>
        <w:rPr>
          <w:w w:val="110"/>
        </w:rPr>
        <w:t>M4</w:t>
      </w:r>
      <w:r>
        <w:rPr>
          <w:spacing w:val="-25"/>
          <w:w w:val="110"/>
        </w:rPr>
        <w:t> </w:t>
      </w:r>
      <w:r>
        <w:rPr>
          <w:w w:val="110"/>
        </w:rPr>
        <w:t>growth</w:t>
      </w:r>
      <w:r>
        <w:rPr>
          <w:spacing w:val="-26"/>
          <w:w w:val="110"/>
        </w:rPr>
        <w:t> </w:t>
      </w:r>
      <w:r>
        <w:rPr>
          <w:w w:val="110"/>
        </w:rPr>
        <w:t>has remained strong in recent quarters, consistent with recent robust</w:t>
      </w:r>
      <w:r>
        <w:rPr>
          <w:spacing w:val="-20"/>
          <w:w w:val="110"/>
        </w:rPr>
        <w:t> </w:t>
      </w:r>
      <w:r>
        <w:rPr>
          <w:w w:val="110"/>
        </w:rPr>
        <w:t>consumption</w:t>
      </w:r>
      <w:r>
        <w:rPr>
          <w:spacing w:val="-19"/>
          <w:w w:val="110"/>
        </w:rPr>
        <w:t> </w:t>
      </w:r>
      <w:r>
        <w:rPr>
          <w:w w:val="110"/>
        </w:rPr>
        <w:t>growth.</w:t>
      </w:r>
      <w:r>
        <w:rPr>
          <w:spacing w:val="18"/>
          <w:w w:val="110"/>
        </w:rPr>
        <w:t> </w:t>
      </w:r>
      <w:r>
        <w:rPr>
          <w:w w:val="110"/>
        </w:rPr>
        <w:t>Data</w:t>
      </w:r>
      <w:r>
        <w:rPr>
          <w:spacing w:val="-19"/>
          <w:w w:val="110"/>
        </w:rPr>
        <w:t> </w:t>
      </w:r>
      <w:r>
        <w:rPr>
          <w:w w:val="110"/>
        </w:rPr>
        <w:t>on</w:t>
      </w:r>
      <w:r>
        <w:rPr>
          <w:spacing w:val="-19"/>
          <w:w w:val="110"/>
        </w:rPr>
        <w:t> </w:t>
      </w:r>
      <w:r>
        <w:rPr>
          <w:w w:val="110"/>
        </w:rPr>
        <w:t>real</w:t>
      </w:r>
      <w:r>
        <w:rPr>
          <w:spacing w:val="-19"/>
          <w:w w:val="110"/>
        </w:rPr>
        <w:t> </w:t>
      </w:r>
      <w:r>
        <w:rPr>
          <w:w w:val="110"/>
        </w:rPr>
        <w:t>Divisia</w:t>
      </w:r>
      <w:r>
        <w:rPr>
          <w:spacing w:val="-19"/>
          <w:w w:val="110"/>
        </w:rPr>
        <w:t> </w:t>
      </w:r>
      <w:r>
        <w:rPr>
          <w:w w:val="110"/>
        </w:rPr>
        <w:t>money</w:t>
      </w:r>
      <w:r>
        <w:rPr>
          <w:spacing w:val="-19"/>
          <w:w w:val="110"/>
        </w:rPr>
        <w:t> </w:t>
      </w:r>
      <w:r>
        <w:rPr>
          <w:w w:val="110"/>
        </w:rPr>
        <w:t>are</w:t>
      </w:r>
    </w:p>
    <w:p>
      <w:pPr>
        <w:spacing w:after="0" w:line="292" w:lineRule="auto"/>
        <w:sectPr>
          <w:type w:val="continuous"/>
          <w:pgSz w:w="11900" w:h="16840"/>
          <w:pgMar w:top="1260" w:bottom="280" w:left="640" w:right="640"/>
          <w:cols w:num="2" w:equalWidth="0">
            <w:col w:w="3802" w:space="1004"/>
            <w:col w:w="5814"/>
          </w:cols>
        </w:sectPr>
      </w:pPr>
    </w:p>
    <w:p>
      <w:pPr>
        <w:pStyle w:val="BodyText"/>
      </w:pPr>
    </w:p>
    <w:p>
      <w:pPr>
        <w:spacing w:after="0"/>
        <w:sectPr>
          <w:footerReference w:type="default" r:id="rId38"/>
          <w:footerReference w:type="even" r:id="rId39"/>
          <w:pgSz w:w="11900" w:h="16840"/>
          <w:pgMar w:footer="575" w:header="579" w:top="800" w:bottom="760" w:left="640" w:right="640"/>
          <w:pgNumType w:start="5"/>
        </w:sectPr>
      </w:pPr>
    </w:p>
    <w:p>
      <w:pPr>
        <w:pStyle w:val="BodyText"/>
        <w:spacing w:before="3"/>
        <w:rPr>
          <w:sz w:val="23"/>
        </w:rPr>
      </w:pPr>
    </w:p>
    <w:p>
      <w:pPr>
        <w:pStyle w:val="Heading6"/>
        <w:ind w:left="180"/>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1.4</w:t>
      </w:r>
    </w:p>
    <w:p>
      <w:pPr>
        <w:spacing w:line="247" w:lineRule="auto" w:before="8"/>
        <w:ind w:left="180" w:right="174" w:firstLine="0"/>
        <w:jc w:val="left"/>
        <w:rPr>
          <w:rFonts w:ascii="Trebuchet MS" w:hAnsi="Trebuchet MS"/>
          <w:b/>
          <w:sz w:val="20"/>
        </w:rPr>
      </w:pPr>
      <w:r>
        <w:rPr>
          <w:rFonts w:ascii="Trebuchet MS" w:hAnsi="Trebuchet MS"/>
          <w:b/>
          <w:color w:val="89C6DC"/>
          <w:w w:val="95"/>
          <w:sz w:val="20"/>
        </w:rPr>
        <w:t>Real</w:t>
      </w:r>
      <w:r>
        <w:rPr>
          <w:rFonts w:ascii="Trebuchet MS" w:hAnsi="Trebuchet MS"/>
          <w:b/>
          <w:color w:val="89C6DC"/>
          <w:spacing w:val="-28"/>
          <w:w w:val="95"/>
          <w:sz w:val="20"/>
        </w:rPr>
        <w:t> </w:t>
      </w:r>
      <w:r>
        <w:rPr>
          <w:rFonts w:ascii="Trebuchet MS" w:hAnsi="Trebuchet MS"/>
          <w:b/>
          <w:color w:val="89C6DC"/>
          <w:w w:val="95"/>
          <w:sz w:val="20"/>
        </w:rPr>
        <w:t>consumption</w:t>
      </w:r>
      <w:r>
        <w:rPr>
          <w:rFonts w:ascii="Trebuchet MS" w:hAnsi="Trebuchet MS"/>
          <w:b/>
          <w:color w:val="89C6DC"/>
          <w:spacing w:val="-27"/>
          <w:w w:val="95"/>
          <w:sz w:val="20"/>
        </w:rPr>
        <w:t> </w:t>
      </w:r>
      <w:r>
        <w:rPr>
          <w:rFonts w:ascii="Trebuchet MS" w:hAnsi="Trebuchet MS"/>
          <w:b/>
          <w:color w:val="89C6DC"/>
          <w:w w:val="95"/>
          <w:sz w:val="20"/>
        </w:rPr>
        <w:t>and</w:t>
      </w:r>
      <w:r>
        <w:rPr>
          <w:rFonts w:ascii="Trebuchet MS" w:hAnsi="Trebuchet MS"/>
          <w:b/>
          <w:color w:val="89C6DC"/>
          <w:spacing w:val="-27"/>
          <w:w w:val="95"/>
          <w:sz w:val="20"/>
        </w:rPr>
        <w:t> </w:t>
      </w:r>
      <w:r>
        <w:rPr>
          <w:rFonts w:ascii="Trebuchet MS" w:hAnsi="Trebuchet MS"/>
          <w:b/>
          <w:color w:val="89C6DC"/>
          <w:w w:val="95"/>
          <w:sz w:val="20"/>
        </w:rPr>
        <w:t>real</w:t>
      </w:r>
      <w:r>
        <w:rPr>
          <w:rFonts w:ascii="Trebuchet MS" w:hAnsi="Trebuchet MS"/>
          <w:b/>
          <w:color w:val="89C6DC"/>
          <w:spacing w:val="-27"/>
          <w:w w:val="95"/>
          <w:sz w:val="20"/>
        </w:rPr>
        <w:t> </w:t>
      </w:r>
      <w:r>
        <w:rPr>
          <w:rFonts w:ascii="Trebuchet MS" w:hAnsi="Trebuchet MS"/>
          <w:b/>
          <w:color w:val="89C6DC"/>
          <w:w w:val="95"/>
          <w:sz w:val="20"/>
        </w:rPr>
        <w:t>households’ </w:t>
      </w:r>
      <w:r>
        <w:rPr>
          <w:rFonts w:ascii="Trebuchet MS" w:hAnsi="Trebuchet MS"/>
          <w:b/>
          <w:color w:val="89C6DC"/>
          <w:sz w:val="20"/>
        </w:rPr>
        <w:t>Divisia</w:t>
      </w:r>
      <w:r>
        <w:rPr>
          <w:rFonts w:ascii="Trebuchet MS" w:hAnsi="Trebuchet MS"/>
          <w:b/>
          <w:color w:val="89C6DC"/>
          <w:spacing w:val="4"/>
          <w:sz w:val="20"/>
        </w:rPr>
        <w:t> </w:t>
      </w:r>
      <w:r>
        <w:rPr>
          <w:rFonts w:ascii="Trebuchet MS" w:hAnsi="Trebuchet MS"/>
          <w:b/>
          <w:color w:val="89C6DC"/>
          <w:sz w:val="20"/>
        </w:rPr>
        <w:t>M4</w:t>
      </w:r>
    </w:p>
    <w:p>
      <w:pPr>
        <w:spacing w:line="117" w:lineRule="exact" w:before="90"/>
        <w:ind w:left="1554" w:right="0" w:firstLine="0"/>
        <w:jc w:val="left"/>
        <w:rPr>
          <w:sz w:val="12"/>
        </w:rPr>
      </w:pPr>
      <w:r>
        <w:rPr>
          <w:w w:val="110"/>
          <w:sz w:val="12"/>
        </w:rPr>
        <w:t>Percentage changes on a year earlier</w:t>
      </w:r>
    </w:p>
    <w:p>
      <w:pPr>
        <w:spacing w:line="117" w:lineRule="exact" w:before="0"/>
        <w:ind w:left="3544" w:right="0" w:firstLine="0"/>
        <w:jc w:val="left"/>
        <w:rPr>
          <w:sz w:val="12"/>
        </w:rPr>
      </w:pPr>
      <w:r>
        <w:rPr/>
        <w:pict>
          <v:group style="position:absolute;margin-left:51.73pt;margin-top:9.160755pt;width:145.15pt;height:109.15pt;mso-position-horizontal-relative:page;mso-position-vertical-relative:paragraph;z-index:15777792" coordorigin="1035,183" coordsize="2903,2183">
            <v:shape style="position:absolute;left:1044;top:1573;width:108;height:158" coordorigin="1045,1573" coordsize="108,158" path="m1045,1731l1080,1573m1080,1573l1117,1626m1117,1626l1152,1573e" filled="false" stroked="true" strokeweight="1pt" strokecolor="#835335">
              <v:path arrowok="t"/>
              <v:stroke dashstyle="solid"/>
            </v:shape>
            <v:line style="position:absolute" from="1176,1061" to="1176,1583" stroked="true" strokeweight="3.375pt" strokecolor="#835335">
              <v:stroke dashstyle="solid"/>
            </v:line>
            <v:shape style="position:absolute;left:1199;top:1070;width:108;height:453" coordorigin="1200,1071" coordsize="108,453" path="m1200,1071l1235,1261m1235,1261l1272,1418m1272,1418l1307,1523e" filled="false" stroked="true" strokeweight="1pt" strokecolor="#835335">
              <v:path arrowok="t"/>
              <v:stroke dashstyle="solid"/>
            </v:shape>
            <v:line style="position:absolute" from="1331,1513" to="1331,2071" stroked="true" strokeweight="3.375pt" strokecolor="#835335">
              <v:stroke dashstyle="solid"/>
            </v:line>
            <v:shape style="position:absolute;left:1354;top:513;width:655;height:1548" coordorigin="1355,513" coordsize="655,1548" path="m1355,2061l1390,2026m1390,2026l1427,1871m1427,1871l1462,1643m1462,1643l1510,1506m1510,1506l1545,1556m1545,1556l1580,1523m1580,1523l1617,1453m1617,1453l1665,1106m1665,1106l1700,826m1700,826l1735,913m1735,913l1772,896m1772,896l1820,1226m1820,1226l1855,1106m1855,1106l1890,1053m1890,1053l1927,931m1927,931l1975,513m1975,513l2010,653e" filled="false" stroked="true" strokeweight="1pt" strokecolor="#835335">
              <v:path arrowok="t"/>
              <v:stroke dashstyle="solid"/>
            </v:shape>
            <v:line style="position:absolute" from="2027,191" to="2027,663" stroked="true" strokeweight="2.75pt" strokecolor="#835335">
              <v:stroke dashstyle="solid"/>
            </v:line>
            <v:shape style="position:absolute;left:2034;top:190;width:295;height:715" type="#_x0000_t75" stroked="false">
              <v:imagedata r:id="rId40" o:title=""/>
            </v:shape>
            <v:line style="position:absolute" from="2337,886" to="2337,1428" stroked="true" strokeweight="2.75pt" strokecolor="#835335">
              <v:stroke dashstyle="solid"/>
            </v:line>
            <v:line style="position:absolute" from="2373,1408" to="2373,1811" stroked="true" strokeweight="2.875pt" strokecolor="#835335">
              <v:stroke dashstyle="solid"/>
            </v:line>
            <v:shape style="position:absolute;left:2392;top:1800;width:428;height:555" coordorigin="2392,1801" coordsize="428,555" path="m2392,1801l2440,1938m2440,1938l2475,2236m2475,2236l2510,2253m2510,2253l2557,2356m2557,2356l2595,2341m2595,2341l2630,2113m2630,2113l2665,2026m2665,2026l2712,1888m2712,1888l2750,2096m2750,2096l2785,2148m2785,2148l2820,2096e" filled="false" stroked="true" strokeweight="1pt" strokecolor="#835335">
              <v:path arrowok="t"/>
              <v:stroke dashstyle="solid"/>
            </v:shape>
            <v:line style="position:absolute" from="2810,2097" to="2877,2097" stroked="true" strokeweight="1.125pt" strokecolor="#835335">
              <v:stroke dashstyle="solid"/>
            </v:line>
            <v:shape style="position:absolute;left:2867;top:1800;width:73;height:295" coordorigin="2867,1801" coordsize="73,295" path="m2867,2096l2905,1801m2905,1801l2940,1871e" filled="false" stroked="true" strokeweight="1pt" strokecolor="#835335">
              <v:path arrowok="t"/>
              <v:stroke dashstyle="solid"/>
            </v:shape>
            <v:line style="position:absolute" from="2930,1872" to="2985,1872" stroked="true" strokeweight="1.125pt" strokecolor="#835335">
              <v:stroke dashstyle="solid"/>
            </v:line>
            <v:shape style="position:absolute;left:2974;top:1070;width:740;height:835" coordorigin="2975,1071" coordsize="740,835" path="m2975,1871l3022,1888m3022,1888l3057,1906m3057,1906l3095,1661m3095,1661l3130,1523m3130,1523l3177,1366m3177,1366l3212,1121m3212,1121l3250,1088m3250,1088l3285,1173m3285,1173l3332,1226m3332,1226l3367,1191m3367,1191l3405,1106m3405,1106l3440,1121m3440,1121l3487,1071m3487,1071l3522,1313m3522,1313l3560,1418m3560,1418l3595,1366m3595,1366l3642,1383m3642,1383l3677,1226m3677,1226l3715,1243e" filled="false" stroked="true" strokeweight="1pt" strokecolor="#835335">
              <v:path arrowok="t"/>
              <v:stroke dashstyle="solid"/>
            </v:shape>
            <v:line style="position:absolute" from="3705,1244" to="3760,1244" stroked="true" strokeweight="1.125pt" strokecolor="#835335">
              <v:stroke dashstyle="solid"/>
            </v:line>
            <v:shape style="position:absolute;left:3749;top:1225;width:155;height:88" coordorigin="3750,1226" coordsize="155,88" path="m3750,1243l3797,1226m3797,1226l3832,1278m3832,1278l3870,1313m3870,1313l3905,1243e" filled="false" stroked="true" strokeweight="1pt" strokecolor="#835335">
              <v:path arrowok="t"/>
              <v:stroke dashstyle="solid"/>
            </v:shape>
            <v:shape style="position:absolute;left:1044;top:1225;width:190;height:610" coordorigin="1045,1226" coordsize="190,610" path="m1045,1836l1080,1783m1080,1783l1117,1608m1117,1608l1152,1471m1152,1471l1200,1243m1200,1243l1235,1226e" filled="false" stroked="true" strokeweight="1pt" strokecolor="#f6bd61">
              <v:path arrowok="t"/>
              <v:stroke dashstyle="solid"/>
            </v:shape>
            <v:line style="position:absolute" from="1225,1227" to="1282,1227" stroked="true" strokeweight="1.125pt" strokecolor="#f6bd61">
              <v:stroke dashstyle="solid"/>
            </v:line>
            <v:shape style="position:absolute;left:1272;top:860;width:1013;height:905" coordorigin="1272,861" coordsize="1013,905" path="m1272,1226l1307,1348m1307,1348l1355,1471m1355,1471l1390,1488m1390,1488l1427,1766m1427,1766l1462,1556m1462,1556l1510,1471m1510,1471l1545,1453m1545,1453l1580,1208m1580,1208l1617,1261m1617,1261l1665,1106m1665,1106l1700,913m1700,913l1735,1018m1735,1018l1772,1088m1772,1088l1820,1243m1820,1243l1855,1313m1855,1313l1890,1173m1890,1173l1927,983m1927,983l1975,861m1975,861l2010,948m2010,948l2045,878m2045,878l2082,983m2082,983l2130,1226m2130,1226l2165,1278m2165,1278l2200,1573m2200,1573l2237,1591m2237,1591l2285,1626e" filled="false" stroked="true" strokeweight="1pt" strokecolor="#f6bd61">
              <v:path arrowok="t"/>
              <v:stroke dashstyle="solid"/>
            </v:shape>
            <v:line style="position:absolute" from="2275,1627" to="2330,1627" stroked="true" strokeweight="1.125pt" strokecolor="#f6bd61">
              <v:stroke dashstyle="solid"/>
            </v:line>
            <v:shape style="position:absolute;left:2319;top:1625;width:238;height:470" coordorigin="2320,1626" coordsize="238,470" path="m2320,1626l2355,1713m2355,1713l2392,1871m2392,1871l2440,1906m2440,1906l2475,2096m2475,2096l2510,1973m2510,1973l2557,1991e" filled="false" stroked="true" strokeweight="1pt" strokecolor="#f6bd61">
              <v:path arrowok="t"/>
              <v:stroke dashstyle="solid"/>
            </v:shape>
            <v:line style="position:absolute" from="2547,1992" to="2605,1992" stroked="true" strokeweight="1.125pt" strokecolor="#f6bd61">
              <v:stroke dashstyle="solid"/>
            </v:line>
            <v:shape style="position:absolute;left:2594;top:1348;width:690;height:643" coordorigin="2595,1348" coordsize="690,643" path="m2595,1991l2630,1713m2630,1713l2665,1678m2665,1678l2712,1591m2712,1591l2750,1488m2750,1488l2785,1538m2785,1538l2820,1418m2820,1418l2867,1383m2867,1383l2905,1366m2905,1366l2940,1436m2940,1436l2975,1538m2975,1538l3022,1506m3022,1506l3057,1591m3057,1591l3095,1573m3095,1573l3130,1626m3130,1626l3177,1591m3177,1591l3212,1418m3212,1418l3250,1401m3250,1401l3285,1348e" filled="false" stroked="true" strokeweight="1pt" strokecolor="#f6bd61">
              <v:path arrowok="t"/>
              <v:stroke dashstyle="solid"/>
            </v:shape>
            <v:line style="position:absolute" from="3275,1349" to="3342,1349" stroked="true" strokeweight="1.125pt" strokecolor="#f6bd61">
              <v:stroke dashstyle="solid"/>
            </v:line>
            <v:shape style="position:absolute;left:3332;top:1295;width:108;height:140" coordorigin="3332,1296" coordsize="108,140" path="m3332,1348l3367,1436m3367,1436l3405,1348m3405,1348l3440,1296e" filled="false" stroked="true" strokeweight="1pt" strokecolor="#f6bd61">
              <v:path arrowok="t"/>
              <v:stroke dashstyle="solid"/>
            </v:shape>
            <v:line style="position:absolute" from="3430,1297" to="3497,1297" stroked="true" strokeweight="1.125pt" strokecolor="#f6bd61">
              <v:stroke dashstyle="solid"/>
            </v:line>
            <v:shape style="position:absolute;left:3487;top:1243;width:190;height:140" coordorigin="3487,1243" coordsize="190,140" path="m3487,1296l3522,1243m3522,1243l3560,1313m3560,1313l3595,1348m3595,1348l3642,1383m3642,1383l3677,1296e" filled="false" stroked="true" strokeweight="1pt" strokecolor="#f6bd61">
              <v:path arrowok="t"/>
              <v:stroke dashstyle="solid"/>
            </v:shape>
            <v:shape style="position:absolute;left:3667;top:1296;width:93;height:2" coordorigin="3667,1297" coordsize="93,0" path="m3667,1297l3725,1297m3705,1297l3760,1297e" filled="false" stroked="true" strokeweight="1.125pt" strokecolor="#f6bd61">
              <v:path arrowok="t"/>
              <v:stroke dashstyle="solid"/>
            </v:shape>
            <v:shape style="position:absolute;left:3749;top:1225;width:155;height:140" coordorigin="3750,1226" coordsize="155,140" path="m3750,1296l3797,1226m3797,1226l3832,1366m3832,1366l3870,1348m3870,1348l3905,1296e" filled="false" stroked="true" strokeweight="1pt" strokecolor="#f6bd61">
              <v:path arrowok="t"/>
              <v:stroke dashstyle="solid"/>
            </v:shape>
            <v:shape style="position:absolute;left:1048;top:1797;width:2889;height:2" coordorigin="1049,1798" coordsize="2889,0" path="m3937,1798l1049,1798e" filled="true" fillcolor="#ffffff" stroked="false">
              <v:path arrowok="t"/>
              <v:fill type="solid"/>
            </v:shape>
            <v:line style="position:absolute" from="1049,1798" to="3937,1798" stroked="true" strokeweight=".5pt" strokecolor="#000000">
              <v:stroke dashstyle="solid"/>
            </v:line>
            <v:shape style="position:absolute;left:2124;top:1541;width:2;height:608" coordorigin="2125,1541" coordsize="0,608" path="m2125,1541l2125,2149e" filled="true" fillcolor="#ffffff" stroked="false">
              <v:path arrowok="t"/>
              <v:fill type="solid"/>
            </v:shape>
            <v:line style="position:absolute" from="2125,2149" to="2125,1541" stroked="true" strokeweight=".5pt" strokecolor="#000000">
              <v:stroke dashstyle="solid"/>
            </v:line>
            <v:shape style="position:absolute;left:2099;top:1473;width:51;height:85" coordorigin="2099,1474" coordsize="51,85" path="m2125,1474l2099,1558,2150,1558,2128,1493,2126,1482,2125,1474xe" filled="true" fillcolor="#000000" stroked="false">
              <v:path arrowok="t"/>
              <v:fill type="solid"/>
            </v:shape>
            <v:shape style="position:absolute;left:2155;top:183;width:1565;height:121" type="#_x0000_t202" filled="false" stroked="false">
              <v:textbox inset="0,0,0,0">
                <w:txbxContent>
                  <w:p>
                    <w:pPr>
                      <w:spacing w:line="116" w:lineRule="exact" w:before="0"/>
                      <w:ind w:left="0" w:right="0" w:firstLine="0"/>
                      <w:jc w:val="left"/>
                      <w:rPr>
                        <w:sz w:val="12"/>
                      </w:rPr>
                    </w:pPr>
                    <w:r>
                      <w:rPr>
                        <w:w w:val="105"/>
                        <w:sz w:val="12"/>
                      </w:rPr>
                      <w:t>Real household Divisia M4 (a)</w:t>
                    </w:r>
                  </w:p>
                </w:txbxContent>
              </v:textbox>
              <w10:wrap type="none"/>
            </v:shape>
            <v:shape style="position:absolute;left:1369;top:2178;width:951;height:121" type="#_x0000_t202" filled="false" stroked="false">
              <v:textbox inset="0,0,0,0">
                <w:txbxContent>
                  <w:p>
                    <w:pPr>
                      <w:spacing w:line="116" w:lineRule="exact" w:before="0"/>
                      <w:ind w:left="0" w:right="0" w:firstLine="0"/>
                      <w:jc w:val="left"/>
                      <w:rPr>
                        <w:sz w:val="12"/>
                      </w:rPr>
                    </w:pPr>
                    <w:r>
                      <w:rPr>
                        <w:w w:val="105"/>
                        <w:sz w:val="12"/>
                      </w:rPr>
                      <w:t>Real consumption</w:t>
                    </w:r>
                  </w:p>
                </w:txbxContent>
              </v:textbox>
              <w10:wrap type="none"/>
            </v:shape>
            <w10:wrap type="none"/>
          </v:group>
        </w:pict>
      </w:r>
      <w:r>
        <w:rPr/>
        <w:pict>
          <v:line style="position:absolute;mso-position-horizontal-relative:page;mso-position-vertical-relative:paragraph;z-index:15778304" from="46.614998pt,3.512107pt" to="42.280998pt,3.512107pt" stroked="true" strokeweight=".5pt" strokecolor="#000000">
            <v:stroke dashstyle="solid"/>
            <w10:wrap type="none"/>
          </v:line>
        </w:pict>
      </w:r>
      <w:r>
        <w:rPr/>
        <w:pict>
          <v:line style="position:absolute;mso-position-horizontal-relative:page;mso-position-vertical-relative:paragraph;z-index:15781888" from="205.796997pt,3.502107pt" to="201.462997pt,3.502107pt" stroked="true" strokeweight=".5pt" strokecolor="#000000">
            <v:stroke dashstyle="solid"/>
            <w10:wrap type="none"/>
          </v:line>
        </w:pict>
      </w:r>
      <w:r>
        <w:rPr>
          <w:w w:val="120"/>
          <w:sz w:val="12"/>
        </w:rPr>
        <w:t>15</w:t>
      </w:r>
    </w:p>
    <w:p>
      <w:pPr>
        <w:pStyle w:val="BodyText"/>
        <w:rPr>
          <w:sz w:val="12"/>
        </w:rPr>
      </w:pPr>
    </w:p>
    <w:p>
      <w:pPr>
        <w:pStyle w:val="BodyText"/>
        <w:rPr>
          <w:sz w:val="12"/>
        </w:rPr>
      </w:pPr>
    </w:p>
    <w:p>
      <w:pPr>
        <w:pStyle w:val="BodyText"/>
        <w:rPr>
          <w:sz w:val="14"/>
        </w:rPr>
      </w:pPr>
    </w:p>
    <w:p>
      <w:pPr>
        <w:spacing w:before="0"/>
        <w:ind w:left="3544" w:right="0" w:firstLine="0"/>
        <w:jc w:val="left"/>
        <w:rPr>
          <w:sz w:val="12"/>
        </w:rPr>
      </w:pPr>
      <w:r>
        <w:rPr/>
        <w:pict>
          <v:line style="position:absolute;mso-position-horizontal-relative:page;mso-position-vertical-relative:paragraph;z-index:15778816" from="46.614998pt,4.54399pt" to="42.280998pt,4.54399pt" stroked="true" strokeweight=".5pt" strokecolor="#000000">
            <v:stroke dashstyle="solid"/>
            <w10:wrap type="none"/>
          </v:line>
        </w:pict>
      </w:r>
      <w:r>
        <w:rPr/>
        <w:pict>
          <v:line style="position:absolute;mso-position-horizontal-relative:page;mso-position-vertical-relative:paragraph;z-index:15782400" from="205.796997pt,4.53399pt" to="201.462997pt,4.53399pt" stroked="true" strokeweight=".5pt" strokecolor="#000000">
            <v:stroke dashstyle="solid"/>
            <w10:wrap type="none"/>
          </v:line>
        </w:pict>
      </w:r>
      <w:r>
        <w:rPr>
          <w:w w:val="120"/>
          <w:sz w:val="12"/>
        </w:rPr>
        <w:t>10</w:t>
      </w:r>
    </w:p>
    <w:p>
      <w:pPr>
        <w:pStyle w:val="BodyText"/>
        <w:rPr>
          <w:sz w:val="12"/>
        </w:rPr>
      </w:pPr>
    </w:p>
    <w:p>
      <w:pPr>
        <w:pStyle w:val="BodyText"/>
        <w:rPr>
          <w:sz w:val="12"/>
        </w:rPr>
      </w:pPr>
    </w:p>
    <w:p>
      <w:pPr>
        <w:pStyle w:val="BodyText"/>
        <w:spacing w:before="9"/>
        <w:rPr>
          <w:sz w:val="13"/>
        </w:rPr>
      </w:pPr>
    </w:p>
    <w:p>
      <w:pPr>
        <w:spacing w:before="0"/>
        <w:ind w:left="3615" w:right="0" w:firstLine="0"/>
        <w:jc w:val="left"/>
        <w:rPr>
          <w:sz w:val="12"/>
        </w:rPr>
      </w:pPr>
      <w:r>
        <w:rPr/>
        <w:pict>
          <v:line style="position:absolute;mso-position-horizontal-relative:page;mso-position-vertical-relative:paragraph;z-index:15779328" from="46.614998pt,4.876685pt" to="42.280998pt,4.876685pt" stroked="true" strokeweight=".5pt" strokecolor="#000000">
            <v:stroke dashstyle="solid"/>
            <w10:wrap type="none"/>
          </v:line>
        </w:pict>
      </w:r>
      <w:r>
        <w:rPr/>
        <w:pict>
          <v:line style="position:absolute;mso-position-horizontal-relative:page;mso-position-vertical-relative:paragraph;z-index:15782912" from="205.796997pt,4.866684pt" to="201.462997pt,4.866684pt" stroked="true" strokeweight=".5pt" strokecolor="#000000">
            <v:stroke dashstyle="solid"/>
            <w10:wrap type="none"/>
          </v:line>
        </w:pict>
      </w:r>
      <w:r>
        <w:rPr>
          <w:w w:val="121"/>
          <w:sz w:val="12"/>
        </w:rPr>
        <w:t>5</w:t>
      </w:r>
    </w:p>
    <w:p>
      <w:pPr>
        <w:pStyle w:val="BodyText"/>
        <w:rPr>
          <w:sz w:val="13"/>
        </w:rPr>
      </w:pPr>
    </w:p>
    <w:p>
      <w:pPr>
        <w:spacing w:before="1"/>
        <w:ind w:left="3436" w:right="0" w:firstLine="0"/>
        <w:jc w:val="left"/>
        <w:rPr>
          <w:sz w:val="16"/>
        </w:rPr>
      </w:pPr>
      <w:r>
        <w:rPr>
          <w:w w:val="107"/>
          <w:sz w:val="16"/>
        </w:rPr>
        <w:t>+</w:t>
      </w:r>
    </w:p>
    <w:p>
      <w:pPr>
        <w:spacing w:before="120"/>
        <w:ind w:left="3615" w:right="0" w:firstLine="0"/>
        <w:jc w:val="left"/>
        <w:rPr>
          <w:sz w:val="12"/>
        </w:rPr>
      </w:pPr>
      <w:r>
        <w:rPr/>
        <w:pict>
          <v:line style="position:absolute;mso-position-horizontal-relative:page;mso-position-vertical-relative:paragraph;z-index:15779840" from="46.614998pt,9.959684pt" to="42.280998pt,9.959684pt" stroked="true" strokeweight=".5pt" strokecolor="#000000">
            <v:stroke dashstyle="solid"/>
            <w10:wrap type="none"/>
          </v:line>
        </w:pict>
      </w:r>
      <w:r>
        <w:rPr/>
        <w:pict>
          <v:line style="position:absolute;mso-position-horizontal-relative:page;mso-position-vertical-relative:paragraph;z-index:15783424" from="205.796997pt,9.959684pt" to="201.462997pt,9.959684pt" stroked="true" strokeweight=".5pt" strokecolor="#000000">
            <v:stroke dashstyle="solid"/>
            <w10:wrap type="none"/>
          </v:line>
        </w:pict>
      </w:r>
      <w:r>
        <w:rPr>
          <w:w w:val="121"/>
          <w:sz w:val="12"/>
        </w:rPr>
        <w:t>0</w:t>
      </w:r>
    </w:p>
    <w:p>
      <w:pPr>
        <w:spacing w:before="88"/>
        <w:ind w:left="3436" w:right="0" w:firstLine="0"/>
        <w:jc w:val="left"/>
        <w:rPr>
          <w:sz w:val="16"/>
        </w:rPr>
      </w:pPr>
      <w:r>
        <w:rPr>
          <w:w w:val="117"/>
          <w:sz w:val="16"/>
        </w:rPr>
        <w:t>–</w:t>
      </w:r>
    </w:p>
    <w:p>
      <w:pPr>
        <w:pStyle w:val="BodyText"/>
        <w:spacing w:before="4"/>
        <w:rPr>
          <w:sz w:val="14"/>
        </w:rPr>
      </w:pPr>
    </w:p>
    <w:p>
      <w:pPr>
        <w:spacing w:before="1"/>
        <w:ind w:left="3615" w:right="0" w:firstLine="0"/>
        <w:jc w:val="left"/>
        <w:rPr>
          <w:sz w:val="12"/>
        </w:rPr>
      </w:pPr>
      <w:r>
        <w:rPr/>
        <w:pict>
          <v:line style="position:absolute;mso-position-horizontal-relative:page;mso-position-vertical-relative:paragraph;z-index:15780352" from="46.614998pt,3.531502pt" to="42.280998pt,3.531502pt" stroked="true" strokeweight=".5pt" strokecolor="#000000">
            <v:stroke dashstyle="solid"/>
            <w10:wrap type="none"/>
          </v:line>
        </w:pict>
      </w:r>
      <w:r>
        <w:rPr/>
        <w:pict>
          <v:line style="position:absolute;mso-position-horizontal-relative:page;mso-position-vertical-relative:paragraph;z-index:15783936" from="205.796997pt,3.521502pt" to="201.462997pt,3.521502pt" stroked="true" strokeweight=".5pt" strokecolor="#000000">
            <v:stroke dashstyle="solid"/>
            <w10:wrap type="none"/>
          </v:line>
        </w:pict>
      </w:r>
      <w:r>
        <w:rPr>
          <w:w w:val="121"/>
          <w:sz w:val="12"/>
        </w:rPr>
        <w:t>5</w:t>
      </w:r>
    </w:p>
    <w:p>
      <w:pPr>
        <w:pStyle w:val="BodyText"/>
        <w:rPr>
          <w:sz w:val="12"/>
        </w:rPr>
      </w:pPr>
    </w:p>
    <w:p>
      <w:pPr>
        <w:pStyle w:val="BodyText"/>
        <w:rPr>
          <w:sz w:val="12"/>
        </w:rPr>
      </w:pPr>
    </w:p>
    <w:p>
      <w:pPr>
        <w:pStyle w:val="BodyText"/>
        <w:spacing w:before="8"/>
        <w:rPr>
          <w:sz w:val="13"/>
        </w:rPr>
      </w:pPr>
    </w:p>
    <w:p>
      <w:pPr>
        <w:spacing w:before="1"/>
        <w:ind w:left="3544" w:right="0" w:firstLine="0"/>
        <w:jc w:val="left"/>
        <w:rPr>
          <w:sz w:val="12"/>
        </w:rPr>
      </w:pPr>
      <w:r>
        <w:rPr/>
        <w:pict>
          <v:line style="position:absolute;mso-position-horizontal-relative:page;mso-position-vertical-relative:paragraph;z-index:15780864" from="46.614998pt,4.613563pt" to="42.280998pt,4.613563pt" stroked="true" strokeweight=".5pt" strokecolor="#000000">
            <v:stroke dashstyle="solid"/>
            <w10:wrap type="none"/>
          </v:line>
        </w:pict>
      </w:r>
      <w:r>
        <w:rPr/>
        <w:pict>
          <v:group style="position:absolute;margin-left:51.582001pt;margin-top:2.026562pt;width:144.4pt;height:3.05pt;mso-position-horizontal-relative:page;mso-position-vertical-relative:paragraph;z-index:15781376" coordorigin="1032,41" coordsize="2888,61">
            <v:shape style="position:absolute;left:1040;top:40;width:2782;height:54" coordorigin="1040,41" coordsize="2782,54" path="m1040,41l1040,94m1356,41l1356,94m1652,41l1652,94m2898,41l2898,94m1970,41l1970,94m2270,41l2270,94m2582,41l2582,94m3210,41l3210,94m3518,41l3518,94m3822,41l3822,94e" filled="false" stroked="true" strokeweight=".5pt" strokecolor="#000000">
              <v:path arrowok="t"/>
              <v:stroke dashstyle="solid"/>
            </v:shape>
            <v:line style="position:absolute" from="1032,96" to="3920,96" stroked="true" strokeweight=".5pt" strokecolor="#000000">
              <v:stroke dashstyle="solid"/>
            </v:line>
            <w10:wrap type="none"/>
          </v:group>
        </w:pict>
      </w:r>
      <w:r>
        <w:rPr/>
        <w:pict>
          <v:line style="position:absolute;mso-position-horizontal-relative:page;mso-position-vertical-relative:paragraph;z-index:15784448" from="205.796997pt,4.603562pt" to="201.462997pt,4.603562pt" stroked="true" strokeweight=".5pt" strokecolor="#000000">
            <v:stroke dashstyle="solid"/>
            <w10:wrap type="none"/>
          </v:line>
        </w:pict>
      </w:r>
      <w:r>
        <w:rPr>
          <w:w w:val="120"/>
          <w:sz w:val="12"/>
        </w:rPr>
        <w:t>10</w:t>
      </w:r>
    </w:p>
    <w:p>
      <w:pPr>
        <w:spacing w:before="14"/>
        <w:ind w:left="289" w:right="0" w:firstLine="0"/>
        <w:jc w:val="left"/>
        <w:rPr>
          <w:sz w:val="12"/>
        </w:rPr>
      </w:pPr>
      <w:r>
        <w:rPr>
          <w:w w:val="120"/>
          <w:sz w:val="12"/>
        </w:rPr>
        <w:t>1982 84 86 88 90 92 94 96 98 2000</w:t>
      </w:r>
    </w:p>
    <w:p>
      <w:pPr>
        <w:pStyle w:val="BodyText"/>
        <w:spacing w:before="3"/>
        <w:rPr>
          <w:sz w:val="13"/>
        </w:rPr>
      </w:pPr>
    </w:p>
    <w:p>
      <w:pPr>
        <w:spacing w:before="1"/>
        <w:ind w:left="168" w:right="0" w:firstLine="0"/>
        <w:jc w:val="left"/>
        <w:rPr>
          <w:sz w:val="12"/>
        </w:rPr>
      </w:pPr>
      <w:r>
        <w:rPr>
          <w:w w:val="105"/>
          <w:sz w:val="12"/>
        </w:rPr>
        <w:t>Sources: ONS and Bank of England.</w:t>
      </w:r>
    </w:p>
    <w:p>
      <w:pPr>
        <w:spacing w:before="102"/>
        <w:ind w:left="168" w:right="0" w:firstLine="0"/>
        <w:jc w:val="left"/>
        <w:rPr>
          <w:sz w:val="12"/>
        </w:rPr>
      </w:pPr>
      <w:r>
        <w:rPr>
          <w:w w:val="110"/>
          <w:sz w:val="12"/>
        </w:rPr>
        <w:t>(a) Deflated by the consumer expenditure deflator.</w:t>
      </w: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105"/>
        <w:ind w:left="188"/>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1.5</w:t>
      </w:r>
    </w:p>
    <w:p>
      <w:pPr>
        <w:spacing w:line="247" w:lineRule="auto" w:before="8"/>
        <w:ind w:left="188" w:right="0" w:firstLine="0"/>
        <w:jc w:val="left"/>
        <w:rPr>
          <w:rFonts w:ascii="Trebuchet MS"/>
          <w:b/>
          <w:sz w:val="20"/>
        </w:rPr>
      </w:pPr>
      <w:r>
        <w:rPr>
          <w:rFonts w:ascii="Trebuchet MS"/>
          <w:b/>
          <w:color w:val="89C6DC"/>
          <w:w w:val="95"/>
          <w:sz w:val="20"/>
        </w:rPr>
        <w:t>Secured</w:t>
      </w:r>
      <w:r>
        <w:rPr>
          <w:rFonts w:ascii="Trebuchet MS"/>
          <w:b/>
          <w:color w:val="89C6DC"/>
          <w:spacing w:val="-16"/>
          <w:w w:val="95"/>
          <w:sz w:val="20"/>
        </w:rPr>
        <w:t> </w:t>
      </w:r>
      <w:r>
        <w:rPr>
          <w:rFonts w:ascii="Trebuchet MS"/>
          <w:b/>
          <w:color w:val="89C6DC"/>
          <w:w w:val="95"/>
          <w:sz w:val="20"/>
        </w:rPr>
        <w:t>lending</w:t>
      </w:r>
      <w:r>
        <w:rPr>
          <w:rFonts w:ascii="Trebuchet MS"/>
          <w:b/>
          <w:color w:val="89C6DC"/>
          <w:spacing w:val="-15"/>
          <w:w w:val="95"/>
          <w:sz w:val="20"/>
        </w:rPr>
        <w:t> </w:t>
      </w:r>
      <w:r>
        <w:rPr>
          <w:rFonts w:ascii="Trebuchet MS"/>
          <w:b/>
          <w:color w:val="89C6DC"/>
          <w:w w:val="95"/>
          <w:sz w:val="20"/>
        </w:rPr>
        <w:t>to</w:t>
      </w:r>
      <w:r>
        <w:rPr>
          <w:rFonts w:ascii="Trebuchet MS"/>
          <w:b/>
          <w:color w:val="89C6DC"/>
          <w:spacing w:val="-15"/>
          <w:w w:val="95"/>
          <w:sz w:val="20"/>
        </w:rPr>
        <w:t> </w:t>
      </w:r>
      <w:r>
        <w:rPr>
          <w:rFonts w:ascii="Trebuchet MS"/>
          <w:b/>
          <w:color w:val="89C6DC"/>
          <w:w w:val="95"/>
          <w:sz w:val="20"/>
        </w:rPr>
        <w:t>individuals</w:t>
      </w:r>
      <w:r>
        <w:rPr>
          <w:rFonts w:ascii="Trebuchet MS"/>
          <w:b/>
          <w:color w:val="89C6DC"/>
          <w:spacing w:val="-15"/>
          <w:w w:val="95"/>
          <w:sz w:val="20"/>
        </w:rPr>
        <w:t> </w:t>
      </w:r>
      <w:r>
        <w:rPr>
          <w:rFonts w:ascii="Trebuchet MS"/>
          <w:b/>
          <w:color w:val="89C6DC"/>
          <w:w w:val="95"/>
          <w:sz w:val="20"/>
        </w:rPr>
        <w:t>and</w:t>
      </w:r>
      <w:r>
        <w:rPr>
          <w:rFonts w:ascii="Trebuchet MS"/>
          <w:b/>
          <w:color w:val="89C6DC"/>
          <w:spacing w:val="-15"/>
          <w:w w:val="95"/>
          <w:sz w:val="20"/>
        </w:rPr>
        <w:t> </w:t>
      </w:r>
      <w:r>
        <w:rPr>
          <w:rFonts w:ascii="Trebuchet MS"/>
          <w:b/>
          <w:color w:val="89C6DC"/>
          <w:w w:val="95"/>
          <w:sz w:val="20"/>
        </w:rPr>
        <w:t>loans </w:t>
      </w:r>
      <w:r>
        <w:rPr>
          <w:rFonts w:ascii="Trebuchet MS"/>
          <w:b/>
          <w:color w:val="89C6DC"/>
          <w:sz w:val="20"/>
        </w:rPr>
        <w:t>approved</w:t>
      </w:r>
    </w:p>
    <w:p>
      <w:pPr>
        <w:pStyle w:val="BodyText"/>
        <w:spacing w:before="1"/>
        <w:rPr>
          <w:rFonts w:ascii="Trebuchet MS"/>
          <w:b/>
          <w:sz w:val="21"/>
        </w:rPr>
      </w:pPr>
      <w:r>
        <w:rPr/>
        <w:br w:type="column"/>
      </w:r>
      <w:r>
        <w:rPr>
          <w:rFonts w:ascii="Trebuchet MS"/>
          <w:b/>
          <w:sz w:val="21"/>
        </w:rPr>
      </w:r>
    </w:p>
    <w:p>
      <w:pPr>
        <w:pStyle w:val="BodyText"/>
        <w:spacing w:line="292" w:lineRule="auto"/>
        <w:ind w:left="168" w:right="154"/>
      </w:pPr>
      <w:r>
        <w:rPr>
          <w:w w:val="110"/>
        </w:rPr>
        <w:t>only</w:t>
      </w:r>
      <w:r>
        <w:rPr>
          <w:spacing w:val="-22"/>
          <w:w w:val="110"/>
        </w:rPr>
        <w:t> </w:t>
      </w:r>
      <w:r>
        <w:rPr>
          <w:w w:val="110"/>
        </w:rPr>
        <w:t>available</w:t>
      </w:r>
      <w:r>
        <w:rPr>
          <w:spacing w:val="-21"/>
          <w:w w:val="110"/>
        </w:rPr>
        <w:t> </w:t>
      </w:r>
      <w:r>
        <w:rPr>
          <w:spacing w:val="-4"/>
          <w:w w:val="110"/>
        </w:rPr>
        <w:t>to</w:t>
      </w:r>
      <w:r>
        <w:rPr>
          <w:spacing w:val="-21"/>
          <w:w w:val="110"/>
        </w:rPr>
        <w:t> </w:t>
      </w:r>
      <w:r>
        <w:rPr>
          <w:spacing w:val="-4"/>
          <w:w w:val="110"/>
        </w:rPr>
        <w:t>2000</w:t>
      </w:r>
      <w:r>
        <w:rPr>
          <w:spacing w:val="-21"/>
          <w:w w:val="110"/>
        </w:rPr>
        <w:t> </w:t>
      </w:r>
      <w:r>
        <w:rPr>
          <w:w w:val="110"/>
        </w:rPr>
        <w:t>Q3:</w:t>
      </w:r>
      <w:r>
        <w:rPr>
          <w:spacing w:val="14"/>
          <w:w w:val="110"/>
        </w:rPr>
        <w:t> </w:t>
      </w:r>
      <w:r>
        <w:rPr>
          <w:w w:val="110"/>
        </w:rPr>
        <w:t>nominal</w:t>
      </w:r>
      <w:r>
        <w:rPr>
          <w:spacing w:val="-21"/>
          <w:w w:val="110"/>
        </w:rPr>
        <w:t> </w:t>
      </w:r>
      <w:r>
        <w:rPr>
          <w:w w:val="110"/>
        </w:rPr>
        <w:t>household</w:t>
      </w:r>
      <w:r>
        <w:rPr>
          <w:spacing w:val="-21"/>
          <w:w w:val="110"/>
        </w:rPr>
        <w:t> </w:t>
      </w:r>
      <w:r>
        <w:rPr>
          <w:w w:val="110"/>
        </w:rPr>
        <w:t>Divisia</w:t>
      </w:r>
      <w:r>
        <w:rPr>
          <w:spacing w:val="-22"/>
          <w:w w:val="110"/>
        </w:rPr>
        <w:t> </w:t>
      </w:r>
      <w:r>
        <w:rPr>
          <w:w w:val="110"/>
        </w:rPr>
        <w:t>M4 </w:t>
      </w:r>
      <w:r>
        <w:rPr>
          <w:spacing w:val="-2"/>
          <w:w w:val="110"/>
        </w:rPr>
        <w:t>growth </w:t>
      </w:r>
      <w:r>
        <w:rPr>
          <w:w w:val="110"/>
        </w:rPr>
        <w:t>eased in Q4, suggesting that the pace of nominal consumption </w:t>
      </w:r>
      <w:r>
        <w:rPr>
          <w:spacing w:val="-2"/>
          <w:w w:val="110"/>
        </w:rPr>
        <w:t>growth </w:t>
      </w:r>
      <w:r>
        <w:rPr>
          <w:w w:val="110"/>
        </w:rPr>
        <w:t>is</w:t>
      </w:r>
      <w:r>
        <w:rPr>
          <w:spacing w:val="-20"/>
          <w:w w:val="110"/>
        </w:rPr>
        <w:t> </w:t>
      </w:r>
      <w:r>
        <w:rPr>
          <w:w w:val="110"/>
        </w:rPr>
        <w:t>moderating.</w:t>
      </w:r>
    </w:p>
    <w:p>
      <w:pPr>
        <w:pStyle w:val="BodyText"/>
        <w:spacing w:before="2"/>
        <w:rPr>
          <w:sz w:val="24"/>
        </w:rPr>
      </w:pPr>
    </w:p>
    <w:p>
      <w:pPr>
        <w:pStyle w:val="BodyText"/>
        <w:spacing w:line="292" w:lineRule="auto" w:before="1"/>
        <w:ind w:left="168" w:right="154"/>
      </w:pPr>
      <w:r>
        <w:rPr>
          <w:spacing w:val="-5"/>
          <w:w w:val="110"/>
        </w:rPr>
        <w:t>Total </w:t>
      </w:r>
      <w:r>
        <w:rPr>
          <w:w w:val="110"/>
        </w:rPr>
        <w:t>lending </w:t>
      </w:r>
      <w:r>
        <w:rPr>
          <w:spacing w:val="-4"/>
          <w:w w:val="110"/>
        </w:rPr>
        <w:t>to </w:t>
      </w:r>
      <w:r>
        <w:rPr>
          <w:w w:val="110"/>
        </w:rPr>
        <w:t>individuals </w:t>
      </w:r>
      <w:r>
        <w:rPr>
          <w:spacing w:val="-3"/>
          <w:w w:val="110"/>
        </w:rPr>
        <w:t>by </w:t>
      </w:r>
      <w:r>
        <w:rPr>
          <w:w w:val="110"/>
        </w:rPr>
        <w:t>banks, building societies and other specialist lenders continues </w:t>
      </w:r>
      <w:r>
        <w:rPr>
          <w:spacing w:val="-4"/>
          <w:w w:val="110"/>
        </w:rPr>
        <w:t>to </w:t>
      </w:r>
      <w:r>
        <w:rPr>
          <w:w w:val="110"/>
        </w:rPr>
        <w:t>rise </w:t>
      </w:r>
      <w:r>
        <w:rPr>
          <w:spacing w:val="-4"/>
          <w:w w:val="110"/>
        </w:rPr>
        <w:t>rapidly, </w:t>
      </w:r>
      <w:r>
        <w:rPr>
          <w:w w:val="110"/>
        </w:rPr>
        <w:t>although the pace has </w:t>
      </w:r>
      <w:r>
        <w:rPr>
          <w:spacing w:val="-2"/>
          <w:w w:val="110"/>
        </w:rPr>
        <w:t>slowed </w:t>
      </w:r>
      <w:r>
        <w:rPr>
          <w:w w:val="110"/>
        </w:rPr>
        <w:t>a little from its peak last </w:t>
      </w:r>
      <w:r>
        <w:rPr>
          <w:spacing w:val="-4"/>
          <w:w w:val="110"/>
        </w:rPr>
        <w:t>year. </w:t>
      </w:r>
      <w:r>
        <w:rPr>
          <w:w w:val="110"/>
        </w:rPr>
        <w:t>Both secured and unsecured borrowing growth remain strong. Rapid borrowing growth in recent </w:t>
      </w:r>
      <w:r>
        <w:rPr>
          <w:spacing w:val="-3"/>
          <w:w w:val="110"/>
        </w:rPr>
        <w:t>years </w:t>
      </w:r>
      <w:r>
        <w:rPr>
          <w:w w:val="110"/>
        </w:rPr>
        <w:t>has been associated with a </w:t>
      </w:r>
      <w:r>
        <w:rPr>
          <w:spacing w:val="-2"/>
          <w:w w:val="110"/>
        </w:rPr>
        <w:t>marked </w:t>
      </w:r>
      <w:r>
        <w:rPr>
          <w:w w:val="110"/>
        </w:rPr>
        <w:t>decline in the saving ratio.</w:t>
      </w:r>
    </w:p>
    <w:p>
      <w:pPr>
        <w:pStyle w:val="BodyText"/>
        <w:rPr>
          <w:sz w:val="24"/>
        </w:rPr>
      </w:pPr>
    </w:p>
    <w:p>
      <w:pPr>
        <w:pStyle w:val="BodyText"/>
        <w:spacing w:line="292" w:lineRule="auto"/>
        <w:ind w:left="168" w:right="235"/>
      </w:pPr>
      <w:r>
        <w:rPr>
          <w:w w:val="105"/>
        </w:rPr>
        <w:t>Secured lending growth remains robust, though continues </w:t>
      </w:r>
      <w:r>
        <w:rPr>
          <w:spacing w:val="-4"/>
          <w:w w:val="105"/>
        </w:rPr>
        <w:t>to </w:t>
      </w:r>
      <w:r>
        <w:rPr>
          <w:spacing w:val="-3"/>
          <w:w w:val="105"/>
        </w:rPr>
        <w:t>moderate </w:t>
      </w:r>
      <w:r>
        <w:rPr>
          <w:w w:val="105"/>
        </w:rPr>
        <w:t>from its peak during last </w:t>
      </w:r>
      <w:r>
        <w:rPr>
          <w:spacing w:val="-4"/>
          <w:w w:val="105"/>
        </w:rPr>
        <w:t>year. </w:t>
      </w:r>
      <w:r>
        <w:rPr>
          <w:w w:val="105"/>
        </w:rPr>
        <w:t>For most of last </w:t>
      </w:r>
      <w:r>
        <w:rPr>
          <w:spacing w:val="-4"/>
          <w:w w:val="105"/>
        </w:rPr>
        <w:t>year, </w:t>
      </w:r>
      <w:r>
        <w:rPr>
          <w:w w:val="105"/>
        </w:rPr>
        <w:t>secured loan approvals </w:t>
      </w:r>
      <w:r>
        <w:rPr>
          <w:spacing w:val="-3"/>
          <w:w w:val="105"/>
        </w:rPr>
        <w:t>were </w:t>
      </w:r>
      <w:r>
        <w:rPr>
          <w:w w:val="105"/>
        </w:rPr>
        <w:t>below gross new secured lending, leading </w:t>
      </w:r>
      <w:r>
        <w:rPr>
          <w:spacing w:val="-4"/>
          <w:w w:val="105"/>
        </w:rPr>
        <w:t>to </w:t>
      </w:r>
      <w:r>
        <w:rPr>
          <w:w w:val="105"/>
        </w:rPr>
        <w:t>a rundown of the stock of unused mortgage approvals that had built up in </w:t>
      </w:r>
      <w:r>
        <w:rPr>
          <w:spacing w:val="-15"/>
          <w:w w:val="105"/>
        </w:rPr>
        <w:t>1999  </w:t>
      </w:r>
      <w:r>
        <w:rPr>
          <w:w w:val="105"/>
        </w:rPr>
        <w:t>(see Chart 1.5).  But in  </w:t>
      </w:r>
      <w:r>
        <w:rPr>
          <w:spacing w:val="-4"/>
          <w:w w:val="105"/>
        </w:rPr>
        <w:t>2000 </w:t>
      </w:r>
      <w:r>
        <w:rPr>
          <w:w w:val="105"/>
        </w:rPr>
        <w:t>Q4, the number and value of loan approvals picked up. That is likely </w:t>
      </w:r>
      <w:r>
        <w:rPr>
          <w:spacing w:val="-4"/>
          <w:w w:val="105"/>
        </w:rPr>
        <w:t>to </w:t>
      </w:r>
      <w:r>
        <w:rPr>
          <w:w w:val="105"/>
        </w:rPr>
        <w:t>support future secured borrowing and housing </w:t>
      </w:r>
      <w:r>
        <w:rPr>
          <w:spacing w:val="-2"/>
          <w:w w:val="105"/>
        </w:rPr>
        <w:t>market</w:t>
      </w:r>
      <w:r>
        <w:rPr>
          <w:spacing w:val="-3"/>
          <w:w w:val="105"/>
        </w:rPr>
        <w:t> </w:t>
      </w:r>
      <w:r>
        <w:rPr>
          <w:spacing w:val="-4"/>
          <w:w w:val="105"/>
        </w:rPr>
        <w:t>activity.</w:t>
      </w:r>
    </w:p>
    <w:p>
      <w:pPr>
        <w:pStyle w:val="BodyText"/>
        <w:spacing w:before="11"/>
        <w:rPr>
          <w:sz w:val="23"/>
        </w:rPr>
      </w:pPr>
    </w:p>
    <w:p>
      <w:pPr>
        <w:pStyle w:val="BodyText"/>
        <w:spacing w:line="292" w:lineRule="auto"/>
        <w:ind w:left="168" w:right="340"/>
      </w:pPr>
      <w:r>
        <w:rPr>
          <w:w w:val="110"/>
        </w:rPr>
        <w:t>That part of secured lending not used </w:t>
      </w:r>
      <w:r>
        <w:rPr>
          <w:spacing w:val="-4"/>
          <w:w w:val="110"/>
        </w:rPr>
        <w:t>to </w:t>
      </w:r>
      <w:r>
        <w:rPr>
          <w:w w:val="110"/>
        </w:rPr>
        <w:t>fund </w:t>
      </w:r>
      <w:r>
        <w:rPr>
          <w:spacing w:val="-3"/>
          <w:w w:val="110"/>
        </w:rPr>
        <w:t>investment </w:t>
      </w:r>
      <w:r>
        <w:rPr>
          <w:w w:val="110"/>
        </w:rPr>
        <w:t>in housing is known as mortgage </w:t>
      </w:r>
      <w:r>
        <w:rPr>
          <w:spacing w:val="-3"/>
          <w:w w:val="110"/>
        </w:rPr>
        <w:t>equity </w:t>
      </w:r>
      <w:r>
        <w:rPr>
          <w:w w:val="110"/>
        </w:rPr>
        <w:t>withdrawal (MEW).</w:t>
      </w:r>
    </w:p>
    <w:p>
      <w:pPr>
        <w:spacing w:after="0" w:line="292" w:lineRule="auto"/>
        <w:sectPr>
          <w:type w:val="continuous"/>
          <w:pgSz w:w="11900" w:h="16840"/>
          <w:pgMar w:top="1260" w:bottom="280" w:left="640" w:right="640"/>
          <w:cols w:num="2" w:equalWidth="0">
            <w:col w:w="3746" w:space="1185"/>
            <w:col w:w="5689"/>
          </w:cols>
        </w:sectPr>
      </w:pPr>
    </w:p>
    <w:p>
      <w:pPr>
        <w:spacing w:before="13"/>
        <w:ind w:left="219" w:right="0" w:firstLine="0"/>
        <w:jc w:val="left"/>
        <w:rPr>
          <w:sz w:val="12"/>
        </w:rPr>
      </w:pPr>
      <w:r>
        <w:rPr>
          <w:w w:val="115"/>
          <w:sz w:val="12"/>
        </w:rPr>
        <w:t>2.0</w:t>
      </w:r>
    </w:p>
    <w:p>
      <w:pPr>
        <w:pStyle w:val="BodyText"/>
        <w:rPr>
          <w:sz w:val="12"/>
        </w:rPr>
      </w:pPr>
    </w:p>
    <w:p>
      <w:pPr>
        <w:pStyle w:val="BodyText"/>
        <w:spacing w:before="9"/>
        <w:rPr>
          <w:sz w:val="17"/>
        </w:rPr>
      </w:pPr>
    </w:p>
    <w:p>
      <w:pPr>
        <w:spacing w:before="0"/>
        <w:ind w:left="219" w:right="0" w:firstLine="0"/>
        <w:jc w:val="left"/>
        <w:rPr>
          <w:sz w:val="12"/>
        </w:rPr>
      </w:pPr>
      <w:r>
        <w:rPr>
          <w:w w:val="115"/>
          <w:sz w:val="12"/>
        </w:rPr>
        <w:t>1.5</w:t>
      </w:r>
    </w:p>
    <w:p>
      <w:pPr>
        <w:pStyle w:val="BodyText"/>
        <w:rPr>
          <w:sz w:val="12"/>
        </w:rPr>
      </w:pPr>
    </w:p>
    <w:p>
      <w:pPr>
        <w:pStyle w:val="BodyText"/>
        <w:spacing w:before="9"/>
        <w:rPr>
          <w:sz w:val="17"/>
        </w:rPr>
      </w:pPr>
    </w:p>
    <w:p>
      <w:pPr>
        <w:spacing w:before="0"/>
        <w:ind w:left="219" w:right="0" w:firstLine="0"/>
        <w:jc w:val="left"/>
        <w:rPr>
          <w:sz w:val="12"/>
        </w:rPr>
      </w:pPr>
      <w:r>
        <w:rPr>
          <w:w w:val="115"/>
          <w:sz w:val="12"/>
        </w:rPr>
        <w:t>1.0</w:t>
      </w:r>
    </w:p>
    <w:p>
      <w:pPr>
        <w:pStyle w:val="BodyText"/>
        <w:rPr>
          <w:sz w:val="12"/>
        </w:rPr>
      </w:pPr>
    </w:p>
    <w:p>
      <w:pPr>
        <w:pStyle w:val="BodyText"/>
        <w:spacing w:before="9"/>
        <w:rPr>
          <w:sz w:val="17"/>
        </w:rPr>
      </w:pPr>
    </w:p>
    <w:p>
      <w:pPr>
        <w:spacing w:before="1"/>
        <w:ind w:left="219" w:right="0" w:firstLine="0"/>
        <w:jc w:val="left"/>
        <w:rPr>
          <w:sz w:val="12"/>
        </w:rPr>
      </w:pPr>
      <w:r>
        <w:rPr>
          <w:w w:val="115"/>
          <w:sz w:val="12"/>
        </w:rPr>
        <w:t>0.5</w:t>
      </w:r>
    </w:p>
    <w:p>
      <w:pPr>
        <w:spacing w:line="59" w:lineRule="exact" w:before="0"/>
        <w:ind w:left="-11" w:right="0" w:firstLine="0"/>
        <w:jc w:val="left"/>
        <w:rPr>
          <w:sz w:val="12"/>
        </w:rPr>
      </w:pPr>
      <w:r>
        <w:rPr/>
        <w:br w:type="column"/>
      </w:r>
      <w:r>
        <w:rPr>
          <w:w w:val="115"/>
          <w:sz w:val="12"/>
        </w:rPr>
        <w:t>£</w:t>
      </w:r>
      <w:r>
        <w:rPr>
          <w:spacing w:val="-18"/>
          <w:w w:val="115"/>
          <w:sz w:val="12"/>
        </w:rPr>
        <w:t> </w:t>
      </w:r>
      <w:r>
        <w:rPr>
          <w:spacing w:val="-3"/>
          <w:w w:val="115"/>
          <w:sz w:val="12"/>
        </w:rPr>
        <w:t>billions</w:t>
      </w:r>
    </w:p>
    <w:p>
      <w:pPr>
        <w:pStyle w:val="BodyText"/>
        <w:spacing w:before="10"/>
        <w:rPr>
          <w:sz w:val="2"/>
        </w:rPr>
      </w:pPr>
    </w:p>
    <w:p>
      <w:pPr>
        <w:pStyle w:val="BodyText"/>
        <w:spacing w:line="20" w:lineRule="exact"/>
        <w:ind w:left="-16"/>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br w:type="column"/>
      </w:r>
      <w:r>
        <w:rPr>
          <w:sz w:val="12"/>
        </w:rPr>
      </w:r>
    </w:p>
    <w:p>
      <w:pPr>
        <w:spacing w:line="208" w:lineRule="auto" w:before="97"/>
        <w:ind w:left="79" w:right="0" w:hanging="61"/>
        <w:jc w:val="left"/>
        <w:rPr>
          <w:sz w:val="12"/>
        </w:rPr>
      </w:pPr>
      <w:r>
        <w:rPr>
          <w:w w:val="105"/>
          <w:sz w:val="12"/>
        </w:rPr>
        <w:t>Value of loans </w:t>
      </w:r>
      <w:r>
        <w:rPr>
          <w:spacing w:val="-3"/>
          <w:w w:val="105"/>
          <w:sz w:val="12"/>
        </w:rPr>
        <w:t>approved </w:t>
      </w:r>
      <w:r>
        <w:rPr>
          <w:w w:val="105"/>
          <w:sz w:val="12"/>
        </w:rPr>
        <w:t>(right-hand scale)</w:t>
      </w:r>
    </w:p>
    <w:p>
      <w:pPr>
        <w:spacing w:line="46" w:lineRule="exact" w:before="0"/>
        <w:ind w:left="893" w:right="0" w:firstLine="0"/>
        <w:jc w:val="left"/>
        <w:rPr>
          <w:sz w:val="12"/>
        </w:rPr>
      </w:pPr>
      <w:r>
        <w:rPr/>
        <w:br w:type="column"/>
      </w:r>
      <w:r>
        <w:rPr>
          <w:w w:val="115"/>
          <w:sz w:val="12"/>
        </w:rPr>
        <w:t>£ billions</w:t>
      </w:r>
    </w:p>
    <w:p>
      <w:pPr>
        <w:spacing w:line="125" w:lineRule="exact" w:before="0"/>
        <w:ind w:left="1411" w:right="0" w:firstLine="0"/>
        <w:jc w:val="left"/>
        <w:rPr>
          <w:sz w:val="12"/>
        </w:rPr>
      </w:pPr>
      <w:r>
        <w:rPr/>
        <w:pict>
          <v:group style="position:absolute;margin-left:53.074001pt;margin-top:14.209137pt;width:159.75pt;height:133.15pt;mso-position-horizontal-relative:page;mso-position-vertical-relative:paragraph;z-index:-23554048" coordorigin="1061,284" coordsize="3195,2663">
            <v:rect style="position:absolute;left:1201;top:1839;width:40;height:133" filled="true" fillcolor="#f5b37a" stroked="false">
              <v:fill type="solid"/>
            </v:rect>
            <v:rect style="position:absolute;left:1201;top:1839;width:40;height:133" filled="false" stroked="true" strokeweight=".5pt" strokecolor="#000000">
              <v:stroke dashstyle="solid"/>
            </v:rect>
            <v:rect style="position:absolute;left:1286;top:1726;width:40;height:245" filled="true" fillcolor="#f5b37a" stroked="false">
              <v:fill type="solid"/>
            </v:rect>
            <v:rect style="position:absolute;left:1286;top:1726;width:40;height:245" filled="false" stroked="true" strokeweight=".5pt" strokecolor="#000000">
              <v:stroke dashstyle="solid"/>
            </v:rect>
            <v:rect style="position:absolute;left:1371;top:1821;width:40;height:150" filled="true" fillcolor="#f5b37a" stroked="false">
              <v:fill type="solid"/>
            </v:rect>
            <v:rect style="position:absolute;left:1371;top:1821;width:40;height:150" filled="false" stroked="true" strokeweight=".5pt" strokecolor="#000000">
              <v:stroke dashstyle="solid"/>
            </v:rect>
            <v:rect style="position:absolute;left:1450;top:1969;width:40;height:98" filled="true" fillcolor="#f5b37a" stroked="false">
              <v:fill type="solid"/>
            </v:rect>
            <v:rect style="position:absolute;left:1450;top:1969;width:40;height:98" filled="false" stroked="true" strokeweight=".5pt" strokecolor="#000000">
              <v:stroke dashstyle="solid"/>
            </v:rect>
            <v:rect style="position:absolute;left:1529;top:1859;width:40;height:113" filled="true" fillcolor="#f5b37a" stroked="false">
              <v:fill type="solid"/>
            </v:rect>
            <v:rect style="position:absolute;left:1529;top:1859;width:40;height:113" filled="false" stroked="true" strokeweight=".5pt" strokecolor="#000000">
              <v:stroke dashstyle="solid"/>
            </v:rect>
            <v:rect style="position:absolute;left:1614;top:1391;width:40;height:580" filled="true" fillcolor="#f5b37a" stroked="false">
              <v:fill type="solid"/>
            </v:rect>
            <v:rect style="position:absolute;left:1614;top:1391;width:40;height:580" filled="false" stroked="true" strokeweight=".5pt" strokecolor="#000000">
              <v:stroke dashstyle="solid"/>
            </v:rect>
            <v:rect style="position:absolute;left:1699;top:1466;width:40;height:505" filled="true" fillcolor="#f5b37a" stroked="false">
              <v:fill type="solid"/>
            </v:rect>
            <v:rect style="position:absolute;left:1699;top:1466;width:40;height:505" filled="false" stroked="true" strokeweight=".5pt" strokecolor="#000000">
              <v:stroke dashstyle="solid"/>
            </v:rect>
            <v:rect style="position:absolute;left:1777;top:1709;width:40;height:263" filled="true" fillcolor="#f5b37a" stroked="false">
              <v:fill type="solid"/>
            </v:rect>
            <v:rect style="position:absolute;left:1777;top:1709;width:40;height:263" filled="false" stroked="true" strokeweight=".5pt" strokecolor="#000000">
              <v:stroke dashstyle="solid"/>
            </v:rect>
            <v:rect style="position:absolute;left:1861;top:1914;width:43;height:58" filled="true" fillcolor="#f5b37a" stroked="false">
              <v:fill type="solid"/>
            </v:rect>
            <v:rect style="position:absolute;left:1861;top:1914;width:43;height:58" filled="false" stroked="true" strokeweight=".5pt" strokecolor="#000000">
              <v:stroke dashstyle="solid"/>
            </v:rect>
            <v:rect style="position:absolute;left:1949;top:1746;width:40;height:225" filled="true" fillcolor="#f5b37a" stroked="false">
              <v:fill type="solid"/>
            </v:rect>
            <v:rect style="position:absolute;left:1949;top:1746;width:40;height:225" filled="false" stroked="true" strokeweight=".5pt" strokecolor="#000000">
              <v:stroke dashstyle="solid"/>
            </v:rect>
            <v:rect style="position:absolute;left:2027;top:1801;width:40;height:170" filled="true" fillcolor="#f5b37a" stroked="false">
              <v:fill type="solid"/>
            </v:rect>
            <v:rect style="position:absolute;left:2027;top:1801;width:40;height:170" filled="false" stroked="true" strokeweight=".5pt" strokecolor="#000000">
              <v:stroke dashstyle="solid"/>
            </v:rect>
            <v:rect style="position:absolute;left:2106;top:1969;width:40;height:78" filled="true" fillcolor="#f5b37a" stroked="false">
              <v:fill type="solid"/>
            </v:rect>
            <v:rect style="position:absolute;left:2106;top:1969;width:40;height:78" filled="false" stroked="true" strokeweight=".5pt" strokecolor="#000000">
              <v:stroke dashstyle="solid"/>
            </v:rect>
            <v:rect style="position:absolute;left:2191;top:1969;width:40;height:98" filled="true" fillcolor="#f5b37a" stroked="false">
              <v:fill type="solid"/>
            </v:rect>
            <v:rect style="position:absolute;left:2191;top:1969;width:40;height:98" filled="false" stroked="true" strokeweight=".5pt" strokecolor="#000000">
              <v:stroke dashstyle="solid"/>
            </v:rect>
            <v:rect style="position:absolute;left:2276;top:1281;width:40;height:690" filled="true" fillcolor="#f5b37a" stroked="false">
              <v:fill type="solid"/>
            </v:rect>
            <v:rect style="position:absolute;left:2276;top:1281;width:40;height:690" filled="false" stroked="true" strokeweight=".5pt" strokecolor="#000000">
              <v:stroke dashstyle="solid"/>
            </v:rect>
            <v:rect style="position:absolute;left:2355;top:1206;width:40;height:765" filled="true" fillcolor="#f5b37a" stroked="false">
              <v:fill type="solid"/>
            </v:rect>
            <v:rect style="position:absolute;left:2355;top:1206;width:40;height:765" filled="false" stroked="true" strokeweight=".5pt" strokecolor="#000000">
              <v:stroke dashstyle="solid"/>
            </v:rect>
            <v:rect style="position:absolute;left:2439;top:1131;width:43;height:840" filled="true" fillcolor="#f5b37a" stroked="false">
              <v:fill type="solid"/>
            </v:rect>
            <v:rect style="position:absolute;left:2439;top:1131;width:43;height:840" filled="false" stroked="true" strokeweight=".5pt" strokecolor="#000000">
              <v:stroke dashstyle="solid"/>
            </v:rect>
            <v:rect style="position:absolute;left:2525;top:1206;width:40;height:765" filled="true" fillcolor="#f5b37a" stroked="false">
              <v:fill type="solid"/>
            </v:rect>
            <v:rect style="position:absolute;left:2525;top:1206;width:40;height:765" filled="false" stroked="true" strokeweight=".5pt" strokecolor="#000000">
              <v:stroke dashstyle="solid"/>
            </v:rect>
            <v:rect style="position:absolute;left:2604;top:909;width:40;height:1063" filled="true" fillcolor="#f5b37a" stroked="false">
              <v:fill type="solid"/>
            </v:rect>
            <v:rect style="position:absolute;left:2604;top:909;width:40;height:1063" filled="false" stroked="true" strokeweight=".5pt" strokecolor="#000000">
              <v:stroke dashstyle="solid"/>
            </v:rect>
            <v:rect style="position:absolute;left:2682;top:1486;width:40;height:485" filled="true" fillcolor="#f5b37a" stroked="false">
              <v:fill type="solid"/>
            </v:rect>
            <v:rect style="position:absolute;left:2682;top:1486;width:40;height:485" filled="false" stroked="true" strokeweight=".5pt" strokecolor="#000000">
              <v:stroke dashstyle="solid"/>
            </v:rect>
            <v:rect style="position:absolute;left:2766;top:1596;width:43;height:375" filled="true" fillcolor="#f5b37a" stroked="false">
              <v:fill type="solid"/>
            </v:rect>
            <v:rect style="position:absolute;left:2766;top:1596;width:43;height:375" filled="false" stroked="true" strokeweight=".5pt" strokecolor="#000000">
              <v:stroke dashstyle="solid"/>
            </v:rect>
            <v:rect style="position:absolute;left:2854;top:1784;width:40;height:188" filled="true" fillcolor="#f5b37a" stroked="false">
              <v:fill type="solid"/>
            </v:rect>
            <v:rect style="position:absolute;left:2854;top:1784;width:40;height:188" filled="false" stroked="true" strokeweight=".5pt" strokecolor="#000000">
              <v:stroke dashstyle="solid"/>
            </v:rect>
            <v:rect style="position:absolute;left:2932;top:1969;width:40;height:115" filled="true" fillcolor="#f5b37a" stroked="false">
              <v:fill type="solid"/>
            </v:rect>
            <v:rect style="position:absolute;left:2932;top:1969;width:40;height:115" filled="false" stroked="true" strokeweight=".5pt" strokecolor="#000000">
              <v:stroke dashstyle="solid"/>
            </v:rect>
            <v:rect style="position:absolute;left:3016;top:1969;width:43;height:915" filled="true" fillcolor="#f5b37a" stroked="false">
              <v:fill type="solid"/>
            </v:rect>
            <v:rect style="position:absolute;left:3016;top:1969;width:43;height:915" filled="false" stroked="true" strokeweight=".5pt" strokecolor="#000000">
              <v:stroke dashstyle="solid"/>
            </v:rect>
            <v:rect style="position:absolute;left:3102;top:1969;width:40;height:878" filled="true" fillcolor="#f5b37a" stroked="false">
              <v:fill type="solid"/>
            </v:rect>
            <v:rect style="position:absolute;left:3102;top:1969;width:40;height:878" filled="false" stroked="true" strokeweight=".5pt" strokecolor="#000000">
              <v:stroke dashstyle="solid"/>
            </v:rect>
            <v:rect style="position:absolute;left:3181;top:1969;width:40;height:375" filled="true" fillcolor="#f5b37a" stroked="false">
              <v:fill type="solid"/>
            </v:rect>
            <v:rect style="position:absolute;left:3181;top:1969;width:40;height:375" filled="false" stroked="true" strokeweight=".5pt" strokecolor="#000000">
              <v:stroke dashstyle="solid"/>
            </v:rect>
            <v:rect style="position:absolute;left:3260;top:1969;width:40;height:170" filled="true" fillcolor="#f5b37a" stroked="false">
              <v:fill type="solid"/>
            </v:rect>
            <v:rect style="position:absolute;left:3260;top:1969;width:40;height:170" filled="false" stroked="true" strokeweight=".5pt" strokecolor="#000000">
              <v:stroke dashstyle="solid"/>
            </v:rect>
            <v:rect style="position:absolute;left:3344;top:1969;width:43;height:228" filled="true" fillcolor="#f5b37a" stroked="false">
              <v:fill type="solid"/>
            </v:rect>
            <v:rect style="position:absolute;left:3344;top:1969;width:43;height:228" filled="false" stroked="true" strokeweight=".5pt" strokecolor="#000000">
              <v:stroke dashstyle="solid"/>
            </v:rect>
            <v:rect style="position:absolute;left:3430;top:1969;width:40;height:525" filled="true" fillcolor="#f5b37a" stroked="false">
              <v:fill type="solid"/>
            </v:rect>
            <v:rect style="position:absolute;left:3430;top:1969;width:40;height:525" filled="false" stroked="true" strokeweight=".5pt" strokecolor="#000000">
              <v:stroke dashstyle="solid"/>
            </v:rect>
            <v:shape style="position:absolute;left:1219;top:926;width:658;height:318" coordorigin="1219,927" coordsize="658,318" path="m1219,1244l1299,1187m1299,1187l1392,1224m1392,1224l1469,1187m1469,1187l1547,1224m1547,1224l1627,1019m1627,1019l1719,927m1719,927l1797,1077m1797,1077l1877,1039e" filled="false" stroked="true" strokeweight="1pt" strokecolor="#de0035">
              <v:path arrowok="t"/>
              <v:stroke dashstyle="solid"/>
            </v:shape>
            <v:line style="position:absolute" from="1867,1040" to="1977,1040" stroked="true" strokeweight="1.125pt" strokecolor="#de0035">
              <v:stroke dashstyle="solid"/>
            </v:line>
            <v:shape style="position:absolute;left:1966;top:1019;width:158;height:38" coordorigin="1967,1019" coordsize="158,38" path="m1967,1039l2047,1057m2047,1057l2124,1019e" filled="false" stroked="true" strokeweight="1pt" strokecolor="#de0035">
              <v:path arrowok="t"/>
              <v:stroke dashstyle="solid"/>
            </v:shape>
            <v:line style="position:absolute" from="2114,1020" to="2214,1020" stroked="true" strokeweight="1.125pt" strokecolor="#de0035">
              <v:stroke dashstyle="solid"/>
            </v:line>
            <v:shape style="position:absolute;left:2204;top:386;width:420;height:633" coordorigin="2204,387" coordsize="420,633" path="m2204,1019l2294,834m2294,834l2374,537m2374,537l2452,517m2452,517l2544,554m2544,554l2624,387e" filled="false" stroked="true" strokeweight="1pt" strokecolor="#de0035">
              <v:path arrowok="t"/>
              <v:stroke dashstyle="solid"/>
            </v:shape>
            <v:line style="position:absolute" from="2614,388" to="2712,388" stroked="true" strokeweight="1.125pt" strokecolor="#de0035">
              <v:stroke dashstyle="solid"/>
            </v:line>
            <v:shape style="position:absolute;left:2701;top:294;width:1403;height:465" coordorigin="2702,294" coordsize="1403,465" path="m2702,387l2782,479m2782,479l2872,442m2872,442l2952,517m2952,517l3029,647m3029,647l3122,742m3122,742l3199,704m3199,704l3279,574m3279,574l3357,462m3357,462l3449,722m3449,722l3529,517m3529,517l3607,554m3607,554l3699,759m3699,759l3777,554m3777,554l3857,574m3857,574l3934,442m3934,442l4027,294m4027,294l4104,349e" filled="false" stroked="true" strokeweight="1pt" strokecolor="#de0035">
              <v:path arrowok="t"/>
              <v:stroke dashstyle="solid"/>
            </v:shape>
            <v:line style="position:absolute" from="1219,1282" to="1299,1262" stroked="true" strokeweight="1pt" strokecolor="#006caa">
              <v:stroke dashstyle="solid"/>
            </v:line>
            <v:line style="position:absolute" from="1289,1263" to="1402,1263" stroked="true" strokeweight="1.125pt" strokecolor="#006caa">
              <v:stroke dashstyle="solid"/>
            </v:line>
            <v:shape style="position:absolute;left:1391;top:1056;width:575;height:205" coordorigin="1392,1057" coordsize="575,205" path="m1392,1262l1469,1169m1469,1169l1547,1262m1547,1262l1627,1169m1627,1169l1719,1057m1719,1057l1797,1149m1797,1149l1877,1057m1877,1057l1967,1094e" filled="false" stroked="true" strokeweight="1pt" strokecolor="#006caa">
              <v:path arrowok="t"/>
              <v:stroke dashstyle="solid"/>
            </v:shape>
            <v:line style="position:absolute" from="1957,1095" to="2057,1095" stroked="true" strokeweight="1.125pt" strokecolor="#006caa">
              <v:stroke dashstyle="solid"/>
            </v:line>
            <v:line style="position:absolute" from="2047,1094" to="2124,1002" stroked="true" strokeweight="1pt" strokecolor="#006caa">
              <v:stroke dashstyle="solid"/>
            </v:line>
            <v:shape style="position:absolute;left:2114;top:1002;width:190;height:2" coordorigin="2114,1003" coordsize="190,0" path="m2114,1003l2214,1003m2194,1003l2304,1003e" filled="false" stroked="true" strokeweight="1.125pt" strokecolor="#006caa">
              <v:path arrowok="t"/>
              <v:stroke dashstyle="solid"/>
            </v:shape>
            <v:line style="position:absolute" from="2294,1002" to="2374,722" stroked="true" strokeweight="1pt" strokecolor="#006caa">
              <v:stroke dashstyle="solid"/>
            </v:line>
            <v:line style="position:absolute" from="2364,723" to="2462,723" stroked="true" strokeweight="1.125pt" strokecolor="#006caa">
              <v:stroke dashstyle="solid"/>
            </v:line>
            <v:shape style="position:absolute;left:2451;top:479;width:420;height:263" coordorigin="2452,479" coordsize="420,263" path="m2452,722l2544,742m2544,742l2624,647m2624,647l2702,517m2702,517l2782,574m2782,574l2872,479e" filled="false" stroked="true" strokeweight="1pt" strokecolor="#006caa">
              <v:path arrowok="t"/>
              <v:stroke dashstyle="solid"/>
            </v:shape>
            <v:line style="position:absolute" from="2862,480" to="2962,480" stroked="true" strokeweight="1.125pt" strokecolor="#006caa">
              <v:stroke dashstyle="solid"/>
            </v:line>
            <v:shape style="position:absolute;left:2951;top:406;width:578;height:203" coordorigin="2952,407" coordsize="578,203" path="m2952,479l3029,407m3029,407l3122,517m3122,517l3199,609m3199,609l3279,517m3279,517l3357,407m3357,407l3449,609m3449,609l3529,517e" filled="false" stroked="true" strokeweight="1pt" strokecolor="#006caa">
              <v:path arrowok="t"/>
              <v:stroke dashstyle="solid"/>
            </v:shape>
            <v:line style="position:absolute" from="3519,518" to="3617,518" stroked="true" strokeweight="1.125pt" strokecolor="#006caa">
              <v:stroke dashstyle="solid"/>
            </v:line>
            <v:shape style="position:absolute;left:3606;top:424;width:498;height:298" coordorigin="3607,424" coordsize="498,298" path="m3607,517l3699,722m3699,722l3777,537m3777,537l3857,629m3857,629l3934,592m3934,592l4027,424m4027,424l4104,442e" filled="false" stroked="true" strokeweight="1pt" strokecolor="#006caa">
              <v:path arrowok="t"/>
              <v:stroke dashstyle="solid"/>
            </v:shape>
            <v:rect style="position:absolute;left:3594;top:1969;width:43;height:228" filled="true" fillcolor="#f5b37a" stroked="false">
              <v:fill type="solid"/>
            </v:rect>
            <v:rect style="position:absolute;left:3594;top:1969;width:43;height:228" filled="false" stroked="true" strokeweight=".5pt" strokecolor="#000000">
              <v:stroke dashstyle="solid"/>
            </v:rect>
            <v:rect style="position:absolute;left:3680;top:1969;width:40;height:170" filled="true" fillcolor="#f5b37a" stroked="false">
              <v:fill type="solid"/>
            </v:rect>
            <v:rect style="position:absolute;left:3680;top:1969;width:40;height:170" filled="false" stroked="true" strokeweight=".5pt" strokecolor="#000000">
              <v:stroke dashstyle="solid"/>
            </v:rect>
            <v:rect style="position:absolute;left:3757;top:1969;width:40;height:133" filled="true" fillcolor="#f5b37a" stroked="false">
              <v:fill type="solid"/>
            </v:rect>
            <v:rect style="position:absolute;left:3757;top:1969;width:40;height:133" filled="false" stroked="true" strokeweight=".5pt" strokecolor="#000000">
              <v:stroke dashstyle="solid"/>
            </v:rect>
            <v:rect style="position:absolute;left:3841;top:1801;width:30;height:170" filled="true" fillcolor="#f5b37a" stroked="false">
              <v:fill type="solid"/>
            </v:rect>
            <v:rect style="position:absolute;left:3841;top:1801;width:30;height:170" filled="false" stroked="true" strokeweight=".5pt" strokecolor="#000000">
              <v:stroke dashstyle="solid"/>
            </v:rect>
            <v:rect style="position:absolute;left:3921;top:1354;width:43;height:618" filled="true" fillcolor="#f5b37a" stroked="false">
              <v:fill type="solid"/>
            </v:rect>
            <v:rect style="position:absolute;left:3921;top:1354;width:43;height:618" filled="false" stroked="true" strokeweight=".5pt" strokecolor="#000000">
              <v:stroke dashstyle="solid"/>
            </v:rect>
            <v:rect style="position:absolute;left:4007;top:1411;width:40;height:560" filled="true" fillcolor="#f5b37a" stroked="false">
              <v:fill type="solid"/>
            </v:rect>
            <v:rect style="position:absolute;left:4007;top:1411;width:40;height:560" filled="false" stroked="true" strokeweight=".5pt" strokecolor="#000000">
              <v:stroke dashstyle="solid"/>
            </v:rect>
            <v:rect style="position:absolute;left:4086;top:1634;width:40;height:338" filled="true" fillcolor="#f5b37a" stroked="false">
              <v:fill type="solid"/>
            </v:rect>
            <v:rect style="position:absolute;left:4086;top:1634;width:40;height:338" filled="false" stroked="true" strokeweight=".5pt" strokecolor="#000000">
              <v:stroke dashstyle="solid"/>
            </v:rect>
            <v:shape style="position:absolute;left:1212;top:1970;width:2934;height:2" coordorigin="1212,1970" coordsize="2934,0" path="m4146,1970l1212,1970e" filled="true" fillcolor="#f5b37a" stroked="false">
              <v:path arrowok="t"/>
              <v:fill type="solid"/>
            </v:shape>
            <v:shape style="position:absolute;left:1061;top:533;width:3195;height:2409" coordorigin="1061,533" coordsize="3195,2409" path="m1212,1970l4146,1970m1206,2942l4132,2942m1203,2875l1203,2942m2202,2875l2202,2942m3202,2875l3202,2942m1061,533l1148,533m1061,1014l1148,1014m1061,1496l1148,1496m1061,1977l1148,1977m1061,2458l1148,2458m1061,2940l1148,2940m4169,535l4256,535m4169,1017l4256,1017m4169,1498l4256,1498m4169,1979l4256,1979m4169,2461l4256,2461m4169,2942l4256,2942e" filled="false" stroked="true" strokeweight=".5pt" strokecolor="#000000">
              <v:path arrowok="t"/>
              <v:stroke dashstyle="solid"/>
            </v:shape>
            <v:shape style="position:absolute;left:2664;top:628;width:260;height:260" type="#_x0000_t75" stroked="false">
              <v:imagedata r:id="rId41" o:title=""/>
            </v:shape>
            <w10:wrap type="none"/>
          </v:group>
        </w:pict>
      </w:r>
      <w:r>
        <w:rPr/>
        <w:pict>
          <v:line style="position:absolute;mso-position-horizontal-relative:page;mso-position-vertical-relative:paragraph;z-index:15776256" from="208.462006pt,2.699137pt" to="212.794006pt,2.699137pt" stroked="true" strokeweight=".5pt" strokecolor="#000000">
            <v:stroke dashstyle="solid"/>
            <w10:wrap type="none"/>
          </v:line>
        </w:pict>
      </w:r>
      <w:r>
        <w:rPr>
          <w:w w:val="120"/>
          <w:sz w:val="12"/>
        </w:rPr>
        <w:t>12</w:t>
      </w:r>
    </w:p>
    <w:p>
      <w:pPr>
        <w:pStyle w:val="BodyText"/>
        <w:rPr>
          <w:sz w:val="12"/>
        </w:rPr>
      </w:pPr>
    </w:p>
    <w:p>
      <w:pPr>
        <w:pStyle w:val="BodyText"/>
        <w:spacing w:before="9"/>
        <w:rPr>
          <w:sz w:val="17"/>
        </w:rPr>
      </w:pPr>
    </w:p>
    <w:p>
      <w:pPr>
        <w:spacing w:before="0"/>
        <w:ind w:left="1411" w:right="0" w:firstLine="0"/>
        <w:jc w:val="left"/>
        <w:rPr>
          <w:sz w:val="12"/>
        </w:rPr>
      </w:pPr>
      <w:r>
        <w:rPr>
          <w:w w:val="120"/>
          <w:sz w:val="12"/>
        </w:rPr>
        <w:t>10</w:t>
      </w:r>
    </w:p>
    <w:p>
      <w:pPr>
        <w:pStyle w:val="BodyText"/>
        <w:rPr>
          <w:sz w:val="12"/>
        </w:rPr>
      </w:pPr>
    </w:p>
    <w:p>
      <w:pPr>
        <w:pStyle w:val="BodyText"/>
        <w:spacing w:before="9"/>
        <w:rPr>
          <w:sz w:val="11"/>
        </w:rPr>
      </w:pPr>
    </w:p>
    <w:p>
      <w:pPr>
        <w:spacing w:line="104" w:lineRule="exact" w:before="0"/>
        <w:ind w:left="29" w:right="0" w:firstLine="0"/>
        <w:jc w:val="left"/>
        <w:rPr>
          <w:sz w:val="12"/>
        </w:rPr>
      </w:pPr>
      <w:r>
        <w:rPr>
          <w:w w:val="110"/>
          <w:sz w:val="12"/>
        </w:rPr>
        <w:t>Gross secured lending</w:t>
      </w:r>
    </w:p>
    <w:p>
      <w:pPr>
        <w:tabs>
          <w:tab w:pos="1557" w:val="right" w:leader="none"/>
        </w:tabs>
        <w:spacing w:line="154" w:lineRule="exact" w:before="0"/>
        <w:ind w:left="89" w:right="0" w:firstLine="0"/>
        <w:jc w:val="left"/>
        <w:rPr>
          <w:sz w:val="12"/>
        </w:rPr>
      </w:pPr>
      <w:r>
        <w:rPr>
          <w:w w:val="110"/>
          <w:sz w:val="12"/>
        </w:rPr>
        <w:t>(right-hand</w:t>
      </w:r>
      <w:r>
        <w:rPr>
          <w:spacing w:val="-4"/>
          <w:w w:val="110"/>
          <w:sz w:val="12"/>
        </w:rPr>
        <w:t> </w:t>
      </w:r>
      <w:r>
        <w:rPr>
          <w:w w:val="110"/>
          <w:sz w:val="12"/>
        </w:rPr>
        <w:t>scale)</w:t>
        <w:tab/>
      </w:r>
      <w:r>
        <w:rPr>
          <w:w w:val="110"/>
          <w:position w:val="5"/>
          <w:sz w:val="12"/>
        </w:rPr>
        <w:t>8</w:t>
      </w:r>
    </w:p>
    <w:p>
      <w:pPr>
        <w:spacing w:before="292"/>
        <w:ind w:left="1484" w:right="0" w:firstLine="0"/>
        <w:jc w:val="left"/>
        <w:rPr>
          <w:sz w:val="12"/>
        </w:rPr>
      </w:pPr>
      <w:r>
        <w:rPr>
          <w:w w:val="121"/>
          <w:sz w:val="12"/>
        </w:rPr>
        <w:t>6</w:t>
      </w:r>
    </w:p>
    <w:p>
      <w:pPr>
        <w:pStyle w:val="BodyText"/>
        <w:spacing w:line="229" w:lineRule="exact"/>
        <w:ind w:left="219"/>
        <w:jc w:val="both"/>
      </w:pPr>
      <w:r>
        <w:rPr/>
        <w:br w:type="column"/>
      </w:r>
      <w:r>
        <w:rPr>
          <w:w w:val="105"/>
        </w:rPr>
        <w:t>Bank estimates suggest that MEW fell a little in Q3 to</w:t>
      </w:r>
    </w:p>
    <w:p>
      <w:pPr>
        <w:pStyle w:val="BodyText"/>
        <w:spacing w:line="292" w:lineRule="auto" w:before="50"/>
        <w:ind w:left="219" w:right="365"/>
        <w:jc w:val="both"/>
      </w:pPr>
      <w:r>
        <w:rPr>
          <w:w w:val="110"/>
        </w:rPr>
        <w:t>£2.4</w:t>
      </w:r>
      <w:r>
        <w:rPr>
          <w:spacing w:val="-15"/>
          <w:w w:val="110"/>
        </w:rPr>
        <w:t> </w:t>
      </w:r>
      <w:r>
        <w:rPr>
          <w:w w:val="110"/>
        </w:rPr>
        <w:t>billion,</w:t>
      </w:r>
      <w:r>
        <w:rPr>
          <w:spacing w:val="-14"/>
          <w:w w:val="110"/>
        </w:rPr>
        <w:t> </w:t>
      </w:r>
      <w:r>
        <w:rPr>
          <w:w w:val="110"/>
        </w:rPr>
        <w:t>though</w:t>
      </w:r>
      <w:r>
        <w:rPr>
          <w:spacing w:val="-14"/>
          <w:w w:val="110"/>
        </w:rPr>
        <w:t> </w:t>
      </w:r>
      <w:r>
        <w:rPr>
          <w:w w:val="110"/>
        </w:rPr>
        <w:t>it</w:t>
      </w:r>
      <w:r>
        <w:rPr>
          <w:spacing w:val="-14"/>
          <w:w w:val="110"/>
        </w:rPr>
        <w:t> </w:t>
      </w:r>
      <w:r>
        <w:rPr>
          <w:w w:val="110"/>
        </w:rPr>
        <w:t>remains</w:t>
      </w:r>
      <w:r>
        <w:rPr>
          <w:spacing w:val="-14"/>
          <w:w w:val="110"/>
        </w:rPr>
        <w:t> </w:t>
      </w:r>
      <w:r>
        <w:rPr>
          <w:w w:val="110"/>
        </w:rPr>
        <w:t>strong</w:t>
      </w:r>
      <w:r>
        <w:rPr>
          <w:spacing w:val="-14"/>
          <w:w w:val="110"/>
        </w:rPr>
        <w:t> </w:t>
      </w:r>
      <w:r>
        <w:rPr>
          <w:w w:val="110"/>
        </w:rPr>
        <w:t>compared</w:t>
      </w:r>
      <w:r>
        <w:rPr>
          <w:spacing w:val="-14"/>
          <w:w w:val="110"/>
        </w:rPr>
        <w:t> </w:t>
      </w:r>
      <w:r>
        <w:rPr>
          <w:w w:val="110"/>
        </w:rPr>
        <w:t>with</w:t>
      </w:r>
      <w:r>
        <w:rPr>
          <w:spacing w:val="-14"/>
          <w:w w:val="110"/>
        </w:rPr>
        <w:t> </w:t>
      </w:r>
      <w:r>
        <w:rPr>
          <w:w w:val="110"/>
        </w:rPr>
        <w:t>recent </w:t>
      </w:r>
      <w:r>
        <w:rPr>
          <w:spacing w:val="-3"/>
          <w:w w:val="110"/>
        </w:rPr>
        <w:t>years</w:t>
      </w:r>
      <w:r>
        <w:rPr>
          <w:spacing w:val="-20"/>
          <w:w w:val="110"/>
        </w:rPr>
        <w:t> </w:t>
      </w:r>
      <w:r>
        <w:rPr>
          <w:w w:val="110"/>
        </w:rPr>
        <w:t>(see</w:t>
      </w:r>
      <w:r>
        <w:rPr>
          <w:spacing w:val="-20"/>
          <w:w w:val="110"/>
        </w:rPr>
        <w:t> </w:t>
      </w:r>
      <w:r>
        <w:rPr>
          <w:w w:val="110"/>
        </w:rPr>
        <w:t>Chart</w:t>
      </w:r>
      <w:r>
        <w:rPr>
          <w:spacing w:val="-20"/>
          <w:w w:val="110"/>
        </w:rPr>
        <w:t> </w:t>
      </w:r>
      <w:r>
        <w:rPr>
          <w:w w:val="110"/>
        </w:rPr>
        <w:t>1.6).</w:t>
      </w:r>
      <w:r>
        <w:rPr>
          <w:spacing w:val="17"/>
          <w:w w:val="110"/>
        </w:rPr>
        <w:t> </w:t>
      </w:r>
      <w:r>
        <w:rPr>
          <w:w w:val="110"/>
        </w:rPr>
        <w:t>And</w:t>
      </w:r>
      <w:r>
        <w:rPr>
          <w:spacing w:val="-20"/>
          <w:w w:val="110"/>
        </w:rPr>
        <w:t> </w:t>
      </w:r>
      <w:r>
        <w:rPr>
          <w:w w:val="110"/>
        </w:rPr>
        <w:t>net</w:t>
      </w:r>
      <w:r>
        <w:rPr>
          <w:spacing w:val="-20"/>
          <w:w w:val="110"/>
        </w:rPr>
        <w:t> </w:t>
      </w:r>
      <w:r>
        <w:rPr>
          <w:w w:val="110"/>
        </w:rPr>
        <w:t>housing</w:t>
      </w:r>
      <w:r>
        <w:rPr>
          <w:spacing w:val="-20"/>
          <w:w w:val="110"/>
        </w:rPr>
        <w:t> </w:t>
      </w:r>
      <w:r>
        <w:rPr>
          <w:w w:val="110"/>
        </w:rPr>
        <w:t>wealth</w:t>
      </w:r>
      <w:r>
        <w:rPr>
          <w:spacing w:val="-19"/>
          <w:w w:val="110"/>
        </w:rPr>
        <w:t> </w:t>
      </w:r>
      <w:r>
        <w:rPr>
          <w:w w:val="110"/>
        </w:rPr>
        <w:t>remains</w:t>
      </w:r>
      <w:r>
        <w:rPr>
          <w:spacing w:val="-20"/>
          <w:w w:val="110"/>
        </w:rPr>
        <w:t> </w:t>
      </w:r>
      <w:r>
        <w:rPr>
          <w:w w:val="110"/>
        </w:rPr>
        <w:t>high, which</w:t>
      </w:r>
      <w:r>
        <w:rPr>
          <w:spacing w:val="-12"/>
          <w:w w:val="110"/>
        </w:rPr>
        <w:t> </w:t>
      </w:r>
      <w:r>
        <w:rPr>
          <w:w w:val="110"/>
        </w:rPr>
        <w:t>is</w:t>
      </w:r>
      <w:r>
        <w:rPr>
          <w:spacing w:val="-12"/>
          <w:w w:val="110"/>
        </w:rPr>
        <w:t> </w:t>
      </w:r>
      <w:r>
        <w:rPr>
          <w:w w:val="110"/>
        </w:rPr>
        <w:t>likely</w:t>
      </w:r>
      <w:r>
        <w:rPr>
          <w:spacing w:val="-12"/>
          <w:w w:val="110"/>
        </w:rPr>
        <w:t> </w:t>
      </w:r>
      <w:r>
        <w:rPr>
          <w:spacing w:val="-4"/>
          <w:w w:val="110"/>
        </w:rPr>
        <w:t>to</w:t>
      </w:r>
      <w:r>
        <w:rPr>
          <w:spacing w:val="-12"/>
          <w:w w:val="110"/>
        </w:rPr>
        <w:t> </w:t>
      </w:r>
      <w:r>
        <w:rPr>
          <w:w w:val="110"/>
        </w:rPr>
        <w:t>support</w:t>
      </w:r>
      <w:r>
        <w:rPr>
          <w:spacing w:val="-12"/>
          <w:w w:val="110"/>
        </w:rPr>
        <w:t> </w:t>
      </w:r>
      <w:r>
        <w:rPr>
          <w:w w:val="110"/>
        </w:rPr>
        <w:t>continued</w:t>
      </w:r>
      <w:r>
        <w:rPr>
          <w:spacing w:val="-12"/>
          <w:w w:val="110"/>
        </w:rPr>
        <w:t> </w:t>
      </w:r>
      <w:r>
        <w:rPr>
          <w:spacing w:val="-3"/>
          <w:w w:val="110"/>
        </w:rPr>
        <w:t>equity</w:t>
      </w:r>
      <w:r>
        <w:rPr>
          <w:spacing w:val="-12"/>
          <w:w w:val="110"/>
        </w:rPr>
        <w:t> </w:t>
      </w:r>
      <w:r>
        <w:rPr>
          <w:spacing w:val="-3"/>
          <w:w w:val="110"/>
        </w:rPr>
        <w:t>withdrawal</w:t>
      </w:r>
    </w:p>
    <w:p>
      <w:pPr>
        <w:pStyle w:val="BodyText"/>
        <w:spacing w:line="292" w:lineRule="auto"/>
        <w:ind w:left="219" w:right="331"/>
        <w:jc w:val="both"/>
      </w:pPr>
      <w:r>
        <w:rPr>
          <w:w w:val="110"/>
        </w:rPr>
        <w:t>(see Chart 1.7). Furthermore, recent innovations in mortgage</w:t>
      </w:r>
      <w:r>
        <w:rPr>
          <w:spacing w:val="-23"/>
          <w:w w:val="110"/>
        </w:rPr>
        <w:t> </w:t>
      </w:r>
      <w:r>
        <w:rPr>
          <w:w w:val="110"/>
        </w:rPr>
        <w:t>products</w:t>
      </w:r>
      <w:r>
        <w:rPr>
          <w:spacing w:val="-22"/>
          <w:w w:val="110"/>
        </w:rPr>
        <w:t> </w:t>
      </w:r>
      <w:r>
        <w:rPr>
          <w:spacing w:val="-3"/>
          <w:w w:val="110"/>
        </w:rPr>
        <w:t>may</w:t>
      </w:r>
      <w:r>
        <w:rPr>
          <w:spacing w:val="-23"/>
          <w:w w:val="110"/>
        </w:rPr>
        <w:t> </w:t>
      </w:r>
      <w:r>
        <w:rPr>
          <w:spacing w:val="-3"/>
          <w:w w:val="110"/>
        </w:rPr>
        <w:t>lower</w:t>
      </w:r>
      <w:r>
        <w:rPr>
          <w:spacing w:val="-22"/>
          <w:w w:val="110"/>
        </w:rPr>
        <w:t> </w:t>
      </w:r>
      <w:r>
        <w:rPr>
          <w:w w:val="110"/>
        </w:rPr>
        <w:t>the</w:t>
      </w:r>
      <w:r>
        <w:rPr>
          <w:spacing w:val="-23"/>
          <w:w w:val="110"/>
        </w:rPr>
        <w:t> </w:t>
      </w:r>
      <w:r>
        <w:rPr>
          <w:w w:val="110"/>
        </w:rPr>
        <w:t>fixed</w:t>
      </w:r>
      <w:r>
        <w:rPr>
          <w:spacing w:val="-22"/>
          <w:w w:val="110"/>
        </w:rPr>
        <w:t> </w:t>
      </w:r>
      <w:r>
        <w:rPr>
          <w:w w:val="110"/>
        </w:rPr>
        <w:t>and</w:t>
      </w:r>
      <w:r>
        <w:rPr>
          <w:spacing w:val="-23"/>
          <w:w w:val="110"/>
        </w:rPr>
        <w:t> </w:t>
      </w:r>
      <w:r>
        <w:rPr>
          <w:w w:val="110"/>
        </w:rPr>
        <w:t>marginal</w:t>
      </w:r>
      <w:r>
        <w:rPr>
          <w:spacing w:val="-22"/>
          <w:w w:val="110"/>
        </w:rPr>
        <w:t> </w:t>
      </w:r>
      <w:r>
        <w:rPr>
          <w:w w:val="110"/>
        </w:rPr>
        <w:t>costs</w:t>
      </w:r>
      <w:r>
        <w:rPr>
          <w:spacing w:val="-23"/>
          <w:w w:val="110"/>
        </w:rPr>
        <w:t> </w:t>
      </w:r>
      <w:r>
        <w:rPr>
          <w:w w:val="110"/>
        </w:rPr>
        <w:t>of</w:t>
      </w:r>
    </w:p>
    <w:p>
      <w:pPr>
        <w:spacing w:after="0" w:line="292" w:lineRule="auto"/>
        <w:jc w:val="both"/>
        <w:sectPr>
          <w:type w:val="continuous"/>
          <w:pgSz w:w="11900" w:h="16840"/>
          <w:pgMar w:top="1260" w:bottom="280" w:left="640" w:right="640"/>
          <w:cols w:num="5" w:equalWidth="0">
            <w:col w:w="392" w:space="40"/>
            <w:col w:w="477" w:space="39"/>
            <w:col w:w="1248" w:space="39"/>
            <w:col w:w="1598" w:space="1047"/>
            <w:col w:w="5740"/>
          </w:cols>
        </w:sectPr>
      </w:pPr>
    </w:p>
    <w:p>
      <w:pPr>
        <w:spacing w:before="52"/>
        <w:ind w:left="348" w:right="0" w:firstLine="0"/>
        <w:jc w:val="left"/>
        <w:rPr>
          <w:sz w:val="16"/>
        </w:rPr>
      </w:pPr>
      <w:r>
        <w:rPr>
          <w:w w:val="107"/>
          <w:sz w:val="16"/>
        </w:rPr>
        <w:t>+</w:t>
      </w:r>
    </w:p>
    <w:p>
      <w:pPr>
        <w:spacing w:line="123" w:lineRule="exact" w:before="18"/>
        <w:ind w:left="219" w:right="0" w:firstLine="0"/>
        <w:jc w:val="left"/>
        <w:rPr>
          <w:sz w:val="12"/>
        </w:rPr>
      </w:pPr>
      <w:r>
        <w:rPr>
          <w:w w:val="115"/>
          <w:sz w:val="12"/>
        </w:rPr>
        <w:t>0.0</w:t>
      </w:r>
    </w:p>
    <w:p>
      <w:pPr>
        <w:spacing w:line="169" w:lineRule="exact" w:before="0"/>
        <w:ind w:left="349" w:right="0" w:firstLine="0"/>
        <w:jc w:val="left"/>
        <w:rPr>
          <w:sz w:val="16"/>
        </w:rPr>
      </w:pPr>
      <w:r>
        <w:rPr>
          <w:w w:val="117"/>
          <w:sz w:val="16"/>
        </w:rPr>
        <w:t>–</w:t>
      </w:r>
    </w:p>
    <w:p>
      <w:pPr>
        <w:pStyle w:val="BodyText"/>
        <w:spacing w:before="5"/>
        <w:rPr>
          <w:sz w:val="16"/>
        </w:rPr>
      </w:pPr>
    </w:p>
    <w:p>
      <w:pPr>
        <w:spacing w:before="0"/>
        <w:ind w:left="219" w:right="0" w:firstLine="0"/>
        <w:jc w:val="left"/>
        <w:rPr>
          <w:sz w:val="12"/>
        </w:rPr>
      </w:pPr>
      <w:r>
        <w:rPr>
          <w:w w:val="115"/>
          <w:sz w:val="12"/>
        </w:rPr>
        <w:t>0.5</w:t>
      </w:r>
    </w:p>
    <w:p>
      <w:pPr>
        <w:pStyle w:val="BodyText"/>
        <w:rPr>
          <w:sz w:val="12"/>
        </w:rPr>
      </w:pPr>
    </w:p>
    <w:p>
      <w:pPr>
        <w:pStyle w:val="BodyText"/>
        <w:spacing w:before="9"/>
        <w:rPr>
          <w:sz w:val="17"/>
        </w:rPr>
      </w:pPr>
    </w:p>
    <w:p>
      <w:pPr>
        <w:spacing w:line="135" w:lineRule="exact" w:before="0"/>
        <w:ind w:left="219" w:right="0" w:firstLine="0"/>
        <w:jc w:val="left"/>
        <w:rPr>
          <w:sz w:val="12"/>
        </w:rPr>
      </w:pPr>
      <w:r>
        <w:rPr>
          <w:w w:val="115"/>
          <w:sz w:val="12"/>
        </w:rPr>
        <w:t>1.0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line="208" w:lineRule="auto" w:before="84"/>
        <w:ind w:left="280" w:right="38" w:hanging="61"/>
        <w:jc w:val="left"/>
        <w:rPr>
          <w:sz w:val="12"/>
        </w:rPr>
      </w:pPr>
      <w:r>
        <w:rPr>
          <w:w w:val="105"/>
          <w:sz w:val="12"/>
        </w:rPr>
        <w:t>Change in stock of approvals (left-hand scale)</w:t>
      </w:r>
    </w:p>
    <w:p>
      <w:pPr>
        <w:pStyle w:val="BodyText"/>
        <w:spacing w:line="227" w:lineRule="exact"/>
        <w:ind w:left="1599"/>
      </w:pPr>
      <w:r>
        <w:rPr/>
        <w:br w:type="column"/>
      </w:r>
      <w:r>
        <w:rPr>
          <w:w w:val="110"/>
        </w:rPr>
        <w:t>borrowing against housing wealth, which could encourage</w:t>
      </w:r>
    </w:p>
    <w:p>
      <w:pPr>
        <w:pStyle w:val="BodyText"/>
        <w:tabs>
          <w:tab w:pos="1599" w:val="left" w:leader="none"/>
        </w:tabs>
        <w:spacing w:before="50"/>
        <w:ind w:left="219"/>
      </w:pPr>
      <w:r>
        <w:rPr>
          <w:w w:val="110"/>
          <w:vertAlign w:val="superscript"/>
        </w:rPr>
        <w:t>4</w:t>
      </w:r>
      <w:r>
        <w:rPr>
          <w:w w:val="110"/>
          <w:vertAlign w:val="baseline"/>
        </w:rPr>
        <w:tab/>
        <w:t>further</w:t>
      </w:r>
      <w:r>
        <w:rPr>
          <w:spacing w:val="-6"/>
          <w:w w:val="110"/>
          <w:vertAlign w:val="baseline"/>
        </w:rPr>
        <w:t> MEW.</w:t>
      </w:r>
    </w:p>
    <w:p>
      <w:pPr>
        <w:pStyle w:val="BodyText"/>
        <w:spacing w:before="6"/>
        <w:rPr>
          <w:sz w:val="21"/>
        </w:rPr>
      </w:pPr>
    </w:p>
    <w:p>
      <w:pPr>
        <w:spacing w:line="110" w:lineRule="exact" w:before="0"/>
        <w:ind w:left="219" w:right="0" w:firstLine="0"/>
        <w:jc w:val="left"/>
        <w:rPr>
          <w:sz w:val="12"/>
        </w:rPr>
      </w:pPr>
      <w:r>
        <w:rPr>
          <w:w w:val="121"/>
          <w:sz w:val="12"/>
        </w:rPr>
        <w:t>2</w:t>
      </w:r>
    </w:p>
    <w:p>
      <w:pPr>
        <w:pStyle w:val="BodyText"/>
        <w:spacing w:line="202" w:lineRule="exact"/>
        <w:ind w:right="318"/>
        <w:jc w:val="right"/>
      </w:pPr>
      <w:r>
        <w:rPr>
          <w:w w:val="110"/>
        </w:rPr>
        <w:t>MEW and unsecured lending together provide an estimate of</w:t>
      </w:r>
    </w:p>
    <w:p>
      <w:pPr>
        <w:pStyle w:val="BodyText"/>
        <w:tabs>
          <w:tab w:pos="1379" w:val="left" w:leader="none"/>
        </w:tabs>
        <w:spacing w:before="50"/>
        <w:ind w:right="377"/>
        <w:jc w:val="right"/>
      </w:pPr>
      <w:r>
        <w:rPr>
          <w:w w:val="110"/>
          <w:vertAlign w:val="subscript"/>
        </w:rPr>
        <w:t>0</w:t>
      </w:r>
      <w:r>
        <w:rPr>
          <w:w w:val="110"/>
          <w:vertAlign w:val="baseline"/>
        </w:rPr>
        <w:tab/>
        <w:t>the</w:t>
      </w:r>
      <w:r>
        <w:rPr>
          <w:spacing w:val="-23"/>
          <w:w w:val="110"/>
          <w:vertAlign w:val="baseline"/>
        </w:rPr>
        <w:t> </w:t>
      </w:r>
      <w:r>
        <w:rPr>
          <w:spacing w:val="-3"/>
          <w:w w:val="110"/>
          <w:vertAlign w:val="baseline"/>
        </w:rPr>
        <w:t>total</w:t>
      </w:r>
      <w:r>
        <w:rPr>
          <w:spacing w:val="-22"/>
          <w:w w:val="110"/>
          <w:vertAlign w:val="baseline"/>
        </w:rPr>
        <w:t> </w:t>
      </w:r>
      <w:r>
        <w:rPr>
          <w:w w:val="110"/>
          <w:vertAlign w:val="baseline"/>
        </w:rPr>
        <w:t>borrowing</w:t>
      </w:r>
      <w:r>
        <w:rPr>
          <w:spacing w:val="-22"/>
          <w:w w:val="110"/>
          <w:vertAlign w:val="baseline"/>
        </w:rPr>
        <w:t> </w:t>
      </w:r>
      <w:r>
        <w:rPr>
          <w:w w:val="110"/>
          <w:vertAlign w:val="baseline"/>
        </w:rPr>
        <w:t>available</w:t>
      </w:r>
      <w:r>
        <w:rPr>
          <w:spacing w:val="-22"/>
          <w:w w:val="110"/>
          <w:vertAlign w:val="baseline"/>
        </w:rPr>
        <w:t> </w:t>
      </w:r>
      <w:r>
        <w:rPr>
          <w:w w:val="110"/>
          <w:vertAlign w:val="baseline"/>
        </w:rPr>
        <w:t>for</w:t>
      </w:r>
      <w:r>
        <w:rPr>
          <w:spacing w:val="-22"/>
          <w:w w:val="110"/>
          <w:vertAlign w:val="baseline"/>
        </w:rPr>
        <w:t> </w:t>
      </w:r>
      <w:r>
        <w:rPr>
          <w:w w:val="110"/>
          <w:vertAlign w:val="baseline"/>
        </w:rPr>
        <w:t>consumption,</w:t>
      </w:r>
      <w:r>
        <w:rPr>
          <w:spacing w:val="-22"/>
          <w:w w:val="110"/>
          <w:vertAlign w:val="baseline"/>
        </w:rPr>
        <w:t> </w:t>
      </w:r>
      <w:r>
        <w:rPr>
          <w:w w:val="110"/>
          <w:vertAlign w:val="baseline"/>
        </w:rPr>
        <w:t>though</w:t>
      </w:r>
      <w:r>
        <w:rPr>
          <w:spacing w:val="-22"/>
          <w:w w:val="110"/>
          <w:vertAlign w:val="baseline"/>
        </w:rPr>
        <w:t> </w:t>
      </w:r>
      <w:r>
        <w:rPr>
          <w:w w:val="110"/>
          <w:vertAlign w:val="baseline"/>
        </w:rPr>
        <w:t>these</w:t>
      </w:r>
    </w:p>
    <w:p>
      <w:pPr>
        <w:spacing w:after="0"/>
        <w:jc w:val="right"/>
        <w:sectPr>
          <w:type w:val="continuous"/>
          <w:pgSz w:w="11900" w:h="16840"/>
          <w:pgMar w:top="1260" w:bottom="280" w:left="640" w:right="640"/>
          <w:cols w:num="3" w:equalWidth="0">
            <w:col w:w="486" w:space="156"/>
            <w:col w:w="1744" w:space="1114"/>
            <w:col w:w="7120"/>
          </w:cols>
        </w:sectPr>
      </w:pPr>
    </w:p>
    <w:p>
      <w:pPr>
        <w:tabs>
          <w:tab w:pos="2000" w:val="left" w:leader="none"/>
          <w:tab w:pos="2935" w:val="left" w:leader="none"/>
        </w:tabs>
        <w:spacing w:line="117" w:lineRule="exact" w:before="0"/>
        <w:ind w:left="894" w:right="0" w:firstLine="0"/>
        <w:jc w:val="left"/>
        <w:rPr>
          <w:sz w:val="12"/>
        </w:rPr>
      </w:pPr>
      <w:r>
        <w:rPr>
          <w:w w:val="120"/>
          <w:sz w:val="12"/>
        </w:rPr>
        <w:t>1998</w:t>
        <w:tab/>
        <w:t>99</w:t>
        <w:tab/>
        <w:t>2000</w:t>
      </w:r>
    </w:p>
    <w:p>
      <w:pPr>
        <w:spacing w:before="107"/>
        <w:ind w:left="197" w:right="0" w:firstLine="0"/>
        <w:jc w:val="left"/>
        <w:rPr>
          <w:sz w:val="12"/>
        </w:rPr>
      </w:pPr>
      <w:r>
        <w:rPr>
          <w:w w:val="105"/>
          <w:sz w:val="12"/>
        </w:rPr>
        <w:t>Source: Bank of England.</w:t>
      </w:r>
    </w:p>
    <w:p>
      <w:pPr>
        <w:pStyle w:val="BodyText"/>
        <w:rPr>
          <w:sz w:val="12"/>
        </w:rPr>
      </w:pPr>
    </w:p>
    <w:p>
      <w:pPr>
        <w:pStyle w:val="BodyText"/>
        <w:rPr>
          <w:sz w:val="12"/>
        </w:rPr>
      </w:pPr>
    </w:p>
    <w:p>
      <w:pPr>
        <w:pStyle w:val="BodyText"/>
        <w:rPr>
          <w:sz w:val="12"/>
        </w:rPr>
      </w:pPr>
    </w:p>
    <w:p>
      <w:pPr>
        <w:pStyle w:val="BodyText"/>
        <w:spacing w:before="7"/>
        <w:rPr>
          <w:sz w:val="14"/>
        </w:rPr>
      </w:pPr>
    </w:p>
    <w:p>
      <w:pPr>
        <w:pStyle w:val="Heading6"/>
        <w:ind w:left="194"/>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1.6</w:t>
      </w:r>
    </w:p>
    <w:p>
      <w:pPr>
        <w:spacing w:before="8"/>
        <w:ind w:left="194" w:right="0" w:firstLine="0"/>
        <w:jc w:val="left"/>
        <w:rPr>
          <w:rFonts w:ascii="Trebuchet MS"/>
          <w:b/>
          <w:sz w:val="20"/>
        </w:rPr>
      </w:pPr>
      <w:r>
        <w:rPr>
          <w:rFonts w:ascii="Trebuchet MS"/>
          <w:b/>
          <w:color w:val="89C6DC"/>
          <w:sz w:val="20"/>
        </w:rPr>
        <w:t>Lending for consumption</w:t>
      </w:r>
    </w:p>
    <w:p>
      <w:pPr>
        <w:spacing w:line="123" w:lineRule="exact" w:before="69"/>
        <w:ind w:left="1650" w:right="0" w:firstLine="0"/>
        <w:jc w:val="left"/>
        <w:rPr>
          <w:sz w:val="12"/>
        </w:rPr>
      </w:pPr>
      <w:r>
        <w:rPr>
          <w:w w:val="110"/>
          <w:sz w:val="12"/>
        </w:rPr>
        <w:t>£ billions per quarter; 1995 prices</w:t>
      </w:r>
    </w:p>
    <w:p>
      <w:pPr>
        <w:spacing w:line="123" w:lineRule="exact" w:before="0"/>
        <w:ind w:left="3500" w:right="0" w:firstLine="0"/>
        <w:jc w:val="left"/>
        <w:rPr>
          <w:sz w:val="12"/>
        </w:rPr>
      </w:pPr>
      <w:r>
        <w:rPr/>
        <w:pict>
          <v:group style="position:absolute;margin-left:52.865002pt;margin-top:6.446077pt;width:145.35pt;height:140.4pt;mso-position-horizontal-relative:page;mso-position-vertical-relative:paragraph;z-index:-23542784" coordorigin="1057,129" coordsize="2907,2808">
            <v:line style="position:absolute" from="1066,2519" to="3950,2519" stroked="true" strokeweight=".5pt" strokecolor="#000000">
              <v:stroke dashstyle="solid"/>
            </v:line>
            <v:shape style="position:absolute;left:1067;top:573;width:268;height:550" coordorigin="1067,574" coordsize="268,550" path="m1067,1124l1117,1091m1117,1091l1177,1059m1177,1059l1225,606m1225,606l1287,574m1287,574l1335,656e" filled="false" stroked="true" strokeweight="1pt" strokecolor="#972140">
              <v:path arrowok="t"/>
              <v:stroke dashstyle="solid"/>
            </v:shape>
            <v:line style="position:absolute" from="1360,129" to="1360,666" stroked="true" strokeweight="3.5pt" strokecolor="#972140">
              <v:stroke dashstyle="solid"/>
            </v:line>
            <v:shape style="position:absolute;left:1384;top:138;width:863;height:2098" coordorigin="1385,139" coordsize="863,2098" path="m1385,139l1445,1139m1445,1139l1492,1301m1492,1301l1555,1156m1555,1156l1602,1044m1602,1044l1652,961m1652,961l1712,946m1712,946l1760,1156m1760,1156l1810,1446m1810,1446l1870,1349m1870,1349l1917,1526m1917,1526l1980,1639m1980,1639l2027,1816m2027,1816l2077,1979m2077,1979l2137,1994m2137,1994l2185,2236m2185,2236l2247,2204e" filled="false" stroked="true" strokeweight="1pt" strokecolor="#972140">
              <v:path arrowok="t"/>
              <v:stroke dashstyle="solid"/>
            </v:shape>
            <v:line style="position:absolute" from="2271,2194" to="2271,2699" stroked="true" strokeweight="3.375pt" strokecolor="#972140">
              <v:stroke dashstyle="solid"/>
            </v:line>
            <v:shape style="position:absolute;left:2294;top:1156;width:1653;height:1533" coordorigin="2295,1156" coordsize="1653,1533" path="m2295,2689l2342,2381m2342,2381l2405,2446m2405,2446l2452,2334m2452,2334l2512,2091m2512,2091l2562,2349m2562,2349l2610,2044m2610,2044l2672,2171m2672,2171l2720,2221m2720,2221l2770,2269m2770,2269l2830,2461m2830,2461l2877,2381m2877,2381l2940,2301m2940,2301l2987,2269m2987,2269l3035,2171m3035,2171l3097,2124m3097,2124l3145,2059m3145,2059l3205,1914m3205,1914l3255,1899m3255,1899l3302,2059m3302,2059l3365,1899m3365,1899l3412,1881m3412,1881l3472,1914m3472,1914l3522,1721m3522,1721l3570,1866m3570,1866l3630,1834m3630,1834l3680,1381m3680,1381l3727,1156m3727,1156l3790,1236m3790,1236l3837,1429m3837,1429l3897,1269m3897,1269l3947,1479e" filled="false" stroked="true" strokeweight="1pt" strokecolor="#972140">
              <v:path arrowok="t"/>
              <v:stroke dashstyle="solid"/>
            </v:shape>
            <v:shape style="position:absolute;left:1067;top:1928;width:425;height:178" coordorigin="1067,1929" coordsize="425,178" path="m1067,2106l1117,2026m1117,2026l1177,2091m1177,2091l1225,1929m1225,1929l1287,1979m1287,1979l1335,2044m1335,2044l1385,1961m1385,1961l1445,2106m1445,2106l1492,1994e" filled="false" stroked="true" strokeweight="1pt" strokecolor="#9ed01a">
              <v:path arrowok="t"/>
              <v:stroke dashstyle="solid"/>
            </v:shape>
            <v:line style="position:absolute" from="1482,1995" to="1565,1995" stroked="true" strokeweight="1.125pt" strokecolor="#9ed01a">
              <v:stroke dashstyle="solid"/>
            </v:line>
            <v:shape style="position:absolute;left:1554;top:1993;width:98;height:163" coordorigin="1555,1994" coordsize="98,163" path="m1555,1994l1602,2076m1602,2076l1652,2156e" filled="false" stroked="true" strokeweight="1pt" strokecolor="#9ed01a">
              <v:path arrowok="t"/>
              <v:stroke dashstyle="solid"/>
            </v:shape>
            <v:line style="position:absolute" from="1642,2158" to="1722,2158" stroked="true" strokeweight="1.125pt" strokecolor="#9ed01a">
              <v:stroke dashstyle="solid"/>
            </v:line>
            <v:shape style="position:absolute;left:1712;top:2156;width:205;height:178" coordorigin="1712,2156" coordsize="205,178" path="m1712,2156l1760,2221m1760,2221l1810,2269m1810,2269l1870,2254m1870,2254l1917,2334e" filled="false" stroked="true" strokeweight="1pt" strokecolor="#9ed01a">
              <v:path arrowok="t"/>
              <v:stroke dashstyle="solid"/>
            </v:shape>
            <v:line style="position:absolute" from="1907,2335" to="1990,2335" stroked="true" strokeweight="1.125pt" strokecolor="#9ed01a">
              <v:stroke dashstyle="solid"/>
            </v:line>
            <v:line style="position:absolute" from="1980,2334" to="2027,2431" stroked="true" strokeweight="1pt" strokecolor="#9ed01a">
              <v:stroke dashstyle="solid"/>
            </v:line>
            <v:line style="position:absolute" from="2017,2433" to="2087,2433" stroked="true" strokeweight="1.125pt" strokecolor="#9ed01a">
              <v:stroke dashstyle="solid"/>
            </v:line>
            <v:shape style="position:absolute;left:2077;top:1768;width:1713;height:758" coordorigin="2077,1769" coordsize="1713,758" path="m2077,2431l2137,2461m2137,2461l2185,2526m2185,2526l2247,2479m2247,2479l2295,2494m2295,2494l2342,2431m2342,2431l2405,2399m2405,2399l2452,2334m2452,2334l2512,2316m2512,2316l2562,2334m2562,2334l2610,2189m2610,2189l2672,2221m2672,2221l2720,2156m2720,2156l2770,2106m2770,2106l2830,2171m2830,2171l2877,2091m2877,2091l2940,2026m2940,2026l2987,2076m2987,2076l3035,2011m3035,2011l3097,1816m3097,1816l3145,1946m3145,1946l3205,1961m3205,1961l3255,1881m3255,1881l3302,2044m3302,2044l3365,1816m3365,1816l3412,1784m3412,1784l3472,1849m3472,1849l3522,1769m3522,1769l3570,1899m3570,1899l3630,1866m3630,1866l3680,1849m3680,1849l3727,1801m3727,1801l3790,1834e" filled="false" stroked="true" strokeweight="1pt" strokecolor="#9ed01a">
              <v:path arrowok="t"/>
              <v:stroke dashstyle="solid"/>
            </v:shape>
            <v:shape style="position:absolute;left:3779;top:1835;width:128;height:2" coordorigin="3780,1835" coordsize="128,0" path="m3780,1835l3847,1835m3827,1835l3907,1835e" filled="false" stroked="true" strokeweight="1.125pt" strokecolor="#9ed01a">
              <v:path arrowok="t"/>
              <v:stroke dashstyle="solid"/>
            </v:shape>
            <v:line style="position:absolute" from="3897,1834" to="3947,1914" stroked="true" strokeweight="1pt" strokecolor="#9ed01a">
              <v:stroke dashstyle="solid"/>
            </v:line>
            <v:shape style="position:absolute;left:1067;top:688;width:585;height:1128" coordorigin="1067,689" coordsize="585,1128" path="m1067,1544l1117,1576m1117,1576l1177,1494m1177,1494l1225,1204m1225,1204l1287,1106m1287,1106l1335,1124m1335,1124l1385,689m1385,689l1445,1559m1445,1559l1492,1816m1492,1816l1555,1689m1555,1689l1602,1479m1602,1479l1652,1316e" filled="false" stroked="true" strokeweight="1pt" strokecolor="#0099d9">
              <v:path arrowok="t"/>
              <v:stroke dashstyle="solid"/>
            </v:shape>
            <v:line style="position:absolute" from="1642,1318" to="1722,1318" stroked="true" strokeweight="1.125pt" strokecolor="#0099d9">
              <v:stroke dashstyle="solid"/>
            </v:line>
            <v:shape style="position:absolute;left:1712;top:1316;width:1118;height:1500" coordorigin="1712,1316" coordsize="1118,1500" path="m1712,1316l1760,1446m1760,1446l1810,1704m1810,1704l1870,1606m1870,1606l1917,1704m1917,1704l1980,1816m1980,1816l2027,1914m2027,1914l2077,2076m2077,2076l2137,2059m2137,2059l2185,2221m2185,2221l2247,2254m2247,2254l2295,2704m2295,2704l2342,2461m2342,2461l2405,2559m2405,2559l2452,2526m2452,2526l2512,2301m2512,2301l2562,2544m2562,2544l2610,2366m2610,2366l2672,2479m2672,2479l2720,2591m2720,2591l2770,2671m2770,2671l2830,2816e" filled="false" stroked="true" strokeweight="1pt" strokecolor="#0099d9">
              <v:path arrowok="t"/>
              <v:stroke dashstyle="solid"/>
            </v:shape>
            <v:line style="position:absolute" from="2820,2818" to="2887,2818" stroked="true" strokeweight="1.125pt" strokecolor="#0099d9">
              <v:stroke dashstyle="solid"/>
            </v:line>
            <v:shape style="position:absolute;left:2877;top:2461;width:378;height:373" coordorigin="2877,2461" coordsize="378,373" path="m2877,2816l2940,2784m2940,2784l2987,2704m2987,2704l3035,2689m3035,2689l3097,2834m3097,2834l3145,2639m3145,2639l3205,2461m3205,2461l3255,2544e" filled="false" stroked="true" strokeweight="1pt" strokecolor="#0099d9">
              <v:path arrowok="t"/>
              <v:stroke dashstyle="solid"/>
            </v:shape>
            <v:line style="position:absolute" from="3245,2545" to="3312,2545" stroked="true" strokeweight="1.125pt" strokecolor="#0099d9">
              <v:stroke dashstyle="solid"/>
            </v:line>
            <v:shape style="position:absolute;left:3302;top:1866;width:645;height:740" coordorigin="3302,1866" coordsize="645,740" path="m3302,2544l3365,2591m3365,2591l3412,2606m3412,2606l3472,2591m3472,2591l3522,2461m3522,2461l3570,2494m3570,2494l3630,2479m3630,2479l3680,2059m3680,2059l3727,1866m3727,1866l3790,1914m3790,1914l3837,2124m3837,2124l3897,1961m3897,1961l3947,2076e" filled="false" stroked="true" strokeweight="1pt" strokecolor="#0099d9">
              <v:path arrowok="t"/>
              <v:stroke dashstyle="solid"/>
            </v:shape>
            <v:shape style="position:absolute;left:1068;top:2863;width:2896;height:68" coordorigin="1069,2864" coordsize="2896,68" path="m1071,2931l3964,2931m1069,2864l1069,2931m1710,2864l1710,2931m2351,2864l2351,2931m2991,2864l2991,2931m3632,2864l3632,2931e" filled="false" stroked="true" strokeweight=".5pt" strokecolor="#000000">
              <v:path arrowok="t"/>
              <v:stroke dashstyle="solid"/>
            </v:shape>
            <v:shape style="position:absolute;left:2799;top:1553;width:237;height:373" type="#_x0000_t75" stroked="false">
              <v:imagedata r:id="rId42" o:title=""/>
            </v:shape>
            <v:shape style="position:absolute;left:1444;top:220;width:884;height:241" type="#_x0000_t202" filled="false" stroked="false">
              <v:textbox inset="0,0,0,0">
                <w:txbxContent>
                  <w:p>
                    <w:pPr>
                      <w:spacing w:line="208" w:lineRule="auto" w:before="0"/>
                      <w:ind w:left="60" w:right="11" w:hanging="61"/>
                      <w:jc w:val="left"/>
                      <w:rPr>
                        <w:sz w:val="12"/>
                      </w:rPr>
                    </w:pPr>
                    <w:r>
                      <w:rPr>
                        <w:w w:val="105"/>
                        <w:sz w:val="12"/>
                      </w:rPr>
                      <w:t>Total lending for consumption</w:t>
                    </w:r>
                  </w:p>
                </w:txbxContent>
              </v:textbox>
              <w10:wrap type="none"/>
            </v:shape>
            <v:shape style="position:absolute;left:2300;top:1426;width:998;height:121" type="#_x0000_t202" filled="false" stroked="false">
              <v:textbox inset="0,0,0,0">
                <w:txbxContent>
                  <w:p>
                    <w:pPr>
                      <w:spacing w:line="116" w:lineRule="exact" w:before="0"/>
                      <w:ind w:left="0" w:right="0" w:firstLine="0"/>
                      <w:jc w:val="left"/>
                      <w:rPr>
                        <w:sz w:val="12"/>
                      </w:rPr>
                    </w:pPr>
                    <w:r>
                      <w:rPr>
                        <w:w w:val="110"/>
                        <w:sz w:val="12"/>
                      </w:rPr>
                      <w:t>Unsecured lending</w:t>
                    </w:r>
                  </w:p>
                </w:txbxContent>
              </v:textbox>
              <w10:wrap type="none"/>
            </v:shape>
            <v:shape style="position:absolute;left:3352;top:2235;width:297;height:121" type="#_x0000_t202" filled="false" stroked="false">
              <v:textbox inset="0,0,0,0">
                <w:txbxContent>
                  <w:p>
                    <w:pPr>
                      <w:spacing w:line="116" w:lineRule="exact" w:before="0"/>
                      <w:ind w:left="0" w:right="0" w:firstLine="0"/>
                      <w:jc w:val="left"/>
                      <w:rPr>
                        <w:sz w:val="12"/>
                      </w:rPr>
                    </w:pPr>
                    <w:r>
                      <w:rPr>
                        <w:w w:val="95"/>
                        <w:sz w:val="12"/>
                      </w:rPr>
                      <w:t>MEW</w:t>
                    </w:r>
                  </w:p>
                </w:txbxContent>
              </v:textbox>
              <w10:wrap type="none"/>
            </v:shape>
            <w10:wrap type="none"/>
          </v:group>
        </w:pict>
      </w:r>
      <w:r>
        <w:rPr/>
        <w:pict>
          <v:line style="position:absolute;mso-position-horizontal-relative:page;mso-position-vertical-relative:paragraph;z-index:15788032" from="44.348pt,2.196078pt" to="48.681pt,2.196078pt" stroked="true" strokeweight=".5pt" strokecolor="#000000">
            <v:stroke dashstyle="solid"/>
            <w10:wrap type="none"/>
          </v:line>
        </w:pict>
      </w:r>
      <w:r>
        <w:rPr/>
        <w:pict>
          <v:line style="position:absolute;mso-position-horizontal-relative:page;mso-position-vertical-relative:paragraph;z-index:15791616" from="201.757996pt,2.231078pt" to="206.090996pt,2.231078pt" stroked="true" strokeweight=".5pt" strokecolor="#000000">
            <v:stroke dashstyle="solid"/>
            <w10:wrap type="none"/>
          </v:line>
        </w:pict>
      </w:r>
      <w:r>
        <w:rPr>
          <w:w w:val="120"/>
          <w:sz w:val="12"/>
        </w:rPr>
        <w:t>12</w:t>
      </w:r>
    </w:p>
    <w:p>
      <w:pPr>
        <w:pStyle w:val="BodyText"/>
        <w:rPr>
          <w:sz w:val="12"/>
        </w:rPr>
      </w:pPr>
    </w:p>
    <w:p>
      <w:pPr>
        <w:pStyle w:val="BodyText"/>
        <w:spacing w:before="10"/>
        <w:rPr>
          <w:sz w:val="11"/>
        </w:rPr>
      </w:pPr>
    </w:p>
    <w:p>
      <w:pPr>
        <w:spacing w:before="0"/>
        <w:ind w:left="3500" w:right="0" w:firstLine="0"/>
        <w:jc w:val="left"/>
        <w:rPr>
          <w:sz w:val="12"/>
        </w:rPr>
      </w:pPr>
      <w:r>
        <w:rPr/>
        <w:pict>
          <v:line style="position:absolute;mso-position-horizontal-relative:page;mso-position-vertical-relative:paragraph;z-index:15787520" from="44.348pt,2.959631pt" to="48.681pt,2.959631pt" stroked="true" strokeweight=".5pt" strokecolor="#000000">
            <v:stroke dashstyle="solid"/>
            <w10:wrap type="none"/>
          </v:line>
        </w:pict>
      </w:r>
      <w:r>
        <w:rPr/>
        <w:pict>
          <v:line style="position:absolute;mso-position-horizontal-relative:page;mso-position-vertical-relative:paragraph;z-index:15788544" from="201.757996pt,2.994631pt" to="206.090996pt,2.994631pt" stroked="true" strokeweight=".5pt" strokecolor="#000000">
            <v:stroke dashstyle="solid"/>
            <w10:wrap type="none"/>
          </v:line>
        </w:pict>
      </w:r>
      <w:r>
        <w:rPr>
          <w:w w:val="120"/>
          <w:sz w:val="12"/>
        </w:rPr>
        <w:t>10</w:t>
      </w:r>
    </w:p>
    <w:p>
      <w:pPr>
        <w:pStyle w:val="BodyText"/>
        <w:spacing w:line="292" w:lineRule="auto" w:before="46"/>
        <w:ind w:left="194" w:right="184"/>
      </w:pPr>
      <w:r>
        <w:rPr/>
        <w:br w:type="column"/>
      </w:r>
      <w:r>
        <w:rPr>
          <w:w w:val="110"/>
        </w:rPr>
        <w:t>funds </w:t>
      </w:r>
      <w:r>
        <w:rPr>
          <w:spacing w:val="-3"/>
          <w:w w:val="110"/>
        </w:rPr>
        <w:t>may </w:t>
      </w:r>
      <w:r>
        <w:rPr>
          <w:w w:val="110"/>
        </w:rPr>
        <w:t>also be spent on financial assets. Unsecured borrowing</w:t>
      </w:r>
      <w:r>
        <w:rPr>
          <w:spacing w:val="-14"/>
          <w:w w:val="110"/>
        </w:rPr>
        <w:t> </w:t>
      </w:r>
      <w:r>
        <w:rPr>
          <w:w w:val="110"/>
        </w:rPr>
        <w:t>continues</w:t>
      </w:r>
      <w:r>
        <w:rPr>
          <w:spacing w:val="-14"/>
          <w:w w:val="110"/>
        </w:rPr>
        <w:t> </w:t>
      </w:r>
      <w:r>
        <w:rPr>
          <w:spacing w:val="-4"/>
          <w:w w:val="110"/>
        </w:rPr>
        <w:t>to</w:t>
      </w:r>
      <w:r>
        <w:rPr>
          <w:spacing w:val="-14"/>
          <w:w w:val="110"/>
        </w:rPr>
        <w:t> </w:t>
      </w:r>
      <w:r>
        <w:rPr>
          <w:w w:val="110"/>
        </w:rPr>
        <w:t>account</w:t>
      </w:r>
      <w:r>
        <w:rPr>
          <w:spacing w:val="-14"/>
          <w:w w:val="110"/>
        </w:rPr>
        <w:t> </w:t>
      </w:r>
      <w:r>
        <w:rPr>
          <w:w w:val="110"/>
        </w:rPr>
        <w:t>for</w:t>
      </w:r>
      <w:r>
        <w:rPr>
          <w:spacing w:val="-14"/>
          <w:w w:val="110"/>
        </w:rPr>
        <w:t> </w:t>
      </w:r>
      <w:r>
        <w:rPr>
          <w:w w:val="110"/>
        </w:rPr>
        <w:t>more</w:t>
      </w:r>
      <w:r>
        <w:rPr>
          <w:spacing w:val="-13"/>
          <w:w w:val="110"/>
        </w:rPr>
        <w:t> </w:t>
      </w:r>
      <w:r>
        <w:rPr>
          <w:w w:val="110"/>
        </w:rPr>
        <w:t>than</w:t>
      </w:r>
      <w:r>
        <w:rPr>
          <w:spacing w:val="-14"/>
          <w:w w:val="110"/>
        </w:rPr>
        <w:t> </w:t>
      </w:r>
      <w:r>
        <w:rPr>
          <w:w w:val="110"/>
        </w:rPr>
        <w:t>half</w:t>
      </w:r>
      <w:r>
        <w:rPr>
          <w:spacing w:val="-14"/>
          <w:w w:val="110"/>
        </w:rPr>
        <w:t> </w:t>
      </w:r>
      <w:r>
        <w:rPr>
          <w:w w:val="110"/>
        </w:rPr>
        <w:t>of</w:t>
      </w:r>
      <w:r>
        <w:rPr>
          <w:spacing w:val="-14"/>
          <w:w w:val="110"/>
        </w:rPr>
        <w:t> </w:t>
      </w:r>
      <w:r>
        <w:rPr>
          <w:spacing w:val="-3"/>
          <w:w w:val="110"/>
        </w:rPr>
        <w:t>total </w:t>
      </w:r>
      <w:r>
        <w:rPr>
          <w:w w:val="110"/>
        </w:rPr>
        <w:t>borrowing</w:t>
      </w:r>
      <w:r>
        <w:rPr>
          <w:spacing w:val="-15"/>
          <w:w w:val="110"/>
        </w:rPr>
        <w:t> </w:t>
      </w:r>
      <w:r>
        <w:rPr>
          <w:w w:val="110"/>
        </w:rPr>
        <w:t>available</w:t>
      </w:r>
      <w:r>
        <w:rPr>
          <w:spacing w:val="-15"/>
          <w:w w:val="110"/>
        </w:rPr>
        <w:t> </w:t>
      </w:r>
      <w:r>
        <w:rPr>
          <w:w w:val="110"/>
        </w:rPr>
        <w:t>for</w:t>
      </w:r>
      <w:r>
        <w:rPr>
          <w:spacing w:val="-14"/>
          <w:w w:val="110"/>
        </w:rPr>
        <w:t> </w:t>
      </w:r>
      <w:r>
        <w:rPr>
          <w:w w:val="110"/>
        </w:rPr>
        <w:t>consumption</w:t>
      </w:r>
      <w:r>
        <w:rPr>
          <w:spacing w:val="-15"/>
          <w:w w:val="110"/>
        </w:rPr>
        <w:t> </w:t>
      </w:r>
      <w:r>
        <w:rPr>
          <w:w w:val="110"/>
        </w:rPr>
        <w:t>(see</w:t>
      </w:r>
      <w:r>
        <w:rPr>
          <w:spacing w:val="-14"/>
          <w:w w:val="110"/>
        </w:rPr>
        <w:t> </w:t>
      </w:r>
      <w:r>
        <w:rPr>
          <w:w w:val="110"/>
        </w:rPr>
        <w:t>Chart</w:t>
      </w:r>
      <w:r>
        <w:rPr>
          <w:spacing w:val="-15"/>
          <w:w w:val="110"/>
        </w:rPr>
        <w:t> </w:t>
      </w:r>
      <w:r>
        <w:rPr>
          <w:w w:val="110"/>
        </w:rPr>
        <w:t>1.6).</w:t>
      </w:r>
    </w:p>
    <w:p>
      <w:pPr>
        <w:pStyle w:val="BodyText"/>
        <w:spacing w:line="292" w:lineRule="auto"/>
        <w:ind w:left="194" w:right="184"/>
      </w:pPr>
      <w:r>
        <w:rPr>
          <w:w w:val="110"/>
        </w:rPr>
        <w:t>Unsecured</w:t>
      </w:r>
      <w:r>
        <w:rPr>
          <w:spacing w:val="-22"/>
          <w:w w:val="110"/>
        </w:rPr>
        <w:t> </w:t>
      </w:r>
      <w:r>
        <w:rPr>
          <w:w w:val="110"/>
        </w:rPr>
        <w:t>lending</w:t>
      </w:r>
      <w:r>
        <w:rPr>
          <w:spacing w:val="-22"/>
          <w:w w:val="110"/>
        </w:rPr>
        <w:t> </w:t>
      </w:r>
      <w:r>
        <w:rPr>
          <w:spacing w:val="-3"/>
          <w:w w:val="110"/>
        </w:rPr>
        <w:t>may</w:t>
      </w:r>
      <w:r>
        <w:rPr>
          <w:spacing w:val="-22"/>
          <w:w w:val="110"/>
        </w:rPr>
        <w:t> </w:t>
      </w:r>
      <w:r>
        <w:rPr>
          <w:spacing w:val="-3"/>
          <w:w w:val="110"/>
        </w:rPr>
        <w:t>have</w:t>
      </w:r>
      <w:r>
        <w:rPr>
          <w:spacing w:val="-21"/>
          <w:w w:val="110"/>
        </w:rPr>
        <w:t> </w:t>
      </w:r>
      <w:r>
        <w:rPr>
          <w:w w:val="110"/>
        </w:rPr>
        <w:t>been</w:t>
      </w:r>
      <w:r>
        <w:rPr>
          <w:spacing w:val="-22"/>
          <w:w w:val="110"/>
        </w:rPr>
        <w:t> </w:t>
      </w:r>
      <w:r>
        <w:rPr>
          <w:w w:val="110"/>
        </w:rPr>
        <w:t>stimulated</w:t>
      </w:r>
      <w:r>
        <w:rPr>
          <w:spacing w:val="-22"/>
          <w:w w:val="110"/>
        </w:rPr>
        <w:t> </w:t>
      </w:r>
      <w:r>
        <w:rPr>
          <w:spacing w:val="-3"/>
          <w:w w:val="110"/>
        </w:rPr>
        <w:t>by</w:t>
      </w:r>
      <w:r>
        <w:rPr>
          <w:spacing w:val="-21"/>
          <w:w w:val="110"/>
        </w:rPr>
        <w:t> </w:t>
      </w:r>
      <w:r>
        <w:rPr>
          <w:w w:val="110"/>
        </w:rPr>
        <w:t>the</w:t>
      </w:r>
      <w:r>
        <w:rPr>
          <w:spacing w:val="-22"/>
          <w:w w:val="110"/>
        </w:rPr>
        <w:t> </w:t>
      </w:r>
      <w:r>
        <w:rPr>
          <w:w w:val="110"/>
        </w:rPr>
        <w:t>effects</w:t>
      </w:r>
      <w:r>
        <w:rPr>
          <w:spacing w:val="-22"/>
          <w:w w:val="110"/>
        </w:rPr>
        <w:t> </w:t>
      </w:r>
      <w:r>
        <w:rPr>
          <w:w w:val="110"/>
        </w:rPr>
        <w:t>of increased</w:t>
      </w:r>
      <w:r>
        <w:rPr>
          <w:spacing w:val="-18"/>
          <w:w w:val="110"/>
        </w:rPr>
        <w:t> </w:t>
      </w:r>
      <w:r>
        <w:rPr>
          <w:w w:val="110"/>
        </w:rPr>
        <w:t>competition</w:t>
      </w:r>
      <w:r>
        <w:rPr>
          <w:spacing w:val="-18"/>
          <w:w w:val="110"/>
        </w:rPr>
        <w:t> </w:t>
      </w:r>
      <w:r>
        <w:rPr>
          <w:w w:val="110"/>
        </w:rPr>
        <w:t>in</w:t>
      </w:r>
      <w:r>
        <w:rPr>
          <w:spacing w:val="-18"/>
          <w:w w:val="110"/>
        </w:rPr>
        <w:t> </w:t>
      </w:r>
      <w:r>
        <w:rPr>
          <w:w w:val="110"/>
        </w:rPr>
        <w:t>the</w:t>
      </w:r>
      <w:r>
        <w:rPr>
          <w:spacing w:val="-18"/>
          <w:w w:val="110"/>
        </w:rPr>
        <w:t> </w:t>
      </w:r>
      <w:r>
        <w:rPr>
          <w:w w:val="110"/>
        </w:rPr>
        <w:t>provision</w:t>
      </w:r>
      <w:r>
        <w:rPr>
          <w:spacing w:val="-18"/>
          <w:w w:val="110"/>
        </w:rPr>
        <w:t> </w:t>
      </w:r>
      <w:r>
        <w:rPr>
          <w:w w:val="110"/>
        </w:rPr>
        <w:t>of</w:t>
      </w:r>
      <w:r>
        <w:rPr>
          <w:spacing w:val="-18"/>
          <w:w w:val="110"/>
        </w:rPr>
        <w:t> </w:t>
      </w:r>
      <w:r>
        <w:rPr>
          <w:w w:val="110"/>
        </w:rPr>
        <w:t>finance,</w:t>
      </w:r>
      <w:r>
        <w:rPr>
          <w:spacing w:val="-18"/>
          <w:w w:val="110"/>
        </w:rPr>
        <w:t> </w:t>
      </w:r>
      <w:r>
        <w:rPr>
          <w:w w:val="110"/>
        </w:rPr>
        <w:t>which</w:t>
      </w:r>
      <w:r>
        <w:rPr>
          <w:spacing w:val="-18"/>
          <w:w w:val="110"/>
        </w:rPr>
        <w:t> </w:t>
      </w:r>
      <w:r>
        <w:rPr>
          <w:w w:val="110"/>
        </w:rPr>
        <w:t>has reduced the </w:t>
      </w:r>
      <w:r>
        <w:rPr>
          <w:spacing w:val="-4"/>
          <w:w w:val="110"/>
        </w:rPr>
        <w:t>rates </w:t>
      </w:r>
      <w:r>
        <w:rPr>
          <w:w w:val="110"/>
        </w:rPr>
        <w:t>faced </w:t>
      </w:r>
      <w:r>
        <w:rPr>
          <w:spacing w:val="-3"/>
          <w:w w:val="110"/>
        </w:rPr>
        <w:t>by borrowers </w:t>
      </w:r>
      <w:r>
        <w:rPr>
          <w:w w:val="110"/>
        </w:rPr>
        <w:t>relative </w:t>
      </w:r>
      <w:r>
        <w:rPr>
          <w:spacing w:val="-4"/>
          <w:w w:val="110"/>
        </w:rPr>
        <w:t>to </w:t>
      </w:r>
      <w:r>
        <w:rPr>
          <w:w w:val="110"/>
        </w:rPr>
        <w:t>the </w:t>
      </w:r>
      <w:r>
        <w:rPr>
          <w:spacing w:val="-3"/>
          <w:w w:val="110"/>
        </w:rPr>
        <w:t>Bank’s </w:t>
      </w:r>
      <w:r>
        <w:rPr>
          <w:w w:val="110"/>
        </w:rPr>
        <w:t>repo </w:t>
      </w:r>
      <w:r>
        <w:rPr>
          <w:spacing w:val="-4"/>
          <w:w w:val="110"/>
        </w:rPr>
        <w:t>rate </w:t>
      </w:r>
      <w:r>
        <w:rPr>
          <w:w w:val="110"/>
        </w:rPr>
        <w:t>in the past </w:t>
      </w:r>
      <w:r>
        <w:rPr>
          <w:spacing w:val="-5"/>
          <w:w w:val="110"/>
        </w:rPr>
        <w:t>two </w:t>
      </w:r>
      <w:r>
        <w:rPr>
          <w:spacing w:val="-3"/>
          <w:w w:val="110"/>
        </w:rPr>
        <w:t>years. </w:t>
      </w:r>
      <w:r>
        <w:rPr>
          <w:w w:val="110"/>
        </w:rPr>
        <w:t>This is discussed in </w:t>
      </w:r>
      <w:r>
        <w:rPr>
          <w:spacing w:val="-3"/>
          <w:w w:val="110"/>
        </w:rPr>
        <w:t>greater </w:t>
      </w:r>
      <w:hyperlink w:history="true" w:anchor="_bookmark5">
        <w:r>
          <w:rPr>
            <w:w w:val="110"/>
          </w:rPr>
          <w:t>detail in the </w:t>
        </w:r>
        <w:r>
          <w:rPr>
            <w:color w:val="FF0000"/>
            <w:spacing w:val="-3"/>
            <w:w w:val="110"/>
          </w:rPr>
          <w:t>box </w:t>
        </w:r>
        <w:r>
          <w:rPr>
            <w:w w:val="110"/>
          </w:rPr>
          <w:t>on page</w:t>
        </w:r>
        <w:r>
          <w:rPr>
            <w:spacing w:val="-30"/>
            <w:w w:val="110"/>
          </w:rPr>
          <w:t> </w:t>
        </w:r>
        <w:r>
          <w:rPr>
            <w:w w:val="110"/>
          </w:rPr>
          <w:t>6.</w:t>
        </w:r>
      </w:hyperlink>
    </w:p>
    <w:p>
      <w:pPr>
        <w:spacing w:after="0" w:line="292" w:lineRule="auto"/>
        <w:sectPr>
          <w:type w:val="continuous"/>
          <w:pgSz w:w="11900" w:h="16840"/>
          <w:pgMar w:top="1260" w:bottom="280" w:left="640" w:right="640"/>
          <w:cols w:num="2" w:equalWidth="0">
            <w:col w:w="3687" w:space="1218"/>
            <w:col w:w="5715"/>
          </w:cols>
        </w:sectPr>
      </w:pPr>
    </w:p>
    <w:p>
      <w:pPr>
        <w:pStyle w:val="BodyText"/>
        <w:spacing w:before="8"/>
        <w:rPr>
          <w:sz w:val="15"/>
        </w:rPr>
      </w:pPr>
    </w:p>
    <w:p>
      <w:pPr>
        <w:pStyle w:val="BodyText"/>
        <w:spacing w:line="20" w:lineRule="exact"/>
        <w:ind w:left="241"/>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8"/>
        <w:rPr>
          <w:sz w:val="10"/>
        </w:rPr>
      </w:pPr>
      <w:r>
        <w:rPr/>
        <w:pict>
          <v:shape style="position:absolute;margin-left:44.348pt;margin-top:8.367976pt;width:4.350pt;height:.1pt;mso-position-horizontal-relative:page;mso-position-vertical-relative:paragraph;z-index:-15684096;mso-wrap-distance-left:0;mso-wrap-distance-right:0" coordorigin="887,167" coordsize="87,0" path="m887,167l974,167e" filled="false" stroked="true" strokeweight=".5pt" strokecolor="#000000">
            <v:path arrowok="t"/>
            <v:stroke dashstyle="solid"/>
            <w10:wrap type="topAndBottom"/>
          </v:shape>
        </w:pict>
      </w:r>
      <w:r>
        <w:rPr/>
        <w:pict>
          <v:shape style="position:absolute;margin-left:44.348pt;margin-top:28.983976pt;width:4.350pt;height:.1pt;mso-position-horizontal-relative:page;mso-position-vertical-relative:paragraph;z-index:-15683584;mso-wrap-distance-left:0;mso-wrap-distance-right:0" coordorigin="887,580" coordsize="87,0" path="m887,580l974,580e" filled="false" stroked="true" strokeweight=".5pt" strokecolor="#000000">
            <v:path arrowok="t"/>
            <v:stroke dashstyle="solid"/>
            <w10:wrap type="topAndBottom"/>
          </v:shape>
        </w:pict>
      </w:r>
      <w:r>
        <w:rPr/>
        <w:pict>
          <v:shape style="position:absolute;margin-left:44.348pt;margin-top:49.600975pt;width:4.350pt;height:.1pt;mso-position-horizontal-relative:page;mso-position-vertical-relative:paragraph;z-index:-15683072;mso-wrap-distance-left:0;mso-wrap-distance-right:0" coordorigin="887,992" coordsize="87,0" path="m887,992l974,992e" filled="false" stroked="true" strokeweight=".5pt" strokecolor="#000000">
            <v:path arrowok="t"/>
            <v:stroke dashstyle="solid"/>
            <w10:wrap type="topAndBottom"/>
          </v:shape>
        </w:pict>
      </w:r>
      <w:r>
        <w:rPr/>
        <w:pict>
          <v:shape style="position:absolute;margin-left:44.348pt;margin-top:70.217979pt;width:4.350pt;height:.1pt;mso-position-horizontal-relative:page;mso-position-vertical-relative:paragraph;z-index:-15682560;mso-wrap-distance-left:0;mso-wrap-distance-right:0" coordorigin="887,1404" coordsize="87,0" path="m887,1404l974,1404e" filled="false" stroked="true" strokeweight=".5pt" strokecolor="#000000">
            <v:path arrowok="t"/>
            <v:stroke dashstyle="solid"/>
            <w10:wrap type="topAndBottom"/>
          </v:shape>
        </w:pict>
      </w:r>
      <w:r>
        <w:rPr/>
        <w:pict>
          <v:shape style="position:absolute;margin-left:44.348pt;margin-top:90.833977pt;width:4.350pt;height:.1pt;mso-position-horizontal-relative:page;mso-position-vertical-relative:paragraph;z-index:-15682048;mso-wrap-distance-left:0;mso-wrap-distance-right:0" coordorigin="887,1817" coordsize="87,0" path="m887,1817l974,1817e" filled="false" stroked="true" strokeweight=".5pt" strokecolor="#000000">
            <v:path arrowok="t"/>
            <v:stroke dashstyle="solid"/>
            <w10:wrap type="topAndBottom"/>
          </v:shape>
        </w:pict>
      </w:r>
    </w:p>
    <w:p>
      <w:pPr>
        <w:pStyle w:val="BodyText"/>
        <w:rPr>
          <w:sz w:val="29"/>
        </w:rPr>
      </w:pPr>
    </w:p>
    <w:p>
      <w:pPr>
        <w:pStyle w:val="BodyText"/>
        <w:rPr>
          <w:sz w:val="29"/>
        </w:rPr>
      </w:pPr>
    </w:p>
    <w:p>
      <w:pPr>
        <w:pStyle w:val="BodyText"/>
        <w:rPr>
          <w:sz w:val="29"/>
        </w:rPr>
      </w:pPr>
    </w:p>
    <w:p>
      <w:pPr>
        <w:pStyle w:val="BodyText"/>
        <w:rPr>
          <w:sz w:val="29"/>
        </w:rPr>
      </w:pPr>
    </w:p>
    <w:p>
      <w:pPr>
        <w:spacing w:before="0"/>
        <w:ind w:left="312" w:right="0" w:firstLine="0"/>
        <w:jc w:val="left"/>
        <w:rPr>
          <w:sz w:val="12"/>
        </w:rPr>
      </w:pPr>
      <w:r>
        <w:rPr>
          <w:w w:val="120"/>
          <w:sz w:val="12"/>
        </w:rPr>
        <w:t>1987</w:t>
      </w:r>
    </w:p>
    <w:p>
      <w:pPr>
        <w:pStyle w:val="BodyText"/>
        <w:rPr>
          <w:sz w:val="11"/>
        </w:rPr>
      </w:pPr>
      <w:r>
        <w:rPr/>
        <w:br w:type="column"/>
      </w:r>
      <w:r>
        <w:rPr>
          <w:sz w:val="11"/>
        </w:rPr>
      </w:r>
    </w:p>
    <w:p>
      <w:pPr>
        <w:spacing w:before="0"/>
        <w:ind w:left="0" w:right="38" w:firstLine="0"/>
        <w:jc w:val="right"/>
        <w:rPr>
          <w:sz w:val="12"/>
        </w:rPr>
      </w:pPr>
      <w:r>
        <w:rPr>
          <w:w w:val="121"/>
          <w:sz w:val="12"/>
        </w:rPr>
        <w:t>8</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789056" from="201.757996pt,-17.638231pt" to="206.090996pt,-17.638231pt" stroked="true" strokeweight=".5pt" strokecolor="#000000">
            <v:stroke dashstyle="solid"/>
            <w10:wrap type="none"/>
          </v:line>
        </w:pict>
      </w:r>
      <w:r>
        <w:rPr/>
        <w:pict>
          <v:line style="position:absolute;mso-position-horizontal-relative:page;mso-position-vertical-relative:paragraph;z-index:15789568" from="201.757996pt,2.977768pt" to="206.090996pt,2.977768pt" stroked="true" strokeweight=".5pt" strokecolor="#000000">
            <v:stroke dashstyle="solid"/>
            <w10:wrap type="none"/>
          </v:line>
        </w:pict>
      </w:r>
      <w:r>
        <w:rPr>
          <w:w w:val="121"/>
          <w:sz w:val="12"/>
        </w:rPr>
        <w:t>6</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790080" from="201.757996pt,2.969768pt" to="206.090996pt,2.969768pt" stroked="true" strokeweight=".5pt" strokecolor="#000000">
            <v:stroke dashstyle="solid"/>
            <w10:wrap type="none"/>
          </v:line>
        </w:pict>
      </w:r>
      <w:r>
        <w:rPr>
          <w:w w:val="121"/>
          <w:sz w:val="12"/>
        </w:rPr>
        <w:t>4</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790592" from="201.757996pt,2.960768pt" to="206.090996pt,2.960768pt" stroked="true" strokeweight=".5pt" strokecolor="#000000">
            <v:stroke dashstyle="solid"/>
            <w10:wrap type="none"/>
          </v:line>
        </w:pict>
      </w:r>
      <w:r>
        <w:rPr>
          <w:w w:val="121"/>
          <w:sz w:val="12"/>
        </w:rPr>
        <w:t>2</w:t>
      </w:r>
    </w:p>
    <w:p>
      <w:pPr>
        <w:spacing w:before="74"/>
        <w:ind w:left="2763" w:right="0" w:firstLine="0"/>
        <w:jc w:val="left"/>
        <w:rPr>
          <w:sz w:val="16"/>
        </w:rPr>
      </w:pPr>
      <w:r>
        <w:rPr>
          <w:w w:val="107"/>
          <w:sz w:val="16"/>
        </w:rPr>
        <w:t>+</w:t>
      </w:r>
    </w:p>
    <w:p>
      <w:pPr>
        <w:spacing w:line="103" w:lineRule="exact" w:before="17"/>
        <w:ind w:left="0" w:right="38" w:firstLine="0"/>
        <w:jc w:val="right"/>
        <w:rPr>
          <w:sz w:val="12"/>
        </w:rPr>
      </w:pPr>
      <w:r>
        <w:rPr/>
        <w:pict>
          <v:line style="position:absolute;mso-position-horizontal-relative:page;mso-position-vertical-relative:paragraph;z-index:15784960" from="201.757996pt,3.80276pt" to="206.090996pt,3.80276pt" stroked="true" strokeweight=".5pt" strokecolor="#000000">
            <v:stroke dashstyle="solid"/>
            <w10:wrap type="none"/>
          </v:line>
        </w:pict>
      </w:r>
      <w:r>
        <w:rPr>
          <w:w w:val="121"/>
          <w:sz w:val="12"/>
        </w:rPr>
        <w:t>0</w:t>
      </w:r>
    </w:p>
    <w:p>
      <w:pPr>
        <w:spacing w:line="149" w:lineRule="exact" w:before="0"/>
        <w:ind w:left="2765" w:right="0" w:firstLine="0"/>
        <w:jc w:val="left"/>
        <w:rPr>
          <w:sz w:val="16"/>
        </w:rPr>
      </w:pPr>
      <w:r>
        <w:rPr>
          <w:w w:val="117"/>
          <w:sz w:val="16"/>
        </w:rPr>
        <w:t>–</w:t>
      </w:r>
    </w:p>
    <w:p>
      <w:pPr>
        <w:pStyle w:val="BodyText"/>
        <w:spacing w:before="6"/>
        <w:rPr>
          <w:sz w:val="13"/>
        </w:rPr>
      </w:pPr>
    </w:p>
    <w:p>
      <w:pPr>
        <w:tabs>
          <w:tab w:pos="944" w:val="left" w:leader="none"/>
          <w:tab w:pos="1576" w:val="left" w:leader="none"/>
          <w:tab w:pos="2209" w:val="left" w:leader="none"/>
          <w:tab w:pos="2868" w:val="left" w:leader="none"/>
        </w:tabs>
        <w:spacing w:before="0"/>
        <w:ind w:left="312" w:right="0" w:firstLine="0"/>
        <w:jc w:val="left"/>
        <w:rPr>
          <w:sz w:val="12"/>
        </w:rPr>
      </w:pPr>
      <w:r>
        <w:rPr/>
        <w:pict>
          <v:line style="position:absolute;mso-position-horizontal-relative:page;mso-position-vertical-relative:paragraph;z-index:-23538688" from="201.757996pt,3.193799pt" to="206.090996pt,3.193799pt" stroked="true" strokeweight=".5pt" strokecolor="#000000">
            <v:stroke dashstyle="solid"/>
            <w10:wrap type="none"/>
          </v:line>
        </w:pict>
      </w:r>
      <w:r>
        <w:rPr>
          <w:w w:val="120"/>
          <w:sz w:val="12"/>
        </w:rPr>
        <w:t>90</w:t>
        <w:tab/>
        <w:t>93</w:t>
        <w:tab/>
        <w:t>96</w:t>
        <w:tab/>
        <w:t>99</w:t>
        <w:tab/>
      </w:r>
      <w:r>
        <w:rPr>
          <w:w w:val="120"/>
          <w:position w:val="8"/>
          <w:sz w:val="12"/>
        </w:rPr>
        <w:t>2</w:t>
      </w:r>
    </w:p>
    <w:p>
      <w:pPr>
        <w:pStyle w:val="BodyText"/>
        <w:spacing w:before="11"/>
        <w:rPr>
          <w:sz w:val="23"/>
        </w:rPr>
      </w:pPr>
      <w:r>
        <w:rPr/>
        <w:br w:type="column"/>
      </w:r>
      <w:r>
        <w:rPr>
          <w:sz w:val="23"/>
        </w:rPr>
      </w:r>
    </w:p>
    <w:p>
      <w:pPr>
        <w:pStyle w:val="BodyText"/>
        <w:spacing w:line="292" w:lineRule="auto"/>
        <w:ind w:left="312" w:right="120"/>
      </w:pPr>
      <w:r>
        <w:rPr>
          <w:w w:val="110"/>
        </w:rPr>
        <w:t>Household debt has risen </w:t>
      </w:r>
      <w:r>
        <w:rPr>
          <w:spacing w:val="-4"/>
          <w:w w:val="110"/>
        </w:rPr>
        <w:t>to </w:t>
      </w:r>
      <w:r>
        <w:rPr>
          <w:w w:val="110"/>
        </w:rPr>
        <w:t>a </w:t>
      </w:r>
      <w:r>
        <w:rPr>
          <w:spacing w:val="-3"/>
          <w:w w:val="110"/>
        </w:rPr>
        <w:t>record </w:t>
      </w:r>
      <w:r>
        <w:rPr>
          <w:w w:val="110"/>
        </w:rPr>
        <w:t>share of disposable income (see Chart 1.8). That </w:t>
      </w:r>
      <w:r>
        <w:rPr>
          <w:spacing w:val="-3"/>
          <w:w w:val="110"/>
        </w:rPr>
        <w:t>may </w:t>
      </w:r>
      <w:r>
        <w:rPr>
          <w:w w:val="110"/>
        </w:rPr>
        <w:t>partly reflect </w:t>
      </w:r>
      <w:r>
        <w:rPr>
          <w:spacing w:val="-3"/>
          <w:w w:val="110"/>
        </w:rPr>
        <w:t>rapid </w:t>
      </w:r>
      <w:r>
        <w:rPr>
          <w:w w:val="110"/>
        </w:rPr>
        <w:t>increases in household wealth, which are likely </w:t>
      </w:r>
      <w:r>
        <w:rPr>
          <w:spacing w:val="-4"/>
          <w:w w:val="110"/>
        </w:rPr>
        <w:t>to </w:t>
      </w:r>
      <w:r>
        <w:rPr>
          <w:spacing w:val="-3"/>
          <w:w w:val="110"/>
        </w:rPr>
        <w:t>have </w:t>
      </w:r>
      <w:r>
        <w:rPr>
          <w:w w:val="110"/>
        </w:rPr>
        <w:t>led households</w:t>
      </w:r>
      <w:r>
        <w:rPr>
          <w:spacing w:val="-26"/>
          <w:w w:val="110"/>
        </w:rPr>
        <w:t> </w:t>
      </w:r>
      <w:r>
        <w:rPr>
          <w:spacing w:val="-4"/>
          <w:w w:val="110"/>
        </w:rPr>
        <w:t>to</w:t>
      </w:r>
      <w:r>
        <w:rPr>
          <w:spacing w:val="-25"/>
          <w:w w:val="110"/>
        </w:rPr>
        <w:t> </w:t>
      </w:r>
      <w:r>
        <w:rPr>
          <w:w w:val="110"/>
        </w:rPr>
        <w:t>raise</w:t>
      </w:r>
      <w:r>
        <w:rPr>
          <w:spacing w:val="-25"/>
          <w:w w:val="110"/>
        </w:rPr>
        <w:t> </w:t>
      </w:r>
      <w:r>
        <w:rPr>
          <w:w w:val="110"/>
        </w:rPr>
        <w:t>consumption</w:t>
      </w:r>
      <w:r>
        <w:rPr>
          <w:spacing w:val="-25"/>
          <w:w w:val="110"/>
        </w:rPr>
        <w:t> </w:t>
      </w:r>
      <w:r>
        <w:rPr>
          <w:w w:val="110"/>
        </w:rPr>
        <w:t>levels,</w:t>
      </w:r>
      <w:r>
        <w:rPr>
          <w:spacing w:val="-25"/>
          <w:w w:val="110"/>
        </w:rPr>
        <w:t> </w:t>
      </w:r>
      <w:r>
        <w:rPr>
          <w:w w:val="110"/>
        </w:rPr>
        <w:t>financed</w:t>
      </w:r>
      <w:r>
        <w:rPr>
          <w:spacing w:val="-26"/>
          <w:w w:val="110"/>
        </w:rPr>
        <w:t> </w:t>
      </w:r>
      <w:r>
        <w:rPr>
          <w:spacing w:val="-3"/>
          <w:w w:val="110"/>
        </w:rPr>
        <w:t>by</w:t>
      </w:r>
      <w:r>
        <w:rPr>
          <w:spacing w:val="-25"/>
          <w:w w:val="110"/>
        </w:rPr>
        <w:t> </w:t>
      </w:r>
      <w:r>
        <w:rPr>
          <w:w w:val="110"/>
        </w:rPr>
        <w:t>increased borrowing</w:t>
      </w:r>
      <w:r>
        <w:rPr>
          <w:spacing w:val="-23"/>
          <w:w w:val="110"/>
        </w:rPr>
        <w:t> </w:t>
      </w:r>
      <w:r>
        <w:rPr>
          <w:w w:val="110"/>
        </w:rPr>
        <w:t>against</w:t>
      </w:r>
      <w:r>
        <w:rPr>
          <w:spacing w:val="-22"/>
          <w:w w:val="110"/>
        </w:rPr>
        <w:t> </w:t>
      </w:r>
      <w:r>
        <w:rPr>
          <w:w w:val="110"/>
        </w:rPr>
        <w:t>capital</w:t>
      </w:r>
      <w:r>
        <w:rPr>
          <w:spacing w:val="-22"/>
          <w:w w:val="110"/>
        </w:rPr>
        <w:t> </w:t>
      </w:r>
      <w:r>
        <w:rPr>
          <w:w w:val="110"/>
        </w:rPr>
        <w:t>gains.</w:t>
      </w:r>
      <w:r>
        <w:rPr>
          <w:spacing w:val="11"/>
          <w:w w:val="110"/>
        </w:rPr>
        <w:t> </w:t>
      </w:r>
      <w:r>
        <w:rPr>
          <w:w w:val="110"/>
        </w:rPr>
        <w:t>Households’</w:t>
      </w:r>
      <w:r>
        <w:rPr>
          <w:spacing w:val="-22"/>
          <w:w w:val="110"/>
        </w:rPr>
        <w:t> </w:t>
      </w:r>
      <w:r>
        <w:rPr>
          <w:w w:val="110"/>
        </w:rPr>
        <w:t>debt</w:t>
      </w:r>
      <w:r>
        <w:rPr>
          <w:spacing w:val="-22"/>
          <w:w w:val="110"/>
        </w:rPr>
        <w:t> </w:t>
      </w:r>
      <w:r>
        <w:rPr>
          <w:w w:val="110"/>
        </w:rPr>
        <w:t>relative</w:t>
      </w:r>
      <w:r>
        <w:rPr>
          <w:spacing w:val="-22"/>
          <w:w w:val="110"/>
        </w:rPr>
        <w:t> </w:t>
      </w:r>
      <w:r>
        <w:rPr>
          <w:spacing w:val="-4"/>
          <w:w w:val="110"/>
        </w:rPr>
        <w:t>to </w:t>
      </w:r>
      <w:r>
        <w:rPr>
          <w:w w:val="110"/>
        </w:rPr>
        <w:t>their</w:t>
      </w:r>
      <w:r>
        <w:rPr>
          <w:spacing w:val="-11"/>
          <w:w w:val="110"/>
        </w:rPr>
        <w:t> </w:t>
      </w:r>
      <w:r>
        <w:rPr>
          <w:w w:val="110"/>
        </w:rPr>
        <w:t>wealth</w:t>
      </w:r>
      <w:r>
        <w:rPr>
          <w:spacing w:val="-10"/>
          <w:w w:val="110"/>
        </w:rPr>
        <w:t> </w:t>
      </w:r>
      <w:r>
        <w:rPr>
          <w:w w:val="110"/>
        </w:rPr>
        <w:t>has</w:t>
      </w:r>
      <w:r>
        <w:rPr>
          <w:spacing w:val="-11"/>
          <w:w w:val="110"/>
        </w:rPr>
        <w:t> </w:t>
      </w:r>
      <w:r>
        <w:rPr>
          <w:w w:val="110"/>
        </w:rPr>
        <w:t>fallen</w:t>
      </w:r>
      <w:r>
        <w:rPr>
          <w:spacing w:val="-10"/>
          <w:w w:val="110"/>
        </w:rPr>
        <w:t> </w:t>
      </w:r>
      <w:r>
        <w:rPr>
          <w:spacing w:val="-4"/>
          <w:w w:val="110"/>
        </w:rPr>
        <w:t>to</w:t>
      </w:r>
      <w:r>
        <w:rPr>
          <w:spacing w:val="-11"/>
          <w:w w:val="110"/>
        </w:rPr>
        <w:t> </w:t>
      </w:r>
      <w:r>
        <w:rPr>
          <w:w w:val="110"/>
        </w:rPr>
        <w:t>low</w:t>
      </w:r>
      <w:r>
        <w:rPr>
          <w:spacing w:val="-10"/>
          <w:w w:val="110"/>
        </w:rPr>
        <w:t> </w:t>
      </w:r>
      <w:r>
        <w:rPr>
          <w:spacing w:val="-2"/>
          <w:w w:val="110"/>
        </w:rPr>
        <w:t>levels</w:t>
      </w:r>
      <w:r>
        <w:rPr>
          <w:spacing w:val="-11"/>
          <w:w w:val="110"/>
        </w:rPr>
        <w:t> </w:t>
      </w:r>
      <w:r>
        <w:rPr>
          <w:w w:val="110"/>
        </w:rPr>
        <w:t>in</w:t>
      </w:r>
      <w:r>
        <w:rPr>
          <w:spacing w:val="-10"/>
          <w:w w:val="110"/>
        </w:rPr>
        <w:t> </w:t>
      </w:r>
      <w:r>
        <w:rPr>
          <w:w w:val="110"/>
        </w:rPr>
        <w:t>recent</w:t>
      </w:r>
      <w:r>
        <w:rPr>
          <w:spacing w:val="-10"/>
          <w:w w:val="110"/>
        </w:rPr>
        <w:t> </w:t>
      </w:r>
      <w:r>
        <w:rPr>
          <w:spacing w:val="-3"/>
          <w:w w:val="110"/>
        </w:rPr>
        <w:t>years.</w:t>
      </w:r>
    </w:p>
    <w:p>
      <w:pPr>
        <w:pStyle w:val="BodyText"/>
        <w:spacing w:line="292" w:lineRule="auto"/>
        <w:ind w:left="312" w:right="120"/>
      </w:pPr>
      <w:r>
        <w:rPr>
          <w:w w:val="105"/>
        </w:rPr>
        <w:t>Households’ desired debt levels will also partly depend on interest rates on borrowing. Income gearing, ie interest</w:t>
      </w:r>
    </w:p>
    <w:p>
      <w:pPr>
        <w:spacing w:after="0" w:line="292" w:lineRule="auto"/>
        <w:sectPr>
          <w:type w:val="continuous"/>
          <w:pgSz w:w="11900" w:h="16840"/>
          <w:pgMar w:top="1260" w:bottom="280" w:left="640" w:right="640"/>
          <w:cols w:num="3" w:equalWidth="0">
            <w:col w:w="644" w:space="61"/>
            <w:col w:w="2981" w:space="1101"/>
            <w:col w:w="5833"/>
          </w:cols>
        </w:sectPr>
      </w:pPr>
    </w:p>
    <w:p>
      <w:pPr>
        <w:spacing w:line="106" w:lineRule="exact" w:before="0"/>
        <w:ind w:left="199" w:right="0" w:firstLine="0"/>
        <w:jc w:val="left"/>
        <w:rPr>
          <w:sz w:val="12"/>
        </w:rPr>
      </w:pPr>
      <w:r>
        <w:rPr>
          <w:w w:val="105"/>
          <w:sz w:val="12"/>
        </w:rPr>
        <w:t>Source: Bank of England.</w:t>
      </w:r>
    </w:p>
    <w:p>
      <w:pPr>
        <w:pStyle w:val="BodyText"/>
        <w:spacing w:line="226" w:lineRule="exact"/>
        <w:ind w:left="199"/>
      </w:pPr>
      <w:r>
        <w:rPr/>
        <w:br w:type="column"/>
      </w:r>
      <w:r>
        <w:rPr>
          <w:w w:val="105"/>
        </w:rPr>
        <w:t>payments relative to income, has fallen back from its recent</w:t>
      </w:r>
    </w:p>
    <w:p>
      <w:pPr>
        <w:spacing w:after="0" w:line="226" w:lineRule="exact"/>
        <w:sectPr>
          <w:type w:val="continuous"/>
          <w:pgSz w:w="11900" w:h="16840"/>
          <w:pgMar w:top="1260" w:bottom="280" w:left="640" w:right="640"/>
          <w:cols w:num="2" w:equalWidth="0">
            <w:col w:w="1549" w:space="3351"/>
            <w:col w:w="5720"/>
          </w:cols>
        </w:sectPr>
      </w:pPr>
    </w:p>
    <w:p>
      <w:pPr>
        <w:pStyle w:val="BodyText"/>
        <w:spacing w:before="9"/>
        <w:rPr>
          <w:sz w:val="12"/>
        </w:rPr>
      </w:pPr>
    </w:p>
    <w:p>
      <w:pPr>
        <w:spacing w:before="97"/>
        <w:ind w:left="887" w:right="0" w:firstLine="0"/>
        <w:jc w:val="left"/>
        <w:rPr>
          <w:rFonts w:ascii="Trebuchet MS"/>
          <w:sz w:val="28"/>
        </w:rPr>
      </w:pPr>
      <w:bookmarkStart w:name="Structural change in the retail credit m" w:id="10"/>
      <w:bookmarkEnd w:id="10"/>
      <w:r>
        <w:rPr/>
      </w:r>
      <w:bookmarkStart w:name="_bookmark4" w:id="11"/>
      <w:bookmarkEnd w:id="11"/>
      <w:r>
        <w:rPr/>
      </w:r>
      <w:bookmarkStart w:name="_bookmark5" w:id="12"/>
      <w:bookmarkEnd w:id="12"/>
      <w:r>
        <w:rPr/>
      </w:r>
      <w:r>
        <w:rPr>
          <w:rFonts w:ascii="Trebuchet MS"/>
          <w:color w:val="89C6DC"/>
          <w:sz w:val="28"/>
        </w:rPr>
        <w:t>Structural change in the retail credit markets and household consumption</w:t>
      </w:r>
    </w:p>
    <w:p>
      <w:pPr>
        <w:pStyle w:val="BodyText"/>
        <w:spacing w:before="10"/>
        <w:rPr>
          <w:rFonts w:ascii="Trebuchet MS"/>
          <w:sz w:val="15"/>
        </w:rPr>
      </w:pPr>
    </w:p>
    <w:p>
      <w:pPr>
        <w:spacing w:after="0"/>
        <w:rPr>
          <w:rFonts w:ascii="Trebuchet MS"/>
          <w:sz w:val="15"/>
        </w:rPr>
        <w:sectPr>
          <w:pgSz w:w="11900" w:h="16840"/>
          <w:pgMar w:header="601" w:footer="575" w:top="760" w:bottom="760" w:left="640" w:right="640"/>
        </w:sectPr>
      </w:pPr>
    </w:p>
    <w:p>
      <w:pPr>
        <w:pStyle w:val="BodyText"/>
        <w:spacing w:line="261" w:lineRule="auto" w:before="64"/>
        <w:ind w:left="434" w:right="-4"/>
      </w:pPr>
      <w:r>
        <w:rPr>
          <w:w w:val="110"/>
        </w:rPr>
        <w:t>One of the channels through which monetary policy affects</w:t>
      </w:r>
      <w:r>
        <w:rPr>
          <w:spacing w:val="-14"/>
          <w:w w:val="110"/>
        </w:rPr>
        <w:t> </w:t>
      </w:r>
      <w:r>
        <w:rPr>
          <w:w w:val="110"/>
        </w:rPr>
        <w:t>aggregate</w:t>
      </w:r>
      <w:r>
        <w:rPr>
          <w:spacing w:val="-14"/>
          <w:w w:val="110"/>
        </w:rPr>
        <w:t> </w:t>
      </w:r>
      <w:r>
        <w:rPr>
          <w:w w:val="110"/>
        </w:rPr>
        <w:t>demand</w:t>
      </w:r>
      <w:r>
        <w:rPr>
          <w:spacing w:val="-14"/>
          <w:w w:val="110"/>
        </w:rPr>
        <w:t> </w:t>
      </w:r>
      <w:r>
        <w:rPr>
          <w:w w:val="110"/>
        </w:rPr>
        <w:t>is</w:t>
      </w:r>
      <w:r>
        <w:rPr>
          <w:spacing w:val="-14"/>
          <w:w w:val="110"/>
        </w:rPr>
        <w:t> </w:t>
      </w:r>
      <w:r>
        <w:rPr>
          <w:w w:val="110"/>
        </w:rPr>
        <w:t>the</w:t>
      </w:r>
      <w:r>
        <w:rPr>
          <w:spacing w:val="-14"/>
          <w:w w:val="110"/>
        </w:rPr>
        <w:t> </w:t>
      </w:r>
      <w:r>
        <w:rPr>
          <w:w w:val="110"/>
        </w:rPr>
        <w:t>effect</w:t>
      </w:r>
      <w:r>
        <w:rPr>
          <w:spacing w:val="-14"/>
          <w:w w:val="110"/>
        </w:rPr>
        <w:t> </w:t>
      </w:r>
      <w:r>
        <w:rPr>
          <w:w w:val="110"/>
        </w:rPr>
        <w:t>on</w:t>
      </w:r>
      <w:r>
        <w:rPr>
          <w:spacing w:val="-14"/>
          <w:w w:val="110"/>
        </w:rPr>
        <w:t> </w:t>
      </w:r>
      <w:r>
        <w:rPr>
          <w:spacing w:val="-3"/>
          <w:w w:val="110"/>
        </w:rPr>
        <w:t>interest</w:t>
      </w:r>
      <w:r>
        <w:rPr>
          <w:spacing w:val="-14"/>
          <w:w w:val="110"/>
        </w:rPr>
        <w:t> </w:t>
      </w:r>
      <w:r>
        <w:rPr>
          <w:spacing w:val="-4"/>
          <w:w w:val="110"/>
        </w:rPr>
        <w:t>rates </w:t>
      </w:r>
      <w:r>
        <w:rPr>
          <w:w w:val="110"/>
        </w:rPr>
        <w:t>on credit </w:t>
      </w:r>
      <w:r>
        <w:rPr>
          <w:spacing w:val="-3"/>
          <w:w w:val="110"/>
        </w:rPr>
        <w:t>extended </w:t>
      </w:r>
      <w:r>
        <w:rPr>
          <w:spacing w:val="-4"/>
          <w:w w:val="110"/>
        </w:rPr>
        <w:t>to </w:t>
      </w:r>
      <w:r>
        <w:rPr>
          <w:w w:val="110"/>
        </w:rPr>
        <w:t>households. Competition in retail credit markets has intensified in recent </w:t>
      </w:r>
      <w:r>
        <w:rPr>
          <w:spacing w:val="-3"/>
          <w:w w:val="110"/>
        </w:rPr>
        <w:t>years </w:t>
      </w:r>
      <w:r>
        <w:rPr>
          <w:w w:val="110"/>
        </w:rPr>
        <w:t>which, together with product innovation, </w:t>
      </w:r>
      <w:r>
        <w:rPr>
          <w:spacing w:val="-3"/>
          <w:w w:val="110"/>
        </w:rPr>
        <w:t>may have </w:t>
      </w:r>
      <w:r>
        <w:rPr>
          <w:w w:val="110"/>
        </w:rPr>
        <w:t>widened the </w:t>
      </w:r>
      <w:r>
        <w:rPr>
          <w:spacing w:val="-3"/>
          <w:w w:val="110"/>
        </w:rPr>
        <w:t>availability </w:t>
      </w:r>
      <w:r>
        <w:rPr>
          <w:w w:val="110"/>
        </w:rPr>
        <w:t>of credit and reduced its price. These structural changes </w:t>
      </w:r>
      <w:r>
        <w:rPr>
          <w:spacing w:val="-3"/>
          <w:w w:val="110"/>
        </w:rPr>
        <w:t>may </w:t>
      </w:r>
      <w:r>
        <w:rPr>
          <w:w w:val="110"/>
        </w:rPr>
        <w:t>help </w:t>
      </w:r>
      <w:r>
        <w:rPr>
          <w:spacing w:val="-4"/>
          <w:w w:val="110"/>
        </w:rPr>
        <w:t>to </w:t>
      </w:r>
      <w:r>
        <w:rPr>
          <w:w w:val="110"/>
        </w:rPr>
        <w:t>explain the</w:t>
      </w:r>
      <w:r>
        <w:rPr>
          <w:spacing w:val="-10"/>
          <w:w w:val="110"/>
        </w:rPr>
        <w:t> </w:t>
      </w:r>
      <w:r>
        <w:rPr>
          <w:w w:val="110"/>
        </w:rPr>
        <w:t>recent</w:t>
      </w:r>
      <w:r>
        <w:rPr>
          <w:spacing w:val="-10"/>
          <w:w w:val="110"/>
        </w:rPr>
        <w:t> </w:t>
      </w:r>
      <w:r>
        <w:rPr>
          <w:w w:val="110"/>
        </w:rPr>
        <w:t>strength</w:t>
      </w:r>
      <w:r>
        <w:rPr>
          <w:spacing w:val="-10"/>
          <w:w w:val="110"/>
        </w:rPr>
        <w:t> </w:t>
      </w:r>
      <w:r>
        <w:rPr>
          <w:w w:val="110"/>
        </w:rPr>
        <w:t>of</w:t>
      </w:r>
      <w:r>
        <w:rPr>
          <w:spacing w:val="-9"/>
          <w:w w:val="110"/>
        </w:rPr>
        <w:t> </w:t>
      </w:r>
      <w:r>
        <w:rPr>
          <w:w w:val="110"/>
        </w:rPr>
        <w:t>consumption</w:t>
      </w:r>
      <w:r>
        <w:rPr>
          <w:spacing w:val="-10"/>
          <w:w w:val="110"/>
        </w:rPr>
        <w:t> </w:t>
      </w:r>
      <w:r>
        <w:rPr>
          <w:w w:val="110"/>
        </w:rPr>
        <w:t>growth,</w:t>
      </w:r>
      <w:r>
        <w:rPr>
          <w:spacing w:val="-10"/>
          <w:w w:val="110"/>
        </w:rPr>
        <w:t> </w:t>
      </w:r>
      <w:r>
        <w:rPr>
          <w:w w:val="110"/>
        </w:rPr>
        <w:t>and</w:t>
      </w:r>
      <w:r>
        <w:rPr>
          <w:spacing w:val="-9"/>
          <w:w w:val="110"/>
        </w:rPr>
        <w:t> </w:t>
      </w:r>
      <w:r>
        <w:rPr>
          <w:w w:val="110"/>
        </w:rPr>
        <w:t>could affect</w:t>
      </w:r>
      <w:r>
        <w:rPr>
          <w:spacing w:val="-10"/>
          <w:w w:val="110"/>
        </w:rPr>
        <w:t> </w:t>
      </w:r>
      <w:r>
        <w:rPr>
          <w:w w:val="110"/>
        </w:rPr>
        <w:t>the</w:t>
      </w:r>
      <w:r>
        <w:rPr>
          <w:spacing w:val="-10"/>
          <w:w w:val="110"/>
        </w:rPr>
        <w:t> </w:t>
      </w:r>
      <w:r>
        <w:rPr>
          <w:w w:val="110"/>
        </w:rPr>
        <w:t>behaviour</w:t>
      </w:r>
      <w:r>
        <w:rPr>
          <w:spacing w:val="-10"/>
          <w:w w:val="110"/>
        </w:rPr>
        <w:t> </w:t>
      </w:r>
      <w:r>
        <w:rPr>
          <w:w w:val="110"/>
        </w:rPr>
        <w:t>of</w:t>
      </w:r>
      <w:r>
        <w:rPr>
          <w:spacing w:val="-9"/>
          <w:w w:val="110"/>
        </w:rPr>
        <w:t> </w:t>
      </w:r>
      <w:r>
        <w:rPr>
          <w:w w:val="110"/>
        </w:rPr>
        <w:t>consumption</w:t>
      </w:r>
      <w:r>
        <w:rPr>
          <w:spacing w:val="-10"/>
          <w:w w:val="110"/>
        </w:rPr>
        <w:t> </w:t>
      </w:r>
      <w:r>
        <w:rPr>
          <w:w w:val="110"/>
        </w:rPr>
        <w:t>in</w:t>
      </w:r>
      <w:r>
        <w:rPr>
          <w:spacing w:val="-10"/>
          <w:w w:val="110"/>
        </w:rPr>
        <w:t> </w:t>
      </w:r>
      <w:r>
        <w:rPr>
          <w:w w:val="110"/>
        </w:rPr>
        <w:t>future.</w:t>
      </w:r>
    </w:p>
    <w:p>
      <w:pPr>
        <w:pStyle w:val="BodyText"/>
        <w:spacing w:before="2"/>
        <w:rPr>
          <w:sz w:val="21"/>
        </w:rPr>
      </w:pPr>
    </w:p>
    <w:p>
      <w:pPr>
        <w:pStyle w:val="BodyText"/>
        <w:spacing w:line="261" w:lineRule="auto"/>
        <w:ind w:left="434" w:right="31"/>
      </w:pPr>
      <w:r>
        <w:rPr>
          <w:w w:val="105"/>
        </w:rPr>
        <w:t>UK retail credit markets in recent </w:t>
      </w:r>
      <w:r>
        <w:rPr>
          <w:spacing w:val="-3"/>
          <w:w w:val="105"/>
        </w:rPr>
        <w:t>years have </w:t>
      </w:r>
      <w:r>
        <w:rPr>
          <w:w w:val="105"/>
        </w:rPr>
        <w:t>changed </w:t>
      </w:r>
      <w:r>
        <w:rPr>
          <w:spacing w:val="-4"/>
          <w:w w:val="105"/>
        </w:rPr>
        <w:t>markedly. </w:t>
      </w:r>
      <w:r>
        <w:rPr>
          <w:w w:val="105"/>
        </w:rPr>
        <w:t>The retail finance sector has seen a large number of new entrants, particularly </w:t>
      </w:r>
      <w:r>
        <w:rPr>
          <w:spacing w:val="-3"/>
          <w:w w:val="105"/>
        </w:rPr>
        <w:t>into </w:t>
      </w:r>
      <w:r>
        <w:rPr>
          <w:w w:val="105"/>
        </w:rPr>
        <w:t>the market for credit cards and unsecured loans. In the mortgage market, the prevalence of </w:t>
      </w:r>
      <w:r>
        <w:rPr>
          <w:spacing w:val="-4"/>
          <w:w w:val="105"/>
        </w:rPr>
        <w:t>‘lock-in’ </w:t>
      </w:r>
      <w:r>
        <w:rPr>
          <w:w w:val="105"/>
        </w:rPr>
        <w:t>clauses in mortgage contracts has fallen. A wider range of mortgage products has become available, with more firms offering variable-repayment mortgages and the facility for lump-sum withdrawals against net housing </w:t>
      </w:r>
      <w:r>
        <w:rPr>
          <w:spacing w:val="-5"/>
          <w:w w:val="105"/>
        </w:rPr>
        <w:t>equity. </w:t>
      </w:r>
      <w:r>
        <w:rPr>
          <w:w w:val="105"/>
        </w:rPr>
        <w:t>And some lenders have introduced ‘current account’ mortgages, where funds can be borrowed or </w:t>
      </w:r>
      <w:r>
        <w:rPr>
          <w:spacing w:val="-3"/>
          <w:w w:val="105"/>
        </w:rPr>
        <w:t>invested  </w:t>
      </w:r>
      <w:r>
        <w:rPr>
          <w:w w:val="105"/>
        </w:rPr>
        <w:t>at a single </w:t>
      </w:r>
      <w:r>
        <w:rPr>
          <w:spacing w:val="-4"/>
          <w:w w:val="105"/>
        </w:rPr>
        <w:t>rate </w:t>
      </w:r>
      <w:r>
        <w:rPr>
          <w:w w:val="105"/>
        </w:rPr>
        <w:t>without pre-arrangement, subject </w:t>
      </w:r>
      <w:r>
        <w:rPr>
          <w:spacing w:val="-4"/>
          <w:w w:val="105"/>
        </w:rPr>
        <w:t>to </w:t>
      </w:r>
      <w:r>
        <w:rPr>
          <w:w w:val="105"/>
        </w:rPr>
        <w:t>limits based on the loan </w:t>
      </w:r>
      <w:r>
        <w:rPr>
          <w:spacing w:val="-4"/>
          <w:w w:val="105"/>
        </w:rPr>
        <w:t>to </w:t>
      </w:r>
      <w:r>
        <w:rPr>
          <w:w w:val="105"/>
        </w:rPr>
        <w:t>value ratio, offering </w:t>
      </w:r>
      <w:r>
        <w:rPr>
          <w:spacing w:val="-3"/>
          <w:w w:val="105"/>
        </w:rPr>
        <w:t>even greater </w:t>
      </w:r>
      <w:r>
        <w:rPr>
          <w:spacing w:val="-4"/>
          <w:w w:val="105"/>
        </w:rPr>
        <w:t>flexibility.</w:t>
      </w:r>
    </w:p>
    <w:p>
      <w:pPr>
        <w:pStyle w:val="BodyText"/>
        <w:spacing w:before="11"/>
        <w:rPr>
          <w:sz w:val="15"/>
        </w:rPr>
      </w:pPr>
    </w:p>
    <w:p>
      <w:pPr>
        <w:pStyle w:val="Heading6"/>
        <w:spacing w:line="247" w:lineRule="auto"/>
        <w:ind w:left="450" w:right="475"/>
      </w:pPr>
      <w:r>
        <w:rPr>
          <w:color w:val="89C6DC"/>
          <w:w w:val="95"/>
        </w:rPr>
        <w:t>Selected</w:t>
      </w:r>
      <w:r>
        <w:rPr>
          <w:color w:val="89C6DC"/>
          <w:spacing w:val="-28"/>
          <w:w w:val="95"/>
        </w:rPr>
        <w:t> </w:t>
      </w:r>
      <w:r>
        <w:rPr>
          <w:color w:val="89C6DC"/>
          <w:w w:val="95"/>
        </w:rPr>
        <w:t>quoted</w:t>
      </w:r>
      <w:r>
        <w:rPr>
          <w:color w:val="89C6DC"/>
          <w:spacing w:val="-28"/>
          <w:w w:val="95"/>
        </w:rPr>
        <w:t> </w:t>
      </w:r>
      <w:r>
        <w:rPr>
          <w:color w:val="89C6DC"/>
          <w:w w:val="95"/>
        </w:rPr>
        <w:t>retail</w:t>
      </w:r>
      <w:r>
        <w:rPr>
          <w:color w:val="89C6DC"/>
          <w:spacing w:val="-28"/>
          <w:w w:val="95"/>
        </w:rPr>
        <w:t> </w:t>
      </w:r>
      <w:r>
        <w:rPr>
          <w:color w:val="89C6DC"/>
          <w:w w:val="95"/>
        </w:rPr>
        <w:t>borrowing</w:t>
      </w:r>
      <w:r>
        <w:rPr>
          <w:color w:val="89C6DC"/>
          <w:spacing w:val="-27"/>
          <w:w w:val="95"/>
        </w:rPr>
        <w:t> </w:t>
      </w:r>
      <w:r>
        <w:rPr>
          <w:color w:val="89C6DC"/>
          <w:w w:val="95"/>
        </w:rPr>
        <w:t>rates:</w:t>
      </w:r>
      <w:r>
        <w:rPr>
          <w:color w:val="89C6DC"/>
          <w:spacing w:val="2"/>
          <w:w w:val="95"/>
        </w:rPr>
        <w:t> </w:t>
      </w:r>
      <w:r>
        <w:rPr>
          <w:color w:val="89C6DC"/>
          <w:w w:val="95"/>
        </w:rPr>
        <w:t>spreads </w:t>
      </w:r>
      <w:r>
        <w:rPr>
          <w:color w:val="89C6DC"/>
        </w:rPr>
        <w:t>over the </w:t>
      </w:r>
      <w:r>
        <w:rPr>
          <w:color w:val="89C6DC"/>
          <w:spacing w:val="-4"/>
        </w:rPr>
        <w:t>Bank’s </w:t>
      </w:r>
      <w:r>
        <w:rPr>
          <w:color w:val="89C6DC"/>
        </w:rPr>
        <w:t>repo</w:t>
      </w:r>
      <w:r>
        <w:rPr>
          <w:color w:val="89C6DC"/>
          <w:spacing w:val="-2"/>
        </w:rPr>
        <w:t> </w:t>
      </w:r>
      <w:r>
        <w:rPr>
          <w:color w:val="89C6DC"/>
        </w:rPr>
        <w:t>rate</w:t>
      </w:r>
    </w:p>
    <w:p>
      <w:pPr>
        <w:spacing w:before="68"/>
        <w:ind w:left="0" w:right="642" w:firstLine="0"/>
        <w:jc w:val="right"/>
        <w:rPr>
          <w:sz w:val="12"/>
        </w:rPr>
      </w:pPr>
      <w:r>
        <w:rPr>
          <w:w w:val="110"/>
          <w:sz w:val="12"/>
        </w:rPr>
        <w:t>Percentage points</w:t>
      </w:r>
    </w:p>
    <w:p>
      <w:pPr>
        <w:pStyle w:val="BodyText"/>
        <w:spacing w:line="261" w:lineRule="auto" w:before="64"/>
        <w:ind w:left="434" w:right="506"/>
      </w:pPr>
      <w:r>
        <w:rPr/>
        <w:br w:type="column"/>
      </w:r>
      <w:r>
        <w:rPr>
          <w:w w:val="110"/>
        </w:rPr>
        <w:t>In</w:t>
      </w:r>
      <w:r>
        <w:rPr>
          <w:spacing w:val="-14"/>
          <w:w w:val="110"/>
        </w:rPr>
        <w:t> </w:t>
      </w:r>
      <w:r>
        <w:rPr>
          <w:w w:val="110"/>
        </w:rPr>
        <w:t>the</w:t>
      </w:r>
      <w:r>
        <w:rPr>
          <w:spacing w:val="-13"/>
          <w:w w:val="110"/>
        </w:rPr>
        <w:t> </w:t>
      </w:r>
      <w:r>
        <w:rPr>
          <w:w w:val="110"/>
        </w:rPr>
        <w:t>mortgage</w:t>
      </w:r>
      <w:r>
        <w:rPr>
          <w:spacing w:val="-13"/>
          <w:w w:val="110"/>
        </w:rPr>
        <w:t> </w:t>
      </w:r>
      <w:r>
        <w:rPr>
          <w:w w:val="110"/>
        </w:rPr>
        <w:t>market,</w:t>
      </w:r>
      <w:r>
        <w:rPr>
          <w:spacing w:val="-14"/>
          <w:w w:val="110"/>
        </w:rPr>
        <w:t> </w:t>
      </w:r>
      <w:r>
        <w:rPr>
          <w:w w:val="110"/>
        </w:rPr>
        <w:t>there</w:t>
      </w:r>
      <w:r>
        <w:rPr>
          <w:spacing w:val="-13"/>
          <w:w w:val="110"/>
        </w:rPr>
        <w:t> </w:t>
      </w:r>
      <w:r>
        <w:rPr>
          <w:w w:val="110"/>
        </w:rPr>
        <w:t>has</w:t>
      </w:r>
      <w:r>
        <w:rPr>
          <w:spacing w:val="-13"/>
          <w:w w:val="110"/>
        </w:rPr>
        <w:t> </w:t>
      </w:r>
      <w:r>
        <w:rPr>
          <w:w w:val="110"/>
        </w:rPr>
        <w:t>been</w:t>
      </w:r>
      <w:r>
        <w:rPr>
          <w:spacing w:val="-13"/>
          <w:w w:val="110"/>
        </w:rPr>
        <w:t> </w:t>
      </w:r>
      <w:r>
        <w:rPr>
          <w:w w:val="110"/>
        </w:rPr>
        <w:t>little</w:t>
      </w:r>
      <w:r>
        <w:rPr>
          <w:spacing w:val="-14"/>
          <w:w w:val="110"/>
        </w:rPr>
        <w:t> </w:t>
      </w:r>
      <w:r>
        <w:rPr>
          <w:w w:val="110"/>
        </w:rPr>
        <w:t>change in the spread of the standard variable </w:t>
      </w:r>
      <w:r>
        <w:rPr>
          <w:spacing w:val="-4"/>
          <w:w w:val="110"/>
        </w:rPr>
        <w:t>rate </w:t>
      </w:r>
      <w:r>
        <w:rPr>
          <w:spacing w:val="-3"/>
          <w:w w:val="110"/>
        </w:rPr>
        <w:t>over </w:t>
      </w:r>
      <w:r>
        <w:rPr>
          <w:w w:val="110"/>
        </w:rPr>
        <w:t>the repo </w:t>
      </w:r>
      <w:r>
        <w:rPr>
          <w:spacing w:val="-4"/>
          <w:w w:val="110"/>
        </w:rPr>
        <w:t>rate. </w:t>
      </w:r>
      <w:r>
        <w:rPr>
          <w:w w:val="110"/>
        </w:rPr>
        <w:t>But discounts on </w:t>
      </w:r>
      <w:r>
        <w:rPr>
          <w:spacing w:val="-3"/>
          <w:w w:val="110"/>
        </w:rPr>
        <w:t>variable-rate </w:t>
      </w:r>
      <w:r>
        <w:rPr>
          <w:w w:val="110"/>
        </w:rPr>
        <w:t>mortgages </w:t>
      </w:r>
      <w:r>
        <w:rPr>
          <w:spacing w:val="-3"/>
          <w:w w:val="110"/>
        </w:rPr>
        <w:t>have </w:t>
      </w:r>
      <w:r>
        <w:rPr>
          <w:w w:val="110"/>
        </w:rPr>
        <w:t>risen, and during </w:t>
      </w:r>
      <w:r>
        <w:rPr>
          <w:spacing w:val="-4"/>
          <w:w w:val="110"/>
        </w:rPr>
        <w:t>2000 </w:t>
      </w:r>
      <w:r>
        <w:rPr>
          <w:spacing w:val="-3"/>
          <w:w w:val="110"/>
        </w:rPr>
        <w:t>overall </w:t>
      </w:r>
      <w:r>
        <w:rPr>
          <w:w w:val="110"/>
        </w:rPr>
        <w:t>stood at their highest recorded level. And discounted mortgages </w:t>
      </w:r>
      <w:r>
        <w:rPr>
          <w:spacing w:val="-3"/>
          <w:w w:val="110"/>
        </w:rPr>
        <w:t>have</w:t>
      </w:r>
      <w:r>
        <w:rPr>
          <w:spacing w:val="-22"/>
          <w:w w:val="110"/>
        </w:rPr>
        <w:t> </w:t>
      </w:r>
      <w:r>
        <w:rPr>
          <w:w w:val="110"/>
        </w:rPr>
        <w:t>risen</w:t>
      </w:r>
      <w:r>
        <w:rPr>
          <w:spacing w:val="-22"/>
          <w:w w:val="110"/>
        </w:rPr>
        <w:t> </w:t>
      </w:r>
      <w:r>
        <w:rPr>
          <w:w w:val="110"/>
        </w:rPr>
        <w:t>markedly</w:t>
      </w:r>
      <w:r>
        <w:rPr>
          <w:spacing w:val="-21"/>
          <w:w w:val="110"/>
        </w:rPr>
        <w:t> </w:t>
      </w:r>
      <w:r>
        <w:rPr>
          <w:w w:val="110"/>
        </w:rPr>
        <w:t>as</w:t>
      </w:r>
      <w:r>
        <w:rPr>
          <w:spacing w:val="-22"/>
          <w:w w:val="110"/>
        </w:rPr>
        <w:t> </w:t>
      </w:r>
      <w:r>
        <w:rPr>
          <w:w w:val="110"/>
        </w:rPr>
        <w:t>a</w:t>
      </w:r>
      <w:r>
        <w:rPr>
          <w:spacing w:val="-22"/>
          <w:w w:val="110"/>
        </w:rPr>
        <w:t> </w:t>
      </w:r>
      <w:r>
        <w:rPr>
          <w:w w:val="110"/>
        </w:rPr>
        <w:t>share</w:t>
      </w:r>
      <w:r>
        <w:rPr>
          <w:spacing w:val="-21"/>
          <w:w w:val="110"/>
        </w:rPr>
        <w:t> </w:t>
      </w:r>
      <w:r>
        <w:rPr>
          <w:w w:val="110"/>
        </w:rPr>
        <w:t>of</w:t>
      </w:r>
      <w:r>
        <w:rPr>
          <w:spacing w:val="-22"/>
          <w:w w:val="110"/>
        </w:rPr>
        <w:t> </w:t>
      </w:r>
      <w:r>
        <w:rPr>
          <w:spacing w:val="-3"/>
          <w:w w:val="110"/>
        </w:rPr>
        <w:t>total</w:t>
      </w:r>
      <w:r>
        <w:rPr>
          <w:spacing w:val="-22"/>
          <w:w w:val="110"/>
        </w:rPr>
        <w:t> </w:t>
      </w:r>
      <w:r>
        <w:rPr>
          <w:w w:val="110"/>
        </w:rPr>
        <w:t>new</w:t>
      </w:r>
      <w:r>
        <w:rPr>
          <w:spacing w:val="-21"/>
          <w:w w:val="110"/>
        </w:rPr>
        <w:t> </w:t>
      </w:r>
      <w:r>
        <w:rPr>
          <w:w w:val="110"/>
        </w:rPr>
        <w:t>mortgage lending</w:t>
      </w:r>
      <w:r>
        <w:rPr>
          <w:spacing w:val="-8"/>
          <w:w w:val="110"/>
        </w:rPr>
        <w:t> </w:t>
      </w:r>
      <w:r>
        <w:rPr>
          <w:w w:val="110"/>
        </w:rPr>
        <w:t>in</w:t>
      </w:r>
      <w:r>
        <w:rPr>
          <w:spacing w:val="-7"/>
          <w:w w:val="110"/>
        </w:rPr>
        <w:t> </w:t>
      </w:r>
      <w:r>
        <w:rPr>
          <w:w w:val="110"/>
        </w:rPr>
        <w:t>recent</w:t>
      </w:r>
      <w:r>
        <w:rPr>
          <w:spacing w:val="-8"/>
          <w:w w:val="110"/>
        </w:rPr>
        <w:t> </w:t>
      </w:r>
      <w:r>
        <w:rPr>
          <w:w w:val="110"/>
        </w:rPr>
        <w:t>years,</w:t>
      </w:r>
      <w:r>
        <w:rPr>
          <w:spacing w:val="-7"/>
          <w:w w:val="110"/>
        </w:rPr>
        <w:t> </w:t>
      </w:r>
      <w:r>
        <w:rPr>
          <w:spacing w:val="-4"/>
          <w:w w:val="110"/>
        </w:rPr>
        <w:t>to</w:t>
      </w:r>
      <w:r>
        <w:rPr>
          <w:spacing w:val="-8"/>
          <w:w w:val="110"/>
        </w:rPr>
        <w:t> </w:t>
      </w:r>
      <w:r>
        <w:rPr>
          <w:w w:val="110"/>
        </w:rPr>
        <w:t>more</w:t>
      </w:r>
      <w:r>
        <w:rPr>
          <w:spacing w:val="-7"/>
          <w:w w:val="110"/>
        </w:rPr>
        <w:t> </w:t>
      </w:r>
      <w:r>
        <w:rPr>
          <w:w w:val="110"/>
        </w:rPr>
        <w:t>than</w:t>
      </w:r>
      <w:r>
        <w:rPr>
          <w:spacing w:val="-8"/>
          <w:w w:val="110"/>
        </w:rPr>
        <w:t> </w:t>
      </w:r>
      <w:r>
        <w:rPr>
          <w:w w:val="110"/>
        </w:rPr>
        <w:t>half.</w:t>
      </w:r>
    </w:p>
    <w:p>
      <w:pPr>
        <w:pStyle w:val="BodyText"/>
        <w:spacing w:line="261" w:lineRule="auto"/>
        <w:ind w:left="434" w:right="506"/>
      </w:pPr>
      <w:r>
        <w:rPr>
          <w:w w:val="105"/>
        </w:rPr>
        <w:t>Remortgaging has increased as a share of total mortgage lending, perhaps reflecting a reduction in the prevalence of ‘lock-in’ clauses in mortgage contracts. This suggests that households may be refinancing to reduce their costs of borrowing.</w:t>
      </w:r>
    </w:p>
    <w:p>
      <w:pPr>
        <w:pStyle w:val="BodyText"/>
        <w:spacing w:before="6"/>
        <w:rPr>
          <w:sz w:val="17"/>
        </w:rPr>
      </w:pPr>
    </w:p>
    <w:p>
      <w:pPr>
        <w:pStyle w:val="BodyText"/>
        <w:spacing w:line="261" w:lineRule="auto"/>
        <w:ind w:left="434" w:right="434"/>
      </w:pPr>
      <w:r>
        <w:rPr>
          <w:w w:val="105"/>
        </w:rPr>
        <w:t>One notable feature of retail credit markets has been the rapid increase in the use of flexible mortgage products. A recent survey by MORI for the Council of Mortgage Lenders (CML) shows that 16% of respondents now have mortgages with at least some degree of flexibility, defined as those mortgages offering under-payments, daily or monthly interest calculation, and the option of a payment holiday. The take-up of flexible mortgages is likely to rise further though the extent of that increase is unclear. In Australia, current account mortgages, or their close equivalent, are estimated to now make up more than two thirds of the mortgage stock, after being introduced during the mid-1990s.</w:t>
      </w:r>
    </w:p>
    <w:p>
      <w:pPr>
        <w:spacing w:after="0" w:line="261" w:lineRule="auto"/>
        <w:sectPr>
          <w:type w:val="continuous"/>
          <w:pgSz w:w="11900" w:h="16840"/>
          <w:pgMar w:top="1260" w:bottom="280" w:left="640" w:right="640"/>
          <w:cols w:num="2" w:equalWidth="0">
            <w:col w:w="5087" w:space="58"/>
            <w:col w:w="5475"/>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7"/>
        </w:rPr>
      </w:pPr>
    </w:p>
    <w:p>
      <w:pPr>
        <w:spacing w:before="0"/>
        <w:ind w:left="1154" w:right="0" w:firstLine="0"/>
        <w:jc w:val="left"/>
        <w:rPr>
          <w:sz w:val="12"/>
        </w:rPr>
      </w:pPr>
      <w:r>
        <w:rPr>
          <w:w w:val="105"/>
          <w:sz w:val="12"/>
        </w:rPr>
        <w:t>Personal loans</w:t>
      </w:r>
    </w:p>
    <w:p>
      <w:pPr>
        <w:pStyle w:val="BodyText"/>
        <w:rPr>
          <w:sz w:val="12"/>
        </w:rPr>
      </w:pPr>
      <w:r>
        <w:rPr/>
        <w:br w:type="column"/>
      </w:r>
      <w:r>
        <w:rPr>
          <w:sz w:val="12"/>
        </w:rPr>
      </w:r>
    </w:p>
    <w:p>
      <w:pPr>
        <w:pStyle w:val="BodyText"/>
        <w:spacing w:before="5"/>
        <w:rPr>
          <w:sz w:val="13"/>
        </w:rPr>
      </w:pPr>
    </w:p>
    <w:p>
      <w:pPr>
        <w:spacing w:before="0"/>
        <w:ind w:left="815" w:right="0" w:firstLine="0"/>
        <w:jc w:val="left"/>
        <w:rPr>
          <w:sz w:val="12"/>
        </w:rPr>
      </w:pPr>
      <w:r>
        <w:rPr>
          <w:w w:val="110"/>
          <w:sz w:val="12"/>
        </w:rPr>
        <w:t>Credit </w:t>
      </w:r>
      <w:r>
        <w:rPr>
          <w:spacing w:val="-4"/>
          <w:w w:val="110"/>
          <w:sz w:val="12"/>
        </w:rPr>
        <w:t>cards</w:t>
      </w:r>
    </w:p>
    <w:p>
      <w:pPr>
        <w:spacing w:line="82" w:lineRule="exact" w:before="0"/>
        <w:ind w:left="1052" w:right="0" w:firstLine="0"/>
        <w:jc w:val="left"/>
        <w:rPr>
          <w:sz w:val="12"/>
        </w:rPr>
      </w:pPr>
      <w:r>
        <w:rPr/>
        <w:br w:type="column"/>
      </w:r>
      <w:r>
        <w:rPr>
          <w:w w:val="120"/>
          <w:sz w:val="12"/>
        </w:rPr>
        <w:t>17</w:t>
      </w:r>
    </w:p>
    <w:p>
      <w:pPr>
        <w:pStyle w:val="BodyText"/>
        <w:spacing w:line="192" w:lineRule="exact"/>
        <w:ind w:left="2149"/>
      </w:pPr>
      <w:r>
        <w:rPr>
          <w:w w:val="105"/>
        </w:rPr>
        <w:t>Increasing </w:t>
      </w:r>
      <w:r>
        <w:rPr>
          <w:spacing w:val="-3"/>
          <w:w w:val="105"/>
        </w:rPr>
        <w:t>flexibility </w:t>
      </w:r>
      <w:r>
        <w:rPr>
          <w:w w:val="105"/>
        </w:rPr>
        <w:t>of mortgages </w:t>
      </w:r>
      <w:r>
        <w:rPr>
          <w:spacing w:val="-3"/>
          <w:w w:val="105"/>
        </w:rPr>
        <w:t>may lower </w:t>
      </w:r>
      <w:r>
        <w:rPr>
          <w:w w:val="105"/>
        </w:rPr>
        <w:t>the cost</w:t>
      </w:r>
    </w:p>
    <w:p>
      <w:pPr>
        <w:pStyle w:val="BodyText"/>
        <w:tabs>
          <w:tab w:pos="2149" w:val="left" w:leader="none"/>
        </w:tabs>
        <w:spacing w:before="20"/>
        <w:ind w:left="1052"/>
      </w:pPr>
      <w:r>
        <w:rPr>
          <w:w w:val="110"/>
          <w:vertAlign w:val="superscript"/>
        </w:rPr>
        <w:t>16</w:t>
      </w:r>
      <w:r>
        <w:rPr>
          <w:w w:val="110"/>
          <w:vertAlign w:val="baseline"/>
        </w:rPr>
        <w:tab/>
        <w:t>and</w:t>
      </w:r>
      <w:r>
        <w:rPr>
          <w:spacing w:val="-22"/>
          <w:w w:val="110"/>
          <w:vertAlign w:val="baseline"/>
        </w:rPr>
        <w:t> </w:t>
      </w:r>
      <w:r>
        <w:rPr>
          <w:w w:val="110"/>
          <w:vertAlign w:val="baseline"/>
        </w:rPr>
        <w:t>increase</w:t>
      </w:r>
      <w:r>
        <w:rPr>
          <w:spacing w:val="-22"/>
          <w:w w:val="110"/>
          <w:vertAlign w:val="baseline"/>
        </w:rPr>
        <w:t> </w:t>
      </w:r>
      <w:r>
        <w:rPr>
          <w:w w:val="110"/>
          <w:vertAlign w:val="baseline"/>
        </w:rPr>
        <w:t>the</w:t>
      </w:r>
      <w:r>
        <w:rPr>
          <w:spacing w:val="-22"/>
          <w:w w:val="110"/>
          <w:vertAlign w:val="baseline"/>
        </w:rPr>
        <w:t> </w:t>
      </w:r>
      <w:r>
        <w:rPr>
          <w:spacing w:val="-3"/>
          <w:w w:val="110"/>
          <w:vertAlign w:val="baseline"/>
        </w:rPr>
        <w:t>availability</w:t>
      </w:r>
      <w:r>
        <w:rPr>
          <w:spacing w:val="-22"/>
          <w:w w:val="110"/>
          <w:vertAlign w:val="baseline"/>
        </w:rPr>
        <w:t> </w:t>
      </w:r>
      <w:r>
        <w:rPr>
          <w:w w:val="110"/>
          <w:vertAlign w:val="baseline"/>
        </w:rPr>
        <w:t>of</w:t>
      </w:r>
      <w:r>
        <w:rPr>
          <w:spacing w:val="-22"/>
          <w:w w:val="110"/>
          <w:vertAlign w:val="baseline"/>
        </w:rPr>
        <w:t> </w:t>
      </w:r>
      <w:r>
        <w:rPr>
          <w:w w:val="110"/>
          <w:vertAlign w:val="baseline"/>
        </w:rPr>
        <w:t>secured</w:t>
      </w:r>
      <w:r>
        <w:rPr>
          <w:spacing w:val="-22"/>
          <w:w w:val="110"/>
          <w:vertAlign w:val="baseline"/>
        </w:rPr>
        <w:t> </w:t>
      </w:r>
      <w:r>
        <w:rPr>
          <w:w w:val="110"/>
          <w:vertAlign w:val="baseline"/>
        </w:rPr>
        <w:t>finance.</w:t>
      </w:r>
      <w:r>
        <w:rPr>
          <w:spacing w:val="12"/>
          <w:w w:val="110"/>
          <w:vertAlign w:val="baseline"/>
        </w:rPr>
        <w:t> </w:t>
      </w:r>
      <w:r>
        <w:rPr>
          <w:w w:val="110"/>
          <w:vertAlign w:val="baseline"/>
        </w:rPr>
        <w:t>This</w:t>
      </w:r>
    </w:p>
    <w:p>
      <w:pPr>
        <w:pStyle w:val="BodyText"/>
        <w:tabs>
          <w:tab w:pos="2149" w:val="left" w:leader="none"/>
        </w:tabs>
        <w:spacing w:line="259" w:lineRule="auto" w:before="24"/>
        <w:ind w:left="2149" w:right="374" w:hanging="1097"/>
      </w:pPr>
      <w:r>
        <w:rPr/>
        <w:pict>
          <v:shape style="position:absolute;margin-left:256.138214pt;margin-top:22.03467pt;width:7.3pt;height:6.05pt;mso-position-horizontal-relative:page;mso-position-vertical-relative:paragraph;z-index:-23537152" type="#_x0000_t202" filled="false" stroked="false">
            <v:textbox inset="0,0,0,0">
              <w:txbxContent>
                <w:p>
                  <w:pPr>
                    <w:spacing w:line="116" w:lineRule="exact" w:before="0"/>
                    <w:ind w:left="0" w:right="0" w:firstLine="0"/>
                    <w:jc w:val="left"/>
                    <w:rPr>
                      <w:sz w:val="12"/>
                    </w:rPr>
                  </w:pPr>
                  <w:r>
                    <w:rPr>
                      <w:w w:val="120"/>
                      <w:sz w:val="12"/>
                    </w:rPr>
                    <w:t>14</w:t>
                  </w:r>
                </w:p>
              </w:txbxContent>
            </v:textbox>
            <w10:wrap type="none"/>
          </v:shape>
        </w:pict>
      </w:r>
      <w:r>
        <w:rPr>
          <w:w w:val="110"/>
          <w:sz w:val="12"/>
        </w:rPr>
        <w:t>15</w:t>
        <w:tab/>
      </w:r>
      <w:r>
        <w:rPr>
          <w:spacing w:val="-3"/>
          <w:w w:val="110"/>
        </w:rPr>
        <w:t>may </w:t>
      </w:r>
      <w:r>
        <w:rPr>
          <w:w w:val="110"/>
        </w:rPr>
        <w:t>already be taking effect, though MEW is in line with</w:t>
      </w:r>
      <w:r>
        <w:rPr>
          <w:spacing w:val="-21"/>
          <w:w w:val="110"/>
        </w:rPr>
        <w:t> </w:t>
      </w:r>
      <w:r>
        <w:rPr>
          <w:w w:val="110"/>
        </w:rPr>
        <w:t>its</w:t>
      </w:r>
      <w:r>
        <w:rPr>
          <w:spacing w:val="-21"/>
          <w:w w:val="110"/>
        </w:rPr>
        <w:t> </w:t>
      </w:r>
      <w:r>
        <w:rPr>
          <w:w w:val="110"/>
        </w:rPr>
        <w:t>historical</w:t>
      </w:r>
      <w:r>
        <w:rPr>
          <w:spacing w:val="-21"/>
          <w:w w:val="110"/>
        </w:rPr>
        <w:t> </w:t>
      </w:r>
      <w:r>
        <w:rPr>
          <w:w w:val="110"/>
        </w:rPr>
        <w:t>relationship</w:t>
      </w:r>
      <w:r>
        <w:rPr>
          <w:spacing w:val="-21"/>
          <w:w w:val="110"/>
        </w:rPr>
        <w:t> </w:t>
      </w:r>
      <w:r>
        <w:rPr>
          <w:w w:val="110"/>
        </w:rPr>
        <w:t>with</w:t>
      </w:r>
      <w:r>
        <w:rPr>
          <w:spacing w:val="-21"/>
          <w:w w:val="110"/>
        </w:rPr>
        <w:t> </w:t>
      </w:r>
      <w:r>
        <w:rPr>
          <w:w w:val="110"/>
        </w:rPr>
        <w:t>net</w:t>
      </w:r>
      <w:r>
        <w:rPr>
          <w:spacing w:val="-21"/>
          <w:w w:val="110"/>
        </w:rPr>
        <w:t> </w:t>
      </w:r>
      <w:r>
        <w:rPr>
          <w:w w:val="110"/>
        </w:rPr>
        <w:t>housing</w:t>
      </w:r>
      <w:r>
        <w:rPr>
          <w:spacing w:val="-21"/>
          <w:w w:val="110"/>
        </w:rPr>
        <w:t> </w:t>
      </w:r>
      <w:r>
        <w:rPr>
          <w:w w:val="110"/>
        </w:rPr>
        <w:t>wealth (see</w:t>
      </w:r>
      <w:r>
        <w:rPr>
          <w:spacing w:val="-18"/>
          <w:w w:val="110"/>
        </w:rPr>
        <w:t> </w:t>
      </w:r>
      <w:r>
        <w:rPr>
          <w:w w:val="110"/>
        </w:rPr>
        <w:t>Chart</w:t>
      </w:r>
      <w:r>
        <w:rPr>
          <w:spacing w:val="-17"/>
          <w:w w:val="110"/>
        </w:rPr>
        <w:t> </w:t>
      </w:r>
      <w:r>
        <w:rPr>
          <w:w w:val="110"/>
        </w:rPr>
        <w:t>1.7).</w:t>
      </w:r>
      <w:r>
        <w:rPr>
          <w:spacing w:val="22"/>
          <w:w w:val="110"/>
        </w:rPr>
        <w:t> </w:t>
      </w:r>
      <w:r>
        <w:rPr>
          <w:w w:val="110"/>
        </w:rPr>
        <w:t>Increased</w:t>
      </w:r>
      <w:r>
        <w:rPr>
          <w:spacing w:val="-18"/>
          <w:w w:val="110"/>
        </w:rPr>
        <w:t> </w:t>
      </w:r>
      <w:r>
        <w:rPr>
          <w:w w:val="110"/>
        </w:rPr>
        <w:t>mortgage</w:t>
      </w:r>
      <w:r>
        <w:rPr>
          <w:spacing w:val="-17"/>
          <w:w w:val="110"/>
        </w:rPr>
        <w:t> </w:t>
      </w:r>
      <w:r>
        <w:rPr>
          <w:spacing w:val="-3"/>
          <w:w w:val="110"/>
        </w:rPr>
        <w:t>flexibility</w:t>
      </w:r>
      <w:r>
        <w:rPr>
          <w:spacing w:val="-17"/>
          <w:w w:val="110"/>
        </w:rPr>
        <w:t> </w:t>
      </w:r>
      <w:r>
        <w:rPr>
          <w:w w:val="110"/>
        </w:rPr>
        <w:t>could</w:t>
      </w:r>
    </w:p>
    <w:p>
      <w:pPr>
        <w:pStyle w:val="BodyText"/>
        <w:tabs>
          <w:tab w:pos="2149" w:val="left" w:leader="none"/>
        </w:tabs>
        <w:spacing w:before="1"/>
        <w:ind w:left="1052"/>
      </w:pPr>
      <w:r>
        <w:rPr>
          <w:w w:val="110"/>
          <w:vertAlign w:val="superscript"/>
        </w:rPr>
        <w:t>13</w:t>
      </w:r>
      <w:r>
        <w:rPr>
          <w:w w:val="110"/>
          <w:vertAlign w:val="baseline"/>
        </w:rPr>
        <w:tab/>
        <w:t>also</w:t>
      </w:r>
      <w:r>
        <w:rPr>
          <w:spacing w:val="-10"/>
          <w:w w:val="110"/>
          <w:vertAlign w:val="baseline"/>
        </w:rPr>
        <w:t> </w:t>
      </w:r>
      <w:r>
        <w:rPr>
          <w:w w:val="110"/>
          <w:vertAlign w:val="baseline"/>
        </w:rPr>
        <w:t>have</w:t>
      </w:r>
      <w:r>
        <w:rPr>
          <w:spacing w:val="-9"/>
          <w:w w:val="110"/>
          <w:vertAlign w:val="baseline"/>
        </w:rPr>
        <w:t> </w:t>
      </w:r>
      <w:r>
        <w:rPr>
          <w:w w:val="110"/>
          <w:vertAlign w:val="baseline"/>
        </w:rPr>
        <w:t>more</w:t>
      </w:r>
      <w:r>
        <w:rPr>
          <w:spacing w:val="-9"/>
          <w:w w:val="110"/>
          <w:vertAlign w:val="baseline"/>
        </w:rPr>
        <w:t> </w:t>
      </w:r>
      <w:r>
        <w:rPr>
          <w:w w:val="110"/>
          <w:vertAlign w:val="baseline"/>
        </w:rPr>
        <w:t>permanent</w:t>
      </w:r>
      <w:r>
        <w:rPr>
          <w:spacing w:val="-10"/>
          <w:w w:val="110"/>
          <w:vertAlign w:val="baseline"/>
        </w:rPr>
        <w:t> </w:t>
      </w:r>
      <w:r>
        <w:rPr>
          <w:w w:val="110"/>
          <w:vertAlign w:val="baseline"/>
        </w:rPr>
        <w:t>effects</w:t>
      </w:r>
      <w:r>
        <w:rPr>
          <w:spacing w:val="-9"/>
          <w:w w:val="110"/>
          <w:vertAlign w:val="baseline"/>
        </w:rPr>
        <w:t> </w:t>
      </w:r>
      <w:r>
        <w:rPr>
          <w:w w:val="110"/>
          <w:vertAlign w:val="baseline"/>
        </w:rPr>
        <w:t>on</w:t>
      </w:r>
      <w:r>
        <w:rPr>
          <w:spacing w:val="-9"/>
          <w:w w:val="110"/>
          <w:vertAlign w:val="baseline"/>
        </w:rPr>
        <w:t> </w:t>
      </w:r>
      <w:r>
        <w:rPr>
          <w:w w:val="110"/>
          <w:vertAlign w:val="baseline"/>
        </w:rPr>
        <w:t>consumption</w:t>
      </w:r>
    </w:p>
    <w:p>
      <w:pPr>
        <w:pStyle w:val="BodyText"/>
        <w:tabs>
          <w:tab w:pos="2149" w:val="left" w:leader="none"/>
        </w:tabs>
        <w:spacing w:before="20"/>
        <w:ind w:left="1052"/>
      </w:pPr>
      <w:r>
        <w:rPr>
          <w:w w:val="110"/>
          <w:position w:val="4"/>
          <w:sz w:val="12"/>
        </w:rPr>
        <w:t>12</w:t>
        <w:tab/>
      </w:r>
      <w:r>
        <w:rPr>
          <w:spacing w:val="-3"/>
          <w:w w:val="110"/>
        </w:rPr>
        <w:t>behaviour,</w:t>
      </w:r>
      <w:r>
        <w:rPr>
          <w:spacing w:val="-17"/>
          <w:w w:val="110"/>
        </w:rPr>
        <w:t> </w:t>
      </w:r>
      <w:r>
        <w:rPr>
          <w:w w:val="110"/>
        </w:rPr>
        <w:t>for</w:t>
      </w:r>
      <w:r>
        <w:rPr>
          <w:spacing w:val="-16"/>
          <w:w w:val="110"/>
        </w:rPr>
        <w:t> </w:t>
      </w:r>
      <w:r>
        <w:rPr>
          <w:w w:val="110"/>
        </w:rPr>
        <w:t>example</w:t>
      </w:r>
      <w:r>
        <w:rPr>
          <w:spacing w:val="-16"/>
          <w:w w:val="110"/>
        </w:rPr>
        <w:t> </w:t>
      </w:r>
      <w:r>
        <w:rPr>
          <w:spacing w:val="-3"/>
          <w:w w:val="110"/>
        </w:rPr>
        <w:t>by</w:t>
      </w:r>
      <w:r>
        <w:rPr>
          <w:spacing w:val="-16"/>
          <w:w w:val="110"/>
        </w:rPr>
        <w:t> </w:t>
      </w:r>
      <w:r>
        <w:rPr>
          <w:w w:val="110"/>
        </w:rPr>
        <w:t>allowing</w:t>
      </w:r>
      <w:r>
        <w:rPr>
          <w:spacing w:val="-16"/>
          <w:w w:val="110"/>
        </w:rPr>
        <w:t> </w:t>
      </w:r>
      <w:r>
        <w:rPr>
          <w:spacing w:val="-3"/>
          <w:w w:val="110"/>
        </w:rPr>
        <w:t>greater</w:t>
      </w:r>
      <w:r>
        <w:rPr>
          <w:spacing w:val="-16"/>
          <w:w w:val="110"/>
        </w:rPr>
        <w:t> </w:t>
      </w:r>
      <w:r>
        <w:rPr>
          <w:w w:val="110"/>
        </w:rPr>
        <w:t>smoothing</w:t>
      </w:r>
    </w:p>
    <w:p>
      <w:pPr>
        <w:pStyle w:val="BodyText"/>
        <w:tabs>
          <w:tab w:pos="2149" w:val="left" w:leader="none"/>
        </w:tabs>
        <w:spacing w:line="250" w:lineRule="atLeast"/>
        <w:ind w:left="2149" w:right="509" w:hanging="1097"/>
      </w:pPr>
      <w:r>
        <w:rPr>
          <w:w w:val="110"/>
          <w:vertAlign w:val="subscript"/>
        </w:rPr>
        <w:t>11</w:t>
      </w:r>
      <w:r>
        <w:rPr>
          <w:w w:val="110"/>
          <w:vertAlign w:val="baseline"/>
        </w:rPr>
        <w:tab/>
        <w:t>of</w:t>
      </w:r>
      <w:r>
        <w:rPr>
          <w:spacing w:val="-20"/>
          <w:w w:val="110"/>
          <w:vertAlign w:val="baseline"/>
        </w:rPr>
        <w:t> </w:t>
      </w:r>
      <w:r>
        <w:rPr>
          <w:w w:val="110"/>
          <w:vertAlign w:val="baseline"/>
        </w:rPr>
        <w:t>consumption</w:t>
      </w:r>
      <w:r>
        <w:rPr>
          <w:spacing w:val="-20"/>
          <w:w w:val="110"/>
          <w:vertAlign w:val="baseline"/>
        </w:rPr>
        <w:t> </w:t>
      </w:r>
      <w:r>
        <w:rPr>
          <w:w w:val="110"/>
          <w:vertAlign w:val="baseline"/>
        </w:rPr>
        <w:t>in</w:t>
      </w:r>
      <w:r>
        <w:rPr>
          <w:spacing w:val="-20"/>
          <w:w w:val="110"/>
          <w:vertAlign w:val="baseline"/>
        </w:rPr>
        <w:t> </w:t>
      </w:r>
      <w:r>
        <w:rPr>
          <w:w w:val="110"/>
          <w:vertAlign w:val="baseline"/>
        </w:rPr>
        <w:t>the</w:t>
      </w:r>
      <w:r>
        <w:rPr>
          <w:spacing w:val="-20"/>
          <w:w w:val="110"/>
          <w:vertAlign w:val="baseline"/>
        </w:rPr>
        <w:t> </w:t>
      </w:r>
      <w:r>
        <w:rPr>
          <w:w w:val="110"/>
          <w:vertAlign w:val="baseline"/>
        </w:rPr>
        <w:t>face</w:t>
      </w:r>
      <w:r>
        <w:rPr>
          <w:spacing w:val="-20"/>
          <w:w w:val="110"/>
          <w:vertAlign w:val="baseline"/>
        </w:rPr>
        <w:t> </w:t>
      </w:r>
      <w:r>
        <w:rPr>
          <w:w w:val="110"/>
          <w:vertAlign w:val="baseline"/>
        </w:rPr>
        <w:t>of</w:t>
      </w:r>
      <w:r>
        <w:rPr>
          <w:spacing w:val="-20"/>
          <w:w w:val="110"/>
          <w:vertAlign w:val="baseline"/>
        </w:rPr>
        <w:t> </w:t>
      </w:r>
      <w:r>
        <w:rPr>
          <w:w w:val="110"/>
          <w:vertAlign w:val="baseline"/>
        </w:rPr>
        <w:t>income</w:t>
      </w:r>
      <w:r>
        <w:rPr>
          <w:spacing w:val="-20"/>
          <w:w w:val="110"/>
          <w:vertAlign w:val="baseline"/>
        </w:rPr>
        <w:t> </w:t>
      </w:r>
      <w:r>
        <w:rPr>
          <w:spacing w:val="-4"/>
          <w:w w:val="110"/>
          <w:vertAlign w:val="baseline"/>
        </w:rPr>
        <w:t>variability.</w:t>
      </w:r>
      <w:r>
        <w:rPr>
          <w:spacing w:val="16"/>
          <w:w w:val="110"/>
          <w:vertAlign w:val="baseline"/>
        </w:rPr>
        <w:t> </w:t>
      </w:r>
      <w:r>
        <w:rPr>
          <w:w w:val="110"/>
          <w:vertAlign w:val="baseline"/>
        </w:rPr>
        <w:t>But again,</w:t>
      </w:r>
      <w:r>
        <w:rPr>
          <w:spacing w:val="-14"/>
          <w:w w:val="110"/>
          <w:vertAlign w:val="baseline"/>
        </w:rPr>
        <w:t> </w:t>
      </w:r>
      <w:r>
        <w:rPr>
          <w:w w:val="110"/>
          <w:vertAlign w:val="baseline"/>
        </w:rPr>
        <w:t>the</w:t>
      </w:r>
      <w:r>
        <w:rPr>
          <w:spacing w:val="-14"/>
          <w:w w:val="110"/>
          <w:vertAlign w:val="baseline"/>
        </w:rPr>
        <w:t> </w:t>
      </w:r>
      <w:r>
        <w:rPr>
          <w:w w:val="110"/>
          <w:vertAlign w:val="baseline"/>
        </w:rPr>
        <w:t>effects</w:t>
      </w:r>
      <w:r>
        <w:rPr>
          <w:spacing w:val="-13"/>
          <w:w w:val="110"/>
          <w:vertAlign w:val="baseline"/>
        </w:rPr>
        <w:t> </w:t>
      </w:r>
      <w:r>
        <w:rPr>
          <w:w w:val="110"/>
          <w:vertAlign w:val="baseline"/>
        </w:rPr>
        <w:t>are</w:t>
      </w:r>
      <w:r>
        <w:rPr>
          <w:spacing w:val="-14"/>
          <w:w w:val="110"/>
          <w:vertAlign w:val="baseline"/>
        </w:rPr>
        <w:t> </w:t>
      </w:r>
      <w:r>
        <w:rPr>
          <w:w w:val="110"/>
          <w:vertAlign w:val="baseline"/>
        </w:rPr>
        <w:t>uncertain,</w:t>
      </w:r>
      <w:r>
        <w:rPr>
          <w:spacing w:val="-14"/>
          <w:w w:val="110"/>
          <w:vertAlign w:val="baseline"/>
        </w:rPr>
        <w:t> </w:t>
      </w:r>
      <w:r>
        <w:rPr>
          <w:w w:val="110"/>
          <w:vertAlign w:val="baseline"/>
        </w:rPr>
        <w:t>as</w:t>
      </w:r>
      <w:r>
        <w:rPr>
          <w:spacing w:val="-13"/>
          <w:w w:val="110"/>
          <w:vertAlign w:val="baseline"/>
        </w:rPr>
        <w:t> </w:t>
      </w:r>
      <w:r>
        <w:rPr>
          <w:w w:val="110"/>
          <w:vertAlign w:val="baseline"/>
        </w:rPr>
        <w:t>increased</w:t>
      </w:r>
      <w:r>
        <w:rPr>
          <w:spacing w:val="-14"/>
          <w:w w:val="110"/>
          <w:vertAlign w:val="baseline"/>
        </w:rPr>
        <w:t> </w:t>
      </w:r>
      <w:r>
        <w:rPr>
          <w:w w:val="110"/>
          <w:vertAlign w:val="baseline"/>
        </w:rPr>
        <w:t>use</w:t>
      </w:r>
      <w:r>
        <w:rPr>
          <w:spacing w:val="-14"/>
          <w:w w:val="110"/>
          <w:vertAlign w:val="baseline"/>
        </w:rPr>
        <w:t> </w:t>
      </w:r>
      <w:r>
        <w:rPr>
          <w:w w:val="110"/>
          <w:vertAlign w:val="baseline"/>
        </w:rPr>
        <w:t>of</w:t>
      </w:r>
    </w:p>
    <w:p>
      <w:pPr>
        <w:spacing w:line="53" w:lineRule="exact" w:before="0"/>
        <w:ind w:left="1052" w:right="0" w:firstLine="0"/>
        <w:jc w:val="left"/>
        <w:rPr>
          <w:sz w:val="12"/>
        </w:rPr>
      </w:pPr>
      <w:r>
        <w:rPr>
          <w:w w:val="120"/>
          <w:sz w:val="12"/>
        </w:rPr>
        <w:t>10</w:t>
      </w:r>
    </w:p>
    <w:p>
      <w:pPr>
        <w:pStyle w:val="BodyText"/>
        <w:spacing w:line="197" w:lineRule="exact"/>
        <w:ind w:right="843"/>
        <w:jc w:val="right"/>
      </w:pPr>
      <w:r>
        <w:rPr>
          <w:w w:val="105"/>
        </w:rPr>
        <w:t>flexible</w:t>
      </w:r>
      <w:r>
        <w:rPr>
          <w:spacing w:val="-7"/>
          <w:w w:val="105"/>
        </w:rPr>
        <w:t> </w:t>
      </w:r>
      <w:r>
        <w:rPr>
          <w:w w:val="105"/>
        </w:rPr>
        <w:t>mortgages</w:t>
      </w:r>
      <w:r>
        <w:rPr>
          <w:spacing w:val="-7"/>
          <w:w w:val="105"/>
        </w:rPr>
        <w:t> </w:t>
      </w:r>
      <w:r>
        <w:rPr>
          <w:spacing w:val="-3"/>
          <w:w w:val="105"/>
        </w:rPr>
        <w:t>may</w:t>
      </w:r>
      <w:r>
        <w:rPr>
          <w:spacing w:val="-7"/>
          <w:w w:val="105"/>
        </w:rPr>
        <w:t> </w:t>
      </w:r>
      <w:r>
        <w:rPr>
          <w:w w:val="105"/>
        </w:rPr>
        <w:t>make</w:t>
      </w:r>
      <w:r>
        <w:rPr>
          <w:spacing w:val="-7"/>
          <w:w w:val="105"/>
        </w:rPr>
        <w:t> </w:t>
      </w:r>
      <w:r>
        <w:rPr>
          <w:w w:val="105"/>
        </w:rPr>
        <w:t>the</w:t>
      </w:r>
      <w:r>
        <w:rPr>
          <w:spacing w:val="-7"/>
          <w:w w:val="105"/>
        </w:rPr>
        <w:t> </w:t>
      </w:r>
      <w:r>
        <w:rPr>
          <w:w w:val="105"/>
        </w:rPr>
        <w:t>marginal</w:t>
      </w:r>
      <w:r>
        <w:rPr>
          <w:spacing w:val="-6"/>
          <w:w w:val="105"/>
        </w:rPr>
        <w:t> </w:t>
      </w:r>
      <w:r>
        <w:rPr>
          <w:w w:val="105"/>
        </w:rPr>
        <w:t>cost</w:t>
      </w:r>
      <w:r>
        <w:rPr>
          <w:spacing w:val="-7"/>
          <w:w w:val="105"/>
        </w:rPr>
        <w:t> </w:t>
      </w:r>
      <w:r>
        <w:rPr>
          <w:w w:val="105"/>
        </w:rPr>
        <w:t>of</w:t>
      </w:r>
    </w:p>
    <w:p>
      <w:pPr>
        <w:pStyle w:val="BodyText"/>
        <w:tabs>
          <w:tab w:pos="1005" w:val="left" w:leader="none"/>
        </w:tabs>
        <w:spacing w:before="20"/>
        <w:ind w:right="819"/>
        <w:jc w:val="right"/>
      </w:pPr>
      <w:r>
        <w:rPr>
          <w:w w:val="115"/>
          <w:vertAlign w:val="superscript"/>
        </w:rPr>
        <w:t>9</w:t>
      </w:r>
      <w:r>
        <w:rPr>
          <w:w w:val="115"/>
          <w:vertAlign w:val="baseline"/>
        </w:rPr>
        <w:tab/>
      </w:r>
      <w:r>
        <w:rPr>
          <w:w w:val="110"/>
          <w:vertAlign w:val="baseline"/>
        </w:rPr>
        <w:t>borrowing</w:t>
      </w:r>
      <w:r>
        <w:rPr>
          <w:spacing w:val="-28"/>
          <w:w w:val="110"/>
          <w:vertAlign w:val="baseline"/>
        </w:rPr>
        <w:t> </w:t>
      </w:r>
      <w:r>
        <w:rPr>
          <w:w w:val="110"/>
          <w:vertAlign w:val="baseline"/>
        </w:rPr>
        <w:t>more</w:t>
      </w:r>
      <w:r>
        <w:rPr>
          <w:spacing w:val="-27"/>
          <w:w w:val="110"/>
          <w:vertAlign w:val="baseline"/>
        </w:rPr>
        <w:t> </w:t>
      </w:r>
      <w:r>
        <w:rPr>
          <w:w w:val="110"/>
          <w:vertAlign w:val="baseline"/>
        </w:rPr>
        <w:t>sensitive</w:t>
      </w:r>
      <w:r>
        <w:rPr>
          <w:spacing w:val="-27"/>
          <w:w w:val="110"/>
          <w:vertAlign w:val="baseline"/>
        </w:rPr>
        <w:t> </w:t>
      </w:r>
      <w:r>
        <w:rPr>
          <w:spacing w:val="-4"/>
          <w:w w:val="110"/>
          <w:vertAlign w:val="baseline"/>
        </w:rPr>
        <w:t>to</w:t>
      </w:r>
      <w:r>
        <w:rPr>
          <w:spacing w:val="-27"/>
          <w:w w:val="110"/>
          <w:vertAlign w:val="baseline"/>
        </w:rPr>
        <w:t> </w:t>
      </w:r>
      <w:r>
        <w:rPr>
          <w:w w:val="110"/>
          <w:vertAlign w:val="baseline"/>
        </w:rPr>
        <w:t>house</w:t>
      </w:r>
      <w:r>
        <w:rPr>
          <w:spacing w:val="-28"/>
          <w:w w:val="110"/>
          <w:vertAlign w:val="baseline"/>
        </w:rPr>
        <w:t> </w:t>
      </w:r>
      <w:r>
        <w:rPr>
          <w:w w:val="110"/>
          <w:vertAlign w:val="baseline"/>
        </w:rPr>
        <w:t>price</w:t>
      </w:r>
      <w:r>
        <w:rPr>
          <w:spacing w:val="-27"/>
          <w:w w:val="110"/>
          <w:vertAlign w:val="baseline"/>
        </w:rPr>
        <w:t> </w:t>
      </w:r>
      <w:r>
        <w:rPr>
          <w:w w:val="110"/>
          <w:vertAlign w:val="baseline"/>
        </w:rPr>
        <w:t>changes,</w:t>
      </w:r>
    </w:p>
    <w:p>
      <w:pPr>
        <w:pStyle w:val="BodyText"/>
        <w:tabs>
          <w:tab w:pos="1005" w:val="left" w:leader="none"/>
        </w:tabs>
        <w:spacing w:line="204" w:lineRule="exact" w:before="20"/>
        <w:ind w:right="791"/>
        <w:jc w:val="right"/>
      </w:pPr>
      <w:r>
        <w:rPr>
          <w:w w:val="110"/>
          <w:position w:val="1"/>
          <w:sz w:val="12"/>
        </w:rPr>
        <w:t>8</w:t>
        <w:tab/>
      </w:r>
      <w:r>
        <w:rPr>
          <w:w w:val="110"/>
        </w:rPr>
        <w:t>which</w:t>
      </w:r>
      <w:r>
        <w:rPr>
          <w:spacing w:val="-25"/>
          <w:w w:val="110"/>
        </w:rPr>
        <w:t> </w:t>
      </w:r>
      <w:r>
        <w:rPr>
          <w:w w:val="110"/>
        </w:rPr>
        <w:t>will</w:t>
      </w:r>
      <w:r>
        <w:rPr>
          <w:spacing w:val="-25"/>
          <w:w w:val="110"/>
        </w:rPr>
        <w:t> </w:t>
      </w:r>
      <w:r>
        <w:rPr>
          <w:w w:val="110"/>
        </w:rPr>
        <w:t>affect</w:t>
      </w:r>
      <w:r>
        <w:rPr>
          <w:spacing w:val="-24"/>
          <w:w w:val="110"/>
        </w:rPr>
        <w:t> </w:t>
      </w:r>
      <w:r>
        <w:rPr>
          <w:w w:val="110"/>
        </w:rPr>
        <w:t>the</w:t>
      </w:r>
      <w:r>
        <w:rPr>
          <w:spacing w:val="-25"/>
          <w:w w:val="110"/>
        </w:rPr>
        <w:t> </w:t>
      </w:r>
      <w:r>
        <w:rPr>
          <w:w w:val="110"/>
        </w:rPr>
        <w:t>amount</w:t>
      </w:r>
      <w:r>
        <w:rPr>
          <w:spacing w:val="-24"/>
          <w:w w:val="110"/>
        </w:rPr>
        <w:t> </w:t>
      </w:r>
      <w:r>
        <w:rPr>
          <w:w w:val="110"/>
        </w:rPr>
        <w:t>that</w:t>
      </w:r>
      <w:r>
        <w:rPr>
          <w:spacing w:val="-25"/>
          <w:w w:val="110"/>
        </w:rPr>
        <w:t> </w:t>
      </w:r>
      <w:r>
        <w:rPr>
          <w:w w:val="110"/>
        </w:rPr>
        <w:t>households</w:t>
      </w:r>
      <w:r>
        <w:rPr>
          <w:spacing w:val="-24"/>
          <w:w w:val="110"/>
        </w:rPr>
        <w:t> </w:t>
      </w:r>
      <w:r>
        <w:rPr>
          <w:spacing w:val="-3"/>
          <w:w w:val="110"/>
        </w:rPr>
        <w:t>may</w:t>
      </w:r>
    </w:p>
    <w:p>
      <w:pPr>
        <w:spacing w:line="83" w:lineRule="exact" w:before="0"/>
        <w:ind w:left="1143" w:right="0" w:firstLine="0"/>
        <w:jc w:val="left"/>
        <w:rPr>
          <w:sz w:val="12"/>
        </w:rPr>
      </w:pPr>
      <w:r>
        <w:rPr>
          <w:w w:val="121"/>
          <w:sz w:val="12"/>
        </w:rPr>
        <w:t>0</w:t>
      </w:r>
    </w:p>
    <w:p>
      <w:pPr>
        <w:spacing w:after="0" w:line="83" w:lineRule="exact"/>
        <w:jc w:val="left"/>
        <w:rPr>
          <w:sz w:val="12"/>
        </w:rPr>
        <w:sectPr>
          <w:type w:val="continuous"/>
          <w:pgSz w:w="11900" w:h="16840"/>
          <w:pgMar w:top="1260" w:bottom="280" w:left="640" w:right="640"/>
          <w:cols w:num="3" w:equalWidth="0">
            <w:col w:w="1900" w:space="40"/>
            <w:col w:w="1451" w:space="39"/>
            <w:col w:w="7190"/>
          </w:cols>
        </w:sectPr>
      </w:pPr>
    </w:p>
    <w:p>
      <w:pPr>
        <w:tabs>
          <w:tab w:pos="1612" w:val="left" w:leader="none"/>
          <w:tab w:pos="2343" w:val="left" w:leader="none"/>
          <w:tab w:pos="3059" w:val="left" w:leader="none"/>
          <w:tab w:pos="3715" w:val="left" w:leader="none"/>
          <w:tab w:pos="4229" w:val="left" w:leader="none"/>
        </w:tabs>
        <w:spacing w:before="10"/>
        <w:ind w:left="821" w:right="0" w:firstLine="0"/>
        <w:jc w:val="left"/>
        <w:rPr>
          <w:sz w:val="12"/>
        </w:rPr>
      </w:pPr>
      <w:r>
        <w:rPr/>
        <w:pict>
          <v:group style="position:absolute;margin-left:39.279999pt;margin-top:40pt;width:517pt;height:741pt;mso-position-horizontal-relative:page;mso-position-vertical-relative:page;z-index:-23537664" coordorigin="786,800" coordsize="10340,14820">
            <v:rect style="position:absolute;left:795;top:810;width:10320;height:14800" filled="true" fillcolor="#eff7f8" stroked="false">
              <v:fill type="solid"/>
            </v:rect>
            <v:rect style="position:absolute;left:795;top:810;width:10320;height:14800" filled="false" stroked="true" strokeweight="1pt" strokecolor="#006cb4">
              <v:stroke dashstyle="solid"/>
            </v:rect>
            <v:shape style="position:absolute;left:1274;top:9467;width:304;height:105" coordorigin="1275,9467" coordsize="304,105" path="m1275,9555l1334,9502m1334,9502l1397,9467m1397,9467l1456,9537m1456,9537l1519,9572m1519,9572l1578,9555e" filled="false" stroked="true" strokeweight="1pt" strokecolor="#610e7a">
              <v:path arrowok="t"/>
              <v:stroke dashstyle="solid"/>
            </v:shape>
            <v:line style="position:absolute" from="1568,9556" to="1651,9556" stroked="true" strokeweight="1.125pt" strokecolor="#610e7a">
              <v:stroke dashstyle="solid"/>
            </v:line>
            <v:shape style="position:absolute;left:1640;top:9554;width:775;height:873" coordorigin="1641,9555" coordsize="775,873" path="m1641,9555l1700,9787m1700,9787l1762,9892m1762,9892l1822,9982m1822,9982l1881,10017m1881,10017l1928,10052m1928,10052l1991,10035m1991,10035l2050,10090m2050,10090l2112,10070m2112,10070l2172,10052m2172,10052l2234,10107m2234,10107l2294,10195m2294,10195l2356,10267m2356,10267l2416,10427e" filled="false" stroked="true" strokeweight="1pt" strokecolor="#610e7a">
              <v:path arrowok="t"/>
              <v:stroke dashstyle="solid"/>
            </v:shape>
            <v:line style="position:absolute" from="2406,10429" to="2488,10429" stroked="true" strokeweight="1.125pt" strokecolor="#610e7a">
              <v:stroke dashstyle="solid"/>
            </v:line>
            <v:shape style="position:absolute;left:2478;top:10194;width:1263;height:480" coordorigin="2478,10195" coordsize="1263,480" path="m2478,10427l2537,10372m2537,10372l2600,10427m2600,10427l2659,10515m2659,10515l2719,10567m2719,10567l2781,10462m2781,10462l2841,10427m2841,10427l2903,10462m2903,10462l2962,10640m2962,10640l3025,10675m3025,10675l3084,10515m3084,10515l3131,10550m3131,10550l3194,10497m3194,10497l3253,10390m3253,10390l3316,10230m3316,10230l3375,10195m3375,10195l3437,10622m3437,10622l3497,10372m3497,10372l3559,10497m3559,10497l3619,10390m3619,10390l3678,10622m3678,10622l3741,10390e" filled="false" stroked="true" strokeweight="1pt" strokecolor="#610e7a">
              <v:path arrowok="t"/>
              <v:stroke dashstyle="solid"/>
            </v:shape>
            <v:line style="position:absolute" from="3731,10391" to="3810,10391" stroked="true" strokeweight="1.125pt" strokecolor="#610e7a">
              <v:stroke dashstyle="solid"/>
            </v:line>
            <v:shape style="position:absolute;left:3799;top:10389;width:366;height:623" coordorigin="3800,10390" coordsize="366,623" path="m3800,10390l3862,10550m3862,10550l3922,10605m3922,10605l3984,10657m3984,10657l4044,10800m4044,10800l4106,10817m4106,10817l4166,11012e" filled="false" stroked="true" strokeweight="1pt" strokecolor="#610e7a">
              <v:path arrowok="t"/>
              <v:stroke dashstyle="solid"/>
            </v:shape>
            <v:line style="position:absolute" from="4156,11014" to="4238,11014" stroked="true" strokeweight="1.125pt" strokecolor="#610e7a">
              <v:stroke dashstyle="solid"/>
            </v:line>
            <v:shape style="position:absolute;left:4228;top:10869;width:288;height:178" coordorigin="4228,10870" coordsize="288,178" path="m4228,11012l4287,11047m4287,11047l4334,10925m4334,10925l4397,10907m4397,10907l4456,10870m4456,10870l4516,10907e" filled="false" stroked="true" strokeweight="1pt" strokecolor="#610e7a">
              <v:path arrowok="t"/>
              <v:stroke dashstyle="solid"/>
            </v:shape>
            <v:line style="position:absolute" from="4506,10909" to="4588,10909" stroked="true" strokeweight="1.125pt" strokecolor="#610e7a">
              <v:stroke dashstyle="solid"/>
            </v:line>
            <v:shape style="position:absolute;left:4578;top:10817;width:244;height:125" coordorigin="4578,10817" coordsize="244,125" path="m4578,10907l4637,10942m4637,10942l4700,10852m4700,10852l4759,10817m4759,10817l4822,10852e" filled="false" stroked="true" strokeweight="1pt" strokecolor="#610e7a">
              <v:path arrowok="t"/>
              <v:stroke dashstyle="solid"/>
            </v:shape>
            <v:line style="position:absolute" from="4812,10854" to="4891,10854" stroked="true" strokeweight="1.125pt" strokecolor="#610e7a">
              <v:stroke dashstyle="solid"/>
            </v:line>
            <v:shape style="position:absolute;left:1274;top:8649;width:304;height:105" coordorigin="1275,8650" coordsize="304,105" path="m1275,8720l1334,8755m1334,8755l1397,8650m1397,8650l1456,8667m1456,8667l1519,8720m1519,8720l1578,8650e" filled="false" stroked="true" strokeweight="1pt" strokecolor="#f08e87">
              <v:path arrowok="t"/>
              <v:stroke dashstyle="solid"/>
            </v:shape>
            <v:line style="position:absolute" from="1568,8651" to="1651,8651" stroked="true" strokeweight="1.125pt" strokecolor="#f08e87">
              <v:stroke dashstyle="solid"/>
            </v:line>
            <v:shape style="position:absolute;left:1640;top:8649;width:410;height:178" coordorigin="1641,8650" coordsize="410,178" path="m1641,8650l1700,8755m1700,8755l1762,8737m1762,8737l1822,8792m1822,8792l1881,8737m1881,8737l1928,8720m1928,8720l1991,8792m1991,8792l2050,8827e" filled="false" stroked="true" strokeweight="1pt" strokecolor="#f08e87">
              <v:path arrowok="t"/>
              <v:stroke dashstyle="solid"/>
            </v:shape>
            <v:shape style="position:absolute;left:2039;top:8828;width:142;height:2" coordorigin="2040,8829" coordsize="142,0" path="m2040,8829l2122,8829m2102,8829l2182,8829e" filled="false" stroked="true" strokeweight="1.125pt" strokecolor="#f08e87">
              <v:path arrowok="t"/>
              <v:stroke dashstyle="solid"/>
            </v:shape>
            <v:shape style="position:absolute;left:2171;top:8827;width:185;height:195" coordorigin="2172,8827" coordsize="185,195" path="m2172,8827l2234,8935m2234,8935l2294,9022m2294,9022l2356,9005e" filled="false" stroked="true" strokeweight="1pt" strokecolor="#f08e87">
              <v:path arrowok="t"/>
              <v:stroke dashstyle="solid"/>
            </v:shape>
            <v:line style="position:absolute" from="2346,9006" to="2426,9006" stroked="true" strokeweight="1.125pt" strokecolor="#f08e87">
              <v:stroke dashstyle="solid"/>
            </v:line>
            <v:shape style="position:absolute;left:2415;top:8987;width:366;height:143" coordorigin="2416,8987" coordsize="366,143" path="m2416,9005l2478,9022m2478,9022l2537,8987m2537,8987l2600,9040m2600,9040l2659,9005m2659,9005l2719,9095m2719,9095l2781,9130e" filled="false" stroked="true" strokeweight="1pt" strokecolor="#f08e87">
              <v:path arrowok="t"/>
              <v:stroke dashstyle="solid"/>
            </v:shape>
            <v:line style="position:absolute" from="2771,9131" to="2851,9131" stroked="true" strokeweight="1.125pt" strokecolor="#f08e87">
              <v:stroke dashstyle="solid"/>
            </v:line>
            <v:shape style="position:absolute;left:2840;top:9112;width:244;height:160" coordorigin="2841,9112" coordsize="244,160" path="m2841,9130l2903,9112m2903,9112l2962,9130m2962,9130l3025,9272m3025,9272l3084,9235e" filled="false" stroked="true" strokeweight="1pt" strokecolor="#f08e87">
              <v:path arrowok="t"/>
              <v:stroke dashstyle="solid"/>
            </v:shape>
            <v:shape style="position:absolute;left:3074;top:9236;width:130;height:2" coordorigin="3074,9236" coordsize="130,0" path="m3074,9236l3141,9236m3121,9236l3204,9236e" filled="false" stroked="true" strokeweight="1.125pt" strokecolor="#f08e87">
              <v:path arrowok="t"/>
              <v:stroke dashstyle="solid"/>
            </v:shape>
            <v:shape style="position:absolute;left:3193;top:8862;width:244;height:373" coordorigin="3194,8862" coordsize="244,373" path="m3194,9235l3253,9182m3253,9182l3316,9005m3316,9005l3375,8862m3375,8862l3437,9040e" filled="false" stroked="true" strokeweight="1pt" strokecolor="#f08e87">
              <v:path arrowok="t"/>
              <v:stroke dashstyle="solid"/>
            </v:shape>
            <v:line style="position:absolute" from="3427,9041" to="3507,9041" stroked="true" strokeweight="1.125pt" strokecolor="#f08e87">
              <v:stroke dashstyle="solid"/>
            </v:line>
            <v:shape style="position:absolute;left:3496;top:8987;width:900;height:888" coordorigin="3497,8987" coordsize="900,888" path="m3497,9040l3559,9112m3559,9112l3619,8987m3619,8987l3678,9235m3678,9235l3741,9182m3741,9182l3800,9217m3800,9217l3862,9272m3862,9272l3922,9325m3922,9325l3984,9432m3984,9432l4044,9572m4044,9572l4106,9485m4106,9485l4166,9697m4166,9697l4228,9875m4228,9875l4287,9822m4287,9822l4334,9805m4334,9805l4397,9787e" filled="false" stroked="true" strokeweight="1pt" strokecolor="#f08e87">
              <v:path arrowok="t"/>
              <v:stroke dashstyle="solid"/>
            </v:shape>
            <v:line style="position:absolute" from="4387,9789" to="4466,9789" stroked="true" strokeweight="1.125pt" strokecolor="#f08e87">
              <v:stroke dashstyle="solid"/>
            </v:line>
            <v:shape style="position:absolute;left:4456;top:9769;width:366;height:105" coordorigin="4456,9770" coordsize="366,105" path="m4456,9787l4516,9770m4516,9770l4578,9822m4578,9822l4637,9875m4637,9875l4700,9857m4700,9857l4759,9875m4759,9875l4822,9840e" filled="false" stroked="true" strokeweight="1pt" strokecolor="#f08e87">
              <v:path arrowok="t"/>
              <v:stroke dashstyle="solid"/>
            </v:shape>
            <v:line style="position:absolute" from="4812,9841" to="4891,9841" stroked="true" strokeweight="1.125pt" strokecolor="#f08e87">
              <v:stroke dashstyle="solid"/>
            </v:line>
            <v:shape style="position:absolute;left:1090;top:8524;width:4013;height:3006" coordorigin="1091,8525" coordsize="4013,3006" path="m5077,11404l5077,11431,5052,11447,5102,11461,5052,11481,5102,11497,5072,11507,5072,11531m1096,11527l5103,11527m1276,11460l1276,11527m1998,11460l1998,11527m2719,11460l2719,11527m3441,11460l3441,11527m4163,11460l4163,11527m4884,11460l4884,11527m1091,8845l1199,8845m1091,9165l1199,9165m1091,9485l1199,9485m1091,9805l1199,9805m1091,10126l1199,10126m1091,10446l1199,10446m1091,10766l1199,10766m1091,11406l1199,11406m1091,11086l1199,11086m1091,8525l1199,8525m4975,8846l5083,8846m4975,9166l5083,9166m4975,9486l5083,9486m4975,9806l5083,9806m4975,10127l5083,10127m4975,10447l5083,10447m4975,10767l5083,10767m4975,11407l5083,11407m4975,11087l5083,11087m4975,8526l5083,8526m1201,11404l1201,11431,1176,11447,1226,11461,1176,11481,1226,11497,1197,11507,1196,11531e" filled="false" stroked="true" strokeweight=".5pt" strokecolor="#000000">
              <v:path arrowok="t"/>
              <v:stroke dashstyle="solid"/>
            </v:shape>
            <w10:wrap type="none"/>
          </v:group>
        </w:pict>
      </w:r>
      <w:r>
        <w:rPr>
          <w:w w:val="120"/>
          <w:sz w:val="12"/>
        </w:rPr>
        <w:t>1996</w:t>
        <w:tab/>
        <w:t>97</w:t>
        <w:tab/>
        <w:t>98</w:t>
        <w:tab/>
        <w:t>99</w:t>
        <w:tab/>
        <w:t>2000</w:t>
        <w:tab/>
        <w:t>01</w:t>
      </w:r>
    </w:p>
    <w:p>
      <w:pPr>
        <w:spacing w:before="72"/>
        <w:ind w:left="430" w:right="0" w:firstLine="0"/>
        <w:jc w:val="left"/>
        <w:rPr>
          <w:sz w:val="12"/>
        </w:rPr>
      </w:pPr>
      <w:r>
        <w:rPr>
          <w:w w:val="105"/>
          <w:sz w:val="12"/>
        </w:rPr>
        <w:t>Sources: Bank of England and Moneyfacts.</w:t>
      </w:r>
    </w:p>
    <w:p>
      <w:pPr>
        <w:pStyle w:val="BodyText"/>
        <w:rPr>
          <w:sz w:val="12"/>
        </w:rPr>
      </w:pPr>
    </w:p>
    <w:p>
      <w:pPr>
        <w:pStyle w:val="BodyText"/>
        <w:rPr>
          <w:sz w:val="12"/>
        </w:rPr>
      </w:pPr>
    </w:p>
    <w:p>
      <w:pPr>
        <w:pStyle w:val="BodyText"/>
        <w:spacing w:before="9"/>
        <w:rPr>
          <w:sz w:val="13"/>
        </w:rPr>
      </w:pPr>
    </w:p>
    <w:p>
      <w:pPr>
        <w:pStyle w:val="BodyText"/>
        <w:spacing w:line="261" w:lineRule="auto" w:before="1"/>
        <w:ind w:left="434" w:right="20"/>
      </w:pPr>
      <w:r>
        <w:rPr>
          <w:w w:val="110"/>
        </w:rPr>
        <w:t>Some of these changes </w:t>
      </w:r>
      <w:r>
        <w:rPr>
          <w:spacing w:val="-3"/>
          <w:w w:val="110"/>
        </w:rPr>
        <w:t>may </w:t>
      </w:r>
      <w:r>
        <w:rPr>
          <w:w w:val="110"/>
        </w:rPr>
        <w:t>have reflected increased competition</w:t>
      </w:r>
      <w:r>
        <w:rPr>
          <w:spacing w:val="-26"/>
          <w:w w:val="110"/>
        </w:rPr>
        <w:t> </w:t>
      </w:r>
      <w:r>
        <w:rPr>
          <w:w w:val="110"/>
        </w:rPr>
        <w:t>in</w:t>
      </w:r>
      <w:r>
        <w:rPr>
          <w:spacing w:val="-25"/>
          <w:w w:val="110"/>
        </w:rPr>
        <w:t> </w:t>
      </w:r>
      <w:r>
        <w:rPr>
          <w:w w:val="110"/>
        </w:rPr>
        <w:t>retail</w:t>
      </w:r>
      <w:r>
        <w:rPr>
          <w:spacing w:val="-25"/>
          <w:w w:val="110"/>
        </w:rPr>
        <w:t> </w:t>
      </w:r>
      <w:r>
        <w:rPr>
          <w:w w:val="110"/>
        </w:rPr>
        <w:t>lending</w:t>
      </w:r>
      <w:r>
        <w:rPr>
          <w:spacing w:val="-25"/>
          <w:w w:val="110"/>
        </w:rPr>
        <w:t> </w:t>
      </w:r>
      <w:r>
        <w:rPr>
          <w:w w:val="110"/>
        </w:rPr>
        <w:t>markets,</w:t>
      </w:r>
      <w:r>
        <w:rPr>
          <w:spacing w:val="-25"/>
          <w:w w:val="110"/>
        </w:rPr>
        <w:t> </w:t>
      </w:r>
      <w:r>
        <w:rPr>
          <w:w w:val="110"/>
        </w:rPr>
        <w:t>which</w:t>
      </w:r>
      <w:r>
        <w:rPr>
          <w:spacing w:val="-25"/>
          <w:w w:val="110"/>
        </w:rPr>
        <w:t> </w:t>
      </w:r>
      <w:r>
        <w:rPr>
          <w:w w:val="110"/>
        </w:rPr>
        <w:t>would</w:t>
      </w:r>
      <w:r>
        <w:rPr>
          <w:spacing w:val="-26"/>
          <w:w w:val="110"/>
        </w:rPr>
        <w:t> </w:t>
      </w:r>
      <w:r>
        <w:rPr>
          <w:w w:val="110"/>
        </w:rPr>
        <w:t>be </w:t>
      </w:r>
      <w:r>
        <w:rPr>
          <w:spacing w:val="-3"/>
          <w:w w:val="110"/>
        </w:rPr>
        <w:t>expected </w:t>
      </w:r>
      <w:r>
        <w:rPr>
          <w:spacing w:val="-4"/>
          <w:w w:val="110"/>
        </w:rPr>
        <w:t>to </w:t>
      </w:r>
      <w:r>
        <w:rPr>
          <w:spacing w:val="-3"/>
          <w:w w:val="110"/>
        </w:rPr>
        <w:t>lower </w:t>
      </w:r>
      <w:r>
        <w:rPr>
          <w:w w:val="110"/>
        </w:rPr>
        <w:t>the spread of retail lending </w:t>
      </w:r>
      <w:r>
        <w:rPr>
          <w:spacing w:val="-4"/>
          <w:w w:val="110"/>
        </w:rPr>
        <w:t>rates </w:t>
      </w:r>
      <w:r>
        <w:rPr>
          <w:w w:val="110"/>
        </w:rPr>
        <w:t>relative </w:t>
      </w:r>
      <w:r>
        <w:rPr>
          <w:spacing w:val="-4"/>
          <w:w w:val="110"/>
        </w:rPr>
        <w:t>to </w:t>
      </w:r>
      <w:r>
        <w:rPr>
          <w:w w:val="110"/>
        </w:rPr>
        <w:t>the </w:t>
      </w:r>
      <w:r>
        <w:rPr>
          <w:spacing w:val="-3"/>
          <w:w w:val="110"/>
        </w:rPr>
        <w:t>Bank’s </w:t>
      </w:r>
      <w:r>
        <w:rPr>
          <w:w w:val="110"/>
        </w:rPr>
        <w:t>repo </w:t>
      </w:r>
      <w:r>
        <w:rPr>
          <w:spacing w:val="-4"/>
          <w:w w:val="110"/>
        </w:rPr>
        <w:t>rate. </w:t>
      </w:r>
      <w:r>
        <w:rPr>
          <w:w w:val="110"/>
        </w:rPr>
        <w:t>The chart shows that in recent </w:t>
      </w:r>
      <w:r>
        <w:rPr>
          <w:spacing w:val="-3"/>
          <w:w w:val="110"/>
        </w:rPr>
        <w:t>years, </w:t>
      </w:r>
      <w:r>
        <w:rPr>
          <w:w w:val="110"/>
        </w:rPr>
        <w:t>this spread has indeed fallen in unsecured credit markets. So increased competition in credit markets </w:t>
      </w:r>
      <w:r>
        <w:rPr>
          <w:spacing w:val="-3"/>
          <w:w w:val="110"/>
        </w:rPr>
        <w:t>may have </w:t>
      </w:r>
      <w:r>
        <w:rPr>
          <w:w w:val="110"/>
        </w:rPr>
        <w:t>led </w:t>
      </w:r>
      <w:r>
        <w:rPr>
          <w:spacing w:val="-4"/>
          <w:w w:val="110"/>
        </w:rPr>
        <w:t>to </w:t>
      </w:r>
      <w:r>
        <w:rPr>
          <w:w w:val="110"/>
        </w:rPr>
        <w:t>a </w:t>
      </w:r>
      <w:r>
        <w:rPr>
          <w:spacing w:val="-3"/>
          <w:w w:val="110"/>
        </w:rPr>
        <w:t>lower </w:t>
      </w:r>
      <w:r>
        <w:rPr>
          <w:w w:val="110"/>
        </w:rPr>
        <w:t>cost, and wider</w:t>
      </w:r>
      <w:r>
        <w:rPr>
          <w:spacing w:val="-25"/>
          <w:w w:val="110"/>
        </w:rPr>
        <w:t> </w:t>
      </w:r>
      <w:r>
        <w:rPr>
          <w:spacing w:val="-4"/>
          <w:w w:val="110"/>
        </w:rPr>
        <w:t>availability,</w:t>
      </w:r>
      <w:r>
        <w:rPr>
          <w:spacing w:val="-24"/>
          <w:w w:val="110"/>
        </w:rPr>
        <w:t> </w:t>
      </w:r>
      <w:r>
        <w:rPr>
          <w:w w:val="110"/>
        </w:rPr>
        <w:t>of</w:t>
      </w:r>
      <w:r>
        <w:rPr>
          <w:spacing w:val="-24"/>
          <w:w w:val="110"/>
        </w:rPr>
        <w:t> </w:t>
      </w:r>
      <w:r>
        <w:rPr>
          <w:w w:val="110"/>
        </w:rPr>
        <w:t>household</w:t>
      </w:r>
      <w:r>
        <w:rPr>
          <w:spacing w:val="-24"/>
          <w:w w:val="110"/>
        </w:rPr>
        <w:t> </w:t>
      </w:r>
      <w:r>
        <w:rPr>
          <w:w w:val="110"/>
        </w:rPr>
        <w:t>credit.</w:t>
      </w:r>
      <w:r>
        <w:rPr>
          <w:spacing w:val="7"/>
          <w:w w:val="110"/>
        </w:rPr>
        <w:t> </w:t>
      </w:r>
      <w:r>
        <w:rPr>
          <w:w w:val="110"/>
        </w:rPr>
        <w:t>That</w:t>
      </w:r>
      <w:r>
        <w:rPr>
          <w:spacing w:val="-24"/>
          <w:w w:val="110"/>
        </w:rPr>
        <w:t> </w:t>
      </w:r>
      <w:r>
        <w:rPr>
          <w:spacing w:val="-3"/>
          <w:w w:val="110"/>
        </w:rPr>
        <w:t>may</w:t>
      </w:r>
      <w:r>
        <w:rPr>
          <w:spacing w:val="-24"/>
          <w:w w:val="110"/>
        </w:rPr>
        <w:t> </w:t>
      </w:r>
      <w:r>
        <w:rPr>
          <w:spacing w:val="-3"/>
          <w:w w:val="110"/>
        </w:rPr>
        <w:t>have </w:t>
      </w:r>
      <w:r>
        <w:rPr>
          <w:w w:val="110"/>
        </w:rPr>
        <w:t>allowed households that </w:t>
      </w:r>
      <w:r>
        <w:rPr>
          <w:spacing w:val="-3"/>
          <w:w w:val="110"/>
        </w:rPr>
        <w:t>were </w:t>
      </w:r>
      <w:r>
        <w:rPr>
          <w:w w:val="110"/>
        </w:rPr>
        <w:t>previously credit constrained </w:t>
      </w:r>
      <w:r>
        <w:rPr>
          <w:spacing w:val="-4"/>
          <w:w w:val="110"/>
        </w:rPr>
        <w:t>to </w:t>
      </w:r>
      <w:r>
        <w:rPr>
          <w:spacing w:val="-3"/>
          <w:w w:val="110"/>
        </w:rPr>
        <w:t>move </w:t>
      </w:r>
      <w:r>
        <w:rPr>
          <w:w w:val="110"/>
        </w:rPr>
        <w:t>closer </w:t>
      </w:r>
      <w:r>
        <w:rPr>
          <w:spacing w:val="-4"/>
          <w:w w:val="110"/>
        </w:rPr>
        <w:t>to </w:t>
      </w:r>
      <w:r>
        <w:rPr>
          <w:w w:val="110"/>
        </w:rPr>
        <w:t>their optimal consumption levels, contributing </w:t>
      </w:r>
      <w:r>
        <w:rPr>
          <w:spacing w:val="-4"/>
          <w:w w:val="110"/>
        </w:rPr>
        <w:t>to </w:t>
      </w:r>
      <w:r>
        <w:rPr>
          <w:w w:val="110"/>
        </w:rPr>
        <w:t>the recent strength</w:t>
      </w:r>
      <w:r>
        <w:rPr>
          <w:spacing w:val="-13"/>
          <w:w w:val="110"/>
        </w:rPr>
        <w:t> </w:t>
      </w:r>
      <w:r>
        <w:rPr>
          <w:w w:val="110"/>
        </w:rPr>
        <w:t>of</w:t>
      </w:r>
      <w:r>
        <w:rPr>
          <w:spacing w:val="-12"/>
          <w:w w:val="110"/>
        </w:rPr>
        <w:t> </w:t>
      </w:r>
      <w:r>
        <w:rPr>
          <w:w w:val="110"/>
        </w:rPr>
        <w:t>borrowing</w:t>
      </w:r>
      <w:r>
        <w:rPr>
          <w:spacing w:val="-13"/>
          <w:w w:val="110"/>
        </w:rPr>
        <w:t> </w:t>
      </w:r>
      <w:r>
        <w:rPr>
          <w:w w:val="110"/>
        </w:rPr>
        <w:t>and</w:t>
      </w:r>
      <w:r>
        <w:rPr>
          <w:spacing w:val="-12"/>
          <w:w w:val="110"/>
        </w:rPr>
        <w:t> </w:t>
      </w:r>
      <w:r>
        <w:rPr>
          <w:w w:val="110"/>
        </w:rPr>
        <w:t>consumption</w:t>
      </w:r>
      <w:r>
        <w:rPr>
          <w:spacing w:val="-12"/>
          <w:w w:val="110"/>
        </w:rPr>
        <w:t> </w:t>
      </w:r>
      <w:r>
        <w:rPr>
          <w:w w:val="110"/>
        </w:rPr>
        <w:t>growth.</w:t>
      </w:r>
    </w:p>
    <w:p>
      <w:pPr>
        <w:pStyle w:val="BodyText"/>
        <w:spacing w:line="193" w:lineRule="exact"/>
        <w:ind w:left="430"/>
      </w:pPr>
      <w:r>
        <w:rPr/>
        <w:br w:type="column"/>
      </w:r>
      <w:r>
        <w:rPr>
          <w:w w:val="110"/>
        </w:rPr>
        <w:t>borrow on a secured basis.</w:t>
      </w:r>
    </w:p>
    <w:p>
      <w:pPr>
        <w:pStyle w:val="BodyText"/>
        <w:rPr>
          <w:sz w:val="19"/>
        </w:rPr>
      </w:pPr>
    </w:p>
    <w:p>
      <w:pPr>
        <w:pStyle w:val="BodyText"/>
        <w:ind w:left="430"/>
        <w:rPr>
          <w:rFonts w:ascii="Trebuchet MS"/>
        </w:rPr>
      </w:pPr>
      <w:r>
        <w:rPr>
          <w:rFonts w:ascii="Trebuchet MS"/>
          <w:color w:val="89C6DC"/>
        </w:rPr>
        <w:t>Implications</w:t>
      </w:r>
    </w:p>
    <w:p>
      <w:pPr>
        <w:pStyle w:val="BodyText"/>
        <w:spacing w:line="261" w:lineRule="auto" w:before="149"/>
        <w:ind w:left="430" w:right="287"/>
      </w:pPr>
      <w:r>
        <w:rPr>
          <w:w w:val="110"/>
        </w:rPr>
        <w:t>Structural</w:t>
      </w:r>
      <w:r>
        <w:rPr>
          <w:spacing w:val="-16"/>
          <w:w w:val="110"/>
        </w:rPr>
        <w:t> </w:t>
      </w:r>
      <w:r>
        <w:rPr>
          <w:w w:val="110"/>
        </w:rPr>
        <w:t>change</w:t>
      </w:r>
      <w:r>
        <w:rPr>
          <w:spacing w:val="-15"/>
          <w:w w:val="110"/>
        </w:rPr>
        <w:t> </w:t>
      </w:r>
      <w:r>
        <w:rPr>
          <w:w w:val="110"/>
        </w:rPr>
        <w:t>in</w:t>
      </w:r>
      <w:r>
        <w:rPr>
          <w:spacing w:val="-16"/>
          <w:w w:val="110"/>
        </w:rPr>
        <w:t> </w:t>
      </w:r>
      <w:r>
        <w:rPr>
          <w:w w:val="110"/>
        </w:rPr>
        <w:t>retail</w:t>
      </w:r>
      <w:r>
        <w:rPr>
          <w:spacing w:val="-15"/>
          <w:w w:val="110"/>
        </w:rPr>
        <w:t> </w:t>
      </w:r>
      <w:r>
        <w:rPr>
          <w:w w:val="110"/>
        </w:rPr>
        <w:t>credit</w:t>
      </w:r>
      <w:r>
        <w:rPr>
          <w:spacing w:val="-15"/>
          <w:w w:val="110"/>
        </w:rPr>
        <w:t> </w:t>
      </w:r>
      <w:r>
        <w:rPr>
          <w:w w:val="110"/>
        </w:rPr>
        <w:t>markets</w:t>
      </w:r>
      <w:r>
        <w:rPr>
          <w:spacing w:val="-16"/>
          <w:w w:val="110"/>
        </w:rPr>
        <w:t> </w:t>
      </w:r>
      <w:r>
        <w:rPr>
          <w:w w:val="110"/>
        </w:rPr>
        <w:t>has</w:t>
      </w:r>
      <w:r>
        <w:rPr>
          <w:spacing w:val="-15"/>
          <w:w w:val="110"/>
        </w:rPr>
        <w:t> </w:t>
      </w:r>
      <w:r>
        <w:rPr>
          <w:w w:val="110"/>
        </w:rPr>
        <w:t>reduced the relative costs and increased the </w:t>
      </w:r>
      <w:r>
        <w:rPr>
          <w:spacing w:val="-3"/>
          <w:w w:val="110"/>
        </w:rPr>
        <w:t>availability </w:t>
      </w:r>
      <w:r>
        <w:rPr>
          <w:w w:val="110"/>
        </w:rPr>
        <w:t>of finance in recent </w:t>
      </w:r>
      <w:r>
        <w:rPr>
          <w:spacing w:val="-3"/>
          <w:w w:val="110"/>
        </w:rPr>
        <w:t>years. </w:t>
      </w:r>
      <w:r>
        <w:rPr>
          <w:w w:val="110"/>
        </w:rPr>
        <w:t>That </w:t>
      </w:r>
      <w:r>
        <w:rPr>
          <w:spacing w:val="-3"/>
          <w:w w:val="110"/>
        </w:rPr>
        <w:t>may have </w:t>
      </w:r>
      <w:r>
        <w:rPr>
          <w:w w:val="110"/>
        </w:rPr>
        <w:t>allowed previously </w:t>
      </w:r>
      <w:r>
        <w:rPr>
          <w:spacing w:val="-3"/>
          <w:w w:val="110"/>
        </w:rPr>
        <w:t>credit-constrained </w:t>
      </w:r>
      <w:r>
        <w:rPr>
          <w:w w:val="110"/>
        </w:rPr>
        <w:t>consumers </w:t>
      </w:r>
      <w:r>
        <w:rPr>
          <w:spacing w:val="-4"/>
          <w:w w:val="110"/>
        </w:rPr>
        <w:t>to </w:t>
      </w:r>
      <w:r>
        <w:rPr>
          <w:spacing w:val="-3"/>
          <w:w w:val="110"/>
        </w:rPr>
        <w:t>move </w:t>
      </w:r>
      <w:r>
        <w:rPr>
          <w:w w:val="110"/>
        </w:rPr>
        <w:t>closer </w:t>
      </w:r>
      <w:r>
        <w:rPr>
          <w:spacing w:val="-4"/>
          <w:w w:val="110"/>
        </w:rPr>
        <w:t>to </w:t>
      </w:r>
      <w:r>
        <w:rPr>
          <w:w w:val="110"/>
        </w:rPr>
        <w:t>their optimal consumption levels, perhaps contributing </w:t>
      </w:r>
      <w:r>
        <w:rPr>
          <w:spacing w:val="-4"/>
          <w:w w:val="110"/>
        </w:rPr>
        <w:t>to </w:t>
      </w:r>
      <w:r>
        <w:rPr>
          <w:w w:val="110"/>
        </w:rPr>
        <w:t>recent strong borrowing and consumption growth. Increasing </w:t>
      </w:r>
      <w:r>
        <w:rPr>
          <w:spacing w:val="-3"/>
          <w:w w:val="110"/>
        </w:rPr>
        <w:t>flexibility </w:t>
      </w:r>
      <w:r>
        <w:rPr>
          <w:w w:val="110"/>
        </w:rPr>
        <w:t>of mortgages</w:t>
      </w:r>
      <w:r>
        <w:rPr>
          <w:spacing w:val="-26"/>
          <w:w w:val="110"/>
        </w:rPr>
        <w:t> </w:t>
      </w:r>
      <w:r>
        <w:rPr>
          <w:spacing w:val="-3"/>
          <w:w w:val="110"/>
        </w:rPr>
        <w:t>may</w:t>
      </w:r>
      <w:r>
        <w:rPr>
          <w:spacing w:val="-26"/>
          <w:w w:val="110"/>
        </w:rPr>
        <w:t> </w:t>
      </w:r>
      <w:r>
        <w:rPr>
          <w:w w:val="110"/>
        </w:rPr>
        <w:t>also</w:t>
      </w:r>
      <w:r>
        <w:rPr>
          <w:spacing w:val="-26"/>
          <w:w w:val="110"/>
        </w:rPr>
        <w:t> </w:t>
      </w:r>
      <w:r>
        <w:rPr>
          <w:spacing w:val="-3"/>
          <w:w w:val="110"/>
        </w:rPr>
        <w:t>have</w:t>
      </w:r>
      <w:r>
        <w:rPr>
          <w:spacing w:val="-26"/>
          <w:w w:val="110"/>
        </w:rPr>
        <w:t> </w:t>
      </w:r>
      <w:r>
        <w:rPr>
          <w:spacing w:val="-4"/>
          <w:w w:val="110"/>
        </w:rPr>
        <w:t>longer-term</w:t>
      </w:r>
      <w:r>
        <w:rPr>
          <w:spacing w:val="-25"/>
          <w:w w:val="110"/>
        </w:rPr>
        <w:t> </w:t>
      </w:r>
      <w:r>
        <w:rPr>
          <w:w w:val="110"/>
        </w:rPr>
        <w:t>implications</w:t>
      </w:r>
      <w:r>
        <w:rPr>
          <w:spacing w:val="-26"/>
          <w:w w:val="110"/>
        </w:rPr>
        <w:t> </w:t>
      </w:r>
      <w:r>
        <w:rPr>
          <w:w w:val="110"/>
        </w:rPr>
        <w:t>for consumption </w:t>
      </w:r>
      <w:r>
        <w:rPr>
          <w:spacing w:val="-3"/>
          <w:w w:val="110"/>
        </w:rPr>
        <w:t>behaviour, </w:t>
      </w:r>
      <w:r>
        <w:rPr>
          <w:w w:val="110"/>
        </w:rPr>
        <w:t>but these effects are uncertain. The MPC will continue </w:t>
      </w:r>
      <w:r>
        <w:rPr>
          <w:spacing w:val="-4"/>
          <w:w w:val="110"/>
        </w:rPr>
        <w:t>to </w:t>
      </w:r>
      <w:r>
        <w:rPr>
          <w:w w:val="110"/>
        </w:rPr>
        <w:t>monitor consumer credit and mortgage markets as they develop.</w:t>
      </w:r>
    </w:p>
    <w:p>
      <w:pPr>
        <w:spacing w:after="0" w:line="261" w:lineRule="auto"/>
        <w:sectPr>
          <w:type w:val="continuous"/>
          <w:pgSz w:w="11900" w:h="16840"/>
          <w:pgMar w:top="1260" w:bottom="280" w:left="640" w:right="640"/>
          <w:cols w:num="2" w:equalWidth="0">
            <w:col w:w="5086" w:space="62"/>
            <w:col w:w="5472"/>
          </w:cols>
        </w:sectPr>
      </w:pPr>
    </w:p>
    <w:p>
      <w:pPr>
        <w:pStyle w:val="BodyText"/>
      </w:pPr>
    </w:p>
    <w:p>
      <w:pPr>
        <w:spacing w:after="0"/>
        <w:sectPr>
          <w:pgSz w:w="11900" w:h="16840"/>
          <w:pgMar w:header="579" w:footer="575" w:top="800" w:bottom="760" w:left="640" w:right="640"/>
        </w:sectPr>
      </w:pPr>
    </w:p>
    <w:p>
      <w:pPr>
        <w:pStyle w:val="BodyText"/>
        <w:spacing w:before="5"/>
        <w:rPr>
          <w:sz w:val="22"/>
        </w:rPr>
      </w:pPr>
    </w:p>
    <w:p>
      <w:pPr>
        <w:pStyle w:val="Heading6"/>
        <w:ind w:left="194"/>
      </w:pPr>
      <w:bookmarkStart w:name="Private non-financial corporations" w:id="13"/>
      <w:bookmarkEnd w:id="13"/>
      <w:r>
        <w:rPr>
          <w:b w:val="0"/>
        </w:rPr>
      </w:r>
      <w:bookmarkStart w:name="_bookmark6" w:id="14"/>
      <w:bookmarkEnd w:id="14"/>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1.7</w:t>
      </w:r>
    </w:p>
    <w:p>
      <w:pPr>
        <w:spacing w:line="247" w:lineRule="auto" w:before="8"/>
        <w:ind w:left="194" w:right="37" w:firstLine="0"/>
        <w:jc w:val="left"/>
        <w:rPr>
          <w:rFonts w:ascii="Trebuchet MS"/>
          <w:b/>
          <w:sz w:val="20"/>
        </w:rPr>
      </w:pPr>
      <w:r>
        <w:rPr>
          <w:rFonts w:ascii="Trebuchet MS"/>
          <w:b/>
          <w:color w:val="89C6DC"/>
          <w:w w:val="95"/>
          <w:sz w:val="20"/>
        </w:rPr>
        <w:t>Mortgage</w:t>
      </w:r>
      <w:r>
        <w:rPr>
          <w:rFonts w:ascii="Trebuchet MS"/>
          <w:b/>
          <w:color w:val="89C6DC"/>
          <w:spacing w:val="-17"/>
          <w:w w:val="95"/>
          <w:sz w:val="20"/>
        </w:rPr>
        <w:t> </w:t>
      </w:r>
      <w:r>
        <w:rPr>
          <w:rFonts w:ascii="Trebuchet MS"/>
          <w:b/>
          <w:color w:val="89C6DC"/>
          <w:w w:val="95"/>
          <w:sz w:val="20"/>
        </w:rPr>
        <w:t>equity</w:t>
      </w:r>
      <w:r>
        <w:rPr>
          <w:rFonts w:ascii="Trebuchet MS"/>
          <w:b/>
          <w:color w:val="89C6DC"/>
          <w:spacing w:val="-17"/>
          <w:w w:val="95"/>
          <w:sz w:val="20"/>
        </w:rPr>
        <w:t> </w:t>
      </w:r>
      <w:r>
        <w:rPr>
          <w:rFonts w:ascii="Trebuchet MS"/>
          <w:b/>
          <w:color w:val="89C6DC"/>
          <w:w w:val="95"/>
          <w:sz w:val="20"/>
        </w:rPr>
        <w:t>withdrawal</w:t>
      </w:r>
      <w:r>
        <w:rPr>
          <w:rFonts w:ascii="Trebuchet MS"/>
          <w:b/>
          <w:color w:val="89C6DC"/>
          <w:spacing w:val="-16"/>
          <w:w w:val="95"/>
          <w:sz w:val="20"/>
        </w:rPr>
        <w:t> </w:t>
      </w:r>
      <w:r>
        <w:rPr>
          <w:rFonts w:ascii="Trebuchet MS"/>
          <w:b/>
          <w:color w:val="89C6DC"/>
          <w:w w:val="95"/>
          <w:sz w:val="20"/>
        </w:rPr>
        <w:t>(MEW)</w:t>
      </w:r>
      <w:r>
        <w:rPr>
          <w:rFonts w:ascii="Trebuchet MS"/>
          <w:b/>
          <w:color w:val="89C6DC"/>
          <w:spacing w:val="-17"/>
          <w:w w:val="95"/>
          <w:sz w:val="20"/>
        </w:rPr>
        <w:t> </w:t>
      </w:r>
      <w:r>
        <w:rPr>
          <w:rFonts w:ascii="Trebuchet MS"/>
          <w:b/>
          <w:color w:val="89C6DC"/>
          <w:w w:val="95"/>
          <w:sz w:val="20"/>
        </w:rPr>
        <w:t>and</w:t>
      </w:r>
      <w:r>
        <w:rPr>
          <w:rFonts w:ascii="Trebuchet MS"/>
          <w:b/>
          <w:color w:val="89C6DC"/>
          <w:spacing w:val="-17"/>
          <w:w w:val="95"/>
          <w:sz w:val="20"/>
        </w:rPr>
        <w:t> </w:t>
      </w:r>
      <w:r>
        <w:rPr>
          <w:rFonts w:ascii="Trebuchet MS"/>
          <w:b/>
          <w:color w:val="89C6DC"/>
          <w:w w:val="95"/>
          <w:sz w:val="20"/>
        </w:rPr>
        <w:t>the </w:t>
      </w:r>
      <w:r>
        <w:rPr>
          <w:rFonts w:ascii="Trebuchet MS"/>
          <w:b/>
          <w:color w:val="89C6DC"/>
          <w:sz w:val="20"/>
        </w:rPr>
        <w:t>housing equity</w:t>
      </w:r>
      <w:r>
        <w:rPr>
          <w:rFonts w:ascii="Trebuchet MS"/>
          <w:b/>
          <w:color w:val="89C6DC"/>
          <w:spacing w:val="1"/>
          <w:sz w:val="20"/>
        </w:rPr>
        <w:t> </w:t>
      </w:r>
      <w:r>
        <w:rPr>
          <w:rFonts w:ascii="Trebuchet MS"/>
          <w:b/>
          <w:color w:val="89C6DC"/>
          <w:sz w:val="20"/>
        </w:rPr>
        <w:t>ratio</w:t>
      </w:r>
    </w:p>
    <w:p>
      <w:pPr>
        <w:pStyle w:val="BodyText"/>
        <w:spacing w:before="1"/>
        <w:rPr>
          <w:rFonts w:ascii="Trebuchet MS"/>
          <w:b/>
          <w:sz w:val="21"/>
        </w:rPr>
      </w:pPr>
      <w:r>
        <w:rPr/>
        <w:br w:type="column"/>
      </w:r>
      <w:r>
        <w:rPr>
          <w:rFonts w:ascii="Trebuchet MS"/>
          <w:b/>
          <w:sz w:val="21"/>
        </w:rPr>
      </w:r>
    </w:p>
    <w:p>
      <w:pPr>
        <w:pStyle w:val="BodyText"/>
        <w:spacing w:line="292" w:lineRule="auto"/>
        <w:ind w:left="194" w:right="252"/>
        <w:jc w:val="both"/>
      </w:pPr>
      <w:r>
        <w:rPr>
          <w:w w:val="110"/>
        </w:rPr>
        <w:t>peak</w:t>
      </w:r>
      <w:r>
        <w:rPr>
          <w:spacing w:val="-12"/>
          <w:w w:val="110"/>
        </w:rPr>
        <w:t> </w:t>
      </w:r>
      <w:r>
        <w:rPr>
          <w:w w:val="110"/>
        </w:rPr>
        <w:t>in</w:t>
      </w:r>
      <w:r>
        <w:rPr>
          <w:spacing w:val="-11"/>
          <w:w w:val="110"/>
        </w:rPr>
        <w:t> </w:t>
      </w:r>
      <w:r>
        <w:rPr>
          <w:w w:val="110"/>
        </w:rPr>
        <w:t>autumn</w:t>
      </w:r>
      <w:r>
        <w:rPr>
          <w:spacing w:val="-11"/>
          <w:w w:val="110"/>
        </w:rPr>
        <w:t> </w:t>
      </w:r>
      <w:r>
        <w:rPr>
          <w:spacing w:val="-18"/>
          <w:w w:val="110"/>
        </w:rPr>
        <w:t>1998</w:t>
      </w:r>
      <w:r>
        <w:rPr>
          <w:spacing w:val="-11"/>
          <w:w w:val="110"/>
        </w:rPr>
        <w:t> </w:t>
      </w:r>
      <w:r>
        <w:rPr>
          <w:w w:val="110"/>
        </w:rPr>
        <w:t>(see</w:t>
      </w:r>
      <w:r>
        <w:rPr>
          <w:spacing w:val="-11"/>
          <w:w w:val="110"/>
        </w:rPr>
        <w:t> </w:t>
      </w:r>
      <w:r>
        <w:rPr>
          <w:w w:val="110"/>
        </w:rPr>
        <w:t>Chart</w:t>
      </w:r>
      <w:r>
        <w:rPr>
          <w:spacing w:val="-12"/>
          <w:w w:val="110"/>
        </w:rPr>
        <w:t> </w:t>
      </w:r>
      <w:r>
        <w:rPr>
          <w:w w:val="110"/>
        </w:rPr>
        <w:t>1.8).</w:t>
      </w:r>
      <w:r>
        <w:rPr>
          <w:spacing w:val="34"/>
          <w:w w:val="110"/>
        </w:rPr>
        <w:t> </w:t>
      </w:r>
      <w:r>
        <w:rPr>
          <w:w w:val="110"/>
        </w:rPr>
        <w:t>That</w:t>
      </w:r>
      <w:r>
        <w:rPr>
          <w:spacing w:val="-11"/>
          <w:w w:val="110"/>
        </w:rPr>
        <w:t> </w:t>
      </w:r>
      <w:r>
        <w:rPr>
          <w:w w:val="110"/>
        </w:rPr>
        <w:t>will</w:t>
      </w:r>
      <w:r>
        <w:rPr>
          <w:spacing w:val="-12"/>
          <w:w w:val="110"/>
        </w:rPr>
        <w:t> </w:t>
      </w:r>
      <w:r>
        <w:rPr>
          <w:spacing w:val="-3"/>
          <w:w w:val="110"/>
        </w:rPr>
        <w:t>have</w:t>
      </w:r>
      <w:r>
        <w:rPr>
          <w:spacing w:val="-11"/>
          <w:w w:val="110"/>
        </w:rPr>
        <w:t> </w:t>
      </w:r>
      <w:r>
        <w:rPr>
          <w:spacing w:val="-3"/>
          <w:w w:val="110"/>
        </w:rPr>
        <w:t>reflected </w:t>
      </w:r>
      <w:r>
        <w:rPr>
          <w:w w:val="110"/>
        </w:rPr>
        <w:t>the</w:t>
      </w:r>
      <w:r>
        <w:rPr>
          <w:spacing w:val="-18"/>
          <w:w w:val="110"/>
        </w:rPr>
        <w:t> </w:t>
      </w:r>
      <w:r>
        <w:rPr>
          <w:spacing w:val="-3"/>
          <w:w w:val="110"/>
        </w:rPr>
        <w:t>lower</w:t>
      </w:r>
      <w:r>
        <w:rPr>
          <w:spacing w:val="-17"/>
          <w:w w:val="110"/>
        </w:rPr>
        <w:t> </w:t>
      </w:r>
      <w:r>
        <w:rPr>
          <w:w w:val="110"/>
        </w:rPr>
        <w:t>official</w:t>
      </w:r>
      <w:r>
        <w:rPr>
          <w:spacing w:val="-17"/>
          <w:w w:val="110"/>
        </w:rPr>
        <w:t> </w:t>
      </w:r>
      <w:r>
        <w:rPr>
          <w:spacing w:val="-3"/>
          <w:w w:val="110"/>
        </w:rPr>
        <w:t>interest</w:t>
      </w:r>
      <w:r>
        <w:rPr>
          <w:spacing w:val="-17"/>
          <w:w w:val="110"/>
        </w:rPr>
        <w:t> </w:t>
      </w:r>
      <w:r>
        <w:rPr>
          <w:spacing w:val="-4"/>
          <w:w w:val="110"/>
        </w:rPr>
        <w:t>rates</w:t>
      </w:r>
      <w:r>
        <w:rPr>
          <w:spacing w:val="-18"/>
          <w:w w:val="110"/>
        </w:rPr>
        <w:t> </w:t>
      </w:r>
      <w:r>
        <w:rPr>
          <w:w w:val="110"/>
        </w:rPr>
        <w:t>prevailing</w:t>
      </w:r>
      <w:r>
        <w:rPr>
          <w:spacing w:val="-17"/>
          <w:w w:val="110"/>
        </w:rPr>
        <w:t> </w:t>
      </w:r>
      <w:r>
        <w:rPr>
          <w:w w:val="110"/>
        </w:rPr>
        <w:t>since</w:t>
      </w:r>
      <w:r>
        <w:rPr>
          <w:spacing w:val="-17"/>
          <w:w w:val="110"/>
        </w:rPr>
        <w:t> </w:t>
      </w:r>
      <w:r>
        <w:rPr>
          <w:w w:val="110"/>
        </w:rPr>
        <w:t>that</w:t>
      </w:r>
      <w:r>
        <w:rPr>
          <w:spacing w:val="-17"/>
          <w:w w:val="110"/>
        </w:rPr>
        <w:t> </w:t>
      </w:r>
      <w:r>
        <w:rPr>
          <w:w w:val="110"/>
        </w:rPr>
        <w:t>time.</w:t>
      </w:r>
      <w:r>
        <w:rPr>
          <w:spacing w:val="21"/>
          <w:w w:val="110"/>
        </w:rPr>
        <w:t> </w:t>
      </w:r>
      <w:r>
        <w:rPr>
          <w:w w:val="110"/>
        </w:rPr>
        <w:t>But the</w:t>
      </w:r>
      <w:r>
        <w:rPr>
          <w:spacing w:val="-18"/>
          <w:w w:val="110"/>
        </w:rPr>
        <w:t> </w:t>
      </w:r>
      <w:r>
        <w:rPr>
          <w:w w:val="110"/>
        </w:rPr>
        <w:t>effects</w:t>
      </w:r>
      <w:r>
        <w:rPr>
          <w:spacing w:val="-18"/>
          <w:w w:val="110"/>
        </w:rPr>
        <w:t> </w:t>
      </w:r>
      <w:r>
        <w:rPr>
          <w:w w:val="110"/>
        </w:rPr>
        <w:t>of</w:t>
      </w:r>
      <w:r>
        <w:rPr>
          <w:spacing w:val="-18"/>
          <w:w w:val="110"/>
        </w:rPr>
        <w:t> </w:t>
      </w:r>
      <w:r>
        <w:rPr>
          <w:w w:val="110"/>
        </w:rPr>
        <w:t>increased</w:t>
      </w:r>
      <w:r>
        <w:rPr>
          <w:spacing w:val="-18"/>
          <w:w w:val="110"/>
        </w:rPr>
        <w:t> </w:t>
      </w:r>
      <w:r>
        <w:rPr>
          <w:w w:val="110"/>
        </w:rPr>
        <w:t>competition</w:t>
      </w:r>
      <w:r>
        <w:rPr>
          <w:spacing w:val="-18"/>
          <w:w w:val="110"/>
        </w:rPr>
        <w:t> </w:t>
      </w:r>
      <w:r>
        <w:rPr>
          <w:w w:val="110"/>
        </w:rPr>
        <w:t>in</w:t>
      </w:r>
      <w:r>
        <w:rPr>
          <w:spacing w:val="-18"/>
          <w:w w:val="110"/>
        </w:rPr>
        <w:t> </w:t>
      </w:r>
      <w:r>
        <w:rPr>
          <w:w w:val="110"/>
        </w:rPr>
        <w:t>retail</w:t>
      </w:r>
      <w:r>
        <w:rPr>
          <w:spacing w:val="-18"/>
          <w:w w:val="110"/>
        </w:rPr>
        <w:t> </w:t>
      </w:r>
      <w:r>
        <w:rPr>
          <w:w w:val="110"/>
        </w:rPr>
        <w:t>lending</w:t>
      </w:r>
      <w:r>
        <w:rPr>
          <w:spacing w:val="-18"/>
          <w:w w:val="110"/>
        </w:rPr>
        <w:t> </w:t>
      </w:r>
      <w:r>
        <w:rPr>
          <w:w w:val="110"/>
        </w:rPr>
        <w:t>markets</w:t>
      </w:r>
    </w:p>
    <w:p>
      <w:pPr>
        <w:spacing w:after="0" w:line="292" w:lineRule="auto"/>
        <w:jc w:val="both"/>
        <w:sectPr>
          <w:type w:val="continuous"/>
          <w:pgSz w:w="11900" w:h="16840"/>
          <w:pgMar w:top="1260" w:bottom="280" w:left="640" w:right="640"/>
          <w:cols w:num="2" w:equalWidth="0">
            <w:col w:w="3997" w:space="903"/>
            <w:col w:w="5720"/>
          </w:cols>
        </w:sectPr>
      </w:pPr>
    </w:p>
    <w:p>
      <w:pPr>
        <w:spacing w:line="105" w:lineRule="exact" w:before="0"/>
        <w:ind w:left="443" w:right="0" w:firstLine="0"/>
        <w:jc w:val="left"/>
        <w:rPr>
          <w:sz w:val="12"/>
        </w:rPr>
      </w:pPr>
      <w:r>
        <w:rPr>
          <w:w w:val="105"/>
          <w:sz w:val="12"/>
        </w:rPr>
        <w:t>Percentage</w:t>
      </w:r>
    </w:p>
    <w:p>
      <w:pPr>
        <w:spacing w:line="113" w:lineRule="exact" w:before="0"/>
        <w:ind w:left="243" w:right="0" w:firstLine="0"/>
        <w:jc w:val="left"/>
        <w:rPr>
          <w:sz w:val="12"/>
        </w:rPr>
      </w:pPr>
      <w:r>
        <w:rPr/>
        <w:pict>
          <v:line style="position:absolute;mso-position-horizontal-relative:page;mso-position-vertical-relative:paragraph;z-index:15797760" from="54.179001pt,2.738892pt" to="58.512001pt,2.738892pt" stroked="true" strokeweight=".5pt" strokecolor="#000000">
            <v:stroke dashstyle="solid"/>
            <w10:wrap type="none"/>
          </v:line>
        </w:pict>
      </w:r>
      <w:r>
        <w:rPr>
          <w:w w:val="115"/>
          <w:sz w:val="12"/>
        </w:rPr>
        <w:t>0.9</w:t>
      </w:r>
    </w:p>
    <w:p>
      <w:pPr>
        <w:spacing w:before="101"/>
        <w:ind w:left="243" w:right="0" w:firstLine="0"/>
        <w:jc w:val="left"/>
        <w:rPr>
          <w:sz w:val="12"/>
        </w:rPr>
      </w:pPr>
      <w:r>
        <w:rPr/>
        <w:pict>
          <v:group style="position:absolute;margin-left:54.179001pt;margin-top:2.810193pt;width:160.050pt;height:127.75pt;mso-position-horizontal-relative:page;mso-position-vertical-relative:paragraph;z-index:-23533056" coordorigin="1084,56" coordsize="3201,2555">
            <v:line style="position:absolute" from="1084,2100" to="1170,2100" stroked="true" strokeweight=".5pt" strokecolor="#000000">
              <v:stroke dashstyle="solid"/>
            </v:line>
            <v:line style="position:absolute" from="1234,2100" to="4114,2100" stroked="true" strokeweight=".5pt" strokecolor="#000000">
              <v:stroke dashstyle="solid"/>
            </v:line>
            <v:shape style="position:absolute;left:1239;top:1216;width:93;height:55" coordorigin="1239,1216" coordsize="93,55" path="m1239,1216l1284,1254m1284,1254l1332,1271e" filled="false" stroked="true" strokeweight="1pt" strokecolor="#c0a2c7">
              <v:path arrowok="t"/>
              <v:stroke dashstyle="solid"/>
            </v:shape>
            <v:line style="position:absolute" from="1322,1272" to="1387,1272" stroked="true" strokeweight="1.125pt" strokecolor="#c0a2c7">
              <v:stroke dashstyle="solid"/>
            </v:line>
            <v:shape style="position:absolute;left:1376;top:1271;width:138;height:73" coordorigin="1377,1271" coordsize="138,73" path="m1377,1271l1422,1289m1422,1289l1469,1306m1469,1306l1514,1344e" filled="false" stroked="true" strokeweight="1pt" strokecolor="#c0a2c7">
              <v:path arrowok="t"/>
              <v:stroke dashstyle="solid"/>
            </v:shape>
            <v:line style="position:absolute" from="1504,1345" to="1569,1345" stroked="true" strokeweight="1.125pt" strokecolor="#c0a2c7">
              <v:stroke dashstyle="solid"/>
            </v:line>
            <v:line style="position:absolute" from="1559,1344" to="1617,1306" stroked="true" strokeweight="1pt" strokecolor="#c0a2c7">
              <v:stroke dashstyle="solid"/>
            </v:line>
            <v:line style="position:absolute" from="1607,1307" to="1674,1307" stroked="true" strokeweight="1.125pt" strokecolor="#c0a2c7">
              <v:stroke dashstyle="solid"/>
            </v:line>
            <v:shape style="position:absolute;left:1664;top:928;width:275;height:378" coordorigin="1664,929" coordsize="275,378" path="m1664,1306l1709,1271m1709,1271l1754,1216m1754,1216l1802,1181m1802,1181l1847,1074m1847,1074l1892,984m1892,984l1939,929e" filled="false" stroked="true" strokeweight="1pt" strokecolor="#c0a2c7">
              <v:path arrowok="t"/>
              <v:stroke dashstyle="solid"/>
            </v:shape>
            <v:shape style="position:absolute;left:1929;top:929;width:110;height:2" coordorigin="1929,930" coordsize="110,0" path="m1929,930l1994,930m1974,930l2039,930e" filled="false" stroked="true" strokeweight="1.125pt" strokecolor="#c0a2c7">
              <v:path arrowok="t"/>
              <v:stroke dashstyle="solid"/>
            </v:shape>
            <v:shape style="position:absolute;left:2029;top:928;width:1720;height:1673" coordorigin="2029,929" coordsize="1720,1673" path="m2029,929l2077,984m2077,984l2167,1199m2167,1199l2214,1289m2214,1289l2259,1344m2259,1344l2304,1434m2304,1434l2362,1524m2362,1524l2409,1576m2409,1576l2454,1631m2454,1631l2499,1704m2499,1704l2547,1829m2547,1829l2592,1954m2592,1954l2637,2061m2637,2061l2684,2099m2684,2099l2729,2134m2729,2134l2774,2151m2774,2151l2822,2189m2822,2189l2867,2224m2867,2224l2912,2261m2912,2261l2959,2296m2959,2296l3004,2349m3004,2349l3062,2439m3062,2439l3107,2476m3107,2476l3154,2511m3154,2511l3199,2584m3199,2584l3244,2601m3244,2601l3292,2584m3292,2584l3337,2566m3337,2566l3382,2494m3382,2494l3429,2439m3429,2439l3474,2421m3474,2421l3519,2369m3519,2369l3567,2331m3567,2331l3612,2314m3612,2314l3657,2189m3657,2189l3704,2061m3704,2061l3749,2009e" filled="false" stroked="true" strokeweight="1pt" strokecolor="#c0a2c7">
              <v:path arrowok="t"/>
              <v:stroke dashstyle="solid"/>
            </v:shape>
            <v:line style="position:absolute" from="3739,2010" to="3817,2010" stroked="true" strokeweight="1.125pt" strokecolor="#c0a2c7">
              <v:stroke dashstyle="solid"/>
            </v:line>
            <v:shape style="position:absolute;left:3806;top:1648;width:320;height:360" coordorigin="3807,1649" coordsize="320,360" path="m3807,2009l3852,1991m3852,1991l3899,1901m3899,1901l3944,1846m3944,1846l3989,1794m3989,1794l4037,1721m4037,1721l4082,1666m4082,1666l4127,1649e" filled="false" stroked="true" strokeweight="1pt" strokecolor="#c0a2c7">
              <v:path arrowok="t"/>
              <v:stroke dashstyle="solid"/>
            </v:shape>
            <v:shape style="position:absolute;left:1239;top:66;width:378;height:918" coordorigin="1239,66" coordsize="378,918" path="m1239,661l1284,984m1284,984l1332,696m1332,696l1377,606m1377,606l1422,551m1422,551l1469,139m1469,139l1514,66m1514,66l1559,211m1559,211l1617,679e" filled="false" stroked="true" strokeweight="1pt" strokecolor="#0099d9">
              <v:path arrowok="t"/>
              <v:stroke dashstyle="solid"/>
            </v:shape>
            <v:shape style="position:absolute;left:1606;top:271;width:295;height:525" type="#_x0000_t75" stroked="false">
              <v:imagedata r:id="rId43" o:title=""/>
            </v:shape>
            <v:shape style="position:absolute;left:1891;top:281;width:745;height:1440" coordorigin="1892,281" coordsize="745,1440" path="m1892,281l1939,1181m1939,1181l1984,1451m1984,1451l2029,1326m2029,1326l2077,1146m2077,1146l2122,966m2122,966l2167,894m2167,894l2214,1001m2214,1001l2259,1236m2259,1236l2304,1109m2304,1109l2362,1181m2362,1181l2409,1289m2409,1289l2454,1396m2454,1396l2499,1559m2499,1559l2547,1504m2547,1504l2592,1704m2592,1704l2637,1721e" filled="false" stroked="true" strokeweight="1pt" strokecolor="#0099d9">
              <v:path arrowok="t"/>
              <v:stroke dashstyle="solid"/>
            </v:shape>
            <v:line style="position:absolute" from="2661,1711" to="2661,2379" stroked="true" strokeweight="3.375pt" strokecolor="#0099d9">
              <v:stroke dashstyle="solid"/>
            </v:line>
            <v:shape style="position:absolute;left:2684;top:1773;width:928;height:793" coordorigin="2684,1774" coordsize="928,793" path="m2684,2369l2729,2026m2729,2026l2774,2151m2774,2151l2822,2099m2822,2099l2867,1774m2867,1774l2912,2134m2912,2134l2959,1881m2959,1881l3004,2044m3004,2044l3062,2206m3062,2206l3107,2314m3107,2314l3154,2549m3154,2549l3199,2566m3199,2566l3244,2529m3244,2529l3292,2404m3292,2404l3337,2369m3337,2369l3382,2566m3382,2566l3429,2279m3429,2279l3474,2026m3474,2026l3519,2134m3519,2134l3567,2116m3567,2116l3612,2206e" filled="false" stroked="true" strokeweight="1pt" strokecolor="#0099d9">
              <v:path arrowok="t"/>
              <v:stroke dashstyle="solid"/>
            </v:shape>
            <v:line style="position:absolute" from="3602,2207" to="3667,2207" stroked="true" strokeweight="1.125pt" strokecolor="#0099d9">
              <v:stroke dashstyle="solid"/>
            </v:line>
            <v:shape style="position:absolute;left:3656;top:2026;width:150;height:180" coordorigin="3657,2026" coordsize="150,180" path="m3657,2206l3704,2189m3704,2189l3749,2026m3749,2026l3807,2061e" filled="false" stroked="true" strokeweight="1pt" strokecolor="#0099d9">
              <v:path arrowok="t"/>
              <v:stroke dashstyle="solid"/>
            </v:shape>
            <v:line style="position:absolute" from="3797,2062" to="3862,2062" stroked="true" strokeweight="1.125pt" strokecolor="#0099d9">
              <v:stroke dashstyle="solid"/>
            </v:line>
            <v:shape style="position:absolute;left:3851;top:1433;width:275;height:628" coordorigin="3852,1434" coordsize="275,628" path="m3852,2061l3899,1614m3899,1614l3944,1434m3944,1434l3989,1504m3989,1504l4037,1739m4037,1739l4082,1594m4082,1594l4127,1704e" filled="false" stroked="true" strokeweight="1pt" strokecolor="#0099d9">
              <v:path arrowok="t"/>
              <v:stroke dashstyle="solid"/>
            </v:shape>
            <v:shape style="position:absolute;left:1083;top:174;width:3201;height:2407" coordorigin="1084,174" coordsize="3201,2407" path="m1084,181l1170,181m1084,421l1170,421m1084,661l1170,661m1084,901l1170,901m1084,1141l1170,1141m1084,1621l1170,1621m1084,2580l1170,2580m1084,2340l1170,2340m1084,1381l1170,1381m1084,1861l1170,1861m4198,174l4284,174m4198,414l4284,414m4198,654l4284,654m4198,894l4284,894m4198,1134l4284,1134m4198,1614l4284,1614m4198,2100l4284,2100m4198,2573l4284,2573m4198,2333l4284,2333m4198,1374l4284,1374m4198,1854l4284,1854e" filled="false" stroked="true" strokeweight=".5pt" strokecolor="#000000">
              <v:path arrowok="t"/>
              <v:stroke dashstyle="solid"/>
            </v:shape>
            <w10:wrap type="none"/>
          </v:group>
        </w:pict>
      </w:r>
      <w:r>
        <w:rPr>
          <w:w w:val="115"/>
          <w:sz w:val="12"/>
        </w:rPr>
        <w:t>0.8</w:t>
      </w:r>
    </w:p>
    <w:p>
      <w:pPr>
        <w:spacing w:before="102"/>
        <w:ind w:left="243" w:right="0" w:firstLine="0"/>
        <w:jc w:val="left"/>
        <w:rPr>
          <w:sz w:val="12"/>
        </w:rPr>
      </w:pPr>
      <w:r>
        <w:rPr>
          <w:w w:val="115"/>
          <w:sz w:val="12"/>
        </w:rPr>
        <w:t>0.7</w:t>
      </w:r>
    </w:p>
    <w:p>
      <w:pPr>
        <w:spacing w:before="101"/>
        <w:ind w:left="243" w:right="0" w:firstLine="0"/>
        <w:jc w:val="left"/>
        <w:rPr>
          <w:sz w:val="12"/>
        </w:rPr>
      </w:pPr>
      <w:r>
        <w:rPr>
          <w:w w:val="115"/>
          <w:sz w:val="12"/>
        </w:rPr>
        <w:t>0.6</w:t>
      </w:r>
    </w:p>
    <w:p>
      <w:pPr>
        <w:spacing w:before="102"/>
        <w:ind w:left="243" w:right="0" w:firstLine="0"/>
        <w:jc w:val="left"/>
        <w:rPr>
          <w:sz w:val="12"/>
        </w:rPr>
      </w:pPr>
      <w:r>
        <w:rPr>
          <w:w w:val="115"/>
          <w:sz w:val="12"/>
        </w:rPr>
        <w:t>0.5</w:t>
      </w:r>
    </w:p>
    <w:p>
      <w:pPr>
        <w:spacing w:before="102"/>
        <w:ind w:left="243" w:right="0" w:firstLine="0"/>
        <w:jc w:val="left"/>
        <w:rPr>
          <w:sz w:val="12"/>
        </w:rPr>
      </w:pPr>
      <w:r>
        <w:rPr>
          <w:w w:val="115"/>
          <w:sz w:val="12"/>
        </w:rPr>
        <w:t>0.4</w:t>
      </w:r>
    </w:p>
    <w:p>
      <w:pPr>
        <w:spacing w:before="101"/>
        <w:ind w:left="243" w:right="0" w:firstLine="0"/>
        <w:jc w:val="left"/>
        <w:rPr>
          <w:sz w:val="12"/>
        </w:rPr>
      </w:pPr>
      <w:r>
        <w:rPr>
          <w:w w:val="115"/>
          <w:sz w:val="12"/>
        </w:rPr>
        <w:t>0.3</w:t>
      </w:r>
    </w:p>
    <w:p>
      <w:pPr>
        <w:pStyle w:val="BodyText"/>
        <w:rPr>
          <w:sz w:val="12"/>
        </w:rPr>
      </w:pPr>
      <w:r>
        <w:rPr/>
        <w:br w:type="column"/>
      </w:r>
      <w:r>
        <w:rPr>
          <w:sz w:val="12"/>
        </w:rPr>
      </w:r>
    </w:p>
    <w:p>
      <w:pPr>
        <w:pStyle w:val="BodyText"/>
        <w:rPr>
          <w:sz w:val="12"/>
        </w:rPr>
      </w:pPr>
    </w:p>
    <w:p>
      <w:pPr>
        <w:pStyle w:val="BodyText"/>
        <w:spacing w:before="9"/>
        <w:rPr>
          <w:sz w:val="17"/>
        </w:rPr>
      </w:pPr>
    </w:p>
    <w:p>
      <w:pPr>
        <w:spacing w:line="242" w:lineRule="auto" w:before="0"/>
        <w:ind w:left="304" w:right="-7" w:hanging="61"/>
        <w:jc w:val="left"/>
        <w:rPr>
          <w:sz w:val="12"/>
        </w:rPr>
      </w:pPr>
      <w:r>
        <w:rPr>
          <w:w w:val="110"/>
          <w:sz w:val="12"/>
        </w:rPr>
        <w:t>MEW per quarter/housing equity (a)</w:t>
      </w:r>
    </w:p>
    <w:p>
      <w:pPr>
        <w:spacing w:before="1"/>
        <w:ind w:left="304" w:right="0" w:firstLine="0"/>
        <w:jc w:val="left"/>
        <w:rPr>
          <w:sz w:val="12"/>
        </w:rPr>
      </w:pPr>
      <w:r>
        <w:rPr>
          <w:w w:val="105"/>
          <w:sz w:val="12"/>
        </w:rPr>
        <w:t>(left-hand scale)</w:t>
      </w:r>
    </w:p>
    <w:p>
      <w:pPr>
        <w:spacing w:line="105" w:lineRule="exact" w:before="0"/>
        <w:ind w:left="243" w:right="0" w:firstLine="0"/>
        <w:jc w:val="left"/>
        <w:rPr>
          <w:sz w:val="12"/>
        </w:rPr>
      </w:pPr>
      <w:r>
        <w:rPr/>
        <w:br w:type="column"/>
      </w:r>
      <w:r>
        <w:rPr>
          <w:w w:val="110"/>
          <w:sz w:val="12"/>
        </w:rPr>
        <w:t>Percentage</w:t>
      </w:r>
    </w:p>
    <w:p>
      <w:pPr>
        <w:spacing w:line="113" w:lineRule="exact" w:before="0"/>
        <w:ind w:left="874" w:right="0" w:firstLine="0"/>
        <w:jc w:val="left"/>
        <w:rPr>
          <w:sz w:val="12"/>
        </w:rPr>
      </w:pPr>
      <w:r>
        <w:rPr/>
        <w:pict>
          <v:line style="position:absolute;mso-position-horizontal-relative:page;mso-position-vertical-relative:paragraph;z-index:15798272" from="209.886993pt,2.389288pt" to="214.219993pt,2.389288pt" stroked="true" strokeweight=".5pt" strokecolor="#000000">
            <v:stroke dashstyle="solid"/>
            <w10:wrap type="none"/>
          </v:line>
        </w:pict>
      </w:r>
      <w:r>
        <w:rPr>
          <w:w w:val="120"/>
          <w:sz w:val="12"/>
        </w:rPr>
        <w:t>90</w:t>
      </w:r>
    </w:p>
    <w:p>
      <w:pPr>
        <w:spacing w:before="101"/>
        <w:ind w:left="0" w:right="38" w:firstLine="0"/>
        <w:jc w:val="right"/>
        <w:rPr>
          <w:sz w:val="12"/>
        </w:rPr>
      </w:pPr>
      <w:r>
        <w:rPr>
          <w:w w:val="120"/>
          <w:sz w:val="12"/>
        </w:rPr>
        <w:t>88</w:t>
      </w:r>
    </w:p>
    <w:p>
      <w:pPr>
        <w:spacing w:before="102"/>
        <w:ind w:left="0" w:right="38" w:firstLine="0"/>
        <w:jc w:val="right"/>
        <w:rPr>
          <w:sz w:val="12"/>
        </w:rPr>
      </w:pPr>
      <w:r>
        <w:rPr>
          <w:w w:val="120"/>
          <w:sz w:val="12"/>
        </w:rPr>
        <w:t>86</w:t>
      </w:r>
    </w:p>
    <w:p>
      <w:pPr>
        <w:spacing w:before="102"/>
        <w:ind w:left="0" w:right="38" w:firstLine="0"/>
        <w:jc w:val="right"/>
        <w:rPr>
          <w:sz w:val="12"/>
        </w:rPr>
      </w:pPr>
      <w:r>
        <w:rPr>
          <w:w w:val="120"/>
          <w:sz w:val="12"/>
        </w:rPr>
        <w:t>84</w:t>
      </w:r>
    </w:p>
    <w:p>
      <w:pPr>
        <w:spacing w:before="101"/>
        <w:ind w:left="0" w:right="38" w:firstLine="0"/>
        <w:jc w:val="right"/>
        <w:rPr>
          <w:sz w:val="12"/>
        </w:rPr>
      </w:pPr>
      <w:r>
        <w:rPr>
          <w:w w:val="120"/>
          <w:sz w:val="12"/>
        </w:rPr>
        <w:t>82</w:t>
      </w:r>
    </w:p>
    <w:p>
      <w:pPr>
        <w:spacing w:before="102"/>
        <w:ind w:left="0" w:right="38" w:firstLine="0"/>
        <w:jc w:val="right"/>
        <w:rPr>
          <w:sz w:val="12"/>
        </w:rPr>
      </w:pPr>
      <w:r>
        <w:rPr>
          <w:w w:val="120"/>
          <w:sz w:val="12"/>
        </w:rPr>
        <w:t>80</w:t>
      </w:r>
    </w:p>
    <w:p>
      <w:pPr>
        <w:spacing w:before="101"/>
        <w:ind w:left="0" w:right="38" w:firstLine="0"/>
        <w:jc w:val="right"/>
        <w:rPr>
          <w:sz w:val="12"/>
        </w:rPr>
      </w:pPr>
      <w:r>
        <w:rPr>
          <w:w w:val="120"/>
          <w:sz w:val="12"/>
        </w:rPr>
        <w:t>78</w:t>
      </w:r>
    </w:p>
    <w:p>
      <w:pPr>
        <w:pStyle w:val="BodyText"/>
        <w:spacing w:line="292" w:lineRule="auto"/>
        <w:ind w:left="363"/>
      </w:pPr>
      <w:r>
        <w:rPr/>
        <w:br w:type="column"/>
      </w:r>
      <w:r>
        <w:rPr>
          <w:w w:val="110"/>
        </w:rPr>
        <w:t>will</w:t>
      </w:r>
      <w:r>
        <w:rPr>
          <w:spacing w:val="-30"/>
          <w:w w:val="110"/>
        </w:rPr>
        <w:t> </w:t>
      </w:r>
      <w:r>
        <w:rPr>
          <w:w w:val="110"/>
        </w:rPr>
        <w:t>also</w:t>
      </w:r>
      <w:r>
        <w:rPr>
          <w:spacing w:val="-29"/>
          <w:w w:val="110"/>
        </w:rPr>
        <w:t> </w:t>
      </w:r>
      <w:r>
        <w:rPr>
          <w:spacing w:val="-3"/>
          <w:w w:val="110"/>
        </w:rPr>
        <w:t>have</w:t>
      </w:r>
      <w:r>
        <w:rPr>
          <w:spacing w:val="-30"/>
          <w:w w:val="110"/>
        </w:rPr>
        <w:t> </w:t>
      </w:r>
      <w:r>
        <w:rPr>
          <w:w w:val="110"/>
        </w:rPr>
        <w:t>allowed</w:t>
      </w:r>
      <w:r>
        <w:rPr>
          <w:spacing w:val="-29"/>
          <w:w w:val="110"/>
        </w:rPr>
        <w:t> </w:t>
      </w:r>
      <w:r>
        <w:rPr>
          <w:w w:val="110"/>
        </w:rPr>
        <w:t>households</w:t>
      </w:r>
      <w:r>
        <w:rPr>
          <w:spacing w:val="-30"/>
          <w:w w:val="110"/>
        </w:rPr>
        <w:t> </w:t>
      </w:r>
      <w:r>
        <w:rPr>
          <w:spacing w:val="-4"/>
          <w:w w:val="110"/>
        </w:rPr>
        <w:t>to</w:t>
      </w:r>
      <w:r>
        <w:rPr>
          <w:spacing w:val="-29"/>
          <w:w w:val="110"/>
        </w:rPr>
        <w:t> </w:t>
      </w:r>
      <w:r>
        <w:rPr>
          <w:w w:val="110"/>
        </w:rPr>
        <w:t>increase</w:t>
      </w:r>
      <w:r>
        <w:rPr>
          <w:spacing w:val="-29"/>
          <w:w w:val="110"/>
        </w:rPr>
        <w:t> </w:t>
      </w:r>
      <w:r>
        <w:rPr>
          <w:w w:val="110"/>
        </w:rPr>
        <w:t>debt</w:t>
      </w:r>
      <w:r>
        <w:rPr>
          <w:spacing w:val="-30"/>
          <w:w w:val="110"/>
        </w:rPr>
        <w:t> </w:t>
      </w:r>
      <w:r>
        <w:rPr>
          <w:spacing w:val="-3"/>
          <w:w w:val="110"/>
        </w:rPr>
        <w:t>levels</w:t>
      </w:r>
      <w:r>
        <w:rPr>
          <w:spacing w:val="-29"/>
          <w:w w:val="110"/>
        </w:rPr>
        <w:t> </w:t>
      </w:r>
      <w:r>
        <w:rPr>
          <w:w w:val="110"/>
        </w:rPr>
        <w:t>while maintaining</w:t>
      </w:r>
      <w:r>
        <w:rPr>
          <w:spacing w:val="-10"/>
          <w:w w:val="110"/>
        </w:rPr>
        <w:t> </w:t>
      </w:r>
      <w:r>
        <w:rPr>
          <w:w w:val="110"/>
        </w:rPr>
        <w:t>low</w:t>
      </w:r>
      <w:r>
        <w:rPr>
          <w:spacing w:val="-9"/>
          <w:w w:val="110"/>
        </w:rPr>
        <w:t> </w:t>
      </w:r>
      <w:r>
        <w:rPr>
          <w:spacing w:val="-3"/>
          <w:w w:val="110"/>
        </w:rPr>
        <w:t>levels</w:t>
      </w:r>
      <w:r>
        <w:rPr>
          <w:spacing w:val="-9"/>
          <w:w w:val="110"/>
        </w:rPr>
        <w:t> </w:t>
      </w:r>
      <w:r>
        <w:rPr>
          <w:w w:val="110"/>
        </w:rPr>
        <w:t>of</w:t>
      </w:r>
      <w:r>
        <w:rPr>
          <w:spacing w:val="-10"/>
          <w:w w:val="110"/>
        </w:rPr>
        <w:t> </w:t>
      </w:r>
      <w:r>
        <w:rPr>
          <w:w w:val="110"/>
        </w:rPr>
        <w:t>income</w:t>
      </w:r>
      <w:r>
        <w:rPr>
          <w:spacing w:val="-9"/>
          <w:w w:val="110"/>
        </w:rPr>
        <w:t> </w:t>
      </w:r>
      <w:r>
        <w:rPr>
          <w:w w:val="110"/>
        </w:rPr>
        <w:t>gearing.</w:t>
      </w:r>
    </w:p>
    <w:p>
      <w:pPr>
        <w:pStyle w:val="BodyText"/>
        <w:spacing w:before="6"/>
      </w:pPr>
    </w:p>
    <w:p>
      <w:pPr>
        <w:pStyle w:val="Heading6"/>
        <w:ind w:left="243"/>
      </w:pPr>
      <w:r>
        <w:rPr>
          <w:color w:val="89C6DC"/>
        </w:rPr>
        <w:t>Private non-financial corporations</w:t>
      </w:r>
    </w:p>
    <w:p>
      <w:pPr>
        <w:pStyle w:val="BodyText"/>
        <w:rPr>
          <w:rFonts w:ascii="Trebuchet MS"/>
          <w:b/>
          <w:sz w:val="18"/>
        </w:rPr>
      </w:pPr>
    </w:p>
    <w:p>
      <w:pPr>
        <w:pStyle w:val="BodyText"/>
        <w:spacing w:line="292" w:lineRule="auto"/>
        <w:ind w:left="363"/>
      </w:pPr>
      <w:r>
        <w:rPr>
          <w:w w:val="105"/>
        </w:rPr>
        <w:t>Annual growth in private non-financial corporations’ (PNFCs’) </w:t>
      </w:r>
      <w:r>
        <w:rPr>
          <w:w w:val="110"/>
        </w:rPr>
        <w:t>M4 deposits fell to 8.8% in the year to Q4, from 12.4% in</w:t>
      </w:r>
    </w:p>
    <w:p>
      <w:pPr>
        <w:spacing w:after="0" w:line="292" w:lineRule="auto"/>
        <w:sectPr>
          <w:type w:val="continuous"/>
          <w:pgSz w:w="11900" w:h="16840"/>
          <w:pgMar w:top="1260" w:bottom="280" w:left="640" w:right="640"/>
          <w:cols w:num="4" w:equalWidth="0">
            <w:col w:w="1019" w:space="48"/>
            <w:col w:w="1642" w:space="117"/>
            <w:col w:w="1061" w:space="844"/>
            <w:col w:w="5889"/>
          </w:cols>
        </w:sectPr>
      </w:pPr>
    </w:p>
    <w:p>
      <w:pPr>
        <w:spacing w:line="95" w:lineRule="exact" w:before="0"/>
        <w:ind w:left="243" w:right="0" w:firstLine="0"/>
        <w:jc w:val="left"/>
        <w:rPr>
          <w:sz w:val="12"/>
        </w:rPr>
      </w:pPr>
      <w:r>
        <w:rPr>
          <w:w w:val="115"/>
          <w:sz w:val="12"/>
        </w:rPr>
        <w:t>0.2</w:t>
      </w:r>
    </w:p>
    <w:p>
      <w:pPr>
        <w:spacing w:line="124" w:lineRule="exact" w:before="101"/>
        <w:ind w:left="243" w:right="0" w:firstLine="0"/>
        <w:jc w:val="left"/>
        <w:rPr>
          <w:sz w:val="12"/>
        </w:rPr>
      </w:pPr>
      <w:r>
        <w:rPr>
          <w:w w:val="115"/>
          <w:sz w:val="12"/>
        </w:rPr>
        <w:t>0.1</w:t>
      </w:r>
    </w:p>
    <w:p>
      <w:pPr>
        <w:spacing w:line="143" w:lineRule="exact" w:before="0"/>
        <w:ind w:left="365" w:right="0" w:firstLine="0"/>
        <w:jc w:val="left"/>
        <w:rPr>
          <w:sz w:val="16"/>
        </w:rPr>
      </w:pPr>
      <w:r>
        <w:rPr>
          <w:w w:val="107"/>
          <w:sz w:val="16"/>
        </w:rPr>
        <w:t>+</w:t>
      </w:r>
    </w:p>
    <w:p>
      <w:pPr>
        <w:spacing w:line="73" w:lineRule="exact" w:before="0"/>
        <w:ind w:left="243" w:right="0" w:firstLine="0"/>
        <w:jc w:val="left"/>
        <w:rPr>
          <w:sz w:val="12"/>
        </w:rPr>
      </w:pPr>
      <w:r>
        <w:rPr>
          <w:w w:val="115"/>
          <w:sz w:val="12"/>
        </w:rPr>
        <w:t>0.0</w:t>
      </w:r>
    </w:p>
    <w:p>
      <w:pPr>
        <w:spacing w:line="143" w:lineRule="exact" w:before="0"/>
        <w:ind w:left="367" w:right="0" w:firstLine="0"/>
        <w:jc w:val="left"/>
        <w:rPr>
          <w:sz w:val="16"/>
        </w:rPr>
      </w:pPr>
      <w:r>
        <w:rPr>
          <w:w w:val="117"/>
          <w:sz w:val="16"/>
        </w:rPr>
        <w:t>–</w:t>
      </w:r>
    </w:p>
    <w:p>
      <w:pPr>
        <w:spacing w:line="135" w:lineRule="exact" w:before="0"/>
        <w:ind w:left="243" w:right="0" w:firstLine="0"/>
        <w:jc w:val="left"/>
        <w:rPr>
          <w:sz w:val="12"/>
        </w:rPr>
      </w:pPr>
      <w:r>
        <w:rPr>
          <w:w w:val="115"/>
          <w:sz w:val="12"/>
        </w:rPr>
        <w:t>0.1</w:t>
      </w:r>
    </w:p>
    <w:p>
      <w:pPr>
        <w:spacing w:before="102"/>
        <w:ind w:left="243" w:right="0" w:firstLine="0"/>
        <w:jc w:val="left"/>
        <w:rPr>
          <w:sz w:val="12"/>
        </w:rPr>
      </w:pPr>
      <w:r>
        <w:rPr>
          <w:w w:val="115"/>
          <w:sz w:val="12"/>
        </w:rPr>
        <w:t>0.2</w:t>
      </w:r>
    </w:p>
    <w:p>
      <w:pPr>
        <w:spacing w:line="242" w:lineRule="auto" w:before="11"/>
        <w:ind w:left="152" w:right="38" w:hanging="61"/>
        <w:jc w:val="both"/>
        <w:rPr>
          <w:sz w:val="12"/>
        </w:rPr>
      </w:pPr>
      <w:r>
        <w:rPr/>
        <w:br w:type="column"/>
      </w:r>
      <w:r>
        <w:rPr>
          <w:w w:val="110"/>
          <w:sz w:val="12"/>
        </w:rPr>
        <w:t>Housing</w:t>
      </w:r>
      <w:r>
        <w:rPr>
          <w:spacing w:val="-17"/>
          <w:w w:val="110"/>
          <w:sz w:val="12"/>
        </w:rPr>
        <w:t> </w:t>
      </w:r>
      <w:r>
        <w:rPr>
          <w:w w:val="110"/>
          <w:sz w:val="12"/>
        </w:rPr>
        <w:t>equity/market value</w:t>
      </w:r>
      <w:r>
        <w:rPr>
          <w:spacing w:val="-13"/>
          <w:w w:val="110"/>
          <w:sz w:val="12"/>
        </w:rPr>
        <w:t> </w:t>
      </w:r>
      <w:r>
        <w:rPr>
          <w:w w:val="110"/>
          <w:sz w:val="12"/>
        </w:rPr>
        <w:t>of</w:t>
      </w:r>
      <w:r>
        <w:rPr>
          <w:spacing w:val="-13"/>
          <w:w w:val="110"/>
          <w:sz w:val="12"/>
        </w:rPr>
        <w:t> </w:t>
      </w:r>
      <w:r>
        <w:rPr>
          <w:w w:val="110"/>
          <w:sz w:val="12"/>
        </w:rPr>
        <w:t>housing</w:t>
      </w:r>
      <w:r>
        <w:rPr>
          <w:spacing w:val="-13"/>
          <w:w w:val="110"/>
          <w:sz w:val="12"/>
        </w:rPr>
        <w:t> </w:t>
      </w:r>
      <w:r>
        <w:rPr>
          <w:spacing w:val="-4"/>
          <w:w w:val="110"/>
          <w:sz w:val="12"/>
        </w:rPr>
        <w:t>stock </w:t>
      </w:r>
      <w:r>
        <w:rPr>
          <w:w w:val="110"/>
          <w:sz w:val="12"/>
        </w:rPr>
        <w:t>(right-hand</w:t>
      </w:r>
      <w:r>
        <w:rPr>
          <w:spacing w:val="-5"/>
          <w:w w:val="110"/>
          <w:sz w:val="12"/>
        </w:rPr>
        <w:t> </w:t>
      </w:r>
      <w:r>
        <w:rPr>
          <w:w w:val="110"/>
          <w:sz w:val="12"/>
        </w:rPr>
        <w:t>scale)</w:t>
      </w:r>
    </w:p>
    <w:p>
      <w:pPr>
        <w:pStyle w:val="BodyText"/>
        <w:spacing w:line="213" w:lineRule="exact"/>
        <w:ind w:left="1637"/>
      </w:pPr>
      <w:r>
        <w:rPr/>
        <w:br w:type="column"/>
      </w:r>
      <w:r>
        <w:rPr>
          <w:w w:val="110"/>
        </w:rPr>
        <w:t>2000 Q3, as a number of large deposits made in Q3,</w:t>
      </w:r>
    </w:p>
    <w:p>
      <w:pPr>
        <w:spacing w:line="94" w:lineRule="exact" w:before="0"/>
        <w:ind w:left="243" w:right="0" w:firstLine="0"/>
        <w:jc w:val="left"/>
        <w:rPr>
          <w:sz w:val="12"/>
        </w:rPr>
      </w:pPr>
      <w:r>
        <w:rPr/>
        <w:pict>
          <v:shape style="position:absolute;margin-left:217.016006pt;margin-top:-11.682404pt;width:7.3pt;height:6.05pt;mso-position-horizontal-relative:page;mso-position-vertical-relative:paragraph;z-index:15817728" type="#_x0000_t202" filled="false" stroked="false">
            <v:textbox inset="0,0,0,0">
              <w:txbxContent>
                <w:p>
                  <w:pPr>
                    <w:spacing w:line="116" w:lineRule="exact" w:before="0"/>
                    <w:ind w:left="0" w:right="0" w:firstLine="0"/>
                    <w:jc w:val="left"/>
                    <w:rPr>
                      <w:sz w:val="12"/>
                    </w:rPr>
                  </w:pPr>
                  <w:r>
                    <w:rPr>
                      <w:w w:val="120"/>
                      <w:sz w:val="12"/>
                    </w:rPr>
                    <w:t>76</w:t>
                  </w:r>
                </w:p>
              </w:txbxContent>
            </v:textbox>
            <w10:wrap type="none"/>
          </v:shape>
        </w:pict>
      </w:r>
      <w:r>
        <w:rPr>
          <w:w w:val="120"/>
          <w:sz w:val="12"/>
        </w:rPr>
        <w:t>74</w:t>
      </w:r>
    </w:p>
    <w:p>
      <w:pPr>
        <w:pStyle w:val="BodyText"/>
        <w:spacing w:line="166" w:lineRule="exact"/>
        <w:ind w:left="1637"/>
      </w:pPr>
      <w:r>
        <w:rPr>
          <w:w w:val="110"/>
        </w:rPr>
        <w:t>associated with corporate disposals and acquisitions, were</w:t>
      </w:r>
    </w:p>
    <w:p>
      <w:pPr>
        <w:spacing w:line="94" w:lineRule="exact" w:before="0"/>
        <w:ind w:left="243" w:right="0" w:firstLine="0"/>
        <w:jc w:val="left"/>
        <w:rPr>
          <w:sz w:val="12"/>
        </w:rPr>
      </w:pPr>
      <w:r>
        <w:rPr>
          <w:w w:val="120"/>
          <w:sz w:val="12"/>
        </w:rPr>
        <w:t>72</w:t>
      </w:r>
    </w:p>
    <w:p>
      <w:pPr>
        <w:pStyle w:val="BodyText"/>
        <w:tabs>
          <w:tab w:pos="1637" w:val="left" w:leader="none"/>
        </w:tabs>
        <w:spacing w:line="222" w:lineRule="exact"/>
        <w:ind w:left="243"/>
      </w:pPr>
      <w:r>
        <w:rPr>
          <w:w w:val="110"/>
          <w:vertAlign w:val="subscript"/>
        </w:rPr>
        <w:t>70</w:t>
      </w:r>
      <w:r>
        <w:rPr>
          <w:w w:val="110"/>
          <w:vertAlign w:val="baseline"/>
        </w:rPr>
        <w:tab/>
      </w:r>
      <w:r>
        <w:rPr>
          <w:spacing w:val="-3"/>
          <w:w w:val="110"/>
          <w:vertAlign w:val="baseline"/>
        </w:rPr>
        <w:t>unwound. </w:t>
      </w:r>
      <w:r>
        <w:rPr>
          <w:w w:val="110"/>
          <w:vertAlign w:val="baseline"/>
        </w:rPr>
        <w:t>Slowing </w:t>
      </w:r>
      <w:r>
        <w:rPr>
          <w:spacing w:val="-2"/>
          <w:w w:val="110"/>
          <w:vertAlign w:val="baseline"/>
        </w:rPr>
        <w:t>growth </w:t>
      </w:r>
      <w:r>
        <w:rPr>
          <w:w w:val="110"/>
          <w:vertAlign w:val="baseline"/>
        </w:rPr>
        <w:t>in </w:t>
      </w:r>
      <w:r>
        <w:rPr>
          <w:spacing w:val="-3"/>
          <w:w w:val="110"/>
          <w:vertAlign w:val="baseline"/>
        </w:rPr>
        <w:t>corporate </w:t>
      </w:r>
      <w:r>
        <w:rPr>
          <w:w w:val="110"/>
          <w:vertAlign w:val="baseline"/>
        </w:rPr>
        <w:t>deposits does</w:t>
      </w:r>
      <w:r>
        <w:rPr>
          <w:spacing w:val="-19"/>
          <w:w w:val="110"/>
          <w:vertAlign w:val="baseline"/>
        </w:rPr>
        <w:t> </w:t>
      </w:r>
      <w:r>
        <w:rPr>
          <w:w w:val="110"/>
          <w:vertAlign w:val="baseline"/>
        </w:rPr>
        <w:t>not</w:t>
      </w:r>
    </w:p>
    <w:p>
      <w:pPr>
        <w:pStyle w:val="BodyText"/>
        <w:tabs>
          <w:tab w:pos="1637" w:val="left" w:leader="none"/>
        </w:tabs>
        <w:spacing w:before="52"/>
        <w:ind w:left="243"/>
      </w:pPr>
      <w:r>
        <w:rPr>
          <w:w w:val="110"/>
          <w:sz w:val="12"/>
        </w:rPr>
        <w:t>68</w:t>
        <w:tab/>
      </w:r>
      <w:r>
        <w:rPr>
          <w:w w:val="110"/>
        </w:rPr>
        <w:t>seem</w:t>
      </w:r>
      <w:r>
        <w:rPr>
          <w:spacing w:val="-12"/>
          <w:w w:val="110"/>
        </w:rPr>
        <w:t> </w:t>
      </w:r>
      <w:r>
        <w:rPr>
          <w:spacing w:val="-4"/>
          <w:w w:val="110"/>
        </w:rPr>
        <w:t>to</w:t>
      </w:r>
      <w:r>
        <w:rPr>
          <w:spacing w:val="-13"/>
          <w:w w:val="110"/>
        </w:rPr>
        <w:t> </w:t>
      </w:r>
      <w:r>
        <w:rPr>
          <w:w w:val="110"/>
        </w:rPr>
        <w:t>have</w:t>
      </w:r>
      <w:r>
        <w:rPr>
          <w:spacing w:val="-12"/>
          <w:w w:val="110"/>
        </w:rPr>
        <w:t> </w:t>
      </w:r>
      <w:r>
        <w:rPr>
          <w:w w:val="110"/>
        </w:rPr>
        <w:t>reflected</w:t>
      </w:r>
      <w:r>
        <w:rPr>
          <w:spacing w:val="-12"/>
          <w:w w:val="110"/>
        </w:rPr>
        <w:t> </w:t>
      </w:r>
      <w:r>
        <w:rPr>
          <w:w w:val="110"/>
        </w:rPr>
        <w:t>a</w:t>
      </w:r>
      <w:r>
        <w:rPr>
          <w:spacing w:val="-12"/>
          <w:w w:val="110"/>
        </w:rPr>
        <w:t> </w:t>
      </w:r>
      <w:r>
        <w:rPr>
          <w:w w:val="110"/>
        </w:rPr>
        <w:t>weakening</w:t>
      </w:r>
      <w:r>
        <w:rPr>
          <w:spacing w:val="-12"/>
          <w:w w:val="110"/>
        </w:rPr>
        <w:t> </w:t>
      </w:r>
      <w:r>
        <w:rPr>
          <w:w w:val="110"/>
        </w:rPr>
        <w:t>of</w:t>
      </w:r>
      <w:r>
        <w:rPr>
          <w:spacing w:val="-12"/>
          <w:w w:val="110"/>
        </w:rPr>
        <w:t> </w:t>
      </w:r>
      <w:r>
        <w:rPr>
          <w:w w:val="110"/>
        </w:rPr>
        <w:t>cash</w:t>
      </w:r>
      <w:r>
        <w:rPr>
          <w:spacing w:val="-12"/>
          <w:w w:val="110"/>
        </w:rPr>
        <w:t> </w:t>
      </w:r>
      <w:r>
        <w:rPr>
          <w:w w:val="110"/>
        </w:rPr>
        <w:t>flows</w:t>
      </w:r>
      <w:r>
        <w:rPr>
          <w:spacing w:val="-12"/>
          <w:w w:val="110"/>
        </w:rPr>
        <w:t> </w:t>
      </w:r>
      <w:r>
        <w:rPr>
          <w:w w:val="110"/>
        </w:rPr>
        <w:t>in</w:t>
      </w:r>
      <w:r>
        <w:rPr>
          <w:spacing w:val="-12"/>
          <w:w w:val="110"/>
        </w:rPr>
        <w:t> </w:t>
      </w:r>
      <w:r>
        <w:rPr>
          <w:w w:val="110"/>
        </w:rPr>
        <w:t>the</w:t>
      </w:r>
    </w:p>
    <w:p>
      <w:pPr>
        <w:spacing w:after="0"/>
        <w:sectPr>
          <w:type w:val="continuous"/>
          <w:pgSz w:w="11900" w:h="16840"/>
          <w:pgMar w:top="1260" w:bottom="280" w:left="640" w:right="640"/>
          <w:cols w:num="3" w:equalWidth="0">
            <w:col w:w="464" w:space="40"/>
            <w:col w:w="1337" w:space="1616"/>
            <w:col w:w="7163"/>
          </w:cols>
        </w:sectPr>
      </w:pPr>
    </w:p>
    <w:p>
      <w:pPr>
        <w:tabs>
          <w:tab w:pos="3700" w:val="left" w:leader="none"/>
        </w:tabs>
        <w:spacing w:line="123" w:lineRule="exact" w:before="84"/>
        <w:ind w:left="243" w:right="0" w:firstLine="0"/>
        <w:jc w:val="left"/>
        <w:rPr>
          <w:sz w:val="12"/>
        </w:rPr>
      </w:pPr>
      <w:r>
        <w:rPr/>
        <w:pict>
          <v:shape style="position:absolute;margin-left:54.179001pt;margin-top:4.684770pt;width:160.050pt;height:3.75pt;mso-position-horizontal-relative:page;mso-position-vertical-relative:paragraph;z-index:-23532544" coordorigin="1084,94" coordsize="3201,75" path="m1084,168l1170,168m4198,161l4284,161m1241,161l4134,161m1239,94l1239,161m1425,94l1425,161m1612,94l1612,161m2172,94l2172,161m2919,94l2919,161m3666,94l3666,161m4039,94l4039,161m1799,94l1799,161m2546,94l2546,161m3292,94l3292,161m1985,94l1985,161m2359,94l2359,161m2732,94l2732,161m3479,94l3479,161m3106,94l3106,161m3853,94l3853,161e" filled="false" stroked="true" strokeweight=".5pt" strokecolor="#000000">
            <v:path arrowok="t"/>
            <v:stroke dashstyle="solid"/>
            <w10:wrap type="none"/>
          </v:shape>
        </w:pict>
      </w:r>
      <w:r>
        <w:rPr>
          <w:w w:val="120"/>
          <w:sz w:val="12"/>
        </w:rPr>
        <w:t>0.3</w:t>
        <w:tab/>
        <w:t>66</w:t>
      </w:r>
    </w:p>
    <w:p>
      <w:pPr>
        <w:tabs>
          <w:tab w:pos="1008" w:val="left" w:leader="none"/>
          <w:tab w:pos="1373" w:val="left" w:leader="none"/>
          <w:tab w:pos="1753" w:val="left" w:leader="none"/>
          <w:tab w:pos="2118" w:val="left" w:leader="none"/>
          <w:tab w:pos="2498" w:val="left" w:leader="none"/>
          <w:tab w:pos="2863" w:val="left" w:leader="none"/>
          <w:tab w:pos="3263" w:val="left" w:leader="none"/>
        </w:tabs>
        <w:spacing w:line="123" w:lineRule="exact" w:before="0"/>
        <w:ind w:left="508" w:right="0" w:firstLine="0"/>
        <w:jc w:val="left"/>
        <w:rPr>
          <w:sz w:val="12"/>
        </w:rPr>
      </w:pPr>
      <w:r>
        <w:rPr>
          <w:w w:val="120"/>
          <w:sz w:val="12"/>
        </w:rPr>
        <w:t>1985</w:t>
        <w:tab/>
        <w:t>87</w:t>
        <w:tab/>
        <w:t>89</w:t>
        <w:tab/>
        <w:t>91</w:t>
        <w:tab/>
        <w:t>93</w:t>
        <w:tab/>
        <w:t>95</w:t>
        <w:tab/>
        <w:t>97</w:t>
        <w:tab/>
        <w:t>99</w:t>
      </w:r>
    </w:p>
    <w:p>
      <w:pPr>
        <w:spacing w:before="105"/>
        <w:ind w:left="194" w:right="0" w:firstLine="0"/>
        <w:jc w:val="left"/>
        <w:rPr>
          <w:sz w:val="12"/>
        </w:rPr>
      </w:pPr>
      <w:r>
        <w:rPr>
          <w:w w:val="105"/>
          <w:sz w:val="12"/>
        </w:rPr>
        <w:t>Sources: ONS and Bank of England.</w:t>
      </w:r>
    </w:p>
    <w:p>
      <w:pPr>
        <w:pStyle w:val="BodyText"/>
        <w:spacing w:before="2"/>
        <w:rPr>
          <w:sz w:val="10"/>
        </w:rPr>
      </w:pPr>
    </w:p>
    <w:p>
      <w:pPr>
        <w:pStyle w:val="ListParagraph"/>
        <w:numPr>
          <w:ilvl w:val="0"/>
          <w:numId w:val="4"/>
        </w:numPr>
        <w:tabs>
          <w:tab w:pos="435" w:val="left" w:leader="none"/>
        </w:tabs>
        <w:spacing w:line="208" w:lineRule="auto" w:before="0" w:after="0"/>
        <w:ind w:left="434" w:right="49" w:hanging="240"/>
        <w:jc w:val="left"/>
        <w:rPr>
          <w:sz w:val="12"/>
        </w:rPr>
      </w:pPr>
      <w:r>
        <w:rPr>
          <w:w w:val="105"/>
          <w:sz w:val="12"/>
        </w:rPr>
        <w:t>Housing equity is defined as the market value of the housing stock minus the value of debt secured on</w:t>
      </w:r>
      <w:r>
        <w:rPr>
          <w:spacing w:val="-7"/>
          <w:w w:val="105"/>
          <w:sz w:val="12"/>
        </w:rPr>
        <w:t> </w:t>
      </w:r>
      <w:r>
        <w:rPr>
          <w:w w:val="105"/>
          <w:sz w:val="12"/>
        </w:rPr>
        <w:t>houses.</w:t>
      </w:r>
    </w:p>
    <w:p>
      <w:pPr>
        <w:pStyle w:val="BodyText"/>
        <w:rPr>
          <w:sz w:val="12"/>
        </w:rPr>
      </w:pPr>
    </w:p>
    <w:p>
      <w:pPr>
        <w:pStyle w:val="BodyText"/>
        <w:spacing w:before="3"/>
        <w:rPr>
          <w:sz w:val="13"/>
        </w:rPr>
      </w:pPr>
    </w:p>
    <w:p>
      <w:pPr>
        <w:pStyle w:val="Heading6"/>
        <w:ind w:left="194"/>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1.8</w:t>
      </w:r>
    </w:p>
    <w:p>
      <w:pPr>
        <w:spacing w:before="8"/>
        <w:ind w:left="194" w:right="0" w:firstLine="0"/>
        <w:jc w:val="left"/>
        <w:rPr>
          <w:rFonts w:ascii="Trebuchet MS"/>
          <w:b/>
          <w:sz w:val="20"/>
        </w:rPr>
      </w:pPr>
      <w:r>
        <w:rPr>
          <w:rFonts w:ascii="Trebuchet MS"/>
          <w:b/>
          <w:color w:val="89C6DC"/>
          <w:sz w:val="20"/>
        </w:rPr>
        <w:t>Household debt and gearing</w:t>
      </w:r>
    </w:p>
    <w:p>
      <w:pPr>
        <w:pStyle w:val="ListParagraph"/>
        <w:numPr>
          <w:ilvl w:val="1"/>
          <w:numId w:val="4"/>
        </w:numPr>
        <w:tabs>
          <w:tab w:pos="564" w:val="left" w:leader="none"/>
          <w:tab w:pos="2749" w:val="left" w:leader="none"/>
        </w:tabs>
        <w:spacing w:line="240" w:lineRule="auto" w:before="40" w:after="0"/>
        <w:ind w:left="563" w:right="0" w:hanging="162"/>
        <w:jc w:val="left"/>
        <w:rPr>
          <w:sz w:val="12"/>
        </w:rPr>
      </w:pPr>
      <w:r>
        <w:rPr>
          <w:rFonts w:ascii="Georgia"/>
          <w:w w:val="110"/>
          <w:position w:val="6"/>
          <w:sz w:val="12"/>
        </w:rPr>
        <w:t>Debt</w:t>
        <w:tab/>
      </w:r>
      <w:r>
        <w:rPr>
          <w:w w:val="110"/>
          <w:sz w:val="12"/>
        </w:rPr>
        <w:t>Per cent of</w:t>
      </w:r>
      <w:r>
        <w:rPr>
          <w:spacing w:val="-12"/>
          <w:w w:val="110"/>
          <w:sz w:val="12"/>
        </w:rPr>
        <w:t> </w:t>
      </w:r>
      <w:r>
        <w:rPr>
          <w:w w:val="110"/>
          <w:sz w:val="12"/>
        </w:rPr>
        <w:t>annual</w:t>
      </w:r>
    </w:p>
    <w:p>
      <w:pPr>
        <w:pStyle w:val="BodyText"/>
        <w:spacing w:line="292" w:lineRule="auto" w:before="48"/>
        <w:ind w:left="194" w:right="4"/>
      </w:pPr>
      <w:r>
        <w:rPr/>
        <w:br w:type="column"/>
      </w:r>
      <w:r>
        <w:rPr>
          <w:w w:val="105"/>
        </w:rPr>
        <w:t>corporate sector. For example, the British Chambers of Commerce survey for 2000 Q4 showed a rise in the balance of firms reporting that cash flow had improved on the previous quarter.</w:t>
      </w:r>
    </w:p>
    <w:p>
      <w:pPr>
        <w:pStyle w:val="BodyText"/>
        <w:spacing w:before="9"/>
        <w:rPr>
          <w:sz w:val="19"/>
        </w:rPr>
      </w:pPr>
    </w:p>
    <w:p>
      <w:pPr>
        <w:pStyle w:val="BodyText"/>
        <w:spacing w:line="280" w:lineRule="atLeast"/>
        <w:ind w:left="194" w:right="4"/>
      </w:pPr>
      <w:r>
        <w:rPr>
          <w:w w:val="110"/>
        </w:rPr>
        <w:t>The</w:t>
      </w:r>
      <w:r>
        <w:rPr>
          <w:spacing w:val="-26"/>
          <w:w w:val="110"/>
        </w:rPr>
        <w:t> </w:t>
      </w:r>
      <w:r>
        <w:rPr>
          <w:w w:val="110"/>
        </w:rPr>
        <w:t>growth</w:t>
      </w:r>
      <w:r>
        <w:rPr>
          <w:spacing w:val="-26"/>
          <w:w w:val="110"/>
        </w:rPr>
        <w:t> </w:t>
      </w:r>
      <w:r>
        <w:rPr>
          <w:w w:val="110"/>
        </w:rPr>
        <w:t>in</w:t>
      </w:r>
      <w:r>
        <w:rPr>
          <w:spacing w:val="-26"/>
          <w:w w:val="110"/>
        </w:rPr>
        <w:t> </w:t>
      </w:r>
      <w:r>
        <w:rPr>
          <w:w w:val="110"/>
        </w:rPr>
        <w:t>PNFCs’</w:t>
      </w:r>
      <w:r>
        <w:rPr>
          <w:spacing w:val="-25"/>
          <w:w w:val="110"/>
        </w:rPr>
        <w:t> </w:t>
      </w:r>
      <w:r>
        <w:rPr>
          <w:w w:val="110"/>
        </w:rPr>
        <w:t>bank</w:t>
      </w:r>
      <w:r>
        <w:rPr>
          <w:spacing w:val="-26"/>
          <w:w w:val="110"/>
        </w:rPr>
        <w:t> </w:t>
      </w:r>
      <w:r>
        <w:rPr>
          <w:w w:val="110"/>
        </w:rPr>
        <w:t>borrowing</w:t>
      </w:r>
      <w:r>
        <w:rPr>
          <w:spacing w:val="-26"/>
          <w:w w:val="110"/>
        </w:rPr>
        <w:t> </w:t>
      </w:r>
      <w:r>
        <w:rPr>
          <w:spacing w:val="-3"/>
          <w:w w:val="110"/>
        </w:rPr>
        <w:t>slowed</w:t>
      </w:r>
      <w:r>
        <w:rPr>
          <w:spacing w:val="-26"/>
          <w:w w:val="110"/>
        </w:rPr>
        <w:t> </w:t>
      </w:r>
      <w:r>
        <w:rPr>
          <w:spacing w:val="-4"/>
          <w:w w:val="110"/>
        </w:rPr>
        <w:t>to</w:t>
      </w:r>
      <w:r>
        <w:rPr>
          <w:spacing w:val="-25"/>
          <w:w w:val="110"/>
        </w:rPr>
        <w:t> </w:t>
      </w:r>
      <w:r>
        <w:rPr>
          <w:w w:val="110"/>
        </w:rPr>
        <w:t>an</w:t>
      </w:r>
      <w:r>
        <w:rPr>
          <w:spacing w:val="-26"/>
          <w:w w:val="110"/>
        </w:rPr>
        <w:t> </w:t>
      </w:r>
      <w:r>
        <w:rPr>
          <w:w w:val="110"/>
        </w:rPr>
        <w:t>annual</w:t>
      </w:r>
      <w:r>
        <w:rPr>
          <w:spacing w:val="-26"/>
          <w:w w:val="110"/>
        </w:rPr>
        <w:t> </w:t>
      </w:r>
      <w:r>
        <w:rPr>
          <w:spacing w:val="-4"/>
          <w:w w:val="110"/>
        </w:rPr>
        <w:t>rate </w:t>
      </w:r>
      <w:r>
        <w:rPr>
          <w:w w:val="110"/>
        </w:rPr>
        <w:t>of </w:t>
      </w:r>
      <w:r>
        <w:rPr>
          <w:spacing w:val="-9"/>
          <w:w w:val="110"/>
        </w:rPr>
        <w:t>13.3% </w:t>
      </w:r>
      <w:r>
        <w:rPr>
          <w:w w:val="110"/>
        </w:rPr>
        <w:t>in </w:t>
      </w:r>
      <w:r>
        <w:rPr>
          <w:spacing w:val="-4"/>
          <w:w w:val="110"/>
        </w:rPr>
        <w:t>2000 </w:t>
      </w:r>
      <w:r>
        <w:rPr>
          <w:w w:val="110"/>
        </w:rPr>
        <w:t>Q4 from </w:t>
      </w:r>
      <w:r>
        <w:rPr>
          <w:spacing w:val="-8"/>
          <w:w w:val="110"/>
        </w:rPr>
        <w:t>16.8% </w:t>
      </w:r>
      <w:r>
        <w:rPr>
          <w:w w:val="110"/>
        </w:rPr>
        <w:t>in the previous </w:t>
      </w:r>
      <w:r>
        <w:rPr>
          <w:spacing w:val="-3"/>
          <w:w w:val="110"/>
        </w:rPr>
        <w:t>quarter.</w:t>
      </w:r>
      <w:r>
        <w:rPr>
          <w:spacing w:val="-17"/>
          <w:w w:val="110"/>
        </w:rPr>
        <w:t> </w:t>
      </w:r>
      <w:r>
        <w:rPr>
          <w:w w:val="110"/>
        </w:rPr>
        <w:t>The</w:t>
      </w:r>
    </w:p>
    <w:p>
      <w:pPr>
        <w:spacing w:after="0" w:line="280" w:lineRule="atLeast"/>
        <w:sectPr>
          <w:type w:val="continuous"/>
          <w:pgSz w:w="11900" w:h="16840"/>
          <w:pgMar w:top="1260" w:bottom="280" w:left="640" w:right="640"/>
          <w:cols w:num="2" w:equalWidth="0">
            <w:col w:w="3887" w:space="1013"/>
            <w:col w:w="5720"/>
          </w:cols>
        </w:sectPr>
      </w:pPr>
    </w:p>
    <w:p>
      <w:pPr>
        <w:tabs>
          <w:tab w:pos="2738" w:val="left" w:leader="none"/>
        </w:tabs>
        <w:spacing w:line="87" w:lineRule="exact" w:before="0"/>
        <w:ind w:left="418" w:right="0" w:firstLine="0"/>
        <w:jc w:val="left"/>
        <w:rPr>
          <w:sz w:val="12"/>
        </w:rPr>
      </w:pPr>
      <w:r>
        <w:rPr>
          <w:w w:val="110"/>
          <w:sz w:val="12"/>
        </w:rPr>
        <w:t>Per</w:t>
      </w:r>
      <w:r>
        <w:rPr>
          <w:spacing w:val="-8"/>
          <w:w w:val="110"/>
          <w:sz w:val="12"/>
        </w:rPr>
        <w:t> </w:t>
      </w:r>
      <w:r>
        <w:rPr>
          <w:w w:val="110"/>
          <w:sz w:val="12"/>
        </w:rPr>
        <w:t>cent</w:t>
      </w:r>
      <w:r>
        <w:rPr>
          <w:spacing w:val="-7"/>
          <w:w w:val="110"/>
          <w:sz w:val="12"/>
        </w:rPr>
        <w:t> </w:t>
      </w:r>
      <w:r>
        <w:rPr>
          <w:w w:val="110"/>
          <w:sz w:val="12"/>
        </w:rPr>
        <w:t>of</w:t>
      </w:r>
      <w:r>
        <w:rPr>
          <w:spacing w:val="-7"/>
          <w:w w:val="110"/>
          <w:sz w:val="12"/>
        </w:rPr>
        <w:t> </w:t>
      </w:r>
      <w:r>
        <w:rPr>
          <w:w w:val="110"/>
          <w:sz w:val="12"/>
        </w:rPr>
        <w:t>annual</w:t>
      </w:r>
      <w:r>
        <w:rPr>
          <w:spacing w:val="-7"/>
          <w:w w:val="110"/>
          <w:sz w:val="12"/>
        </w:rPr>
        <w:t> </w:t>
      </w:r>
      <w:r>
        <w:rPr>
          <w:w w:val="110"/>
          <w:sz w:val="12"/>
        </w:rPr>
        <w:t>disposable</w:t>
      </w:r>
      <w:r>
        <w:rPr>
          <w:spacing w:val="-7"/>
          <w:w w:val="110"/>
          <w:sz w:val="12"/>
        </w:rPr>
        <w:t> </w:t>
      </w:r>
      <w:r>
        <w:rPr>
          <w:w w:val="110"/>
          <w:sz w:val="12"/>
        </w:rPr>
        <w:t>income</w:t>
        <w:tab/>
        <w:t>disposable</w:t>
      </w:r>
      <w:r>
        <w:rPr>
          <w:spacing w:val="-3"/>
          <w:w w:val="110"/>
          <w:sz w:val="12"/>
        </w:rPr>
        <w:t> </w:t>
      </w:r>
      <w:r>
        <w:rPr>
          <w:w w:val="110"/>
          <w:sz w:val="12"/>
        </w:rPr>
        <w:t>income</w:t>
      </w:r>
    </w:p>
    <w:p>
      <w:pPr>
        <w:spacing w:after="0" w:line="87" w:lineRule="exact"/>
        <w:jc w:val="left"/>
        <w:rPr>
          <w:sz w:val="12"/>
        </w:rPr>
        <w:sectPr>
          <w:type w:val="continuous"/>
          <w:pgSz w:w="11900" w:h="16840"/>
          <w:pgMar w:top="1260" w:bottom="280" w:left="640" w:right="640"/>
        </w:sectPr>
      </w:pPr>
    </w:p>
    <w:p>
      <w:pPr>
        <w:tabs>
          <w:tab w:pos="818" w:val="left" w:leader="none"/>
          <w:tab w:pos="3874" w:val="right" w:leader="none"/>
        </w:tabs>
        <w:spacing w:line="163" w:lineRule="exact" w:before="0"/>
        <w:ind w:left="193" w:right="0" w:firstLine="0"/>
        <w:jc w:val="left"/>
        <w:rPr>
          <w:sz w:val="12"/>
        </w:rPr>
      </w:pPr>
      <w:r>
        <w:rPr/>
        <w:pict>
          <v:group style="position:absolute;margin-left:52.584pt;margin-top:7.7pt;width:151.6pt;height:35.9pt;mso-position-horizontal-relative:page;mso-position-vertical-relative:paragraph;z-index:-23531008" coordorigin="1052,154" coordsize="3032,718">
            <v:shape style="position:absolute;left:1196;top:314;width:1018;height:510" coordorigin="1196,314" coordsize="1018,510" path="m1196,824l1233,814m1233,814l1271,786m1271,786l1308,766m1308,766l1358,739m1358,739l1393,721m1393,721l1468,681m1468,681l1506,664m1506,664l1543,644m1543,644l1581,626m1581,626l1618,616m1618,616l1668,596m1668,596l1703,589m1703,589l1741,569m1741,569l1778,551m1778,551l1853,511m1853,511l1891,484m1891,484l1941,466m1941,466l1978,456m1978,456l2013,426m2013,426l2051,409m2051,409l2088,389m2088,389l2126,371m2126,371l2163,341m2163,341l2213,314e" filled="false" stroked="true" strokeweight="1pt" strokecolor="#008360">
              <v:path arrowok="t"/>
              <v:stroke dashstyle="solid"/>
            </v:shape>
            <v:line style="position:absolute" from="2203,315" to="2261,315" stroked="true" strokeweight="1.125pt" strokecolor="#008360">
              <v:stroke dashstyle="solid"/>
            </v:line>
            <v:shape style="position:absolute;left:2251;top:249;width:223;height:65" coordorigin="2251,249" coordsize="223,65" path="m2251,314l2288,304m2288,304l2326,286m2326,286l2361,276m2361,276l2436,256m2436,256l2473,249e" filled="false" stroked="true" strokeweight="1pt" strokecolor="#008360">
              <v:path arrowok="t"/>
              <v:stroke dashstyle="solid"/>
            </v:shape>
            <v:line style="position:absolute" from="2464,250" to="2534,250" stroked="true" strokeweight="1.125pt" strokecolor="#008360">
              <v:stroke dashstyle="solid"/>
            </v:line>
            <v:line style="position:absolute" from="2524,249" to="2561,239" stroked="true" strokeweight="1pt" strokecolor="#008360">
              <v:stroke dashstyle="solid"/>
            </v:line>
            <v:shape style="position:absolute;left:2551;top:240;width:95;height:2" coordorigin="2551,240" coordsize="95,0" path="m2551,240l2609,240m2589,240l2646,240e" filled="false" stroked="true" strokeweight="1.125pt" strokecolor="#008360">
              <v:path arrowok="t"/>
              <v:stroke dashstyle="solid"/>
            </v:shape>
            <v:line style="position:absolute" from="2636,239" to="2671,229" stroked="true" strokeweight="1pt" strokecolor="#008360">
              <v:stroke dashstyle="solid"/>
            </v:line>
            <v:shape style="position:absolute;left:2661;top:230;width:145;height:2" coordorigin="2661,230" coordsize="145,0" path="m2661,230l2719,230m2699,230l2756,230m2736,230l2806,230e" filled="false" stroked="true" strokeweight="1.125pt" strokecolor="#008360">
              <v:path arrowok="t"/>
              <v:stroke dashstyle="solid"/>
            </v:shape>
            <v:shape style="position:absolute;left:2796;top:219;width:75;height:10" coordorigin="2796,219" coordsize="75,10" path="m2796,229l2834,219m2834,219l2871,229e" filled="false" stroked="true" strokeweight="1pt" strokecolor="#008360">
              <v:path arrowok="t"/>
              <v:stroke dashstyle="solid"/>
            </v:shape>
            <v:shape style="position:absolute;left:2861;top:230;width:205;height:2" coordorigin="2861,230" coordsize="205,0" path="m2861,230l2919,230m2899,230l2956,230m2936,230l2991,230m2971,230l3029,230m3009,230l3066,230e" filled="false" stroked="true" strokeweight="1.125pt" strokecolor="#008360">
              <v:path arrowok="t"/>
              <v:stroke dashstyle="solid"/>
            </v:shape>
            <v:line style="position:absolute" from="3056,229" to="3144,211" stroked="true" strokeweight="1pt" strokecolor="#008360">
              <v:stroke dashstyle="solid"/>
            </v:line>
            <v:shape style="position:absolute;left:3133;top:212;width:133;height:2" coordorigin="3134,213" coordsize="133,0" path="m3134,213l3191,213m3171,213l3229,213m3209,213l3266,213e" filled="false" stroked="true" strokeweight="1.125pt" strokecolor="#008360">
              <v:path arrowok="t"/>
              <v:stroke dashstyle="solid"/>
            </v:shape>
            <v:line style="position:absolute" from="3256,211" to="3291,219" stroked="true" strokeweight="1pt" strokecolor="#008360">
              <v:stroke dashstyle="solid"/>
            </v:line>
            <v:line style="position:absolute" from="3281,220" to="3339,220" stroked="true" strokeweight="1.125pt" strokecolor="#008360">
              <v:stroke dashstyle="solid"/>
            </v:line>
            <v:line style="position:absolute" from="3329,219" to="3379,229" stroked="true" strokeweight="1pt" strokecolor="#008360">
              <v:stroke dashstyle="solid"/>
            </v:line>
            <v:shape style="position:absolute;left:3368;top:230;width:208;height:2" coordorigin="3369,230" coordsize="208,0" path="m3369,230l3426,230m3406,230l3464,230m3444,230l3501,230m3481,230l3539,230m3519,230l3576,230e" filled="false" stroked="true" strokeweight="1.125pt" strokecolor="#008360">
              <v:path arrowok="t"/>
              <v:stroke dashstyle="solid"/>
            </v:shape>
            <v:line style="position:absolute" from="3566,229" to="3604,239" stroked="true" strokeweight="1pt" strokecolor="#008360">
              <v:stroke dashstyle="solid"/>
            </v:line>
            <v:shape style="position:absolute;left:3593;top:240;width:105;height:2" coordorigin="3594,240" coordsize="105,0" path="m3594,240l3661,240m3641,240l3699,240e" filled="false" stroked="true" strokeweight="1.125pt" strokecolor="#008360">
              <v:path arrowok="t"/>
              <v:stroke dashstyle="solid"/>
            </v:shape>
            <v:shape style="position:absolute;left:3688;top:201;width:150;height:38" coordorigin="3689,201" coordsize="150,38" path="m3689,239l3764,219m3764,219l3801,211m3801,211l3839,201e" filled="false" stroked="true" strokeweight="1pt" strokecolor="#008360">
              <v:path arrowok="t"/>
              <v:stroke dashstyle="solid"/>
            </v:shape>
            <v:line style="position:absolute" from="3829,203" to="3886,203" stroked="true" strokeweight="1.125pt" strokecolor="#008360">
              <v:stroke dashstyle="solid"/>
            </v:line>
            <v:line style="position:absolute" from="3876,201" to="3914,191" stroked="true" strokeweight="1pt" strokecolor="#008360">
              <v:stroke dashstyle="solid"/>
            </v:line>
            <v:line style="position:absolute" from="3904,193" to="3971,193" stroked="true" strokeweight="1.125pt" strokecolor="#008360">
              <v:stroke dashstyle="solid"/>
            </v:line>
            <v:shape style="position:absolute;left:3961;top:164;width:75;height:28" coordorigin="3961,164" coordsize="75,28" path="m3961,191l3999,181m3999,181l4036,164e" filled="false" stroked="true" strokeweight="1pt" strokecolor="#008360">
              <v:path arrowok="t"/>
              <v:stroke dashstyle="solid"/>
            </v:shape>
            <v:line style="position:absolute" from="4026,165" to="4084,165" stroked="true" strokeweight="1.125pt" strokecolor="#008360">
              <v:stroke dashstyle="solid"/>
            </v:line>
            <v:shape style="position:absolute;left:1196;top:776;width:198;height:85" coordorigin="1196,776" coordsize="198,85" path="m1196,861l1233,851m1233,851l1271,834m1271,834l1308,814m1308,814l1358,796m1358,796l1393,776e" filled="false" stroked="true" strokeweight="1pt" strokecolor="#efa900">
              <v:path arrowok="t"/>
              <v:stroke dashstyle="solid"/>
            </v:shape>
            <v:line style="position:absolute" from="1383,778" to="1441,778" stroked="true" strokeweight="1.125pt" strokecolor="#efa900">
              <v:stroke dashstyle="solid"/>
            </v:line>
            <v:shape style="position:absolute;left:1431;top:691;width:238;height:85" coordorigin="1431,691" coordsize="238,85" path="m1431,776l1468,759m1468,759l1506,749m1506,749l1543,729m1543,729l1581,721m1581,721l1618,711m1618,711l1668,691e" filled="false" stroked="true" strokeweight="1pt" strokecolor="#efa900">
              <v:path arrowok="t"/>
              <v:stroke dashstyle="solid"/>
            </v:shape>
            <v:line style="position:absolute" from="1658,693" to="1713,693" stroked="true" strokeweight="1.125pt" strokecolor="#efa900">
              <v:stroke dashstyle="solid"/>
            </v:line>
            <v:shape style="position:absolute;left:1703;top:399;width:623;height:293" coordorigin="1703,399" coordsize="623,293" path="m1703,691l1741,674m1741,674l1778,664m1778,664l1816,644m1816,644l1853,636m1853,636l1891,606m1891,606l1941,589m1941,589l1978,569m1978,569l2013,551m2013,551l2051,531m2051,531l2088,504m2088,504l2126,474m2126,474l2163,456m2163,456l2213,436m2213,436l2251,426m2251,426l2288,419m2288,419l2326,399e" filled="false" stroked="true" strokeweight="1pt" strokecolor="#efa900">
              <v:path arrowok="t"/>
              <v:stroke dashstyle="solid"/>
            </v:shape>
            <v:line style="position:absolute" from="2316,400" to="2371,400" stroked="true" strokeweight="1.125pt" strokecolor="#efa900">
              <v:stroke dashstyle="solid"/>
            </v:line>
            <v:line style="position:absolute" from="2361,399" to="2399,409" stroked="true" strokeweight="1pt" strokecolor="#efa900">
              <v:stroke dashstyle="solid"/>
            </v:line>
            <v:line style="position:absolute" from="2389,410" to="2446,410" stroked="true" strokeweight="1.125pt" strokecolor="#efa900">
              <v:stroke dashstyle="solid"/>
            </v:line>
            <v:shape style="position:absolute;left:2436;top:409;width:583;height:218" coordorigin="2436,409" coordsize="583,218" path="m2436,409l2474,419m2474,419l2524,426m2524,426l2561,419m2561,419l2599,436m2599,436l2636,446m2636,446l2671,456m2671,456l2709,474m2709,474l2746,484m2746,484l2796,511m2796,511l2834,521m2834,521l2871,551m2871,551l2909,589m2909,589l2946,596m2946,596l2981,606m2981,606l3019,626e" filled="false" stroked="true" strokeweight="1pt" strokecolor="#efa900">
              <v:path arrowok="t"/>
              <v:stroke dashstyle="solid"/>
            </v:shape>
            <v:line style="position:absolute" from="3009,628" to="3066,628" stroked="true" strokeweight="1.125pt" strokecolor="#efa900">
              <v:stroke dashstyle="solid"/>
            </v:line>
            <v:shape style="position:absolute;left:3056;top:569;width:200;height:58" coordorigin="3056,569" coordsize="200,58" path="m3056,626l3106,616m3106,616l3144,606m3144,606l3181,589m3181,589l3256,569e" filled="false" stroked="true" strokeweight="1pt" strokecolor="#efa900">
              <v:path arrowok="t"/>
              <v:stroke dashstyle="solid"/>
            </v:shape>
            <v:line style="position:absolute" from="3246,570" to="3301,570" stroked="true" strokeweight="1.125pt" strokecolor="#efa900">
              <v:stroke dashstyle="solid"/>
            </v:line>
            <v:shape style="position:absolute;left:3291;top:466;width:275;height:103" coordorigin="3291,466" coordsize="275,103" path="m3291,569l3329,551m3329,551l3379,541m3379,541l3454,521m3454,521l3491,504m3491,504l3529,484m3529,484l3566,466e" filled="false" stroked="true" strokeweight="1pt" strokecolor="#efa900">
              <v:path arrowok="t"/>
              <v:stroke dashstyle="solid"/>
            </v:shape>
            <v:line style="position:absolute" from="3556,468" to="3614,468" stroked="true" strokeweight="1.125pt" strokecolor="#efa900">
              <v:stroke dashstyle="solid"/>
            </v:line>
            <v:shape style="position:absolute;left:3603;top:351;width:160;height:115" coordorigin="3604,351" coordsize="160,115" path="m3604,466l3651,446m3651,446l3689,426m3689,426l3764,351e" filled="false" stroked="true" strokeweight="1pt" strokecolor="#efa900">
              <v:path arrowok="t"/>
              <v:stroke dashstyle="solid"/>
            </v:shape>
            <v:line style="position:absolute" from="3754,353" to="3811,353" stroked="true" strokeweight="1.125pt" strokecolor="#efa900">
              <v:stroke dashstyle="solid"/>
            </v:line>
            <v:shape style="position:absolute;left:3801;top:191;width:273;height:160" coordorigin="3801,191" coordsize="273,160" path="m3801,351l3839,324m3839,324l3876,314m3876,314l3914,286m3914,286l3961,276m3961,276l3999,249m3999,249l4036,211m4036,211l4074,191e" filled="false" stroked="true" strokeweight="1pt" strokecolor="#efa900">
              <v:path arrowok="t"/>
              <v:stroke dashstyle="solid"/>
            </v:shape>
            <v:shape style="position:absolute;left:1051;top:232;width:87;height:635" coordorigin="1052,232" coordsize="87,635" path="m1138,232l1052,232m1138,388l1052,388m1138,544l1052,544m1138,711l1052,711m1138,866l1052,866e" filled="false" stroked="true" strokeweight=".5pt" strokecolor="#000000">
              <v:path arrowok="t"/>
              <v:stroke dashstyle="solid"/>
            </v:shape>
            <w10:wrap type="none"/>
          </v:group>
        </w:pict>
      </w:r>
      <w:r>
        <w:rPr/>
        <w:pict>
          <v:line style="position:absolute;mso-position-horizontal-relative:page;mso-position-vertical-relative:paragraph;z-index:-23529984" from="56.918pt,3.431pt" to="52.584pt,3.431pt" stroked="true" strokeweight=".5pt" strokecolor="#000000">
            <v:stroke dashstyle="solid"/>
            <w10:wrap type="none"/>
          </v:line>
        </w:pict>
      </w:r>
      <w:r>
        <w:rPr/>
        <w:pict>
          <v:line style="position:absolute;mso-position-horizontal-relative:page;mso-position-vertical-relative:paragraph;z-index:-23523840" from="214.317994pt,3.431pt" to="209.983994pt,3.431pt" stroked="true" strokeweight=".5pt" strokecolor="#000000">
            <v:stroke dashstyle="solid"/>
            <w10:wrap type="none"/>
          </v:line>
        </w:pict>
      </w:r>
      <w:r>
        <w:rPr>
          <w:w w:val="110"/>
          <w:position w:val="5"/>
          <w:sz w:val="12"/>
        </w:rPr>
        <w:t>16</w:t>
        <w:tab/>
      </w:r>
      <w:r>
        <w:rPr>
          <w:w w:val="110"/>
          <w:sz w:val="12"/>
        </w:rPr>
        <w:t>Secured on dwellings</w:t>
      </w:r>
      <w:r>
        <w:rPr>
          <w:spacing w:val="-13"/>
          <w:w w:val="110"/>
          <w:sz w:val="12"/>
        </w:rPr>
        <w:t> </w:t>
      </w:r>
      <w:r>
        <w:rPr>
          <w:w w:val="110"/>
          <w:sz w:val="12"/>
        </w:rPr>
        <w:t>(right-hand</w:t>
      </w:r>
      <w:r>
        <w:rPr>
          <w:spacing w:val="-4"/>
          <w:w w:val="110"/>
          <w:sz w:val="12"/>
        </w:rPr>
        <w:t> </w:t>
      </w:r>
      <w:r>
        <w:rPr>
          <w:w w:val="110"/>
          <w:sz w:val="12"/>
        </w:rPr>
        <w:t>scale)</w:t>
        <w:tab/>
      </w:r>
      <w:r>
        <w:rPr>
          <w:w w:val="110"/>
          <w:position w:val="5"/>
          <w:sz w:val="12"/>
        </w:rPr>
        <w:t>80</w:t>
      </w:r>
    </w:p>
    <w:p>
      <w:pPr>
        <w:tabs>
          <w:tab w:pos="3728" w:val="left" w:leader="none"/>
        </w:tabs>
        <w:spacing w:line="124" w:lineRule="exact" w:before="0"/>
        <w:ind w:left="193" w:right="0" w:firstLine="0"/>
        <w:jc w:val="left"/>
        <w:rPr>
          <w:sz w:val="12"/>
        </w:rPr>
      </w:pPr>
      <w:r>
        <w:rPr/>
        <w:pict>
          <v:line style="position:absolute;mso-position-horizontal-relative:page;mso-position-vertical-relative:paragraph;z-index:-23523328" from="214.317994pt,3.427392pt" to="209.983994pt,3.427392pt" stroked="true" strokeweight=".5pt" strokecolor="#000000">
            <v:stroke dashstyle="solid"/>
            <w10:wrap type="none"/>
          </v:line>
        </w:pict>
      </w:r>
      <w:r>
        <w:rPr>
          <w:w w:val="120"/>
          <w:sz w:val="12"/>
        </w:rPr>
        <w:t>14</w:t>
        <w:tab/>
        <w:t>70</w:t>
      </w:r>
    </w:p>
    <w:p>
      <w:pPr>
        <w:tabs>
          <w:tab w:pos="3728" w:val="left" w:leader="none"/>
        </w:tabs>
        <w:spacing w:before="22"/>
        <w:ind w:left="193" w:right="0" w:firstLine="0"/>
        <w:jc w:val="left"/>
        <w:rPr>
          <w:sz w:val="12"/>
        </w:rPr>
      </w:pPr>
      <w:r>
        <w:rPr/>
        <w:pict>
          <v:line style="position:absolute;mso-position-horizontal-relative:page;mso-position-vertical-relative:paragraph;z-index:-23522816" from="214.317994pt,5.031084pt" to="209.983994pt,5.031084pt" stroked="true" strokeweight=".5pt" strokecolor="#000000">
            <v:stroke dashstyle="solid"/>
            <w10:wrap type="none"/>
          </v:line>
        </w:pict>
      </w:r>
      <w:r>
        <w:rPr>
          <w:w w:val="120"/>
          <w:sz w:val="12"/>
        </w:rPr>
        <w:t>12</w:t>
        <w:tab/>
        <w:t>60</w:t>
      </w:r>
    </w:p>
    <w:p>
      <w:pPr>
        <w:tabs>
          <w:tab w:pos="3728" w:val="left" w:leader="none"/>
        </w:tabs>
        <w:spacing w:line="91" w:lineRule="exact" w:before="22"/>
        <w:ind w:left="193" w:right="0" w:firstLine="0"/>
        <w:jc w:val="left"/>
        <w:rPr>
          <w:sz w:val="12"/>
        </w:rPr>
      </w:pPr>
      <w:r>
        <w:rPr/>
        <w:pict>
          <v:line style="position:absolute;mso-position-horizontal-relative:page;mso-position-vertical-relative:paragraph;z-index:15807488" from="214.317994pt,4.817297pt" to="209.983994pt,4.817297pt" stroked="true" strokeweight=".5pt" strokecolor="#000000">
            <v:stroke dashstyle="solid"/>
            <w10:wrap type="none"/>
          </v:line>
        </w:pict>
      </w:r>
      <w:r>
        <w:rPr>
          <w:w w:val="120"/>
          <w:sz w:val="12"/>
        </w:rPr>
        <w:t>10</w:t>
        <w:tab/>
        <w:t>50</w:t>
      </w:r>
    </w:p>
    <w:p>
      <w:pPr>
        <w:pStyle w:val="BodyText"/>
        <w:spacing w:line="193" w:lineRule="exact"/>
        <w:ind w:left="193"/>
      </w:pPr>
      <w:r>
        <w:rPr/>
        <w:br w:type="column"/>
      </w:r>
      <w:r>
        <w:rPr>
          <w:w w:val="105"/>
        </w:rPr>
        <w:t>quarterly flow of bank borrowing fell sharply from very high</w:t>
      </w:r>
    </w:p>
    <w:p>
      <w:pPr>
        <w:pStyle w:val="BodyText"/>
        <w:spacing w:before="50"/>
        <w:ind w:left="193"/>
      </w:pPr>
      <w:r>
        <w:rPr>
          <w:w w:val="110"/>
        </w:rPr>
        <w:t>levels during recent quarters (see Chart 1.9). During the past</w:t>
      </w:r>
    </w:p>
    <w:p>
      <w:pPr>
        <w:spacing w:after="0"/>
        <w:sectPr>
          <w:type w:val="continuous"/>
          <w:pgSz w:w="11900" w:h="16840"/>
          <w:pgMar w:top="1260" w:bottom="280" w:left="640" w:right="640"/>
          <w:cols w:num="2" w:equalWidth="0">
            <w:col w:w="3915" w:space="986"/>
            <w:col w:w="5719"/>
          </w:cols>
        </w:sectPr>
      </w:pPr>
    </w:p>
    <w:p>
      <w:pPr>
        <w:spacing w:before="79"/>
        <w:ind w:left="266" w:right="0" w:firstLine="0"/>
        <w:jc w:val="left"/>
        <w:rPr>
          <w:sz w:val="12"/>
        </w:rPr>
      </w:pPr>
      <w:r>
        <w:rPr>
          <w:w w:val="121"/>
          <w:sz w:val="12"/>
        </w:rPr>
        <w:t>8</w:t>
      </w:r>
    </w:p>
    <w:p>
      <w:pPr>
        <w:spacing w:before="22"/>
        <w:ind w:left="266" w:right="0" w:firstLine="0"/>
        <w:jc w:val="left"/>
        <w:rPr>
          <w:sz w:val="12"/>
        </w:rPr>
      </w:pPr>
      <w:r>
        <w:rPr>
          <w:w w:val="121"/>
          <w:sz w:val="12"/>
        </w:rPr>
        <w:t>6</w:t>
      </w:r>
    </w:p>
    <w:p>
      <w:pPr>
        <w:spacing w:before="22"/>
        <w:ind w:left="266" w:right="0" w:firstLine="0"/>
        <w:jc w:val="left"/>
        <w:rPr>
          <w:sz w:val="12"/>
        </w:rPr>
      </w:pPr>
      <w:r>
        <w:rPr/>
        <w:pict>
          <v:line style="position:absolute;mso-position-horizontal-relative:page;mso-position-vertical-relative:paragraph;z-index:15800320" from="56.918pt,4.867603pt" to="52.584pt,4.867603pt" stroked="true" strokeweight=".5pt" strokecolor="#000000">
            <v:stroke dashstyle="solid"/>
            <w10:wrap type="none"/>
          </v:line>
        </w:pict>
      </w:r>
      <w:r>
        <w:rPr>
          <w:w w:val="121"/>
          <w:sz w:val="12"/>
        </w:rPr>
        <w:t>4</w:t>
      </w:r>
    </w:p>
    <w:p>
      <w:pPr>
        <w:spacing w:before="25"/>
        <w:ind w:left="266" w:right="0" w:firstLine="0"/>
        <w:jc w:val="left"/>
        <w:rPr>
          <w:sz w:val="12"/>
        </w:rPr>
      </w:pPr>
      <w:r>
        <w:rPr/>
        <w:pict>
          <v:line style="position:absolute;mso-position-horizontal-relative:page;mso-position-vertical-relative:paragraph;z-index:15800832" from="56.918pt,5.06342pt" to="52.584pt,5.06342pt" stroked="true" strokeweight=".5pt" strokecolor="#000000">
            <v:stroke dashstyle="solid"/>
            <w10:wrap type="none"/>
          </v:line>
        </w:pict>
      </w:r>
      <w:r>
        <w:rPr>
          <w:w w:val="121"/>
          <w:sz w:val="12"/>
        </w:rPr>
        <w:t>2</w:t>
      </w:r>
    </w:p>
    <w:p>
      <w:pPr>
        <w:spacing w:line="134" w:lineRule="exact" w:before="22"/>
        <w:ind w:left="266" w:right="0" w:firstLine="0"/>
        <w:jc w:val="left"/>
        <w:rPr>
          <w:sz w:val="12"/>
        </w:rPr>
      </w:pPr>
      <w:r>
        <w:rPr/>
        <w:pict>
          <v:line style="position:absolute;mso-position-horizontal-relative:page;mso-position-vertical-relative:paragraph;z-index:15801344" from="56.918pt,4.716603pt" to="52.584pt,4.716603pt" stroked="true" strokeweight=".5pt" strokecolor="#000000">
            <v:stroke dashstyle="solid"/>
            <w10:wrap type="none"/>
          </v:line>
        </w:pict>
      </w:r>
      <w:r>
        <w:rPr>
          <w:w w:val="121"/>
          <w:sz w:val="12"/>
        </w:rPr>
        <w:t>0</w:t>
      </w:r>
    </w:p>
    <w:p>
      <w:pPr>
        <w:pStyle w:val="ListParagraph"/>
        <w:numPr>
          <w:ilvl w:val="1"/>
          <w:numId w:val="4"/>
        </w:numPr>
        <w:tabs>
          <w:tab w:pos="603" w:val="left" w:leader="none"/>
        </w:tabs>
        <w:spacing w:line="132" w:lineRule="exact" w:before="0" w:after="0"/>
        <w:ind w:left="602" w:right="0" w:hanging="201"/>
        <w:jc w:val="left"/>
        <w:rPr>
          <w:rFonts w:ascii="Georgia"/>
          <w:sz w:val="12"/>
        </w:rPr>
      </w:pPr>
      <w:r>
        <w:rPr>
          <w:rFonts w:ascii="Georgia"/>
          <w:w w:val="105"/>
          <w:sz w:val="12"/>
        </w:rPr>
        <w:t>Gearing</w:t>
      </w:r>
    </w:p>
    <w:p>
      <w:pPr>
        <w:tabs>
          <w:tab w:pos="2069" w:val="right" w:leader="none"/>
        </w:tabs>
        <w:spacing w:line="169" w:lineRule="exact" w:before="79"/>
        <w:ind w:left="266" w:right="0" w:firstLine="0"/>
        <w:jc w:val="left"/>
        <w:rPr>
          <w:sz w:val="12"/>
        </w:rPr>
      </w:pPr>
      <w:r>
        <w:rPr/>
        <w:br w:type="column"/>
      </w:r>
      <w:r>
        <w:rPr>
          <w:w w:val="110"/>
          <w:sz w:val="12"/>
        </w:rPr>
        <w:t>Consumer</w:t>
      </w:r>
      <w:r>
        <w:rPr>
          <w:spacing w:val="-3"/>
          <w:w w:val="110"/>
          <w:sz w:val="12"/>
        </w:rPr>
        <w:t> </w:t>
      </w:r>
      <w:r>
        <w:rPr>
          <w:w w:val="110"/>
          <w:sz w:val="12"/>
        </w:rPr>
        <w:t>credit</w:t>
        <w:tab/>
      </w:r>
      <w:r>
        <w:rPr>
          <w:w w:val="110"/>
          <w:position w:val="4"/>
          <w:sz w:val="12"/>
        </w:rPr>
        <w:t>40</w:t>
      </w:r>
    </w:p>
    <w:p>
      <w:pPr>
        <w:tabs>
          <w:tab w:pos="2069" w:val="right" w:leader="none"/>
        </w:tabs>
        <w:spacing w:line="149" w:lineRule="exact" w:before="0"/>
        <w:ind w:left="326" w:right="0" w:firstLine="0"/>
        <w:jc w:val="left"/>
        <w:rPr>
          <w:sz w:val="12"/>
        </w:rPr>
      </w:pPr>
      <w:r>
        <w:rPr/>
        <w:pict>
          <v:line style="position:absolute;mso-position-horizontal-relative:page;mso-position-vertical-relative:paragraph;z-index:-23521792" from="214.317994pt,-4.885348pt" to="209.983994pt,-4.885348pt" stroked="true" strokeweight=".5pt" strokecolor="#000000">
            <v:stroke dashstyle="solid"/>
            <w10:wrap type="none"/>
          </v:line>
        </w:pict>
      </w:r>
      <w:r>
        <w:rPr/>
        <w:pict>
          <v:line style="position:absolute;mso-position-horizontal-relative:page;mso-position-vertical-relative:paragraph;z-index:-23521280" from="214.317994pt,2.899652pt" to="209.983994pt,2.899652pt" stroked="true" strokeweight=".5pt" strokecolor="#000000">
            <v:stroke dashstyle="solid"/>
            <w10:wrap type="none"/>
          </v:line>
        </w:pict>
      </w:r>
      <w:r>
        <w:rPr>
          <w:w w:val="110"/>
          <w:sz w:val="12"/>
        </w:rPr>
        <w:t>(left-hand</w:t>
      </w:r>
      <w:r>
        <w:rPr>
          <w:spacing w:val="-4"/>
          <w:w w:val="110"/>
          <w:sz w:val="12"/>
        </w:rPr>
        <w:t> </w:t>
      </w:r>
      <w:r>
        <w:rPr>
          <w:w w:val="110"/>
          <w:sz w:val="12"/>
        </w:rPr>
        <w:t>scale)</w:t>
        <w:tab/>
      </w:r>
      <w:r>
        <w:rPr>
          <w:w w:val="110"/>
          <w:position w:val="2"/>
          <w:sz w:val="12"/>
        </w:rPr>
        <w:t>30</w:t>
      </w:r>
    </w:p>
    <w:p>
      <w:pPr>
        <w:spacing w:before="2"/>
        <w:ind w:left="0" w:right="38" w:firstLine="0"/>
        <w:jc w:val="right"/>
        <w:rPr>
          <w:sz w:val="12"/>
        </w:rPr>
      </w:pPr>
      <w:r>
        <w:rPr/>
        <w:pict>
          <v:line style="position:absolute;mso-position-horizontal-relative:page;mso-position-vertical-relative:paragraph;z-index:15809024" from="214.317994pt,3.86803pt" to="209.983994pt,3.86803pt" stroked="true" strokeweight=".5pt" strokecolor="#000000">
            <v:stroke dashstyle="solid"/>
            <w10:wrap type="none"/>
          </v:line>
        </w:pict>
      </w:r>
      <w:r>
        <w:rPr>
          <w:spacing w:val="-1"/>
          <w:w w:val="120"/>
          <w:sz w:val="12"/>
        </w:rPr>
        <w:t>20</w:t>
      </w:r>
    </w:p>
    <w:p>
      <w:pPr>
        <w:spacing w:before="25"/>
        <w:ind w:left="0" w:right="38" w:firstLine="0"/>
        <w:jc w:val="right"/>
        <w:rPr>
          <w:sz w:val="12"/>
        </w:rPr>
      </w:pPr>
      <w:r>
        <w:rPr/>
        <w:pict>
          <v:line style="position:absolute;mso-position-horizontal-relative:page;mso-position-vertical-relative:paragraph;z-index:15809536" from="214.317994pt,5.063847pt" to="209.983994pt,5.063847pt" stroked="true" strokeweight=".5pt" strokecolor="#000000">
            <v:stroke dashstyle="solid"/>
            <w10:wrap type="none"/>
          </v:line>
        </w:pict>
      </w:r>
      <w:r>
        <w:rPr>
          <w:spacing w:val="-1"/>
          <w:w w:val="120"/>
          <w:sz w:val="12"/>
        </w:rPr>
        <w:t>10</w:t>
      </w:r>
    </w:p>
    <w:p>
      <w:pPr>
        <w:spacing w:before="22"/>
        <w:ind w:left="0" w:right="38" w:firstLine="0"/>
        <w:jc w:val="right"/>
        <w:rPr>
          <w:sz w:val="12"/>
        </w:rPr>
      </w:pPr>
      <w:r>
        <w:rPr/>
        <w:pict>
          <v:line style="position:absolute;mso-position-horizontal-relative:page;mso-position-vertical-relative:paragraph;z-index:15810048" from="214.317994pt,4.716572pt" to="209.983994pt,4.716572pt" stroked="true" strokeweight=".5pt" strokecolor="#000000">
            <v:stroke dashstyle="solid"/>
            <w10:wrap type="none"/>
          </v:line>
        </w:pict>
      </w:r>
      <w:r>
        <w:rPr>
          <w:w w:val="121"/>
          <w:sz w:val="12"/>
        </w:rPr>
        <w:t>0</w:t>
      </w:r>
    </w:p>
    <w:p>
      <w:pPr>
        <w:pStyle w:val="BodyText"/>
        <w:spacing w:line="193" w:lineRule="exact"/>
        <w:ind w:left="266"/>
      </w:pPr>
      <w:r>
        <w:rPr/>
        <w:br w:type="column"/>
      </w:r>
      <w:r>
        <w:rPr>
          <w:w w:val="105"/>
        </w:rPr>
        <w:t>two years, PNFCs’ broader external finance has risen</w:t>
      </w:r>
    </w:p>
    <w:p>
      <w:pPr>
        <w:pStyle w:val="BodyText"/>
        <w:spacing w:line="280" w:lineRule="atLeast"/>
        <w:ind w:left="266" w:right="62"/>
      </w:pPr>
      <w:r>
        <w:rPr>
          <w:w w:val="110"/>
        </w:rPr>
        <w:t>substantially </w:t>
      </w:r>
      <w:r>
        <w:rPr>
          <w:spacing w:val="-3"/>
          <w:w w:val="110"/>
        </w:rPr>
        <w:t>above </w:t>
      </w:r>
      <w:r>
        <w:rPr>
          <w:w w:val="110"/>
        </w:rPr>
        <w:t>the amount required </w:t>
      </w:r>
      <w:r>
        <w:rPr>
          <w:spacing w:val="-4"/>
          <w:w w:val="110"/>
        </w:rPr>
        <w:t>to </w:t>
      </w:r>
      <w:r>
        <w:rPr>
          <w:w w:val="110"/>
        </w:rPr>
        <w:t>fund the difference </w:t>
      </w:r>
      <w:r>
        <w:rPr>
          <w:spacing w:val="-3"/>
          <w:w w:val="110"/>
        </w:rPr>
        <w:t>between </w:t>
      </w:r>
      <w:r>
        <w:rPr>
          <w:w w:val="110"/>
        </w:rPr>
        <w:t>PNFCs’ capital expenditures and their available internal funds. That divergence has reflected high </w:t>
      </w:r>
      <w:r>
        <w:rPr>
          <w:spacing w:val="-3"/>
          <w:w w:val="110"/>
        </w:rPr>
        <w:t>levels </w:t>
      </w:r>
      <w:r>
        <w:rPr>
          <w:w w:val="110"/>
        </w:rPr>
        <w:t>of</w:t>
      </w:r>
    </w:p>
    <w:p>
      <w:pPr>
        <w:spacing w:after="0" w:line="280" w:lineRule="atLeast"/>
        <w:sectPr>
          <w:type w:val="continuous"/>
          <w:pgSz w:w="11900" w:h="16840"/>
          <w:pgMar w:top="1260" w:bottom="280" w:left="640" w:right="640"/>
          <w:cols w:num="3" w:equalWidth="0">
            <w:col w:w="1085" w:space="720"/>
            <w:col w:w="2110" w:space="913"/>
            <w:col w:w="5792"/>
          </w:cols>
        </w:sectPr>
      </w:pPr>
    </w:p>
    <w:p>
      <w:pPr>
        <w:spacing w:line="87" w:lineRule="exact" w:before="0"/>
        <w:ind w:left="193" w:right="0" w:firstLine="0"/>
        <w:jc w:val="left"/>
        <w:rPr>
          <w:sz w:val="12"/>
        </w:rPr>
      </w:pPr>
      <w:r>
        <w:rPr>
          <w:w w:val="110"/>
          <w:position w:val="-4"/>
          <w:sz w:val="12"/>
        </w:rPr>
        <w:t>16</w:t>
      </w:r>
      <w:r>
        <w:rPr>
          <w:w w:val="110"/>
          <w:sz w:val="12"/>
        </w:rPr>
        <w:t> </w:t>
      </w:r>
      <w:r>
        <w:rPr>
          <w:w w:val="110"/>
          <w:sz w:val="12"/>
          <w:u w:val="single"/>
        </w:rPr>
        <w:t>P</w:t>
      </w:r>
      <w:r>
        <w:rPr>
          <w:w w:val="110"/>
          <w:sz w:val="12"/>
        </w:rPr>
        <w:t>er cent of disposable income</w:t>
      </w:r>
    </w:p>
    <w:p>
      <w:pPr>
        <w:spacing w:line="55" w:lineRule="exact" w:before="0"/>
        <w:ind w:left="193" w:right="0" w:firstLine="0"/>
        <w:jc w:val="left"/>
        <w:rPr>
          <w:sz w:val="12"/>
        </w:rPr>
      </w:pPr>
      <w:r>
        <w:rPr/>
        <w:br w:type="column"/>
      </w:r>
      <w:r>
        <w:rPr>
          <w:w w:val="110"/>
          <w:sz w:val="12"/>
        </w:rPr>
        <w:t>Per cent</w:t>
      </w:r>
    </w:p>
    <w:p>
      <w:pPr>
        <w:spacing w:line="32" w:lineRule="exact" w:before="0"/>
        <w:ind w:left="689" w:right="0" w:firstLine="0"/>
        <w:jc w:val="left"/>
        <w:rPr>
          <w:sz w:val="12"/>
        </w:rPr>
      </w:pPr>
      <w:r>
        <w:rPr>
          <w:w w:val="120"/>
          <w:sz w:val="12"/>
        </w:rPr>
        <w:t>20</w:t>
      </w:r>
    </w:p>
    <w:p>
      <w:pPr>
        <w:pStyle w:val="BodyText"/>
        <w:spacing w:before="8"/>
        <w:rPr>
          <w:sz w:val="2"/>
        </w:rPr>
      </w:pPr>
    </w:p>
    <w:p>
      <w:pPr>
        <w:pStyle w:val="BodyText"/>
        <w:spacing w:line="20" w:lineRule="exact"/>
        <w:ind w:left="515"/>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spacing w:after="0" w:line="20" w:lineRule="exact"/>
        <w:rPr>
          <w:sz w:val="2"/>
        </w:rPr>
        <w:sectPr>
          <w:type w:val="continuous"/>
          <w:pgSz w:w="11900" w:h="16840"/>
          <w:pgMar w:top="1260" w:bottom="280" w:left="640" w:right="640"/>
          <w:cols w:num="2" w:equalWidth="0">
            <w:col w:w="1996" w:space="1044"/>
            <w:col w:w="7580"/>
          </w:cols>
        </w:sectPr>
      </w:pPr>
    </w:p>
    <w:p>
      <w:pPr>
        <w:tabs>
          <w:tab w:pos="775" w:val="left" w:leader="none"/>
          <w:tab w:pos="3874" w:val="right" w:leader="none"/>
        </w:tabs>
        <w:spacing w:line="187" w:lineRule="auto" w:before="28"/>
        <w:ind w:left="193" w:right="0" w:firstLine="0"/>
        <w:jc w:val="left"/>
        <w:rPr>
          <w:sz w:val="12"/>
        </w:rPr>
      </w:pPr>
      <w:r>
        <w:rPr/>
        <w:pict>
          <v:group style="position:absolute;margin-left:61.424999pt;margin-top:3.371312pt;width:143pt;height:48.75pt;mso-position-horizontal-relative:page;mso-position-vertical-relative:paragraph;z-index:-23530496" coordorigin="1228,67" coordsize="2860,975">
            <v:line style="position:absolute" from="2168,756" to="2223,756" stroked="true" strokeweight="1.125pt" strokecolor="#006caa">
              <v:stroke dashstyle="solid"/>
            </v:line>
            <v:shape style="position:absolute;left:1238;top:922;width:85;height:60" coordorigin="1238,922" coordsize="85,60" path="m1238,982l1273,942m1273,942l1323,922e" filled="false" stroked="true" strokeweight="1pt" strokecolor="#006caa">
              <v:path arrowok="t"/>
              <v:stroke dashstyle="solid"/>
            </v:shape>
            <v:shape style="position:absolute;left:1313;top:923;width:93;height:2" coordorigin="1313,924" coordsize="93,0" path="m1313,924l1368,924m1348,924l1406,924e" filled="false" stroked="true" strokeweight="1.125pt" strokecolor="#006caa">
              <v:path arrowok="t"/>
              <v:stroke dashstyle="solid"/>
            </v:shape>
            <v:shape style="position:absolute;left:1396;top:257;width:1168;height:665" coordorigin="1396,257" coordsize="1168,665" path="m1396,922l1431,862m1431,862l1478,852m1478,852l1516,872m1516,872l1551,745m1551,745l1588,755m1588,755l1636,782m1636,782l1671,745m1671,745l1708,665m1708,665l1743,635m1743,635l1781,675m1781,675l1828,782m1828,782l1863,715m1863,715l1901,615m1901,615l1936,685m1936,685l1986,765m1986,765l2021,852m2021,852l2056,872m2056,872l2093,625m2093,625l2141,705m2141,705l2178,755m2213,755l2248,715m2371,765l2406,635m2248,715l2286,842m2286,842l2333,822m2333,822l2371,765m2406,635l2441,505m2441,505l2491,495m2526,287l2563,257e" filled="false" stroked="true" strokeweight="1pt" strokecolor="#006caa">
              <v:path arrowok="t"/>
              <v:stroke dashstyle="solid"/>
            </v:shape>
            <v:line style="position:absolute" from="2646,297" to="2683,315" stroked="true" strokeweight="1pt" strokecolor="#efa900">
              <v:stroke dashstyle="solid"/>
            </v:line>
            <v:shape style="position:absolute;left:2491;top:77;width:698;height:418" coordorigin="2491,77" coordsize="698,418" path="m2491,495l2526,287m2563,257l2598,355m2598,355l2646,297m2683,315l2718,217m2718,217l2756,127m2756,127l2791,77m2791,77l2838,87m2838,87l2876,197m2876,197l2911,237m2911,237l2948,287m2948,287l2996,345m2996,345l3031,465m3031,465l3068,365m3068,365l3103,287m3103,287l3141,257m3141,257l3188,227e" filled="false" stroked="true" strokeweight="1pt" strokecolor="#006caa">
              <v:path arrowok="t"/>
              <v:stroke dashstyle="solid"/>
            </v:shape>
            <v:line style="position:absolute" from="3178,229" to="3233,229" stroked="true" strokeweight="1.125pt" strokecolor="#006caa">
              <v:stroke dashstyle="solid"/>
            </v:line>
            <v:shape style="position:absolute;left:3223;top:227;width:855;height:805" coordorigin="3223,227" coordsize="855,805" path="m3223,227l3261,237m3261,237l3296,287m3296,287l3346,325m3346,325l3381,345m3381,345l3416,375m3416,375l3453,415m3453,415l3501,445m3501,445l3538,505m3538,505l3573,605m3608,802l3646,782m3693,922l3731,932m3766,735l3801,862m3573,605l3608,802m3646,782l3693,922m3731,932l3766,735m3801,862l3851,942m3851,942l3886,972m3886,972l3923,892m3923,892l3958,1032m3958,1032l4006,952m4006,952l4043,922m4043,922l4078,912e" filled="false" stroked="true" strokeweight="1pt" strokecolor="#006caa">
              <v:path arrowok="t"/>
              <v:stroke dashstyle="solid"/>
            </v:shape>
            <v:line style="position:absolute" from="1986,475" to="2021,495" stroked="true" strokeweight="1pt" strokecolor="#de0035">
              <v:stroke dashstyle="solid"/>
            </v:line>
            <v:line style="position:absolute" from="2011,496" to="2066,496" stroked="true" strokeweight="1.125pt" strokecolor="#de0035">
              <v:stroke dashstyle="solid"/>
            </v:line>
            <v:shape style="position:absolute;left:2056;top:97;width:975;height:568" coordorigin="2056,97" coordsize="975,568" path="m2056,495l2093,525m2093,525l2141,535m2141,535l2178,555m2178,555l2248,375m2248,375l2286,307m2286,307l2333,237m2333,237l2371,257m2371,257l2441,157m2441,157l2491,107m2491,107l2526,97m2526,97l2563,157m2563,157l2598,177m2598,177l2646,257m2646,257l2683,335m2683,335l2718,355m2718,355l2756,365m2756,365l2791,415m2791,415l2838,435m2838,435l2876,505m2876,505l2911,605m2911,605l2948,645m2948,645l2996,655m2996,655l3031,665e" filled="false" stroked="true" strokeweight="1pt" strokecolor="#de0035">
              <v:path arrowok="t"/>
              <v:stroke dashstyle="solid"/>
            </v:shape>
            <v:line style="position:absolute" from="3021,666" to="3078,666" stroked="true" strokeweight="1.125pt" strokecolor="#de0035">
              <v:stroke dashstyle="solid"/>
            </v:line>
            <v:shape style="position:absolute;left:3068;top:624;width:433;height:90" coordorigin="3068,625" coordsize="433,90" path="m3068,665l3103,635m3103,635l3141,665m3141,665l3188,655m3188,655l3223,645m3223,645l3261,625m3261,625l3296,635m3296,635l3346,655m3346,655l3381,685m3381,685l3416,695m3416,695l3453,705m3453,705l3501,715e" filled="false" stroked="true" strokeweight="1pt" strokecolor="#de0035">
              <v:path arrowok="t"/>
              <v:stroke dashstyle="solid"/>
            </v:shape>
            <v:shape style="position:absolute;left:3491;top:716;width:93;height:2" coordorigin="3491,716" coordsize="93,0" path="m3491,716l3548,716m3528,716l3583,716e" filled="false" stroked="true" strokeweight="1.125pt" strokecolor="#de0035">
              <v:path arrowok="t"/>
              <v:stroke dashstyle="solid"/>
            </v:shape>
            <v:shape style="position:absolute;left:3573;top:544;width:313;height:170" coordorigin="3573,545" coordsize="313,170" path="m3573,715l3608,675m3608,675l3646,635m3646,635l3693,595m3693,595l3731,565m3731,565l3766,545m3766,545l3801,565m3801,565l3851,625m3851,625l3886,665e" filled="false" stroked="true" strokeweight="1pt" strokecolor="#de0035">
              <v:path arrowok="t"/>
              <v:stroke dashstyle="solid"/>
            </v:shape>
            <v:line style="position:absolute" from="3876,666" to="3933,666" stroked="true" strokeweight="1.125pt" strokecolor="#de0035">
              <v:stroke dashstyle="solid"/>
            </v:line>
            <v:shape style="position:absolute;left:3923;top:584;width:155;height:80" coordorigin="3923,585" coordsize="155,80" path="m3923,665l3958,655m3958,655l4006,615m4006,615l4043,585m4043,585l4078,595e" filled="false" stroked="true" strokeweight="1pt" strokecolor="#de0035">
              <v:path arrowok="t"/>
              <v:stroke dashstyle="solid"/>
            </v:shape>
            <w10:wrap type="none"/>
          </v:group>
        </w:pict>
      </w:r>
      <w:r>
        <w:rPr/>
        <w:pict>
          <v:line style="position:absolute;mso-position-horizontal-relative:page;mso-position-vertical-relative:paragraph;z-index:15802368" from="56.918pt,7.054312pt" to="52.584pt,7.054312pt" stroked="true" strokeweight=".5pt" strokecolor="#000000">
            <v:stroke dashstyle="solid"/>
            <w10:wrap type="none"/>
          </v:line>
        </w:pict>
      </w:r>
      <w:r>
        <w:rPr/>
        <w:pict>
          <v:line style="position:absolute;mso-position-horizontal-relative:page;mso-position-vertical-relative:paragraph;z-index:15811072" from="214.317994pt,7.054312pt" to="209.983994pt,7.054312pt" stroked="true" strokeweight=".5pt" strokecolor="#000000">
            <v:stroke dashstyle="solid"/>
            <w10:wrap type="none"/>
          </v:line>
        </w:pict>
      </w:r>
      <w:r>
        <w:rPr>
          <w:w w:val="115"/>
          <w:position w:val="-3"/>
          <w:sz w:val="12"/>
        </w:rPr>
        <w:t>14</w:t>
        <w:tab/>
      </w:r>
      <w:r>
        <w:rPr>
          <w:w w:val="115"/>
          <w:sz w:val="12"/>
        </w:rPr>
        <w:t>Interest</w:t>
      </w:r>
      <w:r>
        <w:rPr>
          <w:spacing w:val="-5"/>
          <w:w w:val="115"/>
          <w:sz w:val="12"/>
        </w:rPr>
        <w:t> </w:t>
      </w:r>
      <w:r>
        <w:rPr>
          <w:w w:val="115"/>
          <w:sz w:val="12"/>
        </w:rPr>
        <w:t>(a)</w:t>
        <w:tab/>
      </w:r>
      <w:r>
        <w:rPr>
          <w:w w:val="115"/>
          <w:position w:val="-3"/>
          <w:sz w:val="12"/>
        </w:rPr>
        <w:t>19</w:t>
      </w:r>
    </w:p>
    <w:p>
      <w:pPr>
        <w:tabs>
          <w:tab w:pos="790" w:val="left" w:leader="none"/>
          <w:tab w:pos="3874" w:val="right" w:leader="none"/>
        </w:tabs>
        <w:spacing w:line="208" w:lineRule="auto" w:before="0"/>
        <w:ind w:left="193" w:right="0" w:firstLine="0"/>
        <w:jc w:val="left"/>
        <w:rPr>
          <w:sz w:val="12"/>
        </w:rPr>
      </w:pPr>
      <w:r>
        <w:rPr/>
        <w:pict>
          <v:line style="position:absolute;mso-position-horizontal-relative:page;mso-position-vertical-relative:paragraph;z-index:-23527936" from="56.918pt,6.90159pt" to="52.584pt,6.90159pt" stroked="true" strokeweight=".5pt" strokecolor="#000000">
            <v:stroke dashstyle="solid"/>
            <w10:wrap type="none"/>
          </v:line>
        </w:pict>
      </w:r>
      <w:r>
        <w:rPr/>
        <w:pict>
          <v:line style="position:absolute;mso-position-horizontal-relative:page;mso-position-vertical-relative:paragraph;z-index:-23519232" from="214.317994pt,6.90159pt" to="209.983994pt,6.90159pt" stroked="true" strokeweight=".5pt" strokecolor="#000000">
            <v:stroke dashstyle="solid"/>
            <w10:wrap type="none"/>
          </v:line>
        </w:pict>
      </w:r>
      <w:r>
        <w:rPr>
          <w:w w:val="115"/>
          <w:position w:val="-5"/>
          <w:sz w:val="12"/>
        </w:rPr>
        <w:t>12</w:t>
        <w:tab/>
      </w:r>
      <w:r>
        <w:rPr>
          <w:w w:val="115"/>
          <w:sz w:val="12"/>
        </w:rPr>
        <w:t>(left-hand</w:t>
      </w:r>
      <w:r>
        <w:rPr>
          <w:spacing w:val="-6"/>
          <w:w w:val="115"/>
          <w:sz w:val="12"/>
        </w:rPr>
        <w:t> </w:t>
      </w:r>
      <w:r>
        <w:rPr>
          <w:w w:val="115"/>
          <w:sz w:val="12"/>
        </w:rPr>
        <w:t>scale)</w:t>
        <w:tab/>
      </w:r>
      <w:r>
        <w:rPr>
          <w:w w:val="115"/>
          <w:position w:val="-5"/>
          <w:sz w:val="12"/>
        </w:rPr>
        <w:t>18</w:t>
      </w:r>
    </w:p>
    <w:p>
      <w:pPr>
        <w:tabs>
          <w:tab w:pos="3728" w:val="left" w:leader="none"/>
        </w:tabs>
        <w:spacing w:before="24"/>
        <w:ind w:left="193" w:right="0" w:firstLine="0"/>
        <w:jc w:val="left"/>
        <w:rPr>
          <w:sz w:val="12"/>
        </w:rPr>
      </w:pPr>
      <w:r>
        <w:rPr/>
        <w:pict>
          <v:line style="position:absolute;mso-position-horizontal-relative:page;mso-position-vertical-relative:paragraph;z-index:-23526912" from="56.918pt,5.728213pt" to="52.584pt,5.728213pt" stroked="true" strokeweight=".5pt" strokecolor="#000000">
            <v:stroke dashstyle="solid"/>
            <w10:wrap type="none"/>
          </v:line>
        </w:pict>
      </w:r>
      <w:r>
        <w:rPr/>
        <w:pict>
          <v:line style="position:absolute;mso-position-horizontal-relative:page;mso-position-vertical-relative:paragraph;z-index:-23518208" from="214.317994pt,5.728213pt" to="209.983994pt,5.728213pt" stroked="true" strokeweight=".5pt" strokecolor="#000000">
            <v:stroke dashstyle="solid"/>
            <w10:wrap type="none"/>
          </v:line>
        </w:pict>
      </w:r>
      <w:r>
        <w:rPr>
          <w:w w:val="120"/>
          <w:sz w:val="12"/>
        </w:rPr>
        <w:t>10</w:t>
        <w:tab/>
        <w:t>17</w:t>
      </w:r>
    </w:p>
    <w:p>
      <w:pPr>
        <w:tabs>
          <w:tab w:pos="3728" w:val="left" w:leader="none"/>
        </w:tabs>
        <w:spacing w:before="32"/>
        <w:ind w:left="266" w:right="0" w:firstLine="0"/>
        <w:jc w:val="left"/>
        <w:rPr>
          <w:sz w:val="12"/>
        </w:rPr>
      </w:pPr>
      <w:r>
        <w:rPr/>
        <w:pict>
          <v:line style="position:absolute;mso-position-horizontal-relative:page;mso-position-vertical-relative:paragraph;z-index:-23526400" from="56.918pt,5.800152pt" to="52.584pt,5.800152pt" stroked="true" strokeweight=".5pt" strokecolor="#000000">
            <v:stroke dashstyle="solid"/>
            <w10:wrap type="none"/>
          </v:line>
        </w:pict>
      </w:r>
      <w:r>
        <w:rPr/>
        <w:pict>
          <v:line style="position:absolute;mso-position-horizontal-relative:page;mso-position-vertical-relative:paragraph;z-index:-23517696" from="214.317994pt,5.800152pt" to="209.983994pt,5.800152pt" stroked="true" strokeweight=".5pt" strokecolor="#000000">
            <v:stroke dashstyle="solid"/>
            <w10:wrap type="none"/>
          </v:line>
        </w:pict>
      </w:r>
      <w:r>
        <w:rPr>
          <w:w w:val="120"/>
          <w:sz w:val="12"/>
        </w:rPr>
        <w:t>8</w:t>
        <w:tab/>
        <w:t>16</w:t>
      </w:r>
    </w:p>
    <w:p>
      <w:pPr>
        <w:tabs>
          <w:tab w:pos="3728" w:val="left" w:leader="none"/>
        </w:tabs>
        <w:spacing w:line="134" w:lineRule="exact" w:before="22"/>
        <w:ind w:left="266" w:right="0" w:firstLine="0"/>
        <w:jc w:val="left"/>
        <w:rPr>
          <w:sz w:val="12"/>
        </w:rPr>
      </w:pPr>
      <w:r>
        <w:rPr/>
        <w:pict>
          <v:line style="position:absolute;mso-position-horizontal-relative:page;mso-position-vertical-relative:paragraph;z-index:-23525888" from="56.918pt,5.102335pt" to="52.584pt,5.102335pt" stroked="true" strokeweight=".5pt" strokecolor="#000000">
            <v:stroke dashstyle="solid"/>
            <w10:wrap type="none"/>
          </v:line>
        </w:pict>
      </w:r>
      <w:r>
        <w:rPr/>
        <w:pict>
          <v:line style="position:absolute;mso-position-horizontal-relative:page;mso-position-vertical-relative:paragraph;z-index:-23517184" from="214.317994pt,5.102335pt" to="209.983994pt,5.102335pt" stroked="true" strokeweight=".5pt" strokecolor="#000000">
            <v:stroke dashstyle="solid"/>
            <w10:wrap type="none"/>
          </v:line>
        </w:pict>
      </w:r>
      <w:r>
        <w:rPr>
          <w:w w:val="120"/>
          <w:sz w:val="12"/>
        </w:rPr>
        <w:t>6</w:t>
        <w:tab/>
        <w:t>15</w:t>
      </w:r>
    </w:p>
    <w:p>
      <w:pPr>
        <w:tabs>
          <w:tab w:pos="1459" w:val="left" w:leader="none"/>
          <w:tab w:pos="3874" w:val="right" w:leader="none"/>
        </w:tabs>
        <w:spacing w:line="155" w:lineRule="exact" w:before="0"/>
        <w:ind w:left="266" w:right="0" w:firstLine="0"/>
        <w:jc w:val="left"/>
        <w:rPr>
          <w:sz w:val="12"/>
        </w:rPr>
      </w:pPr>
      <w:r>
        <w:rPr/>
        <w:pict>
          <v:line style="position:absolute;mso-position-horizontal-relative:page;mso-position-vertical-relative:paragraph;z-index:-23525376" from="56.918pt,5.100293pt" to="52.584pt,5.100293pt" stroked="true" strokeweight=".5pt" strokecolor="#000000">
            <v:stroke dashstyle="solid"/>
            <w10:wrap type="none"/>
          </v:line>
        </w:pict>
      </w:r>
      <w:r>
        <w:rPr/>
        <w:pict>
          <v:line style="position:absolute;mso-position-horizontal-relative:page;mso-position-vertical-relative:paragraph;z-index:-23516672" from="214.317994pt,5.100293pt" to="209.983994pt,5.100293pt" stroked="true" strokeweight=".5pt" strokecolor="#000000">
            <v:stroke dashstyle="solid"/>
            <w10:wrap type="none"/>
          </v:line>
        </w:pict>
      </w:r>
      <w:r>
        <w:rPr>
          <w:w w:val="115"/>
          <w:position w:val="-2"/>
          <w:sz w:val="12"/>
        </w:rPr>
        <w:t>4</w:t>
        <w:tab/>
      </w:r>
      <w:r>
        <w:rPr>
          <w:w w:val="115"/>
          <w:sz w:val="12"/>
        </w:rPr>
        <w:t>Capital</w:t>
      </w:r>
      <w:r>
        <w:rPr>
          <w:spacing w:val="-6"/>
          <w:w w:val="115"/>
          <w:sz w:val="12"/>
        </w:rPr>
        <w:t> </w:t>
      </w:r>
      <w:r>
        <w:rPr>
          <w:w w:val="115"/>
          <w:sz w:val="12"/>
        </w:rPr>
        <w:t>(b)</w:t>
        <w:tab/>
      </w:r>
      <w:r>
        <w:rPr>
          <w:w w:val="115"/>
          <w:position w:val="-2"/>
          <w:sz w:val="12"/>
        </w:rPr>
        <w:t>14</w:t>
      </w:r>
    </w:p>
    <w:p>
      <w:pPr>
        <w:tabs>
          <w:tab w:pos="1482" w:val="left" w:leader="none"/>
          <w:tab w:pos="3874" w:val="right" w:leader="none"/>
        </w:tabs>
        <w:spacing w:line="218" w:lineRule="auto" w:before="0"/>
        <w:ind w:left="266" w:right="0" w:firstLine="0"/>
        <w:jc w:val="left"/>
        <w:rPr>
          <w:sz w:val="12"/>
        </w:rPr>
      </w:pPr>
      <w:r>
        <w:rPr/>
        <w:pict>
          <v:line style="position:absolute;mso-position-horizontal-relative:page;mso-position-vertical-relative:paragraph;z-index:-23524864" from="56.918pt,5.912784pt" to="52.584pt,5.912784pt" stroked="true" strokeweight=".5pt" strokecolor="#000000">
            <v:stroke dashstyle="solid"/>
            <w10:wrap type="none"/>
          </v:line>
        </w:pict>
      </w:r>
      <w:r>
        <w:rPr/>
        <w:pict>
          <v:line style="position:absolute;mso-position-horizontal-relative:page;mso-position-vertical-relative:paragraph;z-index:-23516160" from="214.317994pt,5.912784pt" to="209.983994pt,5.912784pt" stroked="true" strokeweight=".5pt" strokecolor="#000000">
            <v:stroke dashstyle="solid"/>
            <w10:wrap type="none"/>
          </v:line>
        </w:pict>
      </w:r>
      <w:r>
        <w:rPr>
          <w:w w:val="115"/>
          <w:position w:val="-4"/>
          <w:sz w:val="12"/>
        </w:rPr>
        <w:t>2</w:t>
        <w:tab/>
      </w:r>
      <w:r>
        <w:rPr>
          <w:w w:val="115"/>
          <w:sz w:val="12"/>
        </w:rPr>
        <w:t>(right-hand</w:t>
      </w:r>
      <w:r>
        <w:rPr>
          <w:spacing w:val="-6"/>
          <w:w w:val="115"/>
          <w:sz w:val="12"/>
        </w:rPr>
        <w:t> </w:t>
      </w:r>
      <w:r>
        <w:rPr>
          <w:w w:val="115"/>
          <w:sz w:val="12"/>
        </w:rPr>
        <w:t>scale)</w:t>
        <w:tab/>
      </w:r>
      <w:r>
        <w:rPr>
          <w:w w:val="115"/>
          <w:position w:val="-4"/>
          <w:sz w:val="12"/>
        </w:rPr>
        <w:t>13</w:t>
      </w:r>
    </w:p>
    <w:p>
      <w:pPr>
        <w:tabs>
          <w:tab w:pos="3688" w:val="left" w:leader="none"/>
        </w:tabs>
        <w:spacing w:line="126" w:lineRule="exact" w:before="22"/>
        <w:ind w:left="226" w:right="0" w:firstLine="0"/>
        <w:jc w:val="center"/>
        <w:rPr>
          <w:sz w:val="12"/>
        </w:rPr>
      </w:pPr>
      <w:r>
        <w:rPr/>
        <w:pict>
          <v:shape style="position:absolute;margin-left:52.584pt;margin-top:1.319335pt;width:152.5pt;height:3.35pt;mso-position-horizontal-relative:page;mso-position-vertical-relative:paragraph;z-index:-23524352" coordorigin="1052,26" coordsize="3050,67" path="m1138,93l1052,93m1208,26l1208,80m1359,26l1359,80m1521,26l1521,80m1671,26l1671,80m1992,26l1992,80m2154,26l2154,80m2288,26l2288,80m1833,26l1833,80m2600,26l2600,80m2761,26l2761,80m2920,26l2920,80m2449,26l2449,80m3223,26l3223,80m3392,26l3392,80m3080,26l3080,80m1209,82l4101,82m3547,26l3547,80m3850,26l3850,80m4019,26l4019,80m3707,26l3707,80e" filled="false" stroked="true" strokeweight=".5pt" strokecolor="#000000">
            <v:path arrowok="t"/>
            <v:stroke dashstyle="solid"/>
            <w10:wrap type="none"/>
          </v:shape>
        </w:pict>
      </w:r>
      <w:r>
        <w:rPr/>
        <w:pict>
          <v:line style="position:absolute;mso-position-horizontal-relative:page;mso-position-vertical-relative:paragraph;z-index:-23515648" from="214.317994pt,4.645335pt" to="209.983994pt,4.645335pt" stroked="true" strokeweight=".5pt" strokecolor="#000000">
            <v:stroke dashstyle="solid"/>
            <w10:wrap type="none"/>
          </v:line>
        </w:pict>
      </w:r>
      <w:r>
        <w:rPr>
          <w:w w:val="120"/>
          <w:sz w:val="12"/>
        </w:rPr>
        <w:t>0</w:t>
        <w:tab/>
        <w:t>12</w:t>
      </w:r>
    </w:p>
    <w:p>
      <w:pPr>
        <w:spacing w:line="126" w:lineRule="exact" w:before="0"/>
        <w:ind w:left="202" w:right="0" w:firstLine="0"/>
        <w:jc w:val="center"/>
        <w:rPr>
          <w:sz w:val="12"/>
        </w:rPr>
      </w:pPr>
      <w:r>
        <w:rPr>
          <w:w w:val="120"/>
          <w:sz w:val="12"/>
        </w:rPr>
        <w:t>1982 84 86 88 90 92 94 96 98 2000</w:t>
      </w:r>
    </w:p>
    <w:p>
      <w:pPr>
        <w:spacing w:before="39"/>
        <w:ind w:left="158" w:right="1868" w:firstLine="0"/>
        <w:jc w:val="center"/>
        <w:rPr>
          <w:sz w:val="12"/>
        </w:rPr>
      </w:pPr>
      <w:r>
        <w:rPr>
          <w:w w:val="105"/>
          <w:sz w:val="12"/>
        </w:rPr>
        <w:t>Sources: ONS and Bank of England.</w:t>
      </w:r>
    </w:p>
    <w:p>
      <w:pPr>
        <w:pStyle w:val="ListParagraph"/>
        <w:numPr>
          <w:ilvl w:val="0"/>
          <w:numId w:val="5"/>
        </w:numPr>
        <w:tabs>
          <w:tab w:pos="416" w:val="left" w:leader="none"/>
        </w:tabs>
        <w:spacing w:line="129" w:lineRule="exact" w:before="102" w:after="0"/>
        <w:ind w:left="415" w:right="0" w:hanging="241"/>
        <w:jc w:val="left"/>
        <w:rPr>
          <w:sz w:val="12"/>
        </w:rPr>
      </w:pPr>
      <w:r>
        <w:rPr>
          <w:w w:val="105"/>
          <w:sz w:val="12"/>
        </w:rPr>
        <w:t>Defined as gross interest</w:t>
      </w:r>
      <w:r>
        <w:rPr>
          <w:spacing w:val="-7"/>
          <w:w w:val="105"/>
          <w:sz w:val="12"/>
        </w:rPr>
        <w:t> </w:t>
      </w:r>
      <w:r>
        <w:rPr>
          <w:w w:val="105"/>
          <w:sz w:val="12"/>
        </w:rPr>
        <w:t>payments.</w:t>
      </w:r>
    </w:p>
    <w:p>
      <w:pPr>
        <w:pStyle w:val="ListParagraph"/>
        <w:numPr>
          <w:ilvl w:val="0"/>
          <w:numId w:val="5"/>
        </w:numPr>
        <w:tabs>
          <w:tab w:pos="416" w:val="left" w:leader="none"/>
        </w:tabs>
        <w:spacing w:line="208" w:lineRule="auto" w:before="6" w:after="0"/>
        <w:ind w:left="415" w:right="437" w:hanging="240"/>
        <w:jc w:val="left"/>
        <w:rPr>
          <w:sz w:val="12"/>
        </w:rPr>
      </w:pPr>
      <w:r>
        <w:rPr>
          <w:w w:val="110"/>
          <w:sz w:val="12"/>
        </w:rPr>
        <w:t>Defined</w:t>
      </w:r>
      <w:r>
        <w:rPr>
          <w:spacing w:val="-10"/>
          <w:w w:val="110"/>
          <w:sz w:val="12"/>
        </w:rPr>
        <w:t> </w:t>
      </w:r>
      <w:r>
        <w:rPr>
          <w:w w:val="110"/>
          <w:sz w:val="12"/>
        </w:rPr>
        <w:t>as</w:t>
      </w:r>
      <w:r>
        <w:rPr>
          <w:spacing w:val="-9"/>
          <w:w w:val="110"/>
          <w:sz w:val="12"/>
        </w:rPr>
        <w:t> </w:t>
      </w:r>
      <w:r>
        <w:rPr>
          <w:w w:val="110"/>
          <w:sz w:val="12"/>
        </w:rPr>
        <w:t>the</w:t>
      </w:r>
      <w:r>
        <w:rPr>
          <w:spacing w:val="-10"/>
          <w:w w:val="110"/>
          <w:sz w:val="12"/>
        </w:rPr>
        <w:t> </w:t>
      </w:r>
      <w:r>
        <w:rPr>
          <w:w w:val="110"/>
          <w:sz w:val="12"/>
        </w:rPr>
        <w:t>stock</w:t>
      </w:r>
      <w:r>
        <w:rPr>
          <w:spacing w:val="-9"/>
          <w:w w:val="110"/>
          <w:sz w:val="12"/>
        </w:rPr>
        <w:t> </w:t>
      </w:r>
      <w:r>
        <w:rPr>
          <w:w w:val="110"/>
          <w:sz w:val="12"/>
        </w:rPr>
        <w:t>of</w:t>
      </w:r>
      <w:r>
        <w:rPr>
          <w:spacing w:val="-9"/>
          <w:w w:val="110"/>
          <w:sz w:val="12"/>
        </w:rPr>
        <w:t> </w:t>
      </w:r>
      <w:r>
        <w:rPr>
          <w:w w:val="110"/>
          <w:sz w:val="12"/>
        </w:rPr>
        <w:t>lending</w:t>
      </w:r>
      <w:r>
        <w:rPr>
          <w:spacing w:val="-10"/>
          <w:w w:val="110"/>
          <w:sz w:val="12"/>
        </w:rPr>
        <w:t> </w:t>
      </w:r>
      <w:r>
        <w:rPr>
          <w:w w:val="110"/>
          <w:sz w:val="12"/>
        </w:rPr>
        <w:t>to</w:t>
      </w:r>
      <w:r>
        <w:rPr>
          <w:spacing w:val="-9"/>
          <w:w w:val="110"/>
          <w:sz w:val="12"/>
        </w:rPr>
        <w:t> </w:t>
      </w:r>
      <w:r>
        <w:rPr>
          <w:w w:val="110"/>
          <w:sz w:val="12"/>
        </w:rPr>
        <w:t>the</w:t>
      </w:r>
      <w:r>
        <w:rPr>
          <w:spacing w:val="-9"/>
          <w:w w:val="110"/>
          <w:sz w:val="12"/>
        </w:rPr>
        <w:t> </w:t>
      </w:r>
      <w:r>
        <w:rPr>
          <w:w w:val="110"/>
          <w:sz w:val="12"/>
        </w:rPr>
        <w:t>household</w:t>
      </w:r>
      <w:r>
        <w:rPr>
          <w:spacing w:val="-10"/>
          <w:w w:val="110"/>
          <w:sz w:val="12"/>
        </w:rPr>
        <w:t> </w:t>
      </w:r>
      <w:r>
        <w:rPr>
          <w:w w:val="110"/>
          <w:sz w:val="12"/>
        </w:rPr>
        <w:t>sector</w:t>
      </w:r>
      <w:r>
        <w:rPr>
          <w:spacing w:val="-9"/>
          <w:w w:val="110"/>
          <w:sz w:val="12"/>
        </w:rPr>
        <w:t> </w:t>
      </w:r>
      <w:r>
        <w:rPr>
          <w:w w:val="110"/>
          <w:sz w:val="12"/>
        </w:rPr>
        <w:t>as</w:t>
      </w:r>
      <w:r>
        <w:rPr>
          <w:spacing w:val="-10"/>
          <w:w w:val="110"/>
          <w:sz w:val="12"/>
        </w:rPr>
        <w:t> </w:t>
      </w:r>
      <w:r>
        <w:rPr>
          <w:w w:val="110"/>
          <w:sz w:val="12"/>
        </w:rPr>
        <w:t>a share</w:t>
      </w:r>
      <w:r>
        <w:rPr>
          <w:spacing w:val="-5"/>
          <w:w w:val="110"/>
          <w:sz w:val="12"/>
        </w:rPr>
        <w:t> </w:t>
      </w:r>
      <w:r>
        <w:rPr>
          <w:w w:val="110"/>
          <w:sz w:val="12"/>
        </w:rPr>
        <w:t>of</w:t>
      </w:r>
      <w:r>
        <w:rPr>
          <w:spacing w:val="-5"/>
          <w:w w:val="110"/>
          <w:sz w:val="12"/>
        </w:rPr>
        <w:t> </w:t>
      </w:r>
      <w:r>
        <w:rPr>
          <w:w w:val="110"/>
          <w:sz w:val="12"/>
        </w:rPr>
        <w:t>housing</w:t>
      </w:r>
      <w:r>
        <w:rPr>
          <w:spacing w:val="-5"/>
          <w:w w:val="110"/>
          <w:sz w:val="12"/>
        </w:rPr>
        <w:t> </w:t>
      </w:r>
      <w:r>
        <w:rPr>
          <w:w w:val="110"/>
          <w:sz w:val="12"/>
        </w:rPr>
        <w:t>and</w:t>
      </w:r>
      <w:r>
        <w:rPr>
          <w:spacing w:val="-5"/>
          <w:w w:val="110"/>
          <w:sz w:val="12"/>
        </w:rPr>
        <w:t> </w:t>
      </w:r>
      <w:r>
        <w:rPr>
          <w:w w:val="110"/>
          <w:sz w:val="12"/>
        </w:rPr>
        <w:t>net</w:t>
      </w:r>
      <w:r>
        <w:rPr>
          <w:spacing w:val="-5"/>
          <w:w w:val="110"/>
          <w:sz w:val="12"/>
        </w:rPr>
        <w:t> </w:t>
      </w:r>
      <w:r>
        <w:rPr>
          <w:w w:val="110"/>
          <w:sz w:val="12"/>
        </w:rPr>
        <w:t>financial</w:t>
      </w:r>
      <w:r>
        <w:rPr>
          <w:spacing w:val="-5"/>
          <w:w w:val="110"/>
          <w:sz w:val="12"/>
        </w:rPr>
        <w:t> </w:t>
      </w:r>
      <w:r>
        <w:rPr>
          <w:w w:val="110"/>
          <w:sz w:val="12"/>
        </w:rPr>
        <w:t>wealth.</w:t>
      </w:r>
    </w:p>
    <w:p>
      <w:pPr>
        <w:pStyle w:val="BodyText"/>
        <w:spacing w:line="142" w:lineRule="exact"/>
        <w:ind w:left="175"/>
      </w:pPr>
      <w:r>
        <w:rPr/>
        <w:br w:type="column"/>
      </w:r>
      <w:r>
        <w:rPr>
          <w:w w:val="110"/>
        </w:rPr>
        <w:t>expenditure on financial assets, such as the acquisition of</w:t>
      </w:r>
    </w:p>
    <w:p>
      <w:pPr>
        <w:pStyle w:val="BodyText"/>
        <w:spacing w:line="292" w:lineRule="auto" w:before="50"/>
        <w:ind w:left="175" w:right="75"/>
      </w:pPr>
      <w:r>
        <w:rPr>
          <w:w w:val="105"/>
        </w:rPr>
        <w:t>other companies, some overseas, and of mobile telecommunications licences. A slower rate of growth of corporate borrowing in Q4 probably reflected, in turn, a fall in funding requirements for the acquisition of financial assets following the completion of telecommunications licence payments. However, PNFCs’ broader external financing remained at a very high level in Q4 (see Chart 1.9).</w:t>
      </w:r>
    </w:p>
    <w:p>
      <w:pPr>
        <w:spacing w:after="0" w:line="292" w:lineRule="auto"/>
        <w:sectPr>
          <w:type w:val="continuous"/>
          <w:pgSz w:w="11900" w:h="16840"/>
          <w:pgMar w:top="1260" w:bottom="280" w:left="640" w:right="640"/>
          <w:cols w:num="2" w:equalWidth="0">
            <w:col w:w="3915" w:space="1004"/>
            <w:col w:w="5701"/>
          </w:cols>
        </w:sectPr>
      </w:pPr>
    </w:p>
    <w:p>
      <w:pPr>
        <w:pStyle w:val="BodyText"/>
        <w:spacing w:before="2"/>
        <w:rPr>
          <w:sz w:val="13"/>
        </w:rPr>
      </w:pPr>
    </w:p>
    <w:p>
      <w:pPr>
        <w:spacing w:after="0"/>
        <w:rPr>
          <w:sz w:val="13"/>
        </w:rPr>
        <w:sectPr>
          <w:type w:val="continuous"/>
          <w:pgSz w:w="11900" w:h="16840"/>
          <w:pgMar w:top="1260" w:bottom="280" w:left="640" w:right="640"/>
        </w:sectPr>
      </w:pPr>
    </w:p>
    <w:p>
      <w:pPr>
        <w:pStyle w:val="Heading6"/>
        <w:spacing w:before="97"/>
        <w:ind w:left="174"/>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1.9</w:t>
      </w:r>
    </w:p>
    <w:p>
      <w:pPr>
        <w:spacing w:before="8"/>
        <w:ind w:left="174" w:right="0" w:firstLine="0"/>
        <w:jc w:val="left"/>
        <w:rPr>
          <w:rFonts w:ascii="Trebuchet MS" w:hAnsi="Trebuchet MS"/>
          <w:b/>
          <w:sz w:val="20"/>
        </w:rPr>
      </w:pPr>
      <w:r>
        <w:rPr>
          <w:rFonts w:ascii="Trebuchet MS" w:hAnsi="Trebuchet MS"/>
          <w:b/>
          <w:color w:val="89C6DC"/>
          <w:spacing w:val="-3"/>
          <w:w w:val="90"/>
          <w:sz w:val="20"/>
        </w:rPr>
        <w:t>PNFCs’ </w:t>
      </w:r>
      <w:r>
        <w:rPr>
          <w:rFonts w:ascii="Trebuchet MS" w:hAnsi="Trebuchet MS"/>
          <w:b/>
          <w:color w:val="89C6DC"/>
          <w:w w:val="90"/>
          <w:sz w:val="20"/>
        </w:rPr>
        <w:t>external</w:t>
      </w:r>
      <w:r>
        <w:rPr>
          <w:rFonts w:ascii="Trebuchet MS" w:hAnsi="Trebuchet MS"/>
          <w:b/>
          <w:color w:val="89C6DC"/>
          <w:spacing w:val="-32"/>
          <w:w w:val="90"/>
          <w:sz w:val="20"/>
        </w:rPr>
        <w:t> </w:t>
      </w:r>
      <w:r>
        <w:rPr>
          <w:rFonts w:ascii="Trebuchet MS" w:hAnsi="Trebuchet MS"/>
          <w:b/>
          <w:color w:val="89C6DC"/>
          <w:w w:val="90"/>
          <w:sz w:val="20"/>
        </w:rPr>
        <w:t>finance</w:t>
      </w:r>
    </w:p>
    <w:p>
      <w:pPr>
        <w:pStyle w:val="BodyText"/>
        <w:spacing w:before="10" w:after="40"/>
        <w:rPr>
          <w:rFonts w:ascii="Trebuchet MS"/>
          <w:b/>
          <w:sz w:val="21"/>
        </w:rPr>
      </w:pPr>
    </w:p>
    <w:p>
      <w:pPr>
        <w:pStyle w:val="BodyText"/>
        <w:spacing w:line="20" w:lineRule="exact"/>
        <w:ind w:left="159"/>
        <w:rPr>
          <w:rFonts w:ascii="Trebuchet MS"/>
          <w:sz w:val="2"/>
        </w:rPr>
      </w:pPr>
      <w:r>
        <w:rPr>
          <w:rFonts w:ascii="Trebuchet MS"/>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rFonts w:ascii="Trebuchet MS"/>
          <w:sz w:val="2"/>
        </w:rPr>
      </w:r>
    </w:p>
    <w:p>
      <w:pPr>
        <w:pStyle w:val="BodyText"/>
        <w:rPr>
          <w:rFonts w:ascii="Trebuchet MS"/>
          <w:b/>
        </w:rPr>
      </w:pPr>
    </w:p>
    <w:p>
      <w:pPr>
        <w:pStyle w:val="BodyText"/>
        <w:spacing w:before="2"/>
        <w:rPr>
          <w:rFonts w:ascii="Trebuchet MS"/>
          <w:b/>
          <w:sz w:val="16"/>
        </w:rPr>
      </w:pPr>
      <w:r>
        <w:rPr/>
        <w:pict>
          <v:shape style="position:absolute;margin-left:40.242001pt;margin-top:11.615672pt;width:4.350pt;height:.1pt;mso-position-horizontal-relative:page;mso-position-vertical-relative:paragraph;z-index:-15663104;mso-wrap-distance-left:0;mso-wrap-distance-right:0" coordorigin="805,232" coordsize="87,0" path="m805,232l892,232e" filled="false" stroked="true" strokeweight=".5pt" strokecolor="#000000">
            <v:path arrowok="t"/>
            <v:stroke dashstyle="solid"/>
            <w10:wrap type="topAndBottom"/>
          </v:shape>
        </w:pict>
      </w:r>
    </w:p>
    <w:p>
      <w:pPr>
        <w:pStyle w:val="BodyText"/>
        <w:rPr>
          <w:rFonts w:ascii="Trebuchet MS"/>
          <w:b/>
        </w:rPr>
      </w:pPr>
    </w:p>
    <w:p>
      <w:pPr>
        <w:pStyle w:val="BodyText"/>
        <w:spacing w:before="6"/>
        <w:rPr>
          <w:rFonts w:ascii="Trebuchet MS"/>
          <w:b/>
          <w:sz w:val="14"/>
        </w:rPr>
      </w:pPr>
      <w:r>
        <w:rPr/>
        <w:pict>
          <v:shape style="position:absolute;margin-left:40.242001pt;margin-top:10.664672pt;width:4.350pt;height:.1pt;mso-position-horizontal-relative:page;mso-position-vertical-relative:paragraph;z-index:-15662592;mso-wrap-distance-left:0;mso-wrap-distance-right:0" coordorigin="805,213" coordsize="87,0" path="m805,213l892,213e" filled="false" stroked="true" strokeweight=".5pt" strokecolor="#000000">
            <v:path arrowok="t"/>
            <v:stroke dashstyle="solid"/>
            <w10:wrap type="topAndBottom"/>
          </v:shape>
        </w:pict>
      </w:r>
    </w:p>
    <w:p>
      <w:pPr>
        <w:pStyle w:val="BodyText"/>
        <w:rPr>
          <w:rFonts w:ascii="Trebuchet MS"/>
          <w:b/>
        </w:rPr>
      </w:pPr>
    </w:p>
    <w:p>
      <w:pPr>
        <w:pStyle w:val="BodyText"/>
        <w:spacing w:before="6"/>
        <w:rPr>
          <w:rFonts w:ascii="Trebuchet MS"/>
          <w:b/>
          <w:sz w:val="14"/>
        </w:rPr>
      </w:pPr>
      <w:r>
        <w:rPr/>
        <w:pict>
          <v:shape style="position:absolute;margin-left:40.242001pt;margin-top:10.664672pt;width:4.350pt;height:.1pt;mso-position-horizontal-relative:page;mso-position-vertical-relative:paragraph;z-index:-15662080;mso-wrap-distance-left:0;mso-wrap-distance-right:0" coordorigin="805,213" coordsize="87,0" path="m805,213l892,213e" filled="false" stroked="true" strokeweight=".5pt" strokecolor="#000000">
            <v:path arrowok="t"/>
            <v:stroke dashstyle="solid"/>
            <w10:wrap type="topAndBottom"/>
          </v:shape>
        </w:pict>
      </w:r>
    </w:p>
    <w:p>
      <w:pPr>
        <w:pStyle w:val="BodyText"/>
        <w:rPr>
          <w:rFonts w:ascii="Trebuchet MS"/>
          <w:b/>
        </w:rPr>
      </w:pPr>
    </w:p>
    <w:p>
      <w:pPr>
        <w:pStyle w:val="BodyText"/>
        <w:spacing w:before="6"/>
        <w:rPr>
          <w:rFonts w:ascii="Trebuchet MS"/>
          <w:b/>
          <w:sz w:val="14"/>
        </w:rPr>
      </w:pPr>
      <w:r>
        <w:rPr/>
        <w:pict>
          <v:shape style="position:absolute;margin-left:40.242001pt;margin-top:10.665672pt;width:4.350pt;height:.1pt;mso-position-horizontal-relative:page;mso-position-vertical-relative:paragraph;z-index:-15661568;mso-wrap-distance-left:0;mso-wrap-distance-right:0" coordorigin="805,213" coordsize="87,0" path="m805,213l892,213e" filled="false" stroked="true" strokeweight=".5pt" strokecolor="#000000">
            <v:path arrowok="t"/>
            <v:stroke dashstyle="solid"/>
            <w10:wrap type="topAndBottom"/>
          </v:shape>
        </w:pict>
      </w:r>
    </w:p>
    <w:p>
      <w:pPr>
        <w:pStyle w:val="BodyText"/>
        <w:rPr>
          <w:rFonts w:ascii="Trebuchet MS"/>
          <w:b/>
        </w:rPr>
      </w:pPr>
    </w:p>
    <w:p>
      <w:pPr>
        <w:pStyle w:val="BodyText"/>
        <w:spacing w:before="6"/>
        <w:rPr>
          <w:rFonts w:ascii="Trebuchet MS"/>
          <w:b/>
          <w:sz w:val="14"/>
        </w:rPr>
      </w:pPr>
      <w:r>
        <w:rPr/>
        <w:pict>
          <v:shape style="position:absolute;margin-left:40.242001pt;margin-top:10.664672pt;width:4.350pt;height:.1pt;mso-position-horizontal-relative:page;mso-position-vertical-relative:paragraph;z-index:-15661056;mso-wrap-distance-left:0;mso-wrap-distance-right:0" coordorigin="805,213" coordsize="87,0" path="m805,213l892,213e" filled="false" stroked="true" strokeweight=".5pt" strokecolor="#000000">
            <v:path arrowok="t"/>
            <v:stroke dashstyle="solid"/>
            <w10:wrap type="topAndBottom"/>
          </v:shape>
        </w:pic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1"/>
        </w:rPr>
      </w:pPr>
    </w:p>
    <w:p>
      <w:pPr>
        <w:spacing w:line="127" w:lineRule="exact" w:before="0"/>
        <w:ind w:left="86" w:right="0" w:firstLine="0"/>
        <w:jc w:val="left"/>
        <w:rPr>
          <w:sz w:val="12"/>
        </w:rPr>
      </w:pPr>
      <w:r>
        <w:rPr>
          <w:w w:val="115"/>
          <w:sz w:val="12"/>
        </w:rPr>
        <w:t>£ billions per quarter</w:t>
      </w:r>
    </w:p>
    <w:p>
      <w:pPr>
        <w:spacing w:line="127" w:lineRule="exact" w:before="0"/>
        <w:ind w:left="1223" w:right="0" w:firstLine="0"/>
        <w:jc w:val="left"/>
        <w:rPr>
          <w:sz w:val="12"/>
        </w:rPr>
      </w:pPr>
      <w:r>
        <w:rPr/>
        <w:pict>
          <v:line style="position:absolute;mso-position-horizontal-relative:page;mso-position-vertical-relative:paragraph;z-index:15817216" from="197.065002pt,2.885046pt" to="201.397002pt,2.885046pt" stroked="true" strokeweight=".5pt" strokecolor="#000000">
            <v:stroke dashstyle="solid"/>
            <w10:wrap type="none"/>
          </v:line>
        </w:pict>
      </w:r>
      <w:r>
        <w:rPr>
          <w:w w:val="120"/>
          <w:sz w:val="12"/>
        </w:rPr>
        <w:t>25</w:t>
      </w:r>
    </w:p>
    <w:p>
      <w:pPr>
        <w:pStyle w:val="BodyText"/>
        <w:rPr>
          <w:sz w:val="12"/>
        </w:rPr>
      </w:pPr>
    </w:p>
    <w:p>
      <w:pPr>
        <w:pStyle w:val="BodyText"/>
        <w:spacing w:before="7"/>
        <w:rPr>
          <w:sz w:val="17"/>
        </w:rPr>
      </w:pPr>
    </w:p>
    <w:p>
      <w:pPr>
        <w:spacing w:before="1"/>
        <w:ind w:left="0" w:right="38" w:firstLine="0"/>
        <w:jc w:val="right"/>
        <w:rPr>
          <w:sz w:val="12"/>
        </w:rPr>
      </w:pPr>
      <w:r>
        <w:rPr/>
        <w:pict>
          <v:group style="position:absolute;margin-left:48.375pt;margin-top:-5.932452pt;width:153.050pt;height:116.7pt;mso-position-horizontal-relative:page;mso-position-vertical-relative:paragraph;z-index:15815680" coordorigin="968,-119" coordsize="3061,2334">
            <v:line style="position:absolute" from="973,1988" to="3867,1988" stroked="true" strokeweight=".5pt" strokecolor="#000000">
              <v:stroke dashstyle="solid"/>
            </v:line>
            <v:shape style="position:absolute;left:2971;top:1931;width:103;height:58" coordorigin="2971,1931" coordsize="103,58" path="m2971,1931l2971,1989m3074,1931l3074,1989e" filled="false" stroked="true" strokeweight=".625pt" strokecolor="#000000">
              <v:path arrowok="t"/>
              <v:stroke dashstyle="solid"/>
            </v:shape>
            <v:shape style="position:absolute;left:977;top:1378;width:215;height:590" coordorigin="978,1379" coordsize="215,590" path="m978,1969l1035,1714m1035,1714l1080,1634m1080,1634l1138,1616m1138,1616l1193,1379e" filled="false" stroked="true" strokeweight="1pt" strokecolor="#de0035">
              <v:path arrowok="t"/>
              <v:stroke dashstyle="solid"/>
            </v:shape>
            <v:line style="position:absolute" from="1183,1380" to="1248,1380" stroked="true" strokeweight="1.125pt" strokecolor="#de0035">
              <v:stroke dashstyle="solid"/>
            </v:line>
            <v:shape style="position:absolute;left:1237;top:1041;width:635;height:1103" coordorigin="1238,1041" coordsize="635,1103" path="m1238,1379l1295,1474m1295,1474l1340,1361m1340,1361l1398,1379m1398,1379l1453,1266m1453,1266l1500,1041m1500,1041l1555,1394m1555,1394l1613,1426m1613,1426l1658,1489m1658,1489l1715,1746m1715,1746l1770,1634m1770,1634l1815,1729m1815,1729l1873,2144e" filled="false" stroked="true" strokeweight="1pt" strokecolor="#de0035">
              <v:path arrowok="t"/>
              <v:stroke dashstyle="solid"/>
            </v:shape>
            <v:shape style="position:absolute;left:1862;top:1863;width:755;height:338" type="#_x0000_t75" stroked="false">
              <v:imagedata r:id="rId44" o:title=""/>
            </v:shape>
            <v:line style="position:absolute" from="2630,1399" to="2630,1884" stroked="true" strokeweight="3.25pt" strokecolor="#de0035">
              <v:stroke dashstyle="solid"/>
            </v:line>
            <v:shape style="position:absolute;left:2652;top:1378;width:273;height:398" coordorigin="2653,1379" coordsize="273,398" path="m2653,1409l2710,1776m2710,1776l2768,1616m2768,1616l2813,1441m2813,1441l2868,1379m2868,1379l2925,1554e" filled="false" stroked="true" strokeweight="1pt" strokecolor="#de0035">
              <v:path arrowok="t"/>
              <v:stroke dashstyle="solid"/>
            </v:shape>
            <v:line style="position:absolute" from="2948,1544" to="2948,2026" stroked="true" strokeweight="3.25pt" strokecolor="#de0035">
              <v:stroke dashstyle="solid"/>
            </v:line>
            <v:shape style="position:absolute;left:2960;top:1623;width:653;height:403" type="#_x0000_t75" stroked="false">
              <v:imagedata r:id="rId45" o:title=""/>
            </v:shape>
            <v:line style="position:absolute" from="3626,1271" to="3626,1834" stroked="true" strokeweight="3.375pt" strokecolor="#de0035">
              <v:stroke dashstyle="solid"/>
            </v:line>
            <v:line style="position:absolute" from="3640,1283" to="3715,1283" stroked="true" strokeweight="1.125pt" strokecolor="#de0035">
              <v:stroke dashstyle="solid"/>
            </v:line>
            <v:shape style="position:absolute;left:3705;top:1121;width:103;height:160" coordorigin="3705,1121" coordsize="103,160" path="m3705,1281l3763,1219m3763,1219l3808,1121e" filled="false" stroked="true" strokeweight="1pt" strokecolor="#de0035">
              <v:path arrowok="t"/>
              <v:stroke dashstyle="solid"/>
            </v:shape>
            <v:line style="position:absolute" from="3836,1111" to="3836,1834" stroked="true" strokeweight="3.875pt" strokecolor="#de0035">
              <v:stroke dashstyle="solid"/>
            </v:line>
            <v:shape style="position:absolute;left:977;top:243;width:635;height:1038" coordorigin="978,244" coordsize="635,1038" path="m978,1281l1035,881m1035,881l1080,484m1080,484l1138,739m1138,739l1193,626m1193,626l1238,801m1238,801l1295,994m1295,994l1340,594m1340,594l1398,771m1398,771l1453,626m1453,626l1500,244m1500,244l1555,979m1555,979l1613,801e" filled="false" stroked="true" strokeweight="1pt" strokecolor="#008360">
              <v:path arrowok="t"/>
              <v:stroke dashstyle="solid"/>
            </v:shape>
            <v:line style="position:absolute" from="1635,791" to="1635,1309" stroked="true" strokeweight="3.25pt" strokecolor="#008360">
              <v:stroke dashstyle="solid"/>
            </v:line>
            <v:shape style="position:absolute;left:1657;top:1298;width:215;height:288" coordorigin="1658,1299" coordsize="215,288" path="m1658,1299l1715,1586m1715,1586l1770,1329m1770,1329l1815,1521m1815,1521l1873,1569e" filled="false" stroked="true" strokeweight="1pt" strokecolor="#008360">
              <v:path arrowok="t"/>
              <v:stroke dashstyle="solid"/>
            </v:shape>
            <v:line style="position:absolute" from="1863,1570" to="1928,1570" stroked="true" strokeweight="1.125pt" strokecolor="#008360">
              <v:stroke dashstyle="solid"/>
            </v:line>
            <v:shape style="position:absolute;left:1917;top:1473;width:690;height:303" coordorigin="1918,1474" coordsize="690,303" path="m1918,1569l1975,1474m1975,1474l2030,1489m2030,1489l2075,1634m2075,1634l2133,1746m2133,1746l2190,1761m2190,1761l2235,1714m2235,1714l2290,1536m2290,1536l2348,1506m2348,1506l2393,1761m2393,1761l2450,1776m2450,1776l2495,1601m2495,1601l2553,1746m2553,1746l2608,1489e" filled="false" stroked="true" strokeweight="1pt" strokecolor="#008360">
              <v:path arrowok="t"/>
              <v:stroke dashstyle="solid"/>
            </v:shape>
            <v:line style="position:absolute" from="2630,889" to="2630,1499" stroked="true" strokeweight="3.25pt" strokecolor="#008360">
              <v:stroke dashstyle="solid"/>
            </v:line>
            <v:shape style="position:absolute;left:2652;top:898;width:850;height:768" coordorigin="2653,899" coordsize="850,768" path="m2653,899l2710,1666m2710,1666l2768,1299m2768,1299l2813,961m2813,961l2868,1059m2868,1059l2925,1394m2925,1394l2970,1329m2970,1329l3028,1234m3028,1234l3073,1521m3073,1521l3128,1329m3128,1329l3185,1139m3185,1139l3230,1329m3230,1329l3288,994m3288,994l3343,1361m3343,1361l3388,1026m3388,1026l3445,1121m3445,1121l3503,946e" filled="false" stroked="true" strokeweight="1pt" strokecolor="#008360">
              <v:path arrowok="t"/>
              <v:stroke dashstyle="solid"/>
            </v:shape>
            <v:shape style="position:absolute;left:3492;top:376;width:120;height:595" coordorigin="3493,376" coordsize="120,595" path="m3613,376l3558,376,3538,376,3493,376,3493,956,3538,956,3538,971,3613,971,3613,376xe" filled="true" fillcolor="#008360" stroked="false">
              <v:path arrowok="t"/>
              <v:fill type="solid"/>
            </v:shape>
            <v:shape style="position:absolute;left:3602;top:-109;width:263;height:1070" coordorigin="3603,-109" coordsize="263,1070" path="m3603,961l3650,579m3650,579l3705,466m3705,466l3763,306m3763,306l3808,131m3808,131l3865,-109e" filled="false" stroked="true" strokeweight="1pt" strokecolor="#008360">
              <v:path arrowok="t"/>
              <v:stroke dashstyle="solid"/>
            </v:shape>
            <v:shape style="position:absolute;left:3941;top:70;width:87;height:1919" coordorigin="3941,70" coordsize="87,1919" path="m3941,70l4028,70m3941,550l4028,550m3941,1029l4028,1029m3941,1509l4028,1509m3941,1988l4028,1988e" filled="false" stroked="true" strokeweight=".5pt" strokecolor="#000000">
              <v:path arrowok="t"/>
              <v:stroke dashstyle="solid"/>
            </v:shape>
            <v:shape style="position:absolute;left:1555;top:230;width:1566;height:121" type="#_x0000_t202" filled="false" stroked="false">
              <v:textbox inset="0,0,0,0">
                <w:txbxContent>
                  <w:p>
                    <w:pPr>
                      <w:spacing w:line="116" w:lineRule="exact" w:before="0"/>
                      <w:ind w:left="0" w:right="0" w:firstLine="0"/>
                      <w:jc w:val="left"/>
                      <w:rPr>
                        <w:sz w:val="12"/>
                      </w:rPr>
                    </w:pPr>
                    <w:r>
                      <w:rPr>
                        <w:w w:val="105"/>
                        <w:sz w:val="12"/>
                      </w:rPr>
                      <w:t>Broader external financing (a)</w:t>
                    </w:r>
                  </w:p>
                </w:txbxContent>
              </v:textbox>
              <w10:wrap type="none"/>
            </v:shape>
            <v:shape style="position:absolute;left:2557;top:2094;width:758;height:121" type="#_x0000_t202" filled="false" stroked="false">
              <v:textbox inset="0,0,0,0">
                <w:txbxContent>
                  <w:p>
                    <w:pPr>
                      <w:spacing w:line="116" w:lineRule="exact" w:before="0"/>
                      <w:ind w:left="0" w:right="0" w:firstLine="0"/>
                      <w:jc w:val="left"/>
                      <w:rPr>
                        <w:sz w:val="12"/>
                      </w:rPr>
                    </w:pPr>
                    <w:r>
                      <w:rPr>
                        <w:w w:val="105"/>
                        <w:sz w:val="12"/>
                      </w:rPr>
                      <w:t>M4 borrowing</w:t>
                    </w:r>
                  </w:p>
                </w:txbxContent>
              </v:textbox>
              <w10:wrap type="none"/>
            </v:shape>
            <w10:wrap type="none"/>
          </v:group>
        </w:pict>
      </w:r>
      <w:r>
        <w:rPr>
          <w:w w:val="120"/>
          <w:sz w:val="12"/>
        </w:rPr>
        <w:t>20</w:t>
      </w:r>
    </w:p>
    <w:p>
      <w:pPr>
        <w:pStyle w:val="BodyText"/>
        <w:rPr>
          <w:sz w:val="12"/>
        </w:rPr>
      </w:pPr>
    </w:p>
    <w:p>
      <w:pPr>
        <w:pStyle w:val="BodyText"/>
        <w:spacing w:before="7"/>
        <w:rPr>
          <w:sz w:val="17"/>
        </w:rPr>
      </w:pPr>
    </w:p>
    <w:p>
      <w:pPr>
        <w:spacing w:before="0"/>
        <w:ind w:left="0" w:right="38" w:firstLine="0"/>
        <w:jc w:val="right"/>
        <w:rPr>
          <w:sz w:val="12"/>
        </w:rPr>
      </w:pPr>
      <w:r>
        <w:rPr>
          <w:w w:val="120"/>
          <w:sz w:val="12"/>
        </w:rPr>
        <w:t>15</w:t>
      </w:r>
    </w:p>
    <w:p>
      <w:pPr>
        <w:pStyle w:val="BodyText"/>
        <w:rPr>
          <w:sz w:val="12"/>
        </w:rPr>
      </w:pPr>
    </w:p>
    <w:p>
      <w:pPr>
        <w:pStyle w:val="BodyText"/>
        <w:spacing w:before="8"/>
        <w:rPr>
          <w:sz w:val="17"/>
        </w:rPr>
      </w:pPr>
    </w:p>
    <w:p>
      <w:pPr>
        <w:spacing w:before="0"/>
        <w:ind w:left="0" w:right="38" w:firstLine="0"/>
        <w:jc w:val="right"/>
        <w:rPr>
          <w:sz w:val="12"/>
        </w:rPr>
      </w:pPr>
      <w:r>
        <w:rPr>
          <w:w w:val="120"/>
          <w:sz w:val="12"/>
        </w:rPr>
        <w:t>10</w:t>
      </w:r>
    </w:p>
    <w:p>
      <w:pPr>
        <w:pStyle w:val="BodyText"/>
        <w:rPr>
          <w:sz w:val="12"/>
        </w:rPr>
      </w:pPr>
    </w:p>
    <w:p>
      <w:pPr>
        <w:pStyle w:val="BodyText"/>
        <w:spacing w:before="8"/>
        <w:rPr>
          <w:sz w:val="17"/>
        </w:rPr>
      </w:pPr>
    </w:p>
    <w:p>
      <w:pPr>
        <w:spacing w:before="0"/>
        <w:ind w:left="0" w:right="38" w:firstLine="0"/>
        <w:jc w:val="right"/>
        <w:rPr>
          <w:sz w:val="12"/>
        </w:rPr>
      </w:pPr>
      <w:r>
        <w:rPr>
          <w:w w:val="121"/>
          <w:sz w:val="12"/>
        </w:rPr>
        <w:t>5</w:t>
      </w:r>
    </w:p>
    <w:p>
      <w:pPr>
        <w:pStyle w:val="BodyText"/>
        <w:spacing w:before="3"/>
        <w:rPr>
          <w:sz w:val="13"/>
        </w:rPr>
      </w:pPr>
    </w:p>
    <w:p>
      <w:pPr>
        <w:spacing w:before="0"/>
        <w:ind w:left="1192" w:right="0" w:firstLine="0"/>
        <w:jc w:val="left"/>
        <w:rPr>
          <w:sz w:val="16"/>
        </w:rPr>
      </w:pPr>
      <w:r>
        <w:rPr>
          <w:w w:val="107"/>
          <w:sz w:val="16"/>
        </w:rPr>
        <w:t>+</w:t>
      </w:r>
    </w:p>
    <w:p>
      <w:pPr>
        <w:spacing w:line="112" w:lineRule="exact" w:before="4"/>
        <w:ind w:left="1296" w:right="0" w:firstLine="0"/>
        <w:jc w:val="left"/>
        <w:rPr>
          <w:sz w:val="12"/>
        </w:rPr>
      </w:pPr>
      <w:r>
        <w:rPr>
          <w:w w:val="121"/>
          <w:sz w:val="12"/>
        </w:rPr>
        <w:t>0</w:t>
      </w:r>
    </w:p>
    <w:p>
      <w:pPr>
        <w:pStyle w:val="BodyText"/>
        <w:spacing w:line="292" w:lineRule="auto" w:before="124"/>
        <w:ind w:left="174" w:right="230"/>
      </w:pPr>
      <w:r>
        <w:rPr/>
        <w:br w:type="column"/>
      </w:r>
      <w:r>
        <w:rPr>
          <w:w w:val="110"/>
        </w:rPr>
        <w:t>The</w:t>
      </w:r>
      <w:r>
        <w:rPr>
          <w:spacing w:val="-11"/>
          <w:w w:val="110"/>
        </w:rPr>
        <w:t> </w:t>
      </w:r>
      <w:r>
        <w:rPr>
          <w:w w:val="110"/>
        </w:rPr>
        <w:t>recent</w:t>
      </w:r>
      <w:r>
        <w:rPr>
          <w:spacing w:val="-10"/>
          <w:w w:val="110"/>
        </w:rPr>
        <w:t> </w:t>
      </w:r>
      <w:r>
        <w:rPr>
          <w:w w:val="110"/>
        </w:rPr>
        <w:t>pattern</w:t>
      </w:r>
      <w:r>
        <w:rPr>
          <w:spacing w:val="-11"/>
          <w:w w:val="110"/>
        </w:rPr>
        <w:t> </w:t>
      </w:r>
      <w:r>
        <w:rPr>
          <w:w w:val="110"/>
        </w:rPr>
        <w:t>of</w:t>
      </w:r>
      <w:r>
        <w:rPr>
          <w:spacing w:val="-10"/>
          <w:w w:val="110"/>
        </w:rPr>
        <w:t> </w:t>
      </w:r>
      <w:r>
        <w:rPr>
          <w:w w:val="110"/>
        </w:rPr>
        <w:t>corporate</w:t>
      </w:r>
      <w:r>
        <w:rPr>
          <w:spacing w:val="-10"/>
          <w:w w:val="110"/>
        </w:rPr>
        <w:t> </w:t>
      </w:r>
      <w:r>
        <w:rPr>
          <w:w w:val="110"/>
        </w:rPr>
        <w:t>financing</w:t>
      </w:r>
      <w:r>
        <w:rPr>
          <w:spacing w:val="-11"/>
          <w:w w:val="110"/>
        </w:rPr>
        <w:t> </w:t>
      </w:r>
      <w:r>
        <w:rPr>
          <w:w w:val="110"/>
        </w:rPr>
        <w:t>might</w:t>
      </w:r>
      <w:r>
        <w:rPr>
          <w:spacing w:val="-10"/>
          <w:w w:val="110"/>
        </w:rPr>
        <w:t> </w:t>
      </w:r>
      <w:r>
        <w:rPr>
          <w:w w:val="110"/>
        </w:rPr>
        <w:t>shed</w:t>
      </w:r>
      <w:r>
        <w:rPr>
          <w:spacing w:val="-10"/>
          <w:w w:val="110"/>
        </w:rPr>
        <w:t> </w:t>
      </w:r>
      <w:r>
        <w:rPr>
          <w:w w:val="110"/>
        </w:rPr>
        <w:t>light</w:t>
      </w:r>
      <w:r>
        <w:rPr>
          <w:spacing w:val="-11"/>
          <w:w w:val="110"/>
        </w:rPr>
        <w:t> </w:t>
      </w:r>
      <w:r>
        <w:rPr>
          <w:w w:val="110"/>
        </w:rPr>
        <w:t>on the </w:t>
      </w:r>
      <w:r>
        <w:rPr>
          <w:spacing w:val="-3"/>
          <w:w w:val="110"/>
        </w:rPr>
        <w:t>slowdown </w:t>
      </w:r>
      <w:r>
        <w:rPr>
          <w:w w:val="110"/>
        </w:rPr>
        <w:t>in </w:t>
      </w:r>
      <w:r>
        <w:rPr>
          <w:spacing w:val="-3"/>
          <w:w w:val="110"/>
        </w:rPr>
        <w:t>investment </w:t>
      </w:r>
      <w:r>
        <w:rPr>
          <w:w w:val="110"/>
        </w:rPr>
        <w:t>during the past </w:t>
      </w:r>
      <w:r>
        <w:rPr>
          <w:spacing w:val="-4"/>
          <w:w w:val="110"/>
        </w:rPr>
        <w:t>year, </w:t>
      </w:r>
      <w:r>
        <w:rPr>
          <w:w w:val="110"/>
        </w:rPr>
        <w:t>despite </w:t>
      </w:r>
      <w:r>
        <w:rPr>
          <w:spacing w:val="-3"/>
          <w:w w:val="110"/>
        </w:rPr>
        <w:t>surveys </w:t>
      </w:r>
      <w:r>
        <w:rPr>
          <w:w w:val="110"/>
        </w:rPr>
        <w:t>reporting strong </w:t>
      </w:r>
      <w:r>
        <w:rPr>
          <w:spacing w:val="-3"/>
          <w:w w:val="110"/>
        </w:rPr>
        <w:t>investment </w:t>
      </w:r>
      <w:r>
        <w:rPr>
          <w:w w:val="110"/>
        </w:rPr>
        <w:t>intentions</w:t>
      </w:r>
      <w:r>
        <w:rPr>
          <w:spacing w:val="-34"/>
          <w:w w:val="110"/>
        </w:rPr>
        <w:t> </w:t>
      </w:r>
      <w:r>
        <w:rPr>
          <w:w w:val="110"/>
        </w:rPr>
        <w:t>(see</w:t>
      </w:r>
    </w:p>
    <w:p>
      <w:pPr>
        <w:pStyle w:val="BodyText"/>
        <w:spacing w:line="292" w:lineRule="auto"/>
        <w:ind w:left="174" w:right="152"/>
      </w:pPr>
      <w:hyperlink w:history="true" w:anchor="_bookmark22">
        <w:r>
          <w:rPr>
            <w:color w:val="FF0000"/>
            <w:w w:val="105"/>
          </w:rPr>
          <w:t>Section 2.2</w:t>
        </w:r>
        <w:r>
          <w:rPr>
            <w:w w:val="105"/>
          </w:rPr>
          <w:t>).</w:t>
        </w:r>
      </w:hyperlink>
      <w:r>
        <w:rPr>
          <w:w w:val="105"/>
        </w:rPr>
        <w:t>   One possibility is that the need </w:t>
      </w:r>
      <w:r>
        <w:rPr>
          <w:spacing w:val="-4"/>
          <w:w w:val="105"/>
        </w:rPr>
        <w:t>to </w:t>
      </w:r>
      <w:r>
        <w:rPr>
          <w:w w:val="105"/>
        </w:rPr>
        <w:t>fund  purchases of financial assets has diverted cash flows that might otherwise </w:t>
      </w:r>
      <w:r>
        <w:rPr>
          <w:spacing w:val="-3"/>
          <w:w w:val="105"/>
        </w:rPr>
        <w:t>have </w:t>
      </w:r>
      <w:r>
        <w:rPr>
          <w:w w:val="105"/>
        </w:rPr>
        <w:t>been used </w:t>
      </w:r>
      <w:r>
        <w:rPr>
          <w:spacing w:val="-4"/>
          <w:w w:val="105"/>
        </w:rPr>
        <w:t>to </w:t>
      </w:r>
      <w:r>
        <w:rPr>
          <w:w w:val="105"/>
        </w:rPr>
        <w:t>finance capital expenditures. And </w:t>
      </w:r>
      <w:r>
        <w:rPr>
          <w:spacing w:val="-3"/>
          <w:w w:val="105"/>
        </w:rPr>
        <w:t>corporates’ </w:t>
      </w:r>
      <w:r>
        <w:rPr>
          <w:w w:val="105"/>
        </w:rPr>
        <w:t>increased reliance on </w:t>
      </w:r>
      <w:r>
        <w:rPr>
          <w:spacing w:val="-3"/>
          <w:w w:val="105"/>
        </w:rPr>
        <w:t>external </w:t>
      </w:r>
      <w:r>
        <w:rPr>
          <w:w w:val="105"/>
        </w:rPr>
        <w:t>finance </w:t>
      </w:r>
      <w:r>
        <w:rPr>
          <w:spacing w:val="-3"/>
          <w:w w:val="105"/>
        </w:rPr>
        <w:t>may have </w:t>
      </w:r>
      <w:r>
        <w:rPr>
          <w:w w:val="105"/>
        </w:rPr>
        <w:t>raised the effective cost of capital for the </w:t>
      </w:r>
      <w:r>
        <w:rPr>
          <w:spacing w:val="-3"/>
          <w:w w:val="105"/>
        </w:rPr>
        <w:t>corporate</w:t>
      </w:r>
      <w:r>
        <w:rPr>
          <w:spacing w:val="39"/>
          <w:w w:val="105"/>
        </w:rPr>
        <w:t> </w:t>
      </w:r>
      <w:r>
        <w:rPr>
          <w:spacing w:val="-4"/>
          <w:w w:val="105"/>
        </w:rPr>
        <w:t>sector.</w:t>
      </w:r>
    </w:p>
    <w:p>
      <w:pPr>
        <w:pStyle w:val="BodyText"/>
        <w:spacing w:line="292" w:lineRule="auto"/>
        <w:ind w:left="174" w:right="230"/>
      </w:pPr>
      <w:r>
        <w:rPr>
          <w:spacing w:val="-4"/>
          <w:w w:val="110"/>
        </w:rPr>
        <w:t>However,</w:t>
      </w:r>
      <w:r>
        <w:rPr>
          <w:spacing w:val="-23"/>
          <w:w w:val="110"/>
        </w:rPr>
        <w:t> </w:t>
      </w:r>
      <w:r>
        <w:rPr>
          <w:w w:val="110"/>
        </w:rPr>
        <w:t>this</w:t>
      </w:r>
      <w:r>
        <w:rPr>
          <w:spacing w:val="-22"/>
          <w:w w:val="110"/>
        </w:rPr>
        <w:t> </w:t>
      </w:r>
      <w:r>
        <w:rPr>
          <w:w w:val="110"/>
        </w:rPr>
        <w:t>is</w:t>
      </w:r>
      <w:r>
        <w:rPr>
          <w:spacing w:val="-22"/>
          <w:w w:val="110"/>
        </w:rPr>
        <w:t> </w:t>
      </w:r>
      <w:r>
        <w:rPr>
          <w:w w:val="110"/>
        </w:rPr>
        <w:t>likely</w:t>
      </w:r>
      <w:r>
        <w:rPr>
          <w:spacing w:val="-22"/>
          <w:w w:val="110"/>
        </w:rPr>
        <w:t> </w:t>
      </w:r>
      <w:r>
        <w:rPr>
          <w:spacing w:val="-4"/>
          <w:w w:val="110"/>
        </w:rPr>
        <w:t>to</w:t>
      </w:r>
      <w:r>
        <w:rPr>
          <w:spacing w:val="-22"/>
          <w:w w:val="110"/>
        </w:rPr>
        <w:t> </w:t>
      </w:r>
      <w:r>
        <w:rPr>
          <w:spacing w:val="-3"/>
          <w:w w:val="110"/>
        </w:rPr>
        <w:t>have</w:t>
      </w:r>
      <w:r>
        <w:rPr>
          <w:spacing w:val="-22"/>
          <w:w w:val="110"/>
        </w:rPr>
        <w:t> </w:t>
      </w:r>
      <w:r>
        <w:rPr>
          <w:w w:val="110"/>
        </w:rPr>
        <w:t>been</w:t>
      </w:r>
      <w:r>
        <w:rPr>
          <w:spacing w:val="-23"/>
          <w:w w:val="110"/>
        </w:rPr>
        <w:t> </w:t>
      </w:r>
      <w:r>
        <w:rPr>
          <w:w w:val="110"/>
        </w:rPr>
        <w:t>partly</w:t>
      </w:r>
      <w:r>
        <w:rPr>
          <w:spacing w:val="-22"/>
          <w:w w:val="110"/>
        </w:rPr>
        <w:t> </w:t>
      </w:r>
      <w:r>
        <w:rPr>
          <w:w w:val="110"/>
        </w:rPr>
        <w:t>offset</w:t>
      </w:r>
      <w:r>
        <w:rPr>
          <w:spacing w:val="-22"/>
          <w:w w:val="110"/>
        </w:rPr>
        <w:t> </w:t>
      </w:r>
      <w:r>
        <w:rPr>
          <w:spacing w:val="-3"/>
          <w:w w:val="110"/>
        </w:rPr>
        <w:t>by</w:t>
      </w:r>
      <w:r>
        <w:rPr>
          <w:spacing w:val="-22"/>
          <w:w w:val="110"/>
        </w:rPr>
        <w:t> </w:t>
      </w:r>
      <w:r>
        <w:rPr>
          <w:w w:val="110"/>
        </w:rPr>
        <w:t>the</w:t>
      </w:r>
      <w:r>
        <w:rPr>
          <w:spacing w:val="-22"/>
          <w:w w:val="110"/>
        </w:rPr>
        <w:t> </w:t>
      </w:r>
      <w:r>
        <w:rPr>
          <w:w w:val="110"/>
        </w:rPr>
        <w:t>fall</w:t>
      </w:r>
      <w:r>
        <w:rPr>
          <w:spacing w:val="-22"/>
          <w:w w:val="110"/>
        </w:rPr>
        <w:t> </w:t>
      </w:r>
      <w:r>
        <w:rPr>
          <w:w w:val="110"/>
        </w:rPr>
        <w:t>in </w:t>
      </w:r>
      <w:r>
        <w:rPr>
          <w:spacing w:val="-3"/>
          <w:w w:val="110"/>
        </w:rPr>
        <w:t>corporate </w:t>
      </w:r>
      <w:r>
        <w:rPr>
          <w:w w:val="110"/>
        </w:rPr>
        <w:t>bond yields seen during the past </w:t>
      </w:r>
      <w:r>
        <w:rPr>
          <w:spacing w:val="-4"/>
          <w:w w:val="110"/>
        </w:rPr>
        <w:t>year, </w:t>
      </w:r>
      <w:r>
        <w:rPr>
          <w:w w:val="110"/>
        </w:rPr>
        <w:t>driven </w:t>
      </w:r>
      <w:r>
        <w:rPr>
          <w:spacing w:val="-3"/>
          <w:w w:val="110"/>
        </w:rPr>
        <w:t>by </w:t>
      </w:r>
      <w:r>
        <w:rPr>
          <w:w w:val="110"/>
        </w:rPr>
        <w:t>reductions in </w:t>
      </w:r>
      <w:r>
        <w:rPr>
          <w:spacing w:val="-4"/>
          <w:w w:val="110"/>
        </w:rPr>
        <w:t>risk-free </w:t>
      </w:r>
      <w:r>
        <w:rPr>
          <w:spacing w:val="-3"/>
          <w:w w:val="110"/>
        </w:rPr>
        <w:t>interest</w:t>
      </w:r>
      <w:r>
        <w:rPr>
          <w:spacing w:val="-18"/>
          <w:w w:val="110"/>
        </w:rPr>
        <w:t> </w:t>
      </w:r>
      <w:r>
        <w:rPr>
          <w:spacing w:val="-4"/>
          <w:w w:val="110"/>
        </w:rPr>
        <w:t>rates.</w:t>
      </w:r>
    </w:p>
    <w:p>
      <w:pPr>
        <w:spacing w:after="0" w:line="292" w:lineRule="auto"/>
        <w:sectPr>
          <w:type w:val="continuous"/>
          <w:pgSz w:w="11900" w:h="16840"/>
          <w:pgMar w:top="1260" w:bottom="280" w:left="640" w:right="640"/>
          <w:cols w:num="3" w:equalWidth="0">
            <w:col w:w="2160" w:space="40"/>
            <w:col w:w="1410" w:space="1310"/>
            <w:col w:w="5700"/>
          </w:cols>
        </w:sectPr>
      </w:pPr>
    </w:p>
    <w:p>
      <w:pPr>
        <w:spacing w:line="155" w:lineRule="exact" w:before="0"/>
        <w:ind w:left="0" w:right="323" w:firstLine="0"/>
        <w:jc w:val="right"/>
        <w:rPr>
          <w:sz w:val="16"/>
        </w:rPr>
      </w:pPr>
      <w:r>
        <w:rPr>
          <w:w w:val="117"/>
          <w:sz w:val="16"/>
        </w:rPr>
        <w:t>–</w:t>
      </w:r>
    </w:p>
    <w:p>
      <w:pPr>
        <w:pStyle w:val="BodyText"/>
        <w:spacing w:before="5"/>
        <w:rPr>
          <w:sz w:val="18"/>
        </w:rPr>
      </w:pPr>
    </w:p>
    <w:p>
      <w:pPr>
        <w:spacing w:line="115" w:lineRule="exact" w:before="0"/>
        <w:ind w:left="3496" w:right="0" w:firstLine="0"/>
        <w:jc w:val="left"/>
        <w:rPr>
          <w:sz w:val="12"/>
        </w:rPr>
      </w:pPr>
      <w:r>
        <w:rPr/>
        <w:pict>
          <v:line style="position:absolute;mso-position-horizontal-relative:page;mso-position-vertical-relative:paragraph;z-index:15816192" from="40.242001pt,3.459479pt" to="44.575001pt,3.459479pt" stroked="true" strokeweight=".5pt" strokecolor="#000000">
            <v:stroke dashstyle="solid"/>
            <w10:wrap type="none"/>
          </v:line>
        </w:pict>
      </w:r>
      <w:r>
        <w:rPr/>
        <w:pict>
          <v:shape style="position:absolute;margin-left:48.691002pt;margin-top:.201479pt;width:152.75pt;height:3.4pt;mso-position-horizontal-relative:page;mso-position-vertical-relative:paragraph;z-index:15816704" coordorigin="974,4" coordsize="3055,68" path="m3941,71l4028,71m976,71l3882,71m974,4l974,71m1184,4l1184,71m1394,4l1394,71m1605,4l1605,71m2025,4l2025,71m2866,4l2866,71m3708,4l3708,71m1815,4l1815,71m2446,4l2446,71m3287,4l3287,71m2656,4l2656,71m3497,4l3497,71m2236,4l2236,71m3077,4l3077,71e" filled="false" stroked="true" strokeweight=".5pt" strokecolor="#000000">
            <v:path arrowok="t"/>
            <v:stroke dashstyle="solid"/>
            <w10:wrap type="none"/>
          </v:shape>
        </w:pict>
      </w:r>
      <w:r>
        <w:rPr>
          <w:w w:val="121"/>
          <w:sz w:val="12"/>
        </w:rPr>
        <w:t>5</w:t>
      </w:r>
    </w:p>
    <w:p>
      <w:pPr>
        <w:tabs>
          <w:tab w:pos="787" w:val="left" w:leader="none"/>
          <w:tab w:pos="1207" w:val="left" w:leader="none"/>
          <w:tab w:pos="1625" w:val="left" w:leader="none"/>
          <w:tab w:pos="2045" w:val="left" w:leader="none"/>
          <w:tab w:pos="2462" w:val="left" w:leader="none"/>
          <w:tab w:pos="2892" w:val="left" w:leader="none"/>
        </w:tabs>
        <w:spacing w:line="115" w:lineRule="exact" w:before="0"/>
        <w:ind w:left="254" w:right="0" w:firstLine="0"/>
        <w:jc w:val="left"/>
        <w:rPr>
          <w:sz w:val="12"/>
        </w:rPr>
      </w:pPr>
      <w:r>
        <w:rPr>
          <w:w w:val="120"/>
          <w:sz w:val="12"/>
        </w:rPr>
        <w:t>1987</w:t>
        <w:tab/>
        <w:t>89</w:t>
        <w:tab/>
        <w:t>91</w:t>
        <w:tab/>
        <w:t>93</w:t>
        <w:tab/>
        <w:t>95</w:t>
        <w:tab/>
        <w:t>97</w:t>
        <w:tab/>
        <w:t>99</w:t>
      </w:r>
    </w:p>
    <w:p>
      <w:pPr>
        <w:spacing w:before="96"/>
        <w:ind w:left="184" w:right="0" w:firstLine="0"/>
        <w:jc w:val="left"/>
        <w:rPr>
          <w:sz w:val="12"/>
        </w:rPr>
      </w:pPr>
      <w:r>
        <w:rPr>
          <w:w w:val="105"/>
          <w:sz w:val="12"/>
        </w:rPr>
        <w:t>Sources: ONS and Bank of England.</w:t>
      </w:r>
    </w:p>
    <w:p>
      <w:pPr>
        <w:pStyle w:val="BodyText"/>
        <w:spacing w:before="1"/>
        <w:rPr>
          <w:sz w:val="10"/>
        </w:rPr>
      </w:pPr>
    </w:p>
    <w:p>
      <w:pPr>
        <w:spacing w:line="208" w:lineRule="auto" w:before="0"/>
        <w:ind w:left="424" w:right="0" w:hanging="240"/>
        <w:jc w:val="left"/>
        <w:rPr>
          <w:sz w:val="12"/>
        </w:rPr>
      </w:pPr>
      <w:r>
        <w:rPr>
          <w:w w:val="105"/>
          <w:sz w:val="12"/>
        </w:rPr>
        <w:t>(a) M4 borrowing plus capital issues and foreign currency borrowing from banks and building societies.</w:t>
      </w:r>
    </w:p>
    <w:p>
      <w:pPr>
        <w:pStyle w:val="BodyText"/>
        <w:spacing w:line="292" w:lineRule="auto" w:before="176"/>
        <w:ind w:left="184" w:right="120"/>
      </w:pPr>
      <w:r>
        <w:rPr/>
        <w:br w:type="column"/>
      </w:r>
      <w:r>
        <w:rPr>
          <w:w w:val="105"/>
        </w:rPr>
        <w:t>At the aggregate level, outstanding corporate debt remains low relative to the market valuation of corporate capital. A downward revision to expectations of corporate profit growth and a fall in equity prices could increase the gearing burden</w:t>
      </w:r>
    </w:p>
    <w:p>
      <w:pPr>
        <w:spacing w:after="0" w:line="292" w:lineRule="auto"/>
        <w:sectPr>
          <w:type w:val="continuous"/>
          <w:pgSz w:w="11900" w:h="16840"/>
          <w:pgMar w:top="1260" w:bottom="280" w:left="640" w:right="640"/>
          <w:cols w:num="2" w:equalWidth="0">
            <w:col w:w="3813" w:space="1097"/>
            <w:col w:w="5710"/>
          </w:cols>
        </w:sectPr>
      </w:pPr>
    </w:p>
    <w:p>
      <w:pPr>
        <w:pStyle w:val="BodyText"/>
      </w:pPr>
    </w:p>
    <w:p>
      <w:pPr>
        <w:spacing w:after="0"/>
        <w:sectPr>
          <w:headerReference w:type="even" r:id="rId46"/>
          <w:headerReference w:type="default" r:id="rId47"/>
          <w:footerReference w:type="even" r:id="rId48"/>
          <w:footerReference w:type="default" r:id="rId49"/>
          <w:pgSz w:w="11900" w:h="16840"/>
          <w:pgMar w:header="601" w:footer="575" w:top="800" w:bottom="760" w:left="640" w:right="640"/>
          <w:pgNumType w:start="8"/>
        </w:sectPr>
      </w:pPr>
    </w:p>
    <w:p>
      <w:pPr>
        <w:pStyle w:val="BodyText"/>
        <w:spacing w:before="2"/>
        <w:rPr>
          <w:sz w:val="24"/>
        </w:rPr>
      </w:pPr>
    </w:p>
    <w:p>
      <w:pPr>
        <w:pStyle w:val="Heading6"/>
      </w:pPr>
      <w:bookmarkStart w:name="Other financial corporations" w:id="15"/>
      <w:bookmarkEnd w:id="15"/>
      <w:r>
        <w:rPr>
          <w:b w:val="0"/>
        </w:rPr>
      </w:r>
      <w:bookmarkStart w:name="Interest rates and asset prices" w:id="16"/>
      <w:bookmarkEnd w:id="16"/>
      <w:r>
        <w:rPr>
          <w:b w:val="0"/>
        </w:rPr>
      </w:r>
      <w:bookmarkStart w:name="Short-term interest rates" w:id="17"/>
      <w:bookmarkEnd w:id="17"/>
      <w:r>
        <w:rPr>
          <w:b w:val="0"/>
        </w:rPr>
      </w:r>
      <w:bookmarkStart w:name="_bookmark7" w:id="18"/>
      <w:bookmarkEnd w:id="18"/>
      <w:r>
        <w:rPr>
          <w:b w:val="0"/>
        </w:rPr>
      </w:r>
      <w:bookmarkStart w:name="_bookmark8" w:id="19"/>
      <w:bookmarkEnd w:id="19"/>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1.10</w:t>
      </w:r>
    </w:p>
    <w:p>
      <w:pPr>
        <w:spacing w:before="8"/>
        <w:ind w:left="178" w:right="0" w:firstLine="0"/>
        <w:jc w:val="left"/>
        <w:rPr>
          <w:rFonts w:ascii="Trebuchet MS" w:hAnsi="Trebuchet MS"/>
          <w:b/>
          <w:sz w:val="20"/>
        </w:rPr>
      </w:pPr>
      <w:r>
        <w:rPr>
          <w:rFonts w:ascii="Trebuchet MS" w:hAnsi="Trebuchet MS"/>
          <w:b/>
          <w:color w:val="89C6DC"/>
          <w:sz w:val="20"/>
        </w:rPr>
        <w:t>Measures of PNFCs’ gearing</w:t>
      </w:r>
    </w:p>
    <w:p>
      <w:pPr>
        <w:pStyle w:val="BodyText"/>
        <w:spacing w:before="5"/>
        <w:rPr>
          <w:rFonts w:ascii="Trebuchet MS"/>
          <w:b/>
          <w:sz w:val="19"/>
        </w:rPr>
      </w:pPr>
      <w:r>
        <w:rPr/>
        <w:pict>
          <v:shape style="position:absolute;margin-left:42.921001pt;margin-top:13.483993pt;width:4.350pt;height:.1pt;mso-position-horizontal-relative:page;mso-position-vertical-relative:paragraph;z-index:-15639040;mso-wrap-distance-left:0;mso-wrap-distance-right:0" coordorigin="858,270" coordsize="87,0" path="m945,270l858,270e" filled="false" stroked="true" strokeweight=".5pt" strokecolor="#000000">
            <v:path arrowok="t"/>
            <v:stroke dashstyle="solid"/>
            <w10:wrap type="topAndBottom"/>
          </v:shape>
        </w:pict>
      </w:r>
      <w:r>
        <w:rPr/>
        <w:pict>
          <v:shape style="position:absolute;margin-left:42.921001pt;margin-top:33.591991pt;width:4.350pt;height:.1pt;mso-position-horizontal-relative:page;mso-position-vertical-relative:paragraph;z-index:-15638528;mso-wrap-distance-left:0;mso-wrap-distance-right:0" coordorigin="858,672" coordsize="87,0" path="m945,672l858,672e" filled="false" stroked="true" strokeweight=".5pt" strokecolor="#000000">
            <v:path arrowok="t"/>
            <v:stroke dashstyle="solid"/>
            <w10:wrap type="topAndBottom"/>
          </v:shape>
        </w:pict>
      </w:r>
    </w:p>
    <w:p>
      <w:pPr>
        <w:pStyle w:val="BodyText"/>
        <w:spacing w:before="10"/>
        <w:rPr>
          <w:rFonts w:ascii="Trebuchet MS"/>
          <w:b/>
          <w:sz w:val="27"/>
        </w:rPr>
      </w:pPr>
    </w:p>
    <w:p>
      <w:pPr>
        <w:pStyle w:val="BodyText"/>
        <w:spacing w:before="5"/>
        <w:rPr>
          <w:rFonts w:ascii="Trebuchet MS"/>
          <w:b/>
          <w:sz w:val="28"/>
        </w:rPr>
      </w:pPr>
    </w:p>
    <w:p>
      <w:pPr>
        <w:spacing w:before="0"/>
        <w:ind w:left="571" w:right="0" w:firstLine="0"/>
        <w:jc w:val="left"/>
        <w:rPr>
          <w:sz w:val="12"/>
        </w:rPr>
      </w:pPr>
      <w:r>
        <w:rPr/>
        <w:pict>
          <v:group style="position:absolute;margin-left:52.095001pt;margin-top:-9.8974pt;width:145.5pt;height:95.75pt;mso-position-horizontal-relative:page;mso-position-vertical-relative:paragraph;z-index:-23506944" coordorigin="1042,-198" coordsize="2910,1915">
            <v:shape style="position:absolute;left:1051;top:1339;width:90;height:45" coordorigin="1052,1340" coordsize="90,45" path="m1052,1340l1082,1355m1082,1355l1112,1385m1112,1385l1142,1355e" filled="false" stroked="true" strokeweight="1pt" strokecolor="#972140">
              <v:path arrowok="t"/>
              <v:stroke dashstyle="solid"/>
            </v:shape>
            <v:shape style="position:absolute;left:1131;top:1355;width:80;height:2" coordorigin="1132,1356" coordsize="80,0" path="m1132,1356l1182,1356m1162,1356l1212,1356e" filled="false" stroked="true" strokeweight="1.125pt" strokecolor="#972140">
              <v:path arrowok="t"/>
              <v:stroke dashstyle="solid"/>
            </v:shape>
            <v:shape style="position:absolute;left:1201;top:1354;width:263;height:235" coordorigin="1202,1355" coordsize="263,235" path="m1202,1355l1232,1427m1232,1427l1262,1487m1262,1487l1292,1502m1292,1502l1312,1505m1312,1502l1344,1532m1344,1532l1374,1575m1374,1575l1404,1517m1404,1517l1434,1575m1434,1575l1464,1590e" filled="false" stroked="true" strokeweight="1pt" strokecolor="#972140">
              <v:path arrowok="t"/>
              <v:stroke dashstyle="solid"/>
            </v:shape>
            <v:line style="position:absolute" from="1454,1591" to="1504,1591" stroked="true" strokeweight="1.125pt" strokecolor="#972140">
              <v:stroke dashstyle="solid"/>
            </v:line>
            <v:line style="position:absolute" from="1494,1590" to="1524,1457" stroked="true" strokeweight="1pt" strokecolor="#972140">
              <v:stroke dashstyle="solid"/>
            </v:line>
            <v:line style="position:absolute" from="1514,1458" to="1564,1458" stroked="true" strokeweight="1.125pt" strokecolor="#972140">
              <v:stroke dashstyle="solid"/>
            </v:line>
            <v:shape style="position:absolute;left:1554;top:1384;width:290;height:323" coordorigin="1554,1385" coordsize="290,323" path="m1554,1457l1584,1502m1584,1502l1614,1590m1614,1590l1644,1532m1644,1532l1674,1707m1674,1707l1704,1677m1704,1677l1734,1575m1734,1575l1764,1457m1764,1457l1784,1460m1784,1457l1814,1385m1814,1385l1844,1427e" filled="false" stroked="true" strokeweight="1pt" strokecolor="#972140">
              <v:path arrowok="t"/>
              <v:stroke dashstyle="solid"/>
            </v:shape>
            <v:line style="position:absolute" from="1834,1428" to="1884,1428" stroked="true" strokeweight="1.125pt" strokecolor="#972140">
              <v:stroke dashstyle="solid"/>
            </v:line>
            <v:line style="position:absolute" from="1874,1427" to="1904,1457" stroked="true" strokeweight="1pt" strokecolor="#972140">
              <v:stroke dashstyle="solid"/>
            </v:line>
            <v:line style="position:absolute" from="1894,1458" to="1944,1458" stroked="true" strokeweight="1.125pt" strokecolor="#972140">
              <v:stroke dashstyle="solid"/>
            </v:line>
            <v:shape style="position:absolute;left:1934;top:1457;width:90;height:75" coordorigin="1934,1457" coordsize="90,75" path="m1934,1457l1964,1532m1964,1532l1994,1502m1994,1502l2024,1487e" filled="false" stroked="true" strokeweight="1pt" strokecolor="#972140">
              <v:path arrowok="t"/>
              <v:stroke dashstyle="solid"/>
            </v:shape>
            <v:line style="position:absolute" from="2014,1488" to="2064,1488" stroked="true" strokeweight="1.125pt" strokecolor="#972140">
              <v:stroke dashstyle="solid"/>
            </v:line>
            <v:shape style="position:absolute;left:2054;top:1354;width:263;height:133" coordorigin="2054,1355" coordsize="263,133" path="m2054,1487l2084,1385m2084,1385l2114,1355m2114,1355l2144,1370m2144,1370l2177,1355m2177,1355l2207,1370m2207,1370l2237,1355m2237,1355l2257,1412m2257,1412l2287,1442m2287,1442l2317,1385e" filled="false" stroked="true" strokeweight="1pt" strokecolor="#972140">
              <v:path arrowok="t"/>
              <v:stroke dashstyle="solid"/>
            </v:shape>
            <v:line style="position:absolute" from="2307,1386" to="2357,1386" stroked="true" strokeweight="1.125pt" strokecolor="#972140">
              <v:stroke dashstyle="solid"/>
            </v:line>
            <v:line style="position:absolute" from="2347,1385" to="2377,1412" stroked="true" strokeweight="1pt" strokecolor="#972140">
              <v:stroke dashstyle="solid"/>
            </v:line>
            <v:shape style="position:absolute;left:2366;top:1413;width:80;height:2" coordorigin="2367,1413" coordsize="80,0" path="m2367,1413l2417,1413m2397,1413l2447,1413e" filled="false" stroked="true" strokeweight="1.125pt" strokecolor="#972140">
              <v:path arrowok="t"/>
              <v:stroke dashstyle="solid"/>
            </v:shape>
            <v:shape style="position:absolute;left:2436;top:32;width:410;height:1380" coordorigin="2437,32" coordsize="410,1380" path="m2437,1412l2467,1207m2467,1207l2497,1045m2497,1045l2557,900m2557,900l2587,737m2587,737l2617,722m2617,722l2647,590m2647,590l2677,665m2677,665l2707,165m2707,165l2737,222m2737,222l2757,297m2757,297l2787,222m2787,222l2817,32m2817,32l2847,105e" filled="false" stroked="true" strokeweight="1pt" strokecolor="#972140">
              <v:path arrowok="t"/>
              <v:stroke dashstyle="solid"/>
            </v:shape>
            <v:line style="position:absolute" from="2837,106" to="2887,106" stroked="true" strokeweight="1.125pt" strokecolor="#972140">
              <v:stroke dashstyle="solid"/>
            </v:line>
            <v:shape style="position:absolute;left:2876;top:89;width:243;height:133" coordorigin="2877,90" coordsize="243,133" path="m2877,105l2907,165m2907,165l2937,150m2937,150l2967,192m2967,192l2999,222m2999,222l3029,90m3029,90l3059,120m3059,120l3089,135m3089,135l3119,180e" filled="false" stroked="true" strokeweight="1pt" strokecolor="#972140">
              <v:path arrowok="t"/>
              <v:stroke dashstyle="solid"/>
            </v:shape>
            <v:line style="position:absolute" from="3109,181" to="3159,181" stroked="true" strokeweight="1.125pt" strokecolor="#972140">
              <v:stroke dashstyle="solid"/>
            </v:line>
            <v:shape style="position:absolute;left:3149;top:179;width:80;height:278" coordorigin="3149,180" coordsize="80,278" path="m3149,180l3179,252m3179,252l3209,427m3209,427l3229,457e" filled="false" stroked="true" strokeweight="1pt" strokecolor="#972140">
              <v:path arrowok="t"/>
              <v:stroke dashstyle="solid"/>
            </v:shape>
            <v:line style="position:absolute" from="3219,458" to="3269,458" stroked="true" strokeweight="1.125pt" strokecolor="#972140">
              <v:stroke dashstyle="solid"/>
            </v:line>
            <v:shape style="position:absolute;left:3259;top:237;width:120;height:220" coordorigin="3259,237" coordsize="120,220" path="m3259,457l3289,400m3289,400l3319,325m3319,325l3349,267m3349,267l3379,237e" filled="false" stroked="true" strokeweight="1pt" strokecolor="#972140">
              <v:path arrowok="t"/>
              <v:stroke dashstyle="solid"/>
            </v:shape>
            <v:line style="position:absolute" from="3369,238" to="3419,238" stroked="true" strokeweight="1.125pt" strokecolor="#972140">
              <v:stroke dashstyle="solid"/>
            </v:line>
            <v:shape style="position:absolute;left:3409;top:237;width:210;height:148" coordorigin="3409,237" coordsize="210,148" path="m3409,237l3469,297m3469,297l3499,340m3499,340l3529,385m3529,385l3559,355m3559,355l3589,252m3589,252l3619,310e" filled="false" stroked="true" strokeweight="1pt" strokecolor="#972140">
              <v:path arrowok="t"/>
              <v:stroke dashstyle="solid"/>
            </v:shape>
            <v:shape style="position:absolute;left:3609;top:310;width:80;height:2" coordorigin="3609,311" coordsize="80,0" path="m3609,311l3659,311m3639,311l3689,311e" filled="false" stroked="true" strokeweight="1.125pt" strokecolor="#972140">
              <v:path arrowok="t"/>
              <v:stroke dashstyle="solid"/>
            </v:shape>
            <v:shape style="position:absolute;left:3679;top:-188;width:263;height:498" coordorigin="3679,-188" coordsize="263,498" path="m3679,310l3699,252m3699,252l3729,207m3729,207l3759,75m3759,75l3789,-115m3789,-115l3822,-70m3822,-70l3852,-43m3852,-43l3882,-85m3882,-85l3912,-188m3912,-188l3942,-130e" filled="false" stroked="true" strokeweight="1pt" strokecolor="#972140">
              <v:path arrowok="t"/>
              <v:stroke dashstyle="solid"/>
            </v:shape>
            <v:shape style="position:absolute;left:1051;top:74;width:593;height:750" coordorigin="1052,75" coordsize="593,750" path="m1052,340l1082,237m1082,237l1112,75m1112,75l1142,105m1142,105l1172,297m1172,297l1202,340m1202,340l1232,605m1232,605l1262,665m1262,665l1292,650m1292,650l1312,677m1312,677l1344,782m1344,782l1374,752m1374,752l1404,825m1404,825l1464,795m1464,795l1494,635m1494,635l1524,415m1524,415l1554,457m1554,457l1614,722m1614,722l1644,665e" filled="false" stroked="true" strokeweight="1pt" strokecolor="#44af34">
              <v:path arrowok="t"/>
              <v:stroke dashstyle="solid"/>
            </v:shape>
            <v:line style="position:absolute" from="1659,655" to="1659,1055" stroked="true" strokeweight="2.5pt" strokecolor="#44af34">
              <v:stroke dashstyle="solid"/>
            </v:line>
            <v:shape style="position:absolute;left:1674;top:559;width:643;height:723" coordorigin="1674,560" coordsize="643,723" path="m1674,1045l1704,885m1704,885l1734,737m1734,737l1764,560m1764,560l1784,590m1784,590l1814,620m1814,620l1844,767m1844,767l1874,825m1874,825l1904,987m1904,987l1934,942m1934,942l1964,1105m1964,1105l1994,1090m1994,1090l2024,927m2024,927l2054,1002m2054,1002l2114,972m2114,972l2144,942m2144,942l2177,972m2177,972l2207,1075m2207,1075l2237,1192m2237,1192l2257,1267m2257,1267l2287,1282m2287,1282l2317,1150e" filled="false" stroked="true" strokeweight="1pt" strokecolor="#44af34">
              <v:path arrowok="t"/>
              <v:stroke dashstyle="solid"/>
            </v:shape>
            <v:line style="position:absolute" from="2307,1151" to="2357,1151" stroked="true" strokeweight="1.125pt" strokecolor="#44af34">
              <v:stroke dashstyle="solid"/>
            </v:line>
            <v:shape style="position:absolute;left:2346;top:532;width:330;height:925" coordorigin="2347,532" coordsize="330,925" path="m2347,1150l2377,1412m2377,1412l2407,1457m2407,1457l2437,1192m2437,1192l2467,987m2467,987l2497,855m2497,855l2527,782m2527,782l2557,650m2557,650l2587,665m2587,665l2617,620m2617,620l2647,532m2647,532l2677,560e" filled="false" stroked="true" strokeweight="1pt" strokecolor="#44af34">
              <v:path arrowok="t"/>
              <v:stroke dashstyle="solid"/>
            </v:shape>
            <v:line style="position:absolute" from="2692,155" to="2692,570" stroked="true" strokeweight="2.5pt" strokecolor="#44af34">
              <v:stroke dashstyle="solid"/>
            </v:line>
            <v:line style="position:absolute" from="2707,165" to="2737,237" stroked="true" strokeweight="1pt" strokecolor="#44af34">
              <v:stroke dashstyle="solid"/>
            </v:line>
            <v:line style="position:absolute" from="2747,7" to="2747,247" stroked="true" strokeweight="2pt" strokecolor="#44af34">
              <v:stroke dashstyle="solid"/>
            </v:line>
            <v:line style="position:absolute" from="2747,18" to="2797,18" stroked="true" strokeweight="1.125pt" strokecolor="#44af34">
              <v:stroke dashstyle="solid"/>
            </v:line>
            <v:shape style="position:absolute;left:2786;top:17;width:743;height:793" coordorigin="2787,17" coordsize="743,793" path="m2787,17l2817,90m2817,90l2847,120m2847,120l2877,252m2877,252l2907,222m2907,222l2937,207m2937,207l2967,310m2967,310l2999,297m2999,297l3029,325m3029,325l3089,415m3089,415l3119,517m3119,517l3149,635m3149,635l3179,590m3179,590l3209,650m3209,650l3229,692m3229,692l3259,677m3259,677l3289,635m3289,635l3319,605m3319,605l3349,620m3349,620l3379,605m3379,605l3409,620m3409,620l3439,650m3439,650l3469,665m3469,665l3499,722m3499,722l3529,810e" filled="false" stroked="true" strokeweight="1pt" strokecolor="#44af34">
              <v:path arrowok="t"/>
              <v:stroke dashstyle="solid"/>
            </v:shape>
            <v:line style="position:absolute" from="3519,811" to="3569,811" stroked="true" strokeweight="1.125pt" strokecolor="#44af34">
              <v:stroke dashstyle="solid"/>
            </v:line>
            <v:shape style="position:absolute;left:3559;top:809;width:120;height:163" coordorigin="3559,810" coordsize="120,163" path="m3559,810l3619,840m3619,840l3649,957m3649,957l3679,972e" filled="false" stroked="true" strokeweight="1pt" strokecolor="#44af34">
              <v:path arrowok="t"/>
              <v:stroke dashstyle="solid"/>
            </v:shape>
            <v:line style="position:absolute" from="3689,742" to="3689,982" stroked="true" strokeweight="2pt" strokecolor="#44af34">
              <v:stroke dashstyle="solid"/>
            </v:line>
            <v:line style="position:absolute" from="3699,752" to="3729,825" stroked="true" strokeweight="1pt" strokecolor="#44af34">
              <v:stroke dashstyle="solid"/>
            </v:line>
            <v:line style="position:absolute" from="3719,826" to="3769,826" stroked="true" strokeweight="1.125pt" strokecolor="#44af34">
              <v:stroke dashstyle="solid"/>
            </v:line>
            <v:shape style="position:absolute;left:3759;top:677;width:153;height:193" coordorigin="3759,677" coordsize="153,193" path="m3759,825l3789,737m3789,737l3822,677m3822,677l3852,870m3852,870l3882,810m3882,810l3912,677e" filled="false" stroked="true" strokeweight="1pt" strokecolor="#44af34">
              <v:path arrowok="t"/>
              <v:stroke dashstyle="solid"/>
            </v:shape>
            <v:line style="position:absolute" from="3902,678" to="3952,678" stroked="true" strokeweight="1.125pt" strokecolor="#44af34">
              <v:stroke dashstyle="solid"/>
            </v:line>
            <w10:wrap type="none"/>
          </v:group>
        </w:pict>
      </w:r>
      <w:r>
        <w:rPr/>
        <w:pict>
          <v:line style="position:absolute;mso-position-horizontal-relative:page;mso-position-vertical-relative:paragraph;z-index:15823360" from="47.254001pt,2.7366pt" to="42.921001pt,2.7366pt" stroked="true" strokeweight=".5pt" strokecolor="#000000">
            <v:stroke dashstyle="solid"/>
            <w10:wrap type="none"/>
          </v:line>
        </w:pict>
      </w:r>
      <w:r>
        <w:rPr>
          <w:w w:val="105"/>
          <w:sz w:val="12"/>
        </w:rPr>
        <w:t>Capital gearing</w:t>
      </w:r>
    </w:p>
    <w:p>
      <w:pPr>
        <w:spacing w:before="6"/>
        <w:ind w:left="605" w:right="0" w:firstLine="0"/>
        <w:jc w:val="left"/>
        <w:rPr>
          <w:sz w:val="12"/>
        </w:rPr>
      </w:pPr>
      <w:r>
        <w:rPr>
          <w:w w:val="110"/>
          <w:sz w:val="12"/>
        </w:rPr>
        <w:t>(net debt/market value)</w:t>
      </w:r>
    </w:p>
    <w:p>
      <w:pPr>
        <w:pStyle w:val="BodyText"/>
        <w:spacing w:before="4"/>
        <w:rPr>
          <w:sz w:val="11"/>
        </w:rPr>
      </w:pPr>
      <w:r>
        <w:rPr/>
        <w:pict>
          <v:shape style="position:absolute;margin-left:42.921001pt;margin-top:8.762313pt;width:4.350pt;height:.1pt;mso-position-horizontal-relative:page;mso-position-vertical-relative:paragraph;z-index:-15638016;mso-wrap-distance-left:0;mso-wrap-distance-right:0" coordorigin="858,175" coordsize="87,0" path="m945,175l858,175e" filled="false" stroked="true" strokeweight=".5pt" strokecolor="#000000">
            <v:path arrowok="t"/>
            <v:stroke dashstyle="solid"/>
            <w10:wrap type="topAndBottom"/>
          </v:shape>
        </w:pict>
      </w:r>
      <w:r>
        <w:rPr/>
        <w:pict>
          <v:shape style="position:absolute;margin-left:42.921001pt;margin-top:29.434313pt;width:4.350pt;height:.1pt;mso-position-horizontal-relative:page;mso-position-vertical-relative:paragraph;z-index:-15637504;mso-wrap-distance-left:0;mso-wrap-distance-right:0" coordorigin="858,589" coordsize="87,0" path="m945,589l858,589e" filled="false" stroked="true" strokeweight=".5pt" strokecolor="#000000">
            <v:path arrowok="t"/>
            <v:stroke dashstyle="solid"/>
            <w10:wrap type="topAndBottom"/>
          </v:shape>
        </w:pict>
      </w:r>
      <w:r>
        <w:rPr/>
        <w:pict>
          <v:shape style="position:absolute;margin-left:42.919998pt;margin-top:49.784313pt;width:4.350pt;height:.1pt;mso-position-horizontal-relative:page;mso-position-vertical-relative:paragraph;z-index:-15636992;mso-wrap-distance-left:0;mso-wrap-distance-right:0" coordorigin="858,996" coordsize="87,0" path="m945,996l858,996e" filled="false" stroked="true" strokeweight=".5pt" strokecolor="#000000">
            <v:path arrowok="t"/>
            <v:stroke dashstyle="solid"/>
            <w10:wrap type="topAndBottom"/>
          </v:shape>
        </w:pict>
      </w:r>
    </w:p>
    <w:p>
      <w:pPr>
        <w:pStyle w:val="BodyText"/>
        <w:spacing w:before="1"/>
        <w:rPr>
          <w:sz w:val="29"/>
        </w:rPr>
      </w:pPr>
    </w:p>
    <w:p>
      <w:pPr>
        <w:pStyle w:val="BodyText"/>
        <w:spacing w:before="7"/>
        <w:rPr>
          <w:sz w:val="28"/>
        </w:rPr>
      </w:pPr>
    </w:p>
    <w:p>
      <w:pPr>
        <w:pStyle w:val="BodyText"/>
        <w:rPr>
          <w:sz w:val="12"/>
        </w:rPr>
      </w:pPr>
    </w:p>
    <w:p>
      <w:pPr>
        <w:spacing w:line="237" w:lineRule="auto" w:before="82"/>
        <w:ind w:left="1227" w:right="406" w:hanging="31"/>
        <w:jc w:val="both"/>
        <w:rPr>
          <w:sz w:val="12"/>
        </w:rPr>
      </w:pPr>
      <w:r>
        <w:rPr/>
        <w:pict>
          <v:group style="position:absolute;margin-left:52.403pt;margin-top:27.480219pt;width:143.65pt;height:5.35pt;mso-position-horizontal-relative:page;mso-position-vertical-relative:paragraph;z-index:15823872" coordorigin="1048,550" coordsize="2873,107">
            <v:shape style="position:absolute;left:1053;top:549;width:2836;height:100" coordorigin="1053,550" coordsize="2836,100" path="m1053,550l1053,650m1169,596l1169,650m1413,596l1413,650m1304,550l1304,650m1512,550l1512,650m1628,596l1628,650m1872,596l1872,650m1763,550l1763,650m2000,550l2000,650m2116,596l2116,650m2360,596l2360,650m2251,550l2251,650m2464,550l2464,650m2580,596l2580,650m2824,596l2824,650m2715,550l2715,650m2936,550l2936,650m3052,596l3052,650m3296,596l3296,650m3187,550l3187,650m3400,550l3400,650m3516,596l3516,650m3760,596l3760,650m3651,550l3651,650m3888,550l3888,650e" filled="false" stroked="true" strokeweight=".5pt" strokecolor="#000000">
              <v:path arrowok="t"/>
              <v:stroke dashstyle="solid"/>
            </v:shape>
            <v:line style="position:absolute" from="1056,651" to="3920,651" stroked="true" strokeweight=".5pt" strokecolor="#000000">
              <v:stroke dashstyle="solid"/>
            </v:line>
            <w10:wrap type="none"/>
          </v:group>
        </w:pict>
      </w:r>
      <w:r>
        <w:rPr/>
        <w:pict>
          <v:line style="position:absolute;mso-position-horizontal-relative:page;mso-position-vertical-relative:paragraph;z-index:15824384" from="47.253998pt,12.081219pt" to="42.919998pt,12.081219pt" stroked="true" strokeweight=".5pt" strokecolor="#000000">
            <v:stroke dashstyle="solid"/>
            <w10:wrap type="none"/>
          </v:line>
        </w:pict>
      </w:r>
      <w:r>
        <w:rPr>
          <w:w w:val="110"/>
          <w:sz w:val="12"/>
        </w:rPr>
        <w:t>Capital</w:t>
      </w:r>
      <w:r>
        <w:rPr>
          <w:spacing w:val="-9"/>
          <w:w w:val="110"/>
          <w:sz w:val="12"/>
        </w:rPr>
        <w:t> </w:t>
      </w:r>
      <w:r>
        <w:rPr>
          <w:w w:val="110"/>
          <w:sz w:val="12"/>
        </w:rPr>
        <w:t>gearing</w:t>
      </w:r>
      <w:r>
        <w:rPr>
          <w:spacing w:val="-9"/>
          <w:w w:val="110"/>
          <w:sz w:val="12"/>
        </w:rPr>
        <w:t> </w:t>
      </w:r>
      <w:r>
        <w:rPr>
          <w:w w:val="110"/>
          <w:sz w:val="12"/>
        </w:rPr>
        <w:t>in</w:t>
      </w:r>
      <w:r>
        <w:rPr>
          <w:spacing w:val="-8"/>
          <w:w w:val="110"/>
          <w:sz w:val="12"/>
        </w:rPr>
        <w:t> </w:t>
      </w:r>
      <w:r>
        <w:rPr>
          <w:spacing w:val="-3"/>
          <w:w w:val="110"/>
          <w:sz w:val="12"/>
        </w:rPr>
        <w:t>terms </w:t>
      </w:r>
      <w:r>
        <w:rPr>
          <w:w w:val="110"/>
          <w:sz w:val="12"/>
        </w:rPr>
        <w:t>of the replacement </w:t>
      </w:r>
      <w:r>
        <w:rPr>
          <w:spacing w:val="-4"/>
          <w:w w:val="110"/>
          <w:sz w:val="12"/>
        </w:rPr>
        <w:t>cost </w:t>
      </w:r>
      <w:r>
        <w:rPr>
          <w:w w:val="110"/>
          <w:sz w:val="12"/>
        </w:rPr>
        <w:t>of</w:t>
      </w:r>
      <w:r>
        <w:rPr>
          <w:spacing w:val="-4"/>
          <w:w w:val="110"/>
          <w:sz w:val="12"/>
        </w:rPr>
        <w:t> </w:t>
      </w:r>
      <w:r>
        <w:rPr>
          <w:w w:val="110"/>
          <w:sz w:val="12"/>
        </w:rPr>
        <w:t>capital</w:t>
      </w:r>
    </w:p>
    <w:p>
      <w:pPr>
        <w:pStyle w:val="BodyText"/>
        <w:rPr>
          <w:sz w:val="11"/>
        </w:rPr>
      </w:pPr>
      <w:r>
        <w:rPr/>
        <w:pict>
          <v:shape style="position:absolute;margin-left:42.921001pt;margin-top:8.566326pt;width:4.350pt;height:.1pt;mso-position-horizontal-relative:page;mso-position-vertical-relative:paragraph;z-index:-15636480;mso-wrap-distance-left:0;mso-wrap-distance-right:0" coordorigin="858,171" coordsize="87,0" path="m945,171l858,171e" filled="false" stroked="true" strokeweight=".5pt" strokecolor="#000000">
            <v:path arrowok="t"/>
            <v:stroke dashstyle="solid"/>
            <w10:wrap type="topAndBottom"/>
          </v:shape>
        </w:pict>
      </w:r>
    </w:p>
    <w:p>
      <w:pPr>
        <w:spacing w:before="8"/>
        <w:ind w:left="244" w:right="0" w:firstLine="0"/>
        <w:jc w:val="left"/>
        <w:rPr>
          <w:sz w:val="12"/>
        </w:rPr>
      </w:pPr>
      <w:r>
        <w:rPr>
          <w:w w:val="120"/>
          <w:sz w:val="12"/>
        </w:rPr>
        <w:t>1976 78 80 82 84 86 88 90 92 94 96</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4"/>
        </w:rPr>
      </w:pPr>
    </w:p>
    <w:p>
      <w:pPr>
        <w:spacing w:line="113" w:lineRule="exact" w:before="0"/>
        <w:ind w:left="179" w:right="0" w:firstLine="0"/>
        <w:jc w:val="left"/>
        <w:rPr>
          <w:sz w:val="12"/>
        </w:rPr>
      </w:pPr>
      <w:r>
        <w:rPr>
          <w:w w:val="110"/>
          <w:sz w:val="12"/>
        </w:rPr>
        <w:t>Per cent</w:t>
      </w:r>
    </w:p>
    <w:p>
      <w:pPr>
        <w:spacing w:line="113" w:lineRule="exact" w:before="0"/>
        <w:ind w:left="707" w:right="0" w:firstLine="0"/>
        <w:jc w:val="left"/>
        <w:rPr>
          <w:sz w:val="12"/>
        </w:rPr>
      </w:pPr>
      <w:r>
        <w:rPr/>
        <w:pict>
          <v:line style="position:absolute;mso-position-horizontal-relative:page;mso-position-vertical-relative:paragraph;z-index:15824896" from="206.387001pt,2.850258pt" to="202.054001pt,2.850258pt" stroked="true" strokeweight=".5pt" strokecolor="#000000">
            <v:stroke dashstyle="solid"/>
            <w10:wrap type="none"/>
          </v:line>
        </w:pict>
      </w:r>
      <w:r>
        <w:rPr>
          <w:w w:val="120"/>
          <w:sz w:val="12"/>
        </w:rPr>
        <w:t>35</w:t>
      </w:r>
    </w:p>
    <w:p>
      <w:pPr>
        <w:pStyle w:val="BodyText"/>
        <w:rPr>
          <w:sz w:val="12"/>
        </w:rPr>
      </w:pPr>
    </w:p>
    <w:p>
      <w:pPr>
        <w:pStyle w:val="BodyText"/>
        <w:spacing w:before="10"/>
        <w:rPr>
          <w:sz w:val="11"/>
        </w:rPr>
      </w:pPr>
    </w:p>
    <w:p>
      <w:pPr>
        <w:spacing w:before="1"/>
        <w:ind w:left="0" w:right="38" w:firstLine="0"/>
        <w:jc w:val="right"/>
        <w:rPr>
          <w:sz w:val="12"/>
        </w:rPr>
      </w:pPr>
      <w:r>
        <w:rPr/>
        <w:pict>
          <v:line style="position:absolute;mso-position-horizontal-relative:page;mso-position-vertical-relative:paragraph;z-index:15825408" from="206.387001pt,3.608807pt" to="202.054001pt,3.608807pt" stroked="true" strokeweight=".5pt" strokecolor="#000000">
            <v:stroke dashstyle="solid"/>
            <w10:wrap type="none"/>
          </v:line>
        </w:pict>
      </w:r>
      <w:r>
        <w:rPr>
          <w:w w:val="120"/>
          <w:sz w:val="12"/>
        </w:rPr>
        <w:t>30</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5825920" from="206.387001pt,4.016623pt" to="202.054001pt,4.016623pt" stroked="true" strokeweight=".5pt" strokecolor="#000000">
            <v:stroke dashstyle="solid"/>
            <w10:wrap type="none"/>
          </v:line>
        </w:pict>
      </w:r>
      <w:r>
        <w:rPr>
          <w:w w:val="120"/>
          <w:sz w:val="12"/>
        </w:rPr>
        <w:t>25</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826432" from="206.387001pt,3.499624pt" to="202.054001pt,3.499624pt" stroked="true" strokeweight=".5pt" strokecolor="#000000">
            <v:stroke dashstyle="solid"/>
            <w10:wrap type="none"/>
          </v:line>
        </w:pict>
      </w:r>
      <w:r>
        <w:rPr>
          <w:w w:val="120"/>
          <w:sz w:val="12"/>
        </w:rPr>
        <w:t>20</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826944" from="206.387001pt,3.546623pt" to="202.054001pt,3.546623pt" stroked="true" strokeweight=".5pt" strokecolor="#000000">
            <v:stroke dashstyle="solid"/>
            <w10:wrap type="none"/>
          </v:line>
        </w:pict>
      </w:r>
      <w:r>
        <w:rPr>
          <w:w w:val="120"/>
          <w:sz w:val="12"/>
        </w:rPr>
        <w:t>15</w:t>
      </w:r>
    </w:p>
    <w:p>
      <w:pPr>
        <w:pStyle w:val="BodyText"/>
        <w:rPr>
          <w:sz w:val="12"/>
        </w:rPr>
      </w:pPr>
    </w:p>
    <w:p>
      <w:pPr>
        <w:pStyle w:val="BodyText"/>
        <w:spacing w:before="7"/>
        <w:rPr>
          <w:sz w:val="11"/>
        </w:rPr>
      </w:pPr>
    </w:p>
    <w:p>
      <w:pPr>
        <w:spacing w:before="1"/>
        <w:ind w:left="0" w:right="38" w:firstLine="0"/>
        <w:jc w:val="right"/>
        <w:rPr>
          <w:sz w:val="12"/>
        </w:rPr>
      </w:pPr>
      <w:r>
        <w:rPr/>
        <w:pict>
          <v:line style="position:absolute;mso-position-horizontal-relative:page;mso-position-vertical-relative:paragraph;z-index:15827968" from="206.386994pt,3.44644pt" to="202.052994pt,3.44644pt" stroked="true" strokeweight=".5pt" strokecolor="#000000">
            <v:stroke dashstyle="solid"/>
            <w10:wrap type="none"/>
          </v:line>
        </w:pict>
      </w:r>
      <w:r>
        <w:rPr>
          <w:w w:val="120"/>
          <w:sz w:val="12"/>
        </w:rPr>
        <w:t>10</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828480" from="206.386994pt,3.442563pt" to="202.052994pt,3.442563pt" stroked="true" strokeweight=".5pt" strokecolor="#000000">
            <v:stroke dashstyle="solid"/>
            <w10:wrap type="none"/>
          </v:line>
        </w:pict>
      </w:r>
      <w:r>
        <w:rPr>
          <w:w w:val="121"/>
          <w:sz w:val="12"/>
        </w:rPr>
        <w:t>5</w:t>
      </w:r>
    </w:p>
    <w:p>
      <w:pPr>
        <w:pStyle w:val="BodyText"/>
        <w:rPr>
          <w:sz w:val="12"/>
        </w:rPr>
      </w:pPr>
    </w:p>
    <w:p>
      <w:pPr>
        <w:pStyle w:val="BodyText"/>
        <w:spacing w:before="10"/>
        <w:rPr>
          <w:sz w:val="11"/>
        </w:rPr>
      </w:pPr>
    </w:p>
    <w:p>
      <w:pPr>
        <w:spacing w:line="127" w:lineRule="exact" w:before="0"/>
        <w:ind w:left="780" w:right="0" w:firstLine="0"/>
        <w:jc w:val="left"/>
        <w:rPr>
          <w:sz w:val="12"/>
        </w:rPr>
      </w:pPr>
      <w:r>
        <w:rPr/>
        <w:pict>
          <v:line style="position:absolute;mso-position-horizontal-relative:page;mso-position-vertical-relative:paragraph;z-index:15827456" from="206.387001pt,3.903563pt" to="202.054001pt,3.903563pt" stroked="true" strokeweight=".5pt" strokecolor="#000000">
            <v:stroke dashstyle="solid"/>
            <w10:wrap type="none"/>
          </v:line>
        </w:pict>
      </w:r>
      <w:r>
        <w:rPr>
          <w:w w:val="121"/>
          <w:sz w:val="12"/>
        </w:rPr>
        <w:t>0</w:t>
      </w:r>
    </w:p>
    <w:p>
      <w:pPr>
        <w:spacing w:line="127" w:lineRule="exact" w:before="0"/>
        <w:ind w:left="61" w:right="0" w:firstLine="0"/>
        <w:jc w:val="left"/>
        <w:rPr>
          <w:sz w:val="12"/>
        </w:rPr>
      </w:pPr>
      <w:r>
        <w:rPr>
          <w:w w:val="120"/>
          <w:sz w:val="12"/>
        </w:rPr>
        <w:t>98 2000</w:t>
      </w:r>
    </w:p>
    <w:p>
      <w:pPr>
        <w:pStyle w:val="BodyText"/>
        <w:spacing w:before="6"/>
        <w:rPr>
          <w:sz w:val="19"/>
        </w:rPr>
      </w:pPr>
      <w:r>
        <w:rPr/>
        <w:br w:type="column"/>
      </w:r>
      <w:r>
        <w:rPr>
          <w:sz w:val="19"/>
        </w:rPr>
      </w:r>
    </w:p>
    <w:p>
      <w:pPr>
        <w:pStyle w:val="BodyText"/>
        <w:spacing w:line="292" w:lineRule="auto" w:before="1"/>
        <w:ind w:left="298" w:right="51"/>
      </w:pPr>
      <w:r>
        <w:rPr>
          <w:w w:val="110"/>
        </w:rPr>
        <w:t>on this basis. </w:t>
      </w:r>
      <w:r>
        <w:rPr>
          <w:spacing w:val="-4"/>
          <w:w w:val="110"/>
        </w:rPr>
        <w:t>Moreover, </w:t>
      </w:r>
      <w:r>
        <w:rPr>
          <w:w w:val="110"/>
        </w:rPr>
        <w:t>other measures of </w:t>
      </w:r>
      <w:r>
        <w:rPr>
          <w:spacing w:val="-3"/>
          <w:w w:val="110"/>
        </w:rPr>
        <w:t>corporate </w:t>
      </w:r>
      <w:r>
        <w:rPr>
          <w:w w:val="110"/>
        </w:rPr>
        <w:t>gearing are</w:t>
      </w:r>
      <w:r>
        <w:rPr>
          <w:spacing w:val="-17"/>
          <w:w w:val="110"/>
        </w:rPr>
        <w:t> </w:t>
      </w:r>
      <w:r>
        <w:rPr>
          <w:w w:val="110"/>
        </w:rPr>
        <w:t>less</w:t>
      </w:r>
      <w:r>
        <w:rPr>
          <w:spacing w:val="-17"/>
          <w:w w:val="110"/>
        </w:rPr>
        <w:t> </w:t>
      </w:r>
      <w:r>
        <w:rPr>
          <w:w w:val="110"/>
        </w:rPr>
        <w:t>benign</w:t>
      </w:r>
      <w:r>
        <w:rPr>
          <w:spacing w:val="-16"/>
          <w:w w:val="110"/>
        </w:rPr>
        <w:t> </w:t>
      </w:r>
      <w:r>
        <w:rPr>
          <w:w w:val="110"/>
        </w:rPr>
        <w:t>(see</w:t>
      </w:r>
      <w:r>
        <w:rPr>
          <w:spacing w:val="-17"/>
          <w:w w:val="110"/>
        </w:rPr>
        <w:t> </w:t>
      </w:r>
      <w:r>
        <w:rPr>
          <w:w w:val="110"/>
        </w:rPr>
        <w:t>Chart</w:t>
      </w:r>
      <w:r>
        <w:rPr>
          <w:spacing w:val="-17"/>
          <w:w w:val="110"/>
        </w:rPr>
        <w:t> </w:t>
      </w:r>
      <w:r>
        <w:rPr>
          <w:spacing w:val="-5"/>
          <w:w w:val="110"/>
        </w:rPr>
        <w:t>1.10).</w:t>
      </w:r>
      <w:r>
        <w:rPr>
          <w:spacing w:val="23"/>
          <w:w w:val="110"/>
        </w:rPr>
        <w:t> </w:t>
      </w:r>
      <w:r>
        <w:rPr>
          <w:w w:val="110"/>
        </w:rPr>
        <w:t>Capital</w:t>
      </w:r>
      <w:r>
        <w:rPr>
          <w:spacing w:val="-17"/>
          <w:w w:val="110"/>
        </w:rPr>
        <w:t> </w:t>
      </w:r>
      <w:r>
        <w:rPr>
          <w:w w:val="110"/>
        </w:rPr>
        <w:t>gearing,</w:t>
      </w:r>
      <w:r>
        <w:rPr>
          <w:spacing w:val="-16"/>
          <w:w w:val="110"/>
        </w:rPr>
        <w:t> </w:t>
      </w:r>
      <w:r>
        <w:rPr>
          <w:w w:val="110"/>
        </w:rPr>
        <w:t>measured</w:t>
      </w:r>
      <w:r>
        <w:rPr>
          <w:spacing w:val="-17"/>
          <w:w w:val="110"/>
        </w:rPr>
        <w:t> </w:t>
      </w:r>
      <w:r>
        <w:rPr>
          <w:w w:val="110"/>
        </w:rPr>
        <w:t>as the stock of outstanding </w:t>
      </w:r>
      <w:r>
        <w:rPr>
          <w:spacing w:val="-3"/>
          <w:w w:val="110"/>
        </w:rPr>
        <w:t>corporate </w:t>
      </w:r>
      <w:r>
        <w:rPr>
          <w:w w:val="110"/>
        </w:rPr>
        <w:t>debt relative </w:t>
      </w:r>
      <w:r>
        <w:rPr>
          <w:spacing w:val="-4"/>
          <w:w w:val="110"/>
        </w:rPr>
        <w:t>to </w:t>
      </w:r>
      <w:r>
        <w:rPr>
          <w:w w:val="110"/>
        </w:rPr>
        <w:t>the replacement cost of capital, has risen </w:t>
      </w:r>
      <w:r>
        <w:rPr>
          <w:spacing w:val="-4"/>
          <w:w w:val="110"/>
        </w:rPr>
        <w:t>to </w:t>
      </w:r>
      <w:r>
        <w:rPr>
          <w:spacing w:val="-3"/>
          <w:w w:val="110"/>
        </w:rPr>
        <w:t>record </w:t>
      </w:r>
      <w:r>
        <w:rPr>
          <w:w w:val="110"/>
        </w:rPr>
        <w:t>levels. </w:t>
      </w:r>
      <w:r>
        <w:rPr>
          <w:spacing w:val="-3"/>
          <w:w w:val="110"/>
        </w:rPr>
        <w:t>Equity </w:t>
      </w:r>
      <w:r>
        <w:rPr>
          <w:w w:val="110"/>
        </w:rPr>
        <w:t>prices</w:t>
      </w:r>
      <w:r>
        <w:rPr>
          <w:spacing w:val="-22"/>
          <w:w w:val="110"/>
        </w:rPr>
        <w:t> </w:t>
      </w:r>
      <w:r>
        <w:rPr>
          <w:w w:val="110"/>
        </w:rPr>
        <w:t>have</w:t>
      </w:r>
      <w:r>
        <w:rPr>
          <w:spacing w:val="-21"/>
          <w:w w:val="110"/>
        </w:rPr>
        <w:t> </w:t>
      </w:r>
      <w:r>
        <w:rPr>
          <w:w w:val="110"/>
        </w:rPr>
        <w:t>fallen</w:t>
      </w:r>
      <w:r>
        <w:rPr>
          <w:spacing w:val="-22"/>
          <w:w w:val="110"/>
        </w:rPr>
        <w:t> </w:t>
      </w:r>
      <w:r>
        <w:rPr>
          <w:w w:val="110"/>
        </w:rPr>
        <w:t>since</w:t>
      </w:r>
      <w:r>
        <w:rPr>
          <w:spacing w:val="-21"/>
          <w:w w:val="110"/>
        </w:rPr>
        <w:t> </w:t>
      </w:r>
      <w:r>
        <w:rPr>
          <w:w w:val="110"/>
        </w:rPr>
        <w:t>the</w:t>
      </w:r>
      <w:r>
        <w:rPr>
          <w:spacing w:val="-21"/>
          <w:w w:val="110"/>
        </w:rPr>
        <w:t> </w:t>
      </w:r>
      <w:r>
        <w:rPr>
          <w:w w:val="110"/>
        </w:rPr>
        <w:t>November</w:t>
      </w:r>
      <w:r>
        <w:rPr>
          <w:spacing w:val="-22"/>
          <w:w w:val="110"/>
        </w:rPr>
        <w:t> </w:t>
      </w:r>
      <w:r>
        <w:rPr>
          <w:i/>
          <w:w w:val="110"/>
        </w:rPr>
        <w:t>Report</w:t>
      </w:r>
      <w:r>
        <w:rPr>
          <w:w w:val="110"/>
        </w:rPr>
        <w:t>,</w:t>
      </w:r>
      <w:r>
        <w:rPr>
          <w:spacing w:val="-21"/>
          <w:w w:val="110"/>
        </w:rPr>
        <w:t> </w:t>
      </w:r>
      <w:r>
        <w:rPr>
          <w:w w:val="110"/>
        </w:rPr>
        <w:t>consistent</w:t>
      </w:r>
      <w:r>
        <w:rPr>
          <w:spacing w:val="-21"/>
          <w:w w:val="110"/>
        </w:rPr>
        <w:t> </w:t>
      </w:r>
      <w:r>
        <w:rPr>
          <w:w w:val="110"/>
        </w:rPr>
        <w:t>with </w:t>
      </w:r>
      <w:r>
        <w:rPr>
          <w:spacing w:val="-3"/>
          <w:w w:val="110"/>
        </w:rPr>
        <w:t>downward </w:t>
      </w:r>
      <w:r>
        <w:rPr>
          <w:w w:val="110"/>
        </w:rPr>
        <w:t>revisions </w:t>
      </w:r>
      <w:r>
        <w:rPr>
          <w:spacing w:val="-4"/>
          <w:w w:val="110"/>
        </w:rPr>
        <w:t>to </w:t>
      </w:r>
      <w:r>
        <w:rPr>
          <w:spacing w:val="-3"/>
          <w:w w:val="110"/>
        </w:rPr>
        <w:t>expected </w:t>
      </w:r>
      <w:r>
        <w:rPr>
          <w:w w:val="110"/>
        </w:rPr>
        <w:t>future </w:t>
      </w:r>
      <w:r>
        <w:rPr>
          <w:spacing w:val="-3"/>
          <w:w w:val="110"/>
        </w:rPr>
        <w:t>corporate </w:t>
      </w:r>
      <w:r>
        <w:rPr>
          <w:w w:val="110"/>
        </w:rPr>
        <w:t>profits growth.</w:t>
      </w:r>
      <w:r>
        <w:rPr>
          <w:spacing w:val="8"/>
          <w:w w:val="110"/>
        </w:rPr>
        <w:t> </w:t>
      </w:r>
      <w:r>
        <w:rPr>
          <w:w w:val="110"/>
        </w:rPr>
        <w:t>The</w:t>
      </w:r>
      <w:r>
        <w:rPr>
          <w:spacing w:val="-23"/>
          <w:w w:val="110"/>
        </w:rPr>
        <w:t> </w:t>
      </w:r>
      <w:r>
        <w:rPr>
          <w:w w:val="110"/>
        </w:rPr>
        <w:t>telecommunications</w:t>
      </w:r>
      <w:r>
        <w:rPr>
          <w:spacing w:val="-23"/>
          <w:w w:val="110"/>
        </w:rPr>
        <w:t> </w:t>
      </w:r>
      <w:r>
        <w:rPr>
          <w:spacing w:val="-4"/>
          <w:w w:val="110"/>
        </w:rPr>
        <w:t>sector,</w:t>
      </w:r>
      <w:r>
        <w:rPr>
          <w:spacing w:val="-24"/>
          <w:w w:val="110"/>
        </w:rPr>
        <w:t> </w:t>
      </w:r>
      <w:r>
        <w:rPr>
          <w:w w:val="110"/>
        </w:rPr>
        <w:t>which</w:t>
      </w:r>
      <w:r>
        <w:rPr>
          <w:spacing w:val="-23"/>
          <w:w w:val="110"/>
        </w:rPr>
        <w:t> </w:t>
      </w:r>
      <w:r>
        <w:rPr>
          <w:w w:val="110"/>
        </w:rPr>
        <w:t>has</w:t>
      </w:r>
      <w:r>
        <w:rPr>
          <w:spacing w:val="-23"/>
          <w:w w:val="110"/>
        </w:rPr>
        <w:t> </w:t>
      </w:r>
      <w:r>
        <w:rPr>
          <w:w w:val="110"/>
        </w:rPr>
        <w:t>accounted for a large share of the recent build-up of </w:t>
      </w:r>
      <w:r>
        <w:rPr>
          <w:spacing w:val="-3"/>
          <w:w w:val="110"/>
        </w:rPr>
        <w:t>corporate </w:t>
      </w:r>
      <w:r>
        <w:rPr>
          <w:w w:val="110"/>
        </w:rPr>
        <w:t>debt, has experienced</w:t>
      </w:r>
      <w:r>
        <w:rPr>
          <w:spacing w:val="-23"/>
          <w:w w:val="110"/>
        </w:rPr>
        <w:t> </w:t>
      </w:r>
      <w:r>
        <w:rPr>
          <w:w w:val="110"/>
        </w:rPr>
        <w:t>particularly</w:t>
      </w:r>
      <w:r>
        <w:rPr>
          <w:spacing w:val="-22"/>
          <w:w w:val="110"/>
        </w:rPr>
        <w:t> </w:t>
      </w:r>
      <w:r>
        <w:rPr>
          <w:spacing w:val="-2"/>
          <w:w w:val="110"/>
        </w:rPr>
        <w:t>marked</w:t>
      </w:r>
      <w:r>
        <w:rPr>
          <w:spacing w:val="-23"/>
          <w:w w:val="110"/>
        </w:rPr>
        <w:t> </w:t>
      </w:r>
      <w:r>
        <w:rPr>
          <w:w w:val="110"/>
        </w:rPr>
        <w:t>falls</w:t>
      </w:r>
      <w:r>
        <w:rPr>
          <w:spacing w:val="-22"/>
          <w:w w:val="110"/>
        </w:rPr>
        <w:t> </w:t>
      </w:r>
      <w:r>
        <w:rPr>
          <w:w w:val="110"/>
        </w:rPr>
        <w:t>in</w:t>
      </w:r>
      <w:r>
        <w:rPr>
          <w:spacing w:val="-22"/>
          <w:w w:val="110"/>
        </w:rPr>
        <w:t> </w:t>
      </w:r>
      <w:r>
        <w:rPr>
          <w:spacing w:val="-3"/>
          <w:w w:val="110"/>
        </w:rPr>
        <w:t>equity</w:t>
      </w:r>
      <w:r>
        <w:rPr>
          <w:spacing w:val="-23"/>
          <w:w w:val="110"/>
        </w:rPr>
        <w:t> </w:t>
      </w:r>
      <w:r>
        <w:rPr>
          <w:w w:val="110"/>
        </w:rPr>
        <w:t>prices</w:t>
      </w:r>
      <w:r>
        <w:rPr>
          <w:spacing w:val="-22"/>
          <w:w w:val="110"/>
        </w:rPr>
        <w:t> </w:t>
      </w:r>
      <w:r>
        <w:rPr>
          <w:w w:val="110"/>
        </w:rPr>
        <w:t>and</w:t>
      </w:r>
      <w:r>
        <w:rPr>
          <w:spacing w:val="-23"/>
          <w:w w:val="110"/>
        </w:rPr>
        <w:t> </w:t>
      </w:r>
      <w:r>
        <w:rPr>
          <w:w w:val="110"/>
        </w:rPr>
        <w:t>rises in</w:t>
      </w:r>
      <w:r>
        <w:rPr>
          <w:spacing w:val="-23"/>
          <w:w w:val="110"/>
        </w:rPr>
        <w:t> </w:t>
      </w:r>
      <w:r>
        <w:rPr>
          <w:w w:val="110"/>
        </w:rPr>
        <w:t>bond</w:t>
      </w:r>
      <w:r>
        <w:rPr>
          <w:spacing w:val="-22"/>
          <w:w w:val="110"/>
        </w:rPr>
        <w:t> </w:t>
      </w:r>
      <w:r>
        <w:rPr>
          <w:w w:val="110"/>
        </w:rPr>
        <w:t>yield</w:t>
      </w:r>
      <w:r>
        <w:rPr>
          <w:spacing w:val="-23"/>
          <w:w w:val="110"/>
        </w:rPr>
        <w:t> </w:t>
      </w:r>
      <w:r>
        <w:rPr>
          <w:w w:val="110"/>
        </w:rPr>
        <w:t>spreads.</w:t>
      </w:r>
      <w:r>
        <w:rPr>
          <w:spacing w:val="11"/>
          <w:w w:val="110"/>
        </w:rPr>
        <w:t> </w:t>
      </w:r>
      <w:r>
        <w:rPr>
          <w:w w:val="110"/>
        </w:rPr>
        <w:t>That</w:t>
      </w:r>
      <w:r>
        <w:rPr>
          <w:spacing w:val="-23"/>
          <w:w w:val="110"/>
        </w:rPr>
        <w:t> </w:t>
      </w:r>
      <w:r>
        <w:rPr>
          <w:spacing w:val="-3"/>
          <w:w w:val="110"/>
        </w:rPr>
        <w:t>may</w:t>
      </w:r>
      <w:r>
        <w:rPr>
          <w:spacing w:val="-22"/>
          <w:w w:val="110"/>
        </w:rPr>
        <w:t> </w:t>
      </w:r>
      <w:r>
        <w:rPr>
          <w:w w:val="110"/>
        </w:rPr>
        <w:t>reflect</w:t>
      </w:r>
      <w:r>
        <w:rPr>
          <w:spacing w:val="-23"/>
          <w:w w:val="110"/>
        </w:rPr>
        <w:t> </w:t>
      </w:r>
      <w:r>
        <w:rPr>
          <w:spacing w:val="-3"/>
          <w:w w:val="110"/>
        </w:rPr>
        <w:t>downward</w:t>
      </w:r>
      <w:r>
        <w:rPr>
          <w:spacing w:val="-22"/>
          <w:w w:val="110"/>
        </w:rPr>
        <w:t> </w:t>
      </w:r>
      <w:r>
        <w:rPr>
          <w:w w:val="110"/>
        </w:rPr>
        <w:t>revisions</w:t>
      </w:r>
      <w:r>
        <w:rPr>
          <w:spacing w:val="-23"/>
          <w:w w:val="110"/>
        </w:rPr>
        <w:t> </w:t>
      </w:r>
      <w:r>
        <w:rPr>
          <w:spacing w:val="-4"/>
          <w:w w:val="110"/>
        </w:rPr>
        <w:t>to </w:t>
      </w:r>
      <w:r>
        <w:rPr>
          <w:w w:val="110"/>
        </w:rPr>
        <w:t>market expectations of prospective returns from </w:t>
      </w:r>
      <w:r>
        <w:rPr>
          <w:spacing w:val="-3"/>
          <w:w w:val="110"/>
        </w:rPr>
        <w:t>investing </w:t>
      </w:r>
      <w:r>
        <w:rPr>
          <w:w w:val="110"/>
        </w:rPr>
        <w:t>in new</w:t>
      </w:r>
      <w:r>
        <w:rPr>
          <w:spacing w:val="-6"/>
          <w:w w:val="110"/>
        </w:rPr>
        <w:t> </w:t>
      </w:r>
      <w:r>
        <w:rPr>
          <w:spacing w:val="-3"/>
          <w:w w:val="110"/>
        </w:rPr>
        <w:t>technology.</w:t>
      </w:r>
    </w:p>
    <w:p>
      <w:pPr>
        <w:pStyle w:val="BodyText"/>
        <w:spacing w:before="10"/>
        <w:rPr>
          <w:sz w:val="21"/>
        </w:rPr>
      </w:pPr>
    </w:p>
    <w:p>
      <w:pPr>
        <w:pStyle w:val="Heading6"/>
      </w:pPr>
      <w:r>
        <w:rPr>
          <w:color w:val="89C6DC"/>
        </w:rPr>
        <w:t>Other financial corporations</w:t>
      </w:r>
    </w:p>
    <w:p>
      <w:pPr>
        <w:spacing w:after="0"/>
        <w:sectPr>
          <w:type w:val="continuous"/>
          <w:pgSz w:w="11900" w:h="16840"/>
          <w:pgMar w:top="1260" w:bottom="280" w:left="640" w:right="640"/>
          <w:cols w:num="3" w:equalWidth="0">
            <w:col w:w="2850" w:space="40"/>
            <w:col w:w="894" w:space="1023"/>
            <w:col w:w="5813"/>
          </w:cols>
        </w:sectPr>
      </w:pPr>
    </w:p>
    <w:p>
      <w:pPr>
        <w:pStyle w:val="BodyText"/>
        <w:rPr>
          <w:rFonts w:ascii="Trebuchet MS"/>
          <w:b/>
          <w:sz w:val="14"/>
        </w:rPr>
      </w:pPr>
    </w:p>
    <w:p>
      <w:pPr>
        <w:spacing w:before="1"/>
        <w:ind w:left="180" w:right="0" w:firstLine="0"/>
        <w:jc w:val="left"/>
        <w:rPr>
          <w:sz w:val="12"/>
        </w:rPr>
      </w:pPr>
      <w:r>
        <w:rPr>
          <w:w w:val="105"/>
          <w:sz w:val="12"/>
        </w:rPr>
        <w:t>Sources: ONS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7"/>
        </w:rPr>
      </w:pPr>
    </w:p>
    <w:p>
      <w:pPr>
        <w:pStyle w:val="Heading6"/>
        <w:ind w:left="164"/>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75"/>
        </w:rPr>
        <w:t>1.11</w:t>
      </w:r>
    </w:p>
    <w:p>
      <w:pPr>
        <w:spacing w:line="247" w:lineRule="auto" w:before="8"/>
        <w:ind w:left="164" w:right="28" w:firstLine="0"/>
        <w:jc w:val="left"/>
        <w:rPr>
          <w:rFonts w:ascii="Trebuchet MS" w:hAnsi="Trebuchet MS"/>
          <w:b/>
          <w:sz w:val="20"/>
        </w:rPr>
      </w:pPr>
      <w:r>
        <w:rPr>
          <w:rFonts w:ascii="Trebuchet MS" w:hAnsi="Trebuchet MS"/>
          <w:b/>
          <w:color w:val="89C6DC"/>
          <w:sz w:val="20"/>
        </w:rPr>
        <w:t>Money</w:t>
      </w:r>
      <w:r>
        <w:rPr>
          <w:rFonts w:ascii="Trebuchet MS" w:hAnsi="Trebuchet MS"/>
          <w:b/>
          <w:color w:val="89C6DC"/>
          <w:spacing w:val="-37"/>
          <w:sz w:val="20"/>
        </w:rPr>
        <w:t> </w:t>
      </w:r>
      <w:r>
        <w:rPr>
          <w:rFonts w:ascii="Trebuchet MS" w:hAnsi="Trebuchet MS"/>
          <w:b/>
          <w:color w:val="89C6DC"/>
          <w:sz w:val="20"/>
        </w:rPr>
        <w:t>as</w:t>
      </w:r>
      <w:r>
        <w:rPr>
          <w:rFonts w:ascii="Trebuchet MS" w:hAnsi="Trebuchet MS"/>
          <w:b/>
          <w:color w:val="89C6DC"/>
          <w:spacing w:val="-37"/>
          <w:sz w:val="20"/>
        </w:rPr>
        <w:t> </w:t>
      </w:r>
      <w:r>
        <w:rPr>
          <w:rFonts w:ascii="Trebuchet MS" w:hAnsi="Trebuchet MS"/>
          <w:b/>
          <w:color w:val="89C6DC"/>
          <w:sz w:val="20"/>
        </w:rPr>
        <w:t>a</w:t>
      </w:r>
      <w:r>
        <w:rPr>
          <w:rFonts w:ascii="Trebuchet MS" w:hAnsi="Trebuchet MS"/>
          <w:b/>
          <w:color w:val="89C6DC"/>
          <w:spacing w:val="-37"/>
          <w:sz w:val="20"/>
        </w:rPr>
        <w:t> </w:t>
      </w:r>
      <w:r>
        <w:rPr>
          <w:rFonts w:ascii="Trebuchet MS" w:hAnsi="Trebuchet MS"/>
          <w:b/>
          <w:color w:val="89C6DC"/>
          <w:sz w:val="20"/>
        </w:rPr>
        <w:t>share</w:t>
      </w:r>
      <w:r>
        <w:rPr>
          <w:rFonts w:ascii="Trebuchet MS" w:hAnsi="Trebuchet MS"/>
          <w:b/>
          <w:color w:val="89C6DC"/>
          <w:spacing w:val="-36"/>
          <w:sz w:val="20"/>
        </w:rPr>
        <w:t> </w:t>
      </w:r>
      <w:r>
        <w:rPr>
          <w:rFonts w:ascii="Trebuchet MS" w:hAnsi="Trebuchet MS"/>
          <w:b/>
          <w:color w:val="89C6DC"/>
          <w:sz w:val="20"/>
        </w:rPr>
        <w:t>of</w:t>
      </w:r>
      <w:r>
        <w:rPr>
          <w:rFonts w:ascii="Trebuchet MS" w:hAnsi="Trebuchet MS"/>
          <w:b/>
          <w:color w:val="89C6DC"/>
          <w:spacing w:val="-37"/>
          <w:sz w:val="20"/>
        </w:rPr>
        <w:t> </w:t>
      </w:r>
      <w:r>
        <w:rPr>
          <w:rFonts w:ascii="Trebuchet MS" w:hAnsi="Trebuchet MS"/>
          <w:b/>
          <w:color w:val="89C6DC"/>
          <w:sz w:val="20"/>
        </w:rPr>
        <w:t>UK</w:t>
      </w:r>
      <w:r>
        <w:rPr>
          <w:rFonts w:ascii="Trebuchet MS" w:hAnsi="Trebuchet MS"/>
          <w:b/>
          <w:color w:val="89C6DC"/>
          <w:spacing w:val="-37"/>
          <w:sz w:val="20"/>
        </w:rPr>
        <w:t> </w:t>
      </w:r>
      <w:r>
        <w:rPr>
          <w:rFonts w:ascii="Trebuchet MS" w:hAnsi="Trebuchet MS"/>
          <w:b/>
          <w:color w:val="89C6DC"/>
          <w:sz w:val="20"/>
        </w:rPr>
        <w:t>insurance</w:t>
      </w:r>
      <w:r>
        <w:rPr>
          <w:rFonts w:ascii="Trebuchet MS" w:hAnsi="Trebuchet MS"/>
          <w:b/>
          <w:color w:val="89C6DC"/>
          <w:spacing w:val="-36"/>
          <w:sz w:val="20"/>
        </w:rPr>
        <w:t> </w:t>
      </w:r>
      <w:r>
        <w:rPr>
          <w:rFonts w:ascii="Trebuchet MS" w:hAnsi="Trebuchet MS"/>
          <w:b/>
          <w:color w:val="89C6DC"/>
          <w:sz w:val="20"/>
        </w:rPr>
        <w:t>company and pension </w:t>
      </w:r>
      <w:r>
        <w:rPr>
          <w:rFonts w:ascii="Trebuchet MS" w:hAnsi="Trebuchet MS"/>
          <w:b/>
          <w:color w:val="89C6DC"/>
          <w:spacing w:val="-3"/>
          <w:sz w:val="20"/>
        </w:rPr>
        <w:t>funds’ </w:t>
      </w:r>
      <w:r>
        <w:rPr>
          <w:rFonts w:ascii="Trebuchet MS" w:hAnsi="Trebuchet MS"/>
          <w:b/>
          <w:color w:val="89C6DC"/>
          <w:sz w:val="20"/>
        </w:rPr>
        <w:t>(ICPFs’)</w:t>
      </w:r>
      <w:r>
        <w:rPr>
          <w:rFonts w:ascii="Trebuchet MS" w:hAnsi="Trebuchet MS"/>
          <w:b/>
          <w:color w:val="89C6DC"/>
          <w:spacing w:val="-43"/>
          <w:sz w:val="20"/>
        </w:rPr>
        <w:t> </w:t>
      </w:r>
      <w:r>
        <w:rPr>
          <w:rFonts w:ascii="Trebuchet MS" w:hAnsi="Trebuchet MS"/>
          <w:b/>
          <w:color w:val="89C6DC"/>
          <w:sz w:val="20"/>
        </w:rPr>
        <w:t>assets</w:t>
      </w:r>
    </w:p>
    <w:p>
      <w:pPr>
        <w:spacing w:line="112" w:lineRule="exact" w:before="106"/>
        <w:ind w:left="2934" w:right="0" w:firstLine="0"/>
        <w:jc w:val="left"/>
        <w:rPr>
          <w:sz w:val="12"/>
        </w:rPr>
      </w:pPr>
      <w:r>
        <w:rPr>
          <w:w w:val="110"/>
          <w:sz w:val="12"/>
        </w:rPr>
        <w:t>Per ce</w:t>
      </w:r>
      <w:r>
        <w:rPr>
          <w:w w:val="110"/>
          <w:sz w:val="12"/>
          <w:u w:val="single"/>
        </w:rPr>
        <w:t>nt</w:t>
      </w:r>
    </w:p>
    <w:p>
      <w:pPr>
        <w:spacing w:line="112" w:lineRule="exact" w:before="0"/>
        <w:ind w:left="3390" w:right="0" w:firstLine="0"/>
        <w:jc w:val="left"/>
        <w:rPr>
          <w:sz w:val="12"/>
        </w:rPr>
      </w:pPr>
      <w:r>
        <w:rPr/>
        <w:pict>
          <v:group style="position:absolute;margin-left:40.125pt;margin-top:6.334884pt;width:160.050pt;height:92.25pt;mso-position-horizontal-relative:page;mso-position-vertical-relative:paragraph;z-index:-23500288" coordorigin="803,127" coordsize="3201,1845">
            <v:line style="position:absolute" from="962,1188" to="3838,1188" stroked="true" strokeweight="1pt" strokecolor="#0099d9">
              <v:stroke dashstyle="dash"/>
            </v:line>
            <v:shape style="position:absolute;left:962;top:1605;width:105;height:90" coordorigin="963,1606" coordsize="105,90" path="m963,1606l1015,1681m1015,1681l1068,1696e" filled="false" stroked="true" strokeweight="1pt" strokecolor="#0099d9">
              <v:path arrowok="t"/>
              <v:stroke dashstyle="solid"/>
            </v:shape>
            <v:line style="position:absolute" from="1094,1098" to="1094,1706" stroked="true" strokeweight="3.625pt" strokecolor="#0099d9">
              <v:stroke dashstyle="solid"/>
            </v:line>
            <v:shape style="position:absolute;left:1120;top:333;width:1160;height:1158" coordorigin="1120,333" coordsize="1160,1158" path="m1120,1108l1173,948m1173,948l1225,1051m1225,1051l1278,891m1278,891l1328,948m1328,948l1380,1168m1380,1168l1433,1093m1433,1093l1485,991m1485,991l1538,1021m1538,1021l1590,801m1590,801l1643,656m1643,656l1705,333m1705,333l1758,378m1758,378l1810,743m1810,743l1863,816m1863,816l1913,1108m1913,1108l1965,1183m1965,1183l2018,1081m2018,1081l2070,1168m2070,1168l2123,1183m2123,1183l2175,1256m2175,1256l2228,1313m2228,1313l2280,1491e" filled="false" stroked="true" strokeweight="1pt" strokecolor="#0099d9">
              <v:path arrowok="t"/>
              <v:stroke dashstyle="solid"/>
            </v:shape>
            <v:line style="position:absolute" from="2270,1492" to="2340,1492" stroked="true" strokeweight="1.125pt" strokecolor="#0099d9">
              <v:stroke dashstyle="solid"/>
            </v:line>
            <v:shape style="position:absolute;left:2330;top:1298;width:368;height:308" coordorigin="2330,1298" coordsize="368,308" path="m2330,1491l2383,1606m2383,1606l2435,1503m2435,1503l2488,1533m2488,1533l2540,1491m2540,1491l2593,1431m2593,1431l2645,1328m2645,1328l2698,1298e" filled="false" stroked="true" strokeweight="1pt" strokecolor="#0099d9">
              <v:path arrowok="t"/>
              <v:stroke dashstyle="solid"/>
            </v:shape>
            <v:line style="position:absolute" from="2688,1300" to="2760,1300" stroked="true" strokeweight="1.125pt" strokecolor="#0099d9">
              <v:stroke dashstyle="solid"/>
            </v:line>
            <v:shape style="position:absolute;left:2750;top:933;width:533;height:395" coordorigin="2750,933" coordsize="533,395" path="m2750,1298l2800,1328m2800,1328l2853,1298m2853,1298l2905,1183m2905,1183l2958,933m2958,933l3010,991m3010,991l3063,1021m3063,1021l3115,991m3115,991l3178,1066m3178,1066l3230,1036m3230,1036l3283,1168e" filled="false" stroked="true" strokeweight="1pt" strokecolor="#0099d9">
              <v:path arrowok="t"/>
              <v:stroke dashstyle="solid"/>
            </v:shape>
            <v:line style="position:absolute" from="3273,1170" to="3343,1170" stroked="true" strokeweight="1.125pt" strokecolor="#0099d9">
              <v:stroke dashstyle="solid"/>
            </v:line>
            <v:shape style="position:absolute;left:3332;top:963;width:420;height:643" coordorigin="3333,963" coordsize="420,643" path="m3333,1168l3385,963m3385,963l3438,1226m3438,1226l3490,1373m3490,1373l3543,1431m3543,1431l3595,1476m3595,1476l3648,1606m3648,1606l3700,1533m3700,1533l3753,1416e" filled="false" stroked="true" strokeweight="1pt" strokecolor="#0099d9">
              <v:path arrowok="t"/>
              <v:stroke dashstyle="solid"/>
            </v:shape>
            <v:line style="position:absolute" from="3743,1417" to="3813,1417" stroked="true" strokeweight="1.125pt" strokecolor="#0099d9">
              <v:stroke dashstyle="solid"/>
            </v:line>
            <v:shape style="position:absolute;left:1632;top:687;width:135;height:2" coordorigin="1633,687" coordsize="135,0" path="m1633,687l1715,687m1695,687l1768,687e" filled="false" stroked="true" strokeweight="1.125pt" strokecolor="#f5b37a">
              <v:path arrowok="t"/>
              <v:stroke dashstyle="solid"/>
            </v:shape>
            <v:shape style="position:absolute;left:1757;top:685;width:105;height:643" coordorigin="1758,686" coordsize="105,643" path="m1758,686l1810,1006m1810,1006l1863,1328e" filled="false" stroked="true" strokeweight="1pt" strokecolor="#f5b37a">
              <v:path arrowok="t"/>
              <v:stroke dashstyle="solid"/>
            </v:shape>
            <v:line style="position:absolute" from="1853,1330" to="1923,1330" stroked="true" strokeweight="1.125pt" strokecolor="#f5b37a">
              <v:stroke dashstyle="solid"/>
            </v:line>
            <v:shape style="position:absolute;left:1912;top:1328;width:105;height:308" coordorigin="1913,1328" coordsize="105,308" path="m1913,1328l1965,1636m1965,1636l2018,1328e" filled="false" stroked="true" strokeweight="1pt" strokecolor="#f5b37a">
              <v:path arrowok="t"/>
              <v:stroke dashstyle="solid"/>
            </v:shape>
            <v:line style="position:absolute" from="2008,1330" to="2080,1330" stroked="true" strokeweight="1.125pt" strokecolor="#f5b37a">
              <v:stroke dashstyle="solid"/>
            </v:line>
            <v:shape style="position:absolute;left:2070;top:1328;width:105;height:630" coordorigin="2070,1328" coordsize="105,630" path="m2070,1328l2123,1636m2123,1636l2175,1958e" filled="false" stroked="true" strokeweight="1pt" strokecolor="#f5b37a">
              <v:path arrowok="t"/>
              <v:stroke dashstyle="solid"/>
            </v:shape>
            <v:shape style="position:absolute;left:2165;top:1959;width:125;height:2" coordorigin="2165,1960" coordsize="125,0" path="m2165,1960l2238,1960m2218,1960l2290,1960e" filled="false" stroked="true" strokeweight="1.125pt" strokecolor="#f5b37a">
              <v:path arrowok="t"/>
              <v:stroke dashstyle="solid"/>
            </v:shape>
            <v:shape style="position:absolute;left:2280;top:1415;width:313;height:543" coordorigin="2280,1416" coordsize="313,543" path="m2280,1958l2330,1928m2330,1928l2383,1958m2383,1958l2435,1871m2435,1871l2488,1768m2488,1768l2540,1841m2540,1841l2593,1416e" filled="false" stroked="true" strokeweight="1pt" strokecolor="#f5b37a">
              <v:path arrowok="t"/>
              <v:stroke dashstyle="solid"/>
            </v:shape>
            <v:shape style="position:absolute;left:2582;top:1158;width:543;height:620" type="#_x0000_t75" stroked="false">
              <v:imagedata r:id="rId50" o:title=""/>
            </v:shape>
            <v:line style="position:absolute" from="3115,1358" to="3178,743" stroked="true" strokeweight="1pt" strokecolor="#f5b37a">
              <v:stroke dashstyle="solid"/>
            </v:line>
            <v:line style="position:absolute" from="3168,745" to="3240,745" stroked="true" strokeweight="1.125pt" strokecolor="#f5b37a">
              <v:stroke dashstyle="solid"/>
            </v:line>
            <v:shape style="position:absolute;left:3230;top:743;width:103;height:410" coordorigin="3230,743" coordsize="103,410" path="m3230,743l3283,1051m3283,1051l3333,1153e" filled="false" stroked="true" strokeweight="1pt" strokecolor="#f5b37a">
              <v:path arrowok="t"/>
              <v:stroke dashstyle="solid"/>
            </v:shape>
            <v:line style="position:absolute" from="3359,631" to="3359,1163" stroked="true" strokeweight="3.625pt" strokecolor="#f5b37a">
              <v:stroke dashstyle="solid"/>
            </v:line>
            <v:shape style="position:absolute;left:3385;top:640;width:418;height:995" coordorigin="3385,641" coordsize="418,995" path="m3385,641l3438,1021m3438,1021l3490,1006m3490,1006l3543,1168m3543,1168l3595,1226m3595,1226l3648,1578m3648,1578l3700,1636m3700,1636l3753,1358m3753,1358l3803,1606e" filled="false" stroked="true" strokeweight="1pt" strokecolor="#f5b37a">
              <v:path arrowok="t"/>
              <v:stroke dashstyle="solid"/>
            </v:shape>
            <v:line style="position:absolute" from="3793,1607" to="3865,1607" stroked="true" strokeweight="1.125pt" strokecolor="#f5b37a">
              <v:stroke dashstyle="solid"/>
            </v:line>
            <v:line style="position:absolute" from="1540,1297" to="1540,1957" stroked="true" strokeweight=".5pt" strokecolor="#000000">
              <v:stroke dashstyle="solid"/>
            </v:line>
            <v:shape style="position:absolute;left:1514;top:1229;width:51;height:85" coordorigin="1515,1229" coordsize="51,85" path="m1540,1229l1515,1314,1565,1314,1544,1249,1541,1238,1540,1229xe" filled="true" fillcolor="#000000" stroked="false">
              <v:path arrowok="t"/>
              <v:fill type="solid"/>
            </v:shape>
            <v:shape style="position:absolute;left:802;top:360;width:3201;height:1600" coordorigin="803,360" coordsize="3201,1600" path="m803,361l889,361m803,681l889,681m803,1001l889,1001m803,1320l889,1320m803,1640l889,1640m803,1960l889,1960m3917,360l4003,360m3917,680l4003,680m3917,1000l4003,1000m3917,1320l4003,1320m3917,1640l4003,1640m3917,1960l4003,1960e" filled="false" stroked="true" strokeweight=".5pt" strokecolor="#000000">
              <v:path arrowok="t"/>
              <v:stroke dashstyle="solid"/>
            </v:shape>
            <v:shape style="position:absolute;left:802;top:126;width:3201;height:1845" type="#_x0000_t202" filled="false" stroked="false">
              <v:textbox inset="0,0,0,0">
                <w:txbxContent>
                  <w:p>
                    <w:pPr>
                      <w:spacing w:line="242" w:lineRule="auto" w:before="53"/>
                      <w:ind w:left="994" w:right="213" w:hanging="61"/>
                      <w:jc w:val="left"/>
                      <w:rPr>
                        <w:sz w:val="12"/>
                      </w:rPr>
                    </w:pPr>
                    <w:r>
                      <w:rPr>
                        <w:w w:val="105"/>
                        <w:sz w:val="12"/>
                      </w:rPr>
                      <w:t>Currency, deposits and CDs (a) as a share of ICPFs' financial assets</w:t>
                    </w:r>
                  </w:p>
                </w:txbxContent>
              </v:textbox>
              <w10:wrap type="none"/>
            </v:shape>
            <w10:wrap type="none"/>
          </v:group>
        </w:pict>
      </w:r>
      <w:r>
        <w:rPr/>
        <w:pict>
          <v:line style="position:absolute;mso-position-horizontal-relative:page;mso-position-vertical-relative:paragraph;z-index:15830528" from="40.125pt,2.043884pt" to="44.458pt,2.043884pt" stroked="true" strokeweight=".5pt" strokecolor="#000000">
            <v:stroke dashstyle="solid"/>
            <w10:wrap type="none"/>
          </v:line>
        </w:pict>
      </w:r>
      <w:r>
        <w:rPr>
          <w:w w:val="121"/>
          <w:sz w:val="12"/>
        </w:rPr>
        <w:t>9</w:t>
      </w:r>
    </w:p>
    <w:p>
      <w:pPr>
        <w:pStyle w:val="BodyText"/>
        <w:spacing w:before="10"/>
        <w:rPr>
          <w:sz w:val="15"/>
        </w:rPr>
      </w:pPr>
    </w:p>
    <w:p>
      <w:pPr>
        <w:spacing w:before="1"/>
        <w:ind w:left="0" w:right="514" w:firstLine="0"/>
        <w:jc w:val="right"/>
        <w:rPr>
          <w:sz w:val="12"/>
        </w:rPr>
      </w:pPr>
      <w:r>
        <w:rPr>
          <w:w w:val="121"/>
          <w:sz w:val="12"/>
        </w:rPr>
        <w:t>8</w:t>
      </w:r>
    </w:p>
    <w:p>
      <w:pPr>
        <w:pStyle w:val="BodyText"/>
        <w:spacing w:before="9"/>
        <w:rPr>
          <w:sz w:val="15"/>
        </w:rPr>
      </w:pPr>
    </w:p>
    <w:p>
      <w:pPr>
        <w:spacing w:before="1"/>
        <w:ind w:left="0" w:right="514" w:firstLine="0"/>
        <w:jc w:val="right"/>
        <w:rPr>
          <w:sz w:val="12"/>
        </w:rPr>
      </w:pPr>
      <w:r>
        <w:rPr>
          <w:w w:val="121"/>
          <w:sz w:val="12"/>
        </w:rPr>
        <w:t>7</w:t>
      </w:r>
    </w:p>
    <w:p>
      <w:pPr>
        <w:pStyle w:val="BodyText"/>
        <w:spacing w:before="9"/>
        <w:rPr>
          <w:sz w:val="15"/>
        </w:rPr>
      </w:pPr>
    </w:p>
    <w:p>
      <w:pPr>
        <w:spacing w:before="1"/>
        <w:ind w:left="0" w:right="514" w:firstLine="0"/>
        <w:jc w:val="right"/>
        <w:rPr>
          <w:sz w:val="12"/>
        </w:rPr>
      </w:pPr>
      <w:r>
        <w:rPr>
          <w:w w:val="121"/>
          <w:sz w:val="12"/>
        </w:rPr>
        <w:t>6</w:t>
      </w:r>
    </w:p>
    <w:p>
      <w:pPr>
        <w:pStyle w:val="BodyText"/>
        <w:spacing w:before="10"/>
        <w:rPr>
          <w:sz w:val="15"/>
        </w:rPr>
      </w:pPr>
    </w:p>
    <w:p>
      <w:pPr>
        <w:spacing w:before="0"/>
        <w:ind w:left="0" w:right="514" w:firstLine="0"/>
        <w:jc w:val="right"/>
        <w:rPr>
          <w:sz w:val="12"/>
        </w:rPr>
      </w:pPr>
      <w:r>
        <w:rPr>
          <w:w w:val="121"/>
          <w:sz w:val="12"/>
        </w:rPr>
        <w:t>5</w:t>
      </w:r>
    </w:p>
    <w:p>
      <w:pPr>
        <w:pStyle w:val="BodyText"/>
        <w:spacing w:before="10"/>
        <w:rPr>
          <w:sz w:val="15"/>
        </w:rPr>
      </w:pPr>
    </w:p>
    <w:p>
      <w:pPr>
        <w:spacing w:before="0"/>
        <w:ind w:left="0" w:right="514" w:firstLine="0"/>
        <w:jc w:val="right"/>
        <w:rPr>
          <w:sz w:val="12"/>
        </w:rPr>
      </w:pPr>
      <w:r>
        <w:rPr>
          <w:w w:val="121"/>
          <w:sz w:val="12"/>
        </w:rPr>
        <w:t>4</w:t>
      </w:r>
    </w:p>
    <w:p>
      <w:pPr>
        <w:pStyle w:val="BodyText"/>
        <w:spacing w:before="7"/>
        <w:rPr>
          <w:sz w:val="19"/>
        </w:rPr>
      </w:pPr>
      <w:r>
        <w:rPr/>
        <w:br w:type="column"/>
      </w:r>
      <w:r>
        <w:rPr>
          <w:sz w:val="19"/>
        </w:rPr>
      </w:r>
    </w:p>
    <w:p>
      <w:pPr>
        <w:pStyle w:val="BodyText"/>
        <w:spacing w:line="292" w:lineRule="auto"/>
        <w:ind w:left="164" w:right="182"/>
      </w:pPr>
      <w:r>
        <w:rPr>
          <w:w w:val="110"/>
        </w:rPr>
        <w:t>As with </w:t>
      </w:r>
      <w:r>
        <w:rPr>
          <w:spacing w:val="-3"/>
          <w:w w:val="110"/>
        </w:rPr>
        <w:t>private </w:t>
      </w:r>
      <w:r>
        <w:rPr>
          <w:w w:val="110"/>
        </w:rPr>
        <w:t>non-financial corporations, OFCs’ deposits growth</w:t>
      </w:r>
      <w:r>
        <w:rPr>
          <w:spacing w:val="-10"/>
          <w:w w:val="110"/>
        </w:rPr>
        <w:t> </w:t>
      </w:r>
      <w:r>
        <w:rPr>
          <w:spacing w:val="-3"/>
          <w:w w:val="110"/>
        </w:rPr>
        <w:t>slowed</w:t>
      </w:r>
      <w:r>
        <w:rPr>
          <w:spacing w:val="-9"/>
          <w:w w:val="110"/>
        </w:rPr>
        <w:t> </w:t>
      </w:r>
      <w:r>
        <w:rPr>
          <w:w w:val="110"/>
        </w:rPr>
        <w:t>in</w:t>
      </w:r>
      <w:r>
        <w:rPr>
          <w:spacing w:val="-10"/>
          <w:w w:val="110"/>
        </w:rPr>
        <w:t> </w:t>
      </w:r>
      <w:r>
        <w:rPr>
          <w:spacing w:val="-4"/>
          <w:w w:val="110"/>
        </w:rPr>
        <w:t>2000</w:t>
      </w:r>
      <w:r>
        <w:rPr>
          <w:spacing w:val="-9"/>
          <w:w w:val="110"/>
        </w:rPr>
        <w:t> </w:t>
      </w:r>
      <w:r>
        <w:rPr>
          <w:w w:val="110"/>
        </w:rPr>
        <w:t>Q4,</w:t>
      </w:r>
      <w:r>
        <w:rPr>
          <w:spacing w:val="-9"/>
          <w:w w:val="110"/>
        </w:rPr>
        <w:t> </w:t>
      </w:r>
      <w:r>
        <w:rPr>
          <w:w w:val="110"/>
        </w:rPr>
        <w:t>though</w:t>
      </w:r>
      <w:r>
        <w:rPr>
          <w:spacing w:val="-10"/>
          <w:w w:val="110"/>
        </w:rPr>
        <w:t> </w:t>
      </w:r>
      <w:r>
        <w:rPr>
          <w:w w:val="110"/>
        </w:rPr>
        <w:t>the</w:t>
      </w:r>
      <w:r>
        <w:rPr>
          <w:spacing w:val="-9"/>
          <w:w w:val="110"/>
        </w:rPr>
        <w:t> </w:t>
      </w:r>
      <w:r>
        <w:rPr>
          <w:w w:val="110"/>
        </w:rPr>
        <w:t>annual</w:t>
      </w:r>
      <w:r>
        <w:rPr>
          <w:spacing w:val="-9"/>
          <w:w w:val="110"/>
        </w:rPr>
        <w:t> </w:t>
      </w:r>
      <w:r>
        <w:rPr>
          <w:spacing w:val="-4"/>
          <w:w w:val="110"/>
        </w:rPr>
        <w:t>rate</w:t>
      </w:r>
      <w:r>
        <w:rPr>
          <w:spacing w:val="-10"/>
          <w:w w:val="110"/>
        </w:rPr>
        <w:t> </w:t>
      </w:r>
      <w:r>
        <w:rPr>
          <w:w w:val="110"/>
        </w:rPr>
        <w:t>of</w:t>
      </w:r>
      <w:r>
        <w:rPr>
          <w:spacing w:val="-9"/>
          <w:w w:val="110"/>
        </w:rPr>
        <w:t> </w:t>
      </w:r>
      <w:r>
        <w:rPr>
          <w:w w:val="110"/>
        </w:rPr>
        <w:t>increase remained</w:t>
      </w:r>
      <w:r>
        <w:rPr>
          <w:spacing w:val="-18"/>
          <w:w w:val="110"/>
        </w:rPr>
        <w:t> </w:t>
      </w:r>
      <w:r>
        <w:rPr>
          <w:w w:val="110"/>
        </w:rPr>
        <w:t>strong.</w:t>
      </w:r>
      <w:r>
        <w:rPr>
          <w:spacing w:val="21"/>
          <w:w w:val="110"/>
        </w:rPr>
        <w:t> </w:t>
      </w:r>
      <w:r>
        <w:rPr>
          <w:w w:val="110"/>
        </w:rPr>
        <w:t>Part</w:t>
      </w:r>
      <w:r>
        <w:rPr>
          <w:spacing w:val="-18"/>
          <w:w w:val="110"/>
        </w:rPr>
        <w:t> </w:t>
      </w:r>
      <w:r>
        <w:rPr>
          <w:w w:val="110"/>
        </w:rPr>
        <w:t>of</w:t>
      </w:r>
      <w:r>
        <w:rPr>
          <w:spacing w:val="-17"/>
          <w:w w:val="110"/>
        </w:rPr>
        <w:t> </w:t>
      </w:r>
      <w:r>
        <w:rPr>
          <w:w w:val="110"/>
        </w:rPr>
        <w:t>the</w:t>
      </w:r>
      <w:r>
        <w:rPr>
          <w:spacing w:val="-18"/>
          <w:w w:val="110"/>
        </w:rPr>
        <w:t> </w:t>
      </w:r>
      <w:r>
        <w:rPr>
          <w:w w:val="110"/>
        </w:rPr>
        <w:t>rise</w:t>
      </w:r>
      <w:r>
        <w:rPr>
          <w:spacing w:val="-18"/>
          <w:w w:val="110"/>
        </w:rPr>
        <w:t> </w:t>
      </w:r>
      <w:r>
        <w:rPr>
          <w:w w:val="110"/>
        </w:rPr>
        <w:t>in</w:t>
      </w:r>
      <w:r>
        <w:rPr>
          <w:spacing w:val="-17"/>
          <w:w w:val="110"/>
        </w:rPr>
        <w:t> </w:t>
      </w:r>
      <w:r>
        <w:rPr>
          <w:w w:val="110"/>
        </w:rPr>
        <w:t>OFCs’</w:t>
      </w:r>
      <w:r>
        <w:rPr>
          <w:spacing w:val="-18"/>
          <w:w w:val="110"/>
        </w:rPr>
        <w:t> </w:t>
      </w:r>
      <w:r>
        <w:rPr>
          <w:w w:val="110"/>
        </w:rPr>
        <w:t>deposits</w:t>
      </w:r>
      <w:r>
        <w:rPr>
          <w:spacing w:val="-17"/>
          <w:w w:val="110"/>
        </w:rPr>
        <w:t> </w:t>
      </w:r>
      <w:r>
        <w:rPr>
          <w:w w:val="110"/>
        </w:rPr>
        <w:t>during</w:t>
      </w:r>
      <w:r>
        <w:rPr>
          <w:spacing w:val="-18"/>
          <w:w w:val="110"/>
        </w:rPr>
        <w:t> </w:t>
      </w:r>
      <w:r>
        <w:rPr>
          <w:w w:val="110"/>
        </w:rPr>
        <w:t>the past</w:t>
      </w:r>
      <w:r>
        <w:rPr>
          <w:spacing w:val="-18"/>
          <w:w w:val="110"/>
        </w:rPr>
        <w:t> </w:t>
      </w:r>
      <w:r>
        <w:rPr>
          <w:w w:val="110"/>
        </w:rPr>
        <w:t>year</w:t>
      </w:r>
      <w:r>
        <w:rPr>
          <w:spacing w:val="-17"/>
          <w:w w:val="110"/>
        </w:rPr>
        <w:t> </w:t>
      </w:r>
      <w:r>
        <w:rPr>
          <w:w w:val="110"/>
        </w:rPr>
        <w:t>has</w:t>
      </w:r>
      <w:r>
        <w:rPr>
          <w:spacing w:val="-17"/>
          <w:w w:val="110"/>
        </w:rPr>
        <w:t> </w:t>
      </w:r>
      <w:r>
        <w:rPr>
          <w:w w:val="110"/>
        </w:rPr>
        <w:t>been</w:t>
      </w:r>
      <w:r>
        <w:rPr>
          <w:spacing w:val="-17"/>
          <w:w w:val="110"/>
        </w:rPr>
        <w:t> </w:t>
      </w:r>
      <w:r>
        <w:rPr>
          <w:w w:val="110"/>
        </w:rPr>
        <w:t>accounted</w:t>
      </w:r>
      <w:r>
        <w:rPr>
          <w:spacing w:val="-17"/>
          <w:w w:val="110"/>
        </w:rPr>
        <w:t> </w:t>
      </w:r>
      <w:r>
        <w:rPr>
          <w:w w:val="110"/>
        </w:rPr>
        <w:t>for</w:t>
      </w:r>
      <w:r>
        <w:rPr>
          <w:spacing w:val="-17"/>
          <w:w w:val="110"/>
        </w:rPr>
        <w:t> </w:t>
      </w:r>
      <w:r>
        <w:rPr>
          <w:spacing w:val="-3"/>
          <w:w w:val="110"/>
        </w:rPr>
        <w:t>by</w:t>
      </w:r>
      <w:r>
        <w:rPr>
          <w:spacing w:val="-17"/>
          <w:w w:val="110"/>
        </w:rPr>
        <w:t> </w:t>
      </w:r>
      <w:r>
        <w:rPr>
          <w:w w:val="110"/>
        </w:rPr>
        <w:t>securities</w:t>
      </w:r>
      <w:r>
        <w:rPr>
          <w:spacing w:val="-17"/>
          <w:w w:val="110"/>
        </w:rPr>
        <w:t> </w:t>
      </w:r>
      <w:r>
        <w:rPr>
          <w:w w:val="110"/>
        </w:rPr>
        <w:t>dealers,</w:t>
      </w:r>
      <w:r>
        <w:rPr>
          <w:spacing w:val="-17"/>
          <w:w w:val="110"/>
        </w:rPr>
        <w:t> </w:t>
      </w:r>
      <w:r>
        <w:rPr>
          <w:w w:val="110"/>
        </w:rPr>
        <w:t>whose balance sheets are affected </w:t>
      </w:r>
      <w:r>
        <w:rPr>
          <w:spacing w:val="-3"/>
          <w:w w:val="110"/>
        </w:rPr>
        <w:t>by </w:t>
      </w:r>
      <w:r>
        <w:rPr>
          <w:w w:val="110"/>
        </w:rPr>
        <w:t>their financial intermediation business and so </w:t>
      </w:r>
      <w:r>
        <w:rPr>
          <w:spacing w:val="-3"/>
          <w:w w:val="110"/>
        </w:rPr>
        <w:t>have </w:t>
      </w:r>
      <w:r>
        <w:rPr>
          <w:w w:val="110"/>
        </w:rPr>
        <w:t>no obvious immediate implications for nominal</w:t>
      </w:r>
      <w:r>
        <w:rPr>
          <w:spacing w:val="-6"/>
          <w:w w:val="110"/>
        </w:rPr>
        <w:t> </w:t>
      </w:r>
      <w:r>
        <w:rPr>
          <w:w w:val="110"/>
        </w:rPr>
        <w:t>spending.</w:t>
      </w:r>
    </w:p>
    <w:p>
      <w:pPr>
        <w:pStyle w:val="BodyText"/>
        <w:spacing w:before="9"/>
        <w:rPr>
          <w:sz w:val="25"/>
        </w:rPr>
      </w:pPr>
    </w:p>
    <w:p>
      <w:pPr>
        <w:pStyle w:val="BodyText"/>
        <w:spacing w:line="292" w:lineRule="auto"/>
        <w:ind w:left="164" w:right="182"/>
      </w:pPr>
      <w:r>
        <w:rPr>
          <w:w w:val="110"/>
        </w:rPr>
        <w:t>Institutional </w:t>
      </w:r>
      <w:r>
        <w:rPr>
          <w:spacing w:val="-4"/>
          <w:w w:val="110"/>
        </w:rPr>
        <w:t>investors’ </w:t>
      </w:r>
      <w:r>
        <w:rPr>
          <w:w w:val="110"/>
        </w:rPr>
        <w:t>balance sheets are more likely </w:t>
      </w:r>
      <w:r>
        <w:rPr>
          <w:spacing w:val="-4"/>
          <w:w w:val="110"/>
        </w:rPr>
        <w:t>to </w:t>
      </w:r>
      <w:r>
        <w:rPr>
          <w:w w:val="110"/>
        </w:rPr>
        <w:t>contain</w:t>
      </w:r>
      <w:r>
        <w:rPr>
          <w:spacing w:val="-13"/>
          <w:w w:val="110"/>
        </w:rPr>
        <w:t> </w:t>
      </w:r>
      <w:r>
        <w:rPr>
          <w:w w:val="110"/>
        </w:rPr>
        <w:t>information</w:t>
      </w:r>
      <w:r>
        <w:rPr>
          <w:spacing w:val="-13"/>
          <w:w w:val="110"/>
        </w:rPr>
        <w:t> </w:t>
      </w:r>
      <w:r>
        <w:rPr>
          <w:w w:val="110"/>
        </w:rPr>
        <w:t>about</w:t>
      </w:r>
      <w:r>
        <w:rPr>
          <w:spacing w:val="-13"/>
          <w:w w:val="110"/>
        </w:rPr>
        <w:t> </w:t>
      </w:r>
      <w:r>
        <w:rPr>
          <w:w w:val="110"/>
        </w:rPr>
        <w:t>money</w:t>
      </w:r>
      <w:r>
        <w:rPr>
          <w:spacing w:val="-13"/>
          <w:w w:val="110"/>
        </w:rPr>
        <w:t> </w:t>
      </w:r>
      <w:r>
        <w:rPr>
          <w:w w:val="110"/>
        </w:rPr>
        <w:t>available</w:t>
      </w:r>
      <w:r>
        <w:rPr>
          <w:spacing w:val="-12"/>
          <w:w w:val="110"/>
        </w:rPr>
        <w:t> </w:t>
      </w:r>
      <w:r>
        <w:rPr>
          <w:spacing w:val="-4"/>
          <w:w w:val="110"/>
        </w:rPr>
        <w:t>to</w:t>
      </w:r>
      <w:r>
        <w:rPr>
          <w:spacing w:val="-13"/>
          <w:w w:val="110"/>
        </w:rPr>
        <w:t> </w:t>
      </w:r>
      <w:r>
        <w:rPr>
          <w:w w:val="110"/>
        </w:rPr>
        <w:t>be</w:t>
      </w:r>
      <w:r>
        <w:rPr>
          <w:spacing w:val="-13"/>
          <w:w w:val="110"/>
        </w:rPr>
        <w:t> </w:t>
      </w:r>
      <w:r>
        <w:rPr>
          <w:w w:val="110"/>
        </w:rPr>
        <w:t>spent</w:t>
      </w:r>
      <w:r>
        <w:rPr>
          <w:spacing w:val="-13"/>
          <w:w w:val="110"/>
        </w:rPr>
        <w:t> </w:t>
      </w:r>
      <w:r>
        <w:rPr>
          <w:w w:val="110"/>
        </w:rPr>
        <w:t>in</w:t>
      </w:r>
      <w:r>
        <w:rPr>
          <w:spacing w:val="-12"/>
          <w:w w:val="110"/>
        </w:rPr>
        <w:t> </w:t>
      </w:r>
      <w:r>
        <w:rPr>
          <w:w w:val="110"/>
        </w:rPr>
        <w:t>the </w:t>
      </w:r>
      <w:r>
        <w:rPr>
          <w:spacing w:val="-4"/>
          <w:w w:val="110"/>
        </w:rPr>
        <w:t>economy,</w:t>
      </w:r>
      <w:r>
        <w:rPr>
          <w:spacing w:val="-18"/>
          <w:w w:val="110"/>
        </w:rPr>
        <w:t> </w:t>
      </w:r>
      <w:r>
        <w:rPr>
          <w:w w:val="110"/>
        </w:rPr>
        <w:t>and</w:t>
      </w:r>
      <w:r>
        <w:rPr>
          <w:spacing w:val="-18"/>
          <w:w w:val="110"/>
        </w:rPr>
        <w:t> </w:t>
      </w:r>
      <w:r>
        <w:rPr>
          <w:w w:val="110"/>
        </w:rPr>
        <w:t>on</w:t>
      </w:r>
      <w:r>
        <w:rPr>
          <w:spacing w:val="-17"/>
          <w:w w:val="110"/>
        </w:rPr>
        <w:t> </w:t>
      </w:r>
      <w:r>
        <w:rPr>
          <w:w w:val="110"/>
        </w:rPr>
        <w:t>the</w:t>
      </w:r>
      <w:r>
        <w:rPr>
          <w:spacing w:val="-18"/>
          <w:w w:val="110"/>
        </w:rPr>
        <w:t> </w:t>
      </w:r>
      <w:r>
        <w:rPr>
          <w:w w:val="110"/>
        </w:rPr>
        <w:t>purchase</w:t>
      </w:r>
      <w:r>
        <w:rPr>
          <w:spacing w:val="-17"/>
          <w:w w:val="110"/>
        </w:rPr>
        <w:t> </w:t>
      </w:r>
      <w:r>
        <w:rPr>
          <w:w w:val="110"/>
        </w:rPr>
        <w:t>of</w:t>
      </w:r>
      <w:r>
        <w:rPr>
          <w:spacing w:val="-18"/>
          <w:w w:val="110"/>
        </w:rPr>
        <w:t> </w:t>
      </w:r>
      <w:r>
        <w:rPr>
          <w:w w:val="110"/>
        </w:rPr>
        <w:t>financial</w:t>
      </w:r>
      <w:r>
        <w:rPr>
          <w:spacing w:val="-17"/>
          <w:w w:val="110"/>
        </w:rPr>
        <w:t> </w:t>
      </w:r>
      <w:r>
        <w:rPr>
          <w:w w:val="110"/>
        </w:rPr>
        <w:t>assets</w:t>
      </w:r>
      <w:r>
        <w:rPr>
          <w:spacing w:val="-18"/>
          <w:w w:val="110"/>
        </w:rPr>
        <w:t> </w:t>
      </w:r>
      <w:r>
        <w:rPr>
          <w:w w:val="110"/>
        </w:rPr>
        <w:t>in</w:t>
      </w:r>
      <w:r>
        <w:rPr>
          <w:spacing w:val="-17"/>
          <w:w w:val="110"/>
        </w:rPr>
        <w:t> </w:t>
      </w:r>
      <w:r>
        <w:rPr>
          <w:w w:val="110"/>
        </w:rPr>
        <w:t>particular. An increase in deposits held </w:t>
      </w:r>
      <w:r>
        <w:rPr>
          <w:spacing w:val="-3"/>
          <w:w w:val="110"/>
        </w:rPr>
        <w:t>by </w:t>
      </w:r>
      <w:r>
        <w:rPr>
          <w:w w:val="110"/>
        </w:rPr>
        <w:t>institutional </w:t>
      </w:r>
      <w:r>
        <w:rPr>
          <w:spacing w:val="-4"/>
          <w:w w:val="110"/>
        </w:rPr>
        <w:t>investors </w:t>
      </w:r>
      <w:r>
        <w:rPr>
          <w:w w:val="110"/>
        </w:rPr>
        <w:t>has accounted for the majority of the increase in OFCs’ deposits </w:t>
      </w:r>
      <w:r>
        <w:rPr>
          <w:spacing w:val="-3"/>
          <w:w w:val="110"/>
        </w:rPr>
        <w:t>over </w:t>
      </w:r>
      <w:r>
        <w:rPr>
          <w:w w:val="110"/>
        </w:rPr>
        <w:t>the past </w:t>
      </w:r>
      <w:r>
        <w:rPr>
          <w:spacing w:val="-3"/>
          <w:w w:val="110"/>
        </w:rPr>
        <w:t>year.</w:t>
      </w:r>
      <w:r>
        <w:rPr>
          <w:spacing w:val="-3"/>
          <w:w w:val="110"/>
          <w:position w:val="5"/>
          <w:sz w:val="14"/>
        </w:rPr>
        <w:t>(1) </w:t>
      </w:r>
      <w:r>
        <w:rPr>
          <w:w w:val="110"/>
        </w:rPr>
        <w:t>Institutional </w:t>
      </w:r>
      <w:r>
        <w:rPr>
          <w:spacing w:val="-4"/>
          <w:w w:val="110"/>
        </w:rPr>
        <w:t>investors’ </w:t>
      </w:r>
      <w:r>
        <w:rPr>
          <w:w w:val="110"/>
        </w:rPr>
        <w:t>desired holdings of</w:t>
      </w:r>
      <w:r>
        <w:rPr>
          <w:spacing w:val="-13"/>
          <w:w w:val="110"/>
        </w:rPr>
        <w:t> </w:t>
      </w:r>
      <w:r>
        <w:rPr>
          <w:w w:val="110"/>
        </w:rPr>
        <w:t>cash</w:t>
      </w:r>
      <w:r>
        <w:rPr>
          <w:spacing w:val="-12"/>
          <w:w w:val="110"/>
        </w:rPr>
        <w:t> </w:t>
      </w:r>
      <w:r>
        <w:rPr>
          <w:w w:val="110"/>
        </w:rPr>
        <w:t>in</w:t>
      </w:r>
      <w:r>
        <w:rPr>
          <w:spacing w:val="-12"/>
          <w:w w:val="110"/>
        </w:rPr>
        <w:t> </w:t>
      </w:r>
      <w:r>
        <w:rPr>
          <w:w w:val="110"/>
        </w:rPr>
        <w:t>their</w:t>
      </w:r>
      <w:r>
        <w:rPr>
          <w:spacing w:val="-12"/>
          <w:w w:val="110"/>
        </w:rPr>
        <w:t> </w:t>
      </w:r>
      <w:r>
        <w:rPr>
          <w:w w:val="110"/>
        </w:rPr>
        <w:t>portfolios</w:t>
      </w:r>
      <w:r>
        <w:rPr>
          <w:spacing w:val="-12"/>
          <w:w w:val="110"/>
        </w:rPr>
        <w:t> </w:t>
      </w:r>
      <w:r>
        <w:rPr>
          <w:w w:val="110"/>
        </w:rPr>
        <w:t>are</w:t>
      </w:r>
      <w:r>
        <w:rPr>
          <w:spacing w:val="-13"/>
          <w:w w:val="110"/>
        </w:rPr>
        <w:t> </w:t>
      </w:r>
      <w:r>
        <w:rPr>
          <w:w w:val="110"/>
        </w:rPr>
        <w:t>likely</w:t>
      </w:r>
      <w:r>
        <w:rPr>
          <w:spacing w:val="-12"/>
          <w:w w:val="110"/>
        </w:rPr>
        <w:t> </w:t>
      </w:r>
      <w:r>
        <w:rPr>
          <w:spacing w:val="-4"/>
          <w:w w:val="110"/>
        </w:rPr>
        <w:t>to</w:t>
      </w:r>
      <w:r>
        <w:rPr>
          <w:spacing w:val="-12"/>
          <w:w w:val="110"/>
        </w:rPr>
        <w:t> </w:t>
      </w:r>
      <w:r>
        <w:rPr>
          <w:w w:val="110"/>
        </w:rPr>
        <w:t>depend</w:t>
      </w:r>
      <w:r>
        <w:rPr>
          <w:spacing w:val="-12"/>
          <w:w w:val="110"/>
        </w:rPr>
        <w:t> </w:t>
      </w:r>
      <w:r>
        <w:rPr>
          <w:w w:val="110"/>
        </w:rPr>
        <w:t>on</w:t>
      </w:r>
      <w:r>
        <w:rPr>
          <w:spacing w:val="-12"/>
          <w:w w:val="110"/>
        </w:rPr>
        <w:t> </w:t>
      </w:r>
      <w:r>
        <w:rPr>
          <w:w w:val="110"/>
        </w:rPr>
        <w:t>the</w:t>
      </w:r>
      <w:r>
        <w:rPr>
          <w:spacing w:val="-13"/>
          <w:w w:val="110"/>
        </w:rPr>
        <w:t> </w:t>
      </w:r>
      <w:r>
        <w:rPr>
          <w:w w:val="110"/>
        </w:rPr>
        <w:t>expected</w:t>
      </w:r>
    </w:p>
    <w:p>
      <w:pPr>
        <w:spacing w:after="0" w:line="292" w:lineRule="auto"/>
        <w:sectPr>
          <w:type w:val="continuous"/>
          <w:pgSz w:w="11900" w:h="16840"/>
          <w:pgMar w:top="1260" w:bottom="280" w:left="640" w:right="640"/>
          <w:cols w:num="2" w:equalWidth="0">
            <w:col w:w="3981" w:space="960"/>
            <w:col w:w="5679"/>
          </w:cols>
        </w:sectPr>
      </w:pPr>
    </w:p>
    <w:p>
      <w:pPr>
        <w:pStyle w:val="BodyText"/>
        <w:spacing w:before="6"/>
        <w:rPr>
          <w:sz w:val="13"/>
        </w:rPr>
      </w:pPr>
    </w:p>
    <w:p>
      <w:pPr>
        <w:spacing w:before="0"/>
        <w:ind w:left="528" w:right="0" w:firstLine="0"/>
        <w:jc w:val="left"/>
        <w:rPr>
          <w:sz w:val="12"/>
        </w:rPr>
      </w:pPr>
      <w:r>
        <w:rPr>
          <w:w w:val="105"/>
          <w:sz w:val="12"/>
        </w:rPr>
        <w:t>Sample </w:t>
      </w:r>
      <w:r>
        <w:rPr>
          <w:spacing w:val="-3"/>
          <w:w w:val="105"/>
          <w:sz w:val="12"/>
        </w:rPr>
        <w:t>average</w:t>
      </w:r>
    </w:p>
    <w:p>
      <w:pPr>
        <w:pStyle w:val="BodyText"/>
        <w:spacing w:before="7" w:after="40"/>
        <w:rPr>
          <w:sz w:val="14"/>
        </w:rPr>
      </w:pPr>
    </w:p>
    <w:p>
      <w:pPr>
        <w:pStyle w:val="BodyText"/>
        <w:spacing w:line="20" w:lineRule="exact"/>
        <w:ind w:left="157"/>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7"/>
        <w:rPr>
          <w:sz w:val="22"/>
        </w:rPr>
      </w:pPr>
      <w:r>
        <w:rPr/>
        <w:pict>
          <v:shape style="position:absolute;margin-left:40.125pt;margin-top:15.244pt;width:4.350pt;height:.1pt;mso-position-horizontal-relative:page;mso-position-vertical-relative:paragraph;z-index:-15635456;mso-wrap-distance-left:0;mso-wrap-distance-right:0" coordorigin="803,305" coordsize="87,0" path="m803,305l889,305e" filled="false" stroked="true" strokeweight=".5pt" strokecolor="#000000">
            <v:path arrowok="t"/>
            <v:stroke dashstyle="solid"/>
            <w10:wrap type="topAndBottom"/>
          </v:shape>
        </w:pict>
      </w:r>
    </w:p>
    <w:p>
      <w:pPr>
        <w:tabs>
          <w:tab w:pos="2101" w:val="right" w:leader="none"/>
        </w:tabs>
        <w:spacing w:before="123"/>
        <w:ind w:left="311" w:right="0" w:firstLine="0"/>
        <w:jc w:val="left"/>
        <w:rPr>
          <w:sz w:val="12"/>
        </w:rPr>
      </w:pPr>
      <w:r>
        <w:rPr/>
        <w:br w:type="column"/>
      </w:r>
      <w:r>
        <w:rPr>
          <w:w w:val="105"/>
          <w:sz w:val="12"/>
        </w:rPr>
        <w:t>Cash as a percentage</w:t>
      </w:r>
      <w:r>
        <w:rPr>
          <w:spacing w:val="-1"/>
          <w:w w:val="105"/>
          <w:sz w:val="12"/>
        </w:rPr>
        <w:t> </w:t>
      </w:r>
      <w:r>
        <w:rPr>
          <w:w w:val="105"/>
          <w:sz w:val="12"/>
        </w:rPr>
        <w:t>of UK</w:t>
        <w:tab/>
      </w:r>
      <w:r>
        <w:rPr>
          <w:w w:val="105"/>
          <w:position w:val="7"/>
          <w:sz w:val="12"/>
        </w:rPr>
        <w:t>3</w:t>
      </w:r>
    </w:p>
    <w:p>
      <w:pPr>
        <w:spacing w:line="124" w:lineRule="exact" w:before="2"/>
        <w:ind w:left="372" w:right="0" w:firstLine="0"/>
        <w:jc w:val="left"/>
        <w:rPr>
          <w:sz w:val="12"/>
        </w:rPr>
      </w:pPr>
      <w:r>
        <w:rPr>
          <w:w w:val="110"/>
          <w:sz w:val="12"/>
        </w:rPr>
        <w:t>pension funds' assets (b)</w:t>
      </w:r>
    </w:p>
    <w:p>
      <w:pPr>
        <w:spacing w:line="124" w:lineRule="exact" w:before="0"/>
        <w:ind w:left="2028" w:right="0" w:firstLine="0"/>
        <w:jc w:val="left"/>
        <w:rPr>
          <w:sz w:val="12"/>
        </w:rPr>
      </w:pPr>
      <w:r>
        <w:rPr/>
        <w:pict>
          <v:line style="position:absolute;mso-position-horizontal-relative:page;mso-position-vertical-relative:paragraph;z-index:15831040" from="195.834pt,2.412376pt" to="200.167pt,2.412376pt" stroked="true" strokeweight=".5pt" strokecolor="#000000">
            <v:stroke dashstyle="solid"/>
            <w10:wrap type="none"/>
          </v:line>
        </w:pict>
      </w:r>
      <w:r>
        <w:rPr>
          <w:w w:val="121"/>
          <w:sz w:val="12"/>
        </w:rPr>
        <w:t>2</w:t>
      </w:r>
    </w:p>
    <w:p>
      <w:pPr>
        <w:pStyle w:val="BodyText"/>
        <w:spacing w:before="10"/>
        <w:rPr>
          <w:sz w:val="15"/>
        </w:rPr>
      </w:pPr>
    </w:p>
    <w:p>
      <w:pPr>
        <w:spacing w:before="0"/>
        <w:ind w:left="2028" w:right="0" w:firstLine="0"/>
        <w:jc w:val="left"/>
        <w:rPr>
          <w:sz w:val="12"/>
        </w:rPr>
      </w:pPr>
      <w:r>
        <w:rPr/>
        <w:pict>
          <v:line style="position:absolute;mso-position-horizontal-relative:page;mso-position-vertical-relative:paragraph;z-index:15831552" from="195.834pt,3.066754pt" to="200.167pt,3.066754pt" stroked="true" strokeweight=".5pt" strokecolor="#000000">
            <v:stroke dashstyle="solid"/>
            <w10:wrap type="none"/>
          </v:line>
        </w:pict>
      </w:r>
      <w:r>
        <w:rPr>
          <w:w w:val="121"/>
          <w:sz w:val="12"/>
        </w:rPr>
        <w:t>1</w:t>
      </w:r>
    </w:p>
    <w:p>
      <w:pPr>
        <w:pStyle w:val="BodyText"/>
        <w:spacing w:line="292" w:lineRule="auto"/>
        <w:ind w:left="528" w:right="49"/>
      </w:pPr>
      <w:r>
        <w:rPr/>
        <w:br w:type="column"/>
      </w:r>
      <w:r>
        <w:rPr>
          <w:spacing w:val="-4"/>
          <w:w w:val="110"/>
        </w:rPr>
        <w:t>rate </w:t>
      </w:r>
      <w:r>
        <w:rPr>
          <w:w w:val="110"/>
        </w:rPr>
        <w:t>of return relative </w:t>
      </w:r>
      <w:r>
        <w:rPr>
          <w:spacing w:val="-4"/>
          <w:w w:val="110"/>
        </w:rPr>
        <w:t>to </w:t>
      </w:r>
      <w:r>
        <w:rPr>
          <w:w w:val="110"/>
        </w:rPr>
        <w:t>other assets. A rise in institutional </w:t>
      </w:r>
      <w:r>
        <w:rPr>
          <w:spacing w:val="-4"/>
          <w:w w:val="110"/>
        </w:rPr>
        <w:t>investors’ </w:t>
      </w:r>
      <w:r>
        <w:rPr>
          <w:w w:val="110"/>
        </w:rPr>
        <w:t>deposits might reflect a desire </w:t>
      </w:r>
      <w:r>
        <w:rPr>
          <w:spacing w:val="-4"/>
          <w:w w:val="110"/>
        </w:rPr>
        <w:t>to </w:t>
      </w:r>
      <w:r>
        <w:rPr>
          <w:w w:val="110"/>
        </w:rPr>
        <w:t>rebalance portfolios because of increased concerns about prospective returns from </w:t>
      </w:r>
      <w:r>
        <w:rPr>
          <w:spacing w:val="-3"/>
          <w:w w:val="110"/>
        </w:rPr>
        <w:t>investment </w:t>
      </w:r>
      <w:r>
        <w:rPr>
          <w:w w:val="110"/>
        </w:rPr>
        <w:t>in the stock market. Chart </w:t>
      </w:r>
      <w:r>
        <w:rPr>
          <w:spacing w:val="-13"/>
          <w:w w:val="110"/>
        </w:rPr>
        <w:t>1.11 </w:t>
      </w:r>
      <w:r>
        <w:rPr>
          <w:w w:val="110"/>
        </w:rPr>
        <w:t>shows</w:t>
      </w:r>
    </w:p>
    <w:p>
      <w:pPr>
        <w:spacing w:after="0" w:line="292" w:lineRule="auto"/>
        <w:sectPr>
          <w:type w:val="continuous"/>
          <w:pgSz w:w="11900" w:h="16840"/>
          <w:pgMar w:top="1260" w:bottom="280" w:left="640" w:right="640"/>
          <w:cols w:num="3" w:equalWidth="0">
            <w:col w:w="1323" w:space="40"/>
            <w:col w:w="2142" w:space="1072"/>
            <w:col w:w="6043"/>
          </w:cols>
        </w:sectPr>
      </w:pPr>
    </w:p>
    <w:p>
      <w:pPr>
        <w:spacing w:line="73" w:lineRule="exact" w:before="0"/>
        <w:ind w:left="3390" w:right="0" w:firstLine="0"/>
        <w:jc w:val="left"/>
        <w:rPr>
          <w:sz w:val="12"/>
        </w:rPr>
      </w:pPr>
      <w:r>
        <w:rPr/>
        <w:pict>
          <v:shape style="position:absolute;margin-left:40.125pt;margin-top:-2.184061pt;width:160.050pt;height:3.4pt;mso-position-horizontal-relative:page;mso-position-vertical-relative:paragraph;z-index:15830016" coordorigin="803,-44" coordsize="3201,68" path="m803,24l889,24m3917,23l4003,23m967,23l3853,23m964,-44l964,23m1175,-44l1175,23m1385,-44l1385,23m1596,-44l1596,23m2017,-44l2017,23m2649,-44l2649,23m3492,-44l3492,23m1807,-44l1807,23m2228,-44l2228,23m3071,-44l3071,23m2860,-44l2860,23m3703,-44l3703,23m2439,-44l2439,23m3281,-44l3281,23e" filled="false" stroked="true" strokeweight=".5pt" strokecolor="#000000">
            <v:path arrowok="t"/>
            <v:stroke dashstyle="solid"/>
            <w10:wrap type="none"/>
          </v:shape>
        </w:pict>
      </w:r>
      <w:r>
        <w:rPr>
          <w:w w:val="121"/>
          <w:sz w:val="12"/>
        </w:rPr>
        <w:t>0</w:t>
      </w:r>
    </w:p>
    <w:p>
      <w:pPr>
        <w:tabs>
          <w:tab w:pos="783" w:val="left" w:leader="none"/>
          <w:tab w:pos="1213" w:val="left" w:leader="none"/>
          <w:tab w:pos="1630" w:val="left" w:leader="none"/>
          <w:tab w:pos="2048" w:val="left" w:leader="none"/>
          <w:tab w:pos="2465" w:val="left" w:leader="none"/>
          <w:tab w:pos="2883" w:val="left" w:leader="none"/>
        </w:tabs>
        <w:spacing w:line="110" w:lineRule="exact" w:before="0"/>
        <w:ind w:left="250" w:right="0" w:firstLine="0"/>
        <w:jc w:val="left"/>
        <w:rPr>
          <w:sz w:val="12"/>
        </w:rPr>
      </w:pPr>
      <w:r>
        <w:rPr>
          <w:w w:val="120"/>
          <w:sz w:val="12"/>
        </w:rPr>
        <w:t>1987</w:t>
        <w:tab/>
        <w:t>89</w:t>
        <w:tab/>
        <w:t>91</w:t>
        <w:tab/>
        <w:t>93</w:t>
        <w:tab/>
        <w:t>95</w:t>
        <w:tab/>
        <w:t>97</w:t>
        <w:tab/>
        <w:t>99</w:t>
      </w:r>
    </w:p>
    <w:p>
      <w:pPr>
        <w:pStyle w:val="BodyText"/>
        <w:spacing w:before="6"/>
        <w:rPr>
          <w:sz w:val="14"/>
        </w:rPr>
      </w:pPr>
    </w:p>
    <w:p>
      <w:pPr>
        <w:spacing w:before="1"/>
        <w:ind w:left="164" w:right="0" w:firstLine="0"/>
        <w:jc w:val="left"/>
        <w:rPr>
          <w:sz w:val="12"/>
        </w:rPr>
      </w:pPr>
      <w:r>
        <w:rPr>
          <w:w w:val="105"/>
          <w:sz w:val="12"/>
        </w:rPr>
        <w:t>Sources: ONS and Merrill Lynch.</w:t>
      </w:r>
    </w:p>
    <w:p>
      <w:pPr>
        <w:pStyle w:val="ListParagraph"/>
        <w:numPr>
          <w:ilvl w:val="0"/>
          <w:numId w:val="6"/>
        </w:numPr>
        <w:tabs>
          <w:tab w:pos="405" w:val="left" w:leader="none"/>
        </w:tabs>
        <w:spacing w:line="129" w:lineRule="exact" w:before="102" w:after="0"/>
        <w:ind w:left="404" w:right="0" w:hanging="241"/>
        <w:jc w:val="left"/>
        <w:rPr>
          <w:sz w:val="12"/>
        </w:rPr>
      </w:pPr>
      <w:r>
        <w:rPr>
          <w:w w:val="105"/>
          <w:sz w:val="12"/>
        </w:rPr>
        <w:t>Certificates of</w:t>
      </w:r>
      <w:r>
        <w:rPr>
          <w:spacing w:val="-3"/>
          <w:w w:val="105"/>
          <w:sz w:val="12"/>
        </w:rPr>
        <w:t> </w:t>
      </w:r>
      <w:r>
        <w:rPr>
          <w:w w:val="105"/>
          <w:sz w:val="12"/>
        </w:rPr>
        <w:t>deposit.</w:t>
      </w:r>
    </w:p>
    <w:p>
      <w:pPr>
        <w:pStyle w:val="ListParagraph"/>
        <w:numPr>
          <w:ilvl w:val="0"/>
          <w:numId w:val="6"/>
        </w:numPr>
        <w:tabs>
          <w:tab w:pos="405" w:val="left" w:leader="none"/>
        </w:tabs>
        <w:spacing w:line="129" w:lineRule="exact" w:before="0" w:after="0"/>
        <w:ind w:left="404" w:right="0" w:hanging="241"/>
        <w:jc w:val="left"/>
        <w:rPr>
          <w:sz w:val="12"/>
        </w:rPr>
      </w:pPr>
      <w:r>
        <w:rPr>
          <w:w w:val="105"/>
          <w:sz w:val="12"/>
        </w:rPr>
        <w:t>Merrill Lynch Fund Managers</w:t>
      </w:r>
      <w:r>
        <w:rPr>
          <w:spacing w:val="-11"/>
          <w:w w:val="105"/>
          <w:sz w:val="12"/>
        </w:rPr>
        <w:t> </w:t>
      </w:r>
      <w:r>
        <w:rPr>
          <w:spacing w:val="-3"/>
          <w:w w:val="105"/>
          <w:sz w:val="12"/>
        </w:rPr>
        <w:t>Survey.</w:t>
      </w:r>
    </w:p>
    <w:p>
      <w:pPr>
        <w:pStyle w:val="BodyText"/>
        <w:spacing w:line="292" w:lineRule="auto"/>
        <w:ind w:left="289" w:right="208"/>
      </w:pPr>
      <w:r>
        <w:rPr/>
        <w:br w:type="column"/>
      </w:r>
      <w:r>
        <w:rPr>
          <w:w w:val="110"/>
        </w:rPr>
        <w:t>that the cash share of institutional </w:t>
      </w:r>
      <w:r>
        <w:rPr>
          <w:spacing w:val="-4"/>
          <w:w w:val="110"/>
        </w:rPr>
        <w:t>investors’ </w:t>
      </w:r>
      <w:r>
        <w:rPr>
          <w:w w:val="110"/>
        </w:rPr>
        <w:t>portfolios remains</w:t>
      </w:r>
      <w:r>
        <w:rPr>
          <w:spacing w:val="-26"/>
          <w:w w:val="110"/>
        </w:rPr>
        <w:t> </w:t>
      </w:r>
      <w:r>
        <w:rPr>
          <w:w w:val="110"/>
        </w:rPr>
        <w:t>at</w:t>
      </w:r>
      <w:r>
        <w:rPr>
          <w:spacing w:val="-25"/>
          <w:w w:val="110"/>
        </w:rPr>
        <w:t> </w:t>
      </w:r>
      <w:r>
        <w:rPr>
          <w:w w:val="110"/>
        </w:rPr>
        <w:t>a</w:t>
      </w:r>
      <w:r>
        <w:rPr>
          <w:spacing w:val="-26"/>
          <w:w w:val="110"/>
        </w:rPr>
        <w:t> </w:t>
      </w:r>
      <w:r>
        <w:rPr>
          <w:w w:val="110"/>
        </w:rPr>
        <w:t>low</w:t>
      </w:r>
      <w:r>
        <w:rPr>
          <w:spacing w:val="-25"/>
          <w:w w:val="110"/>
        </w:rPr>
        <w:t> </w:t>
      </w:r>
      <w:r>
        <w:rPr>
          <w:w w:val="110"/>
        </w:rPr>
        <w:t>level.</w:t>
      </w:r>
      <w:r>
        <w:rPr>
          <w:spacing w:val="5"/>
          <w:w w:val="110"/>
        </w:rPr>
        <w:t> </w:t>
      </w:r>
      <w:r>
        <w:rPr>
          <w:w w:val="110"/>
        </w:rPr>
        <w:t>But</w:t>
      </w:r>
      <w:r>
        <w:rPr>
          <w:spacing w:val="-25"/>
          <w:w w:val="110"/>
        </w:rPr>
        <w:t> </w:t>
      </w:r>
      <w:r>
        <w:rPr>
          <w:w w:val="110"/>
        </w:rPr>
        <w:t>the</w:t>
      </w:r>
      <w:r>
        <w:rPr>
          <w:spacing w:val="-26"/>
          <w:w w:val="110"/>
        </w:rPr>
        <w:t> </w:t>
      </w:r>
      <w:r>
        <w:rPr>
          <w:w w:val="110"/>
        </w:rPr>
        <w:t>Merrill</w:t>
      </w:r>
      <w:r>
        <w:rPr>
          <w:spacing w:val="-25"/>
          <w:w w:val="110"/>
        </w:rPr>
        <w:t> </w:t>
      </w:r>
      <w:r>
        <w:rPr>
          <w:w w:val="110"/>
        </w:rPr>
        <w:t>Lynch</w:t>
      </w:r>
      <w:r>
        <w:rPr>
          <w:spacing w:val="-26"/>
          <w:w w:val="110"/>
        </w:rPr>
        <w:t> </w:t>
      </w:r>
      <w:r>
        <w:rPr>
          <w:spacing w:val="-3"/>
          <w:w w:val="110"/>
        </w:rPr>
        <w:t>survey</w:t>
      </w:r>
      <w:r>
        <w:rPr>
          <w:spacing w:val="-25"/>
          <w:w w:val="110"/>
        </w:rPr>
        <w:t> </w:t>
      </w:r>
      <w:r>
        <w:rPr>
          <w:w w:val="110"/>
        </w:rPr>
        <w:t>of</w:t>
      </w:r>
      <w:r>
        <w:rPr>
          <w:spacing w:val="-25"/>
          <w:w w:val="110"/>
        </w:rPr>
        <w:t> </w:t>
      </w:r>
      <w:r>
        <w:rPr>
          <w:w w:val="110"/>
        </w:rPr>
        <w:t>fund managers</w:t>
      </w:r>
      <w:r>
        <w:rPr>
          <w:spacing w:val="-8"/>
          <w:w w:val="110"/>
        </w:rPr>
        <w:t> </w:t>
      </w:r>
      <w:r>
        <w:rPr>
          <w:w w:val="110"/>
        </w:rPr>
        <w:t>continues</w:t>
      </w:r>
      <w:r>
        <w:rPr>
          <w:spacing w:val="-8"/>
          <w:w w:val="110"/>
        </w:rPr>
        <w:t> </w:t>
      </w:r>
      <w:r>
        <w:rPr>
          <w:spacing w:val="-4"/>
          <w:w w:val="110"/>
        </w:rPr>
        <w:t>to</w:t>
      </w:r>
      <w:r>
        <w:rPr>
          <w:spacing w:val="-8"/>
          <w:w w:val="110"/>
        </w:rPr>
        <w:t> </w:t>
      </w:r>
      <w:r>
        <w:rPr>
          <w:w w:val="110"/>
        </w:rPr>
        <w:t>report</w:t>
      </w:r>
      <w:r>
        <w:rPr>
          <w:spacing w:val="-8"/>
          <w:w w:val="110"/>
        </w:rPr>
        <w:t> </w:t>
      </w:r>
      <w:r>
        <w:rPr>
          <w:w w:val="110"/>
        </w:rPr>
        <w:t>plans</w:t>
      </w:r>
      <w:r>
        <w:rPr>
          <w:spacing w:val="-8"/>
          <w:w w:val="110"/>
        </w:rPr>
        <w:t> </w:t>
      </w:r>
      <w:r>
        <w:rPr>
          <w:spacing w:val="-4"/>
          <w:w w:val="110"/>
        </w:rPr>
        <w:t>to</w:t>
      </w:r>
      <w:r>
        <w:rPr>
          <w:spacing w:val="-8"/>
          <w:w w:val="110"/>
        </w:rPr>
        <w:t> </w:t>
      </w:r>
      <w:r>
        <w:rPr>
          <w:w w:val="110"/>
        </w:rPr>
        <w:t>place</w:t>
      </w:r>
      <w:r>
        <w:rPr>
          <w:spacing w:val="-7"/>
          <w:w w:val="110"/>
        </w:rPr>
        <w:t> </w:t>
      </w:r>
      <w:r>
        <w:rPr>
          <w:w w:val="110"/>
        </w:rPr>
        <w:t>cash</w:t>
      </w:r>
      <w:r>
        <w:rPr>
          <w:spacing w:val="-8"/>
          <w:w w:val="110"/>
        </w:rPr>
        <w:t> </w:t>
      </w:r>
      <w:r>
        <w:rPr>
          <w:spacing w:val="-3"/>
          <w:w w:val="110"/>
        </w:rPr>
        <w:t>into</w:t>
      </w:r>
      <w:r>
        <w:rPr>
          <w:spacing w:val="-8"/>
          <w:w w:val="110"/>
        </w:rPr>
        <w:t> </w:t>
      </w:r>
      <w:r>
        <w:rPr>
          <w:w w:val="110"/>
        </w:rPr>
        <w:t>other assets, including UK equities. M4 borrowing </w:t>
      </w:r>
      <w:r>
        <w:rPr>
          <w:spacing w:val="-3"/>
          <w:w w:val="110"/>
        </w:rPr>
        <w:t>by </w:t>
      </w:r>
      <w:r>
        <w:rPr>
          <w:w w:val="110"/>
        </w:rPr>
        <w:t>OFCs remained strong in the year </w:t>
      </w:r>
      <w:r>
        <w:rPr>
          <w:spacing w:val="-4"/>
          <w:w w:val="110"/>
        </w:rPr>
        <w:t>to 2000</w:t>
      </w:r>
      <w:r>
        <w:rPr>
          <w:spacing w:val="-30"/>
          <w:w w:val="110"/>
        </w:rPr>
        <w:t> </w:t>
      </w:r>
      <w:r>
        <w:rPr>
          <w:w w:val="110"/>
        </w:rPr>
        <w:t>Q4.</w:t>
      </w:r>
    </w:p>
    <w:p>
      <w:pPr>
        <w:pStyle w:val="BodyText"/>
        <w:spacing w:before="10"/>
        <w:rPr>
          <w:sz w:val="16"/>
        </w:rPr>
      </w:pPr>
    </w:p>
    <w:p>
      <w:pPr>
        <w:pStyle w:val="Heading3"/>
        <w:numPr>
          <w:ilvl w:val="1"/>
          <w:numId w:val="3"/>
        </w:numPr>
        <w:tabs>
          <w:tab w:pos="650" w:val="left" w:leader="none"/>
          <w:tab w:pos="5649" w:val="left" w:leader="none"/>
        </w:tabs>
        <w:spacing w:line="240" w:lineRule="auto" w:before="1" w:after="0"/>
        <w:ind w:left="649" w:right="0" w:hanging="481"/>
        <w:jc w:val="left"/>
        <w:rPr>
          <w:u w:val="none"/>
        </w:rPr>
      </w:pPr>
      <w:r>
        <w:rPr>
          <w:smallCaps w:val="0"/>
          <w:color w:val="89C6DC"/>
          <w:w w:val="95"/>
          <w:u w:val="single" w:color="006CB4"/>
        </w:rPr>
        <w:t>Interest</w:t>
      </w:r>
      <w:r>
        <w:rPr>
          <w:smallCaps w:val="0"/>
          <w:color w:val="89C6DC"/>
          <w:spacing w:val="-37"/>
          <w:w w:val="95"/>
          <w:u w:val="single" w:color="006CB4"/>
        </w:rPr>
        <w:t> </w:t>
      </w:r>
      <w:r>
        <w:rPr>
          <w:smallCaps w:val="0"/>
          <w:color w:val="89C6DC"/>
          <w:w w:val="95"/>
          <w:u w:val="single" w:color="006CB4"/>
        </w:rPr>
        <w:t>rates</w:t>
      </w:r>
      <w:r>
        <w:rPr>
          <w:smallCaps w:val="0"/>
          <w:color w:val="89C6DC"/>
          <w:spacing w:val="-37"/>
          <w:w w:val="95"/>
          <w:u w:val="single" w:color="006CB4"/>
        </w:rPr>
        <w:t> </w:t>
      </w:r>
      <w:r>
        <w:rPr>
          <w:smallCaps w:val="0"/>
          <w:color w:val="89C6DC"/>
          <w:w w:val="95"/>
          <w:u w:val="single" w:color="006CB4"/>
        </w:rPr>
        <w:t>and</w:t>
      </w:r>
      <w:r>
        <w:rPr>
          <w:smallCaps w:val="0"/>
          <w:color w:val="89C6DC"/>
          <w:spacing w:val="-36"/>
          <w:w w:val="95"/>
          <w:u w:val="single" w:color="006CB4"/>
        </w:rPr>
        <w:t> </w:t>
      </w:r>
      <w:r>
        <w:rPr>
          <w:smallCaps w:val="0"/>
          <w:color w:val="89C6DC"/>
          <w:w w:val="95"/>
          <w:u w:val="single" w:color="006CB4"/>
        </w:rPr>
        <w:t>asset</w:t>
      </w:r>
      <w:r>
        <w:rPr>
          <w:smallCaps w:val="0"/>
          <w:color w:val="89C6DC"/>
          <w:spacing w:val="-37"/>
          <w:w w:val="95"/>
          <w:u w:val="single" w:color="006CB4"/>
        </w:rPr>
        <w:t> </w:t>
      </w:r>
      <w:r>
        <w:rPr>
          <w:smallCaps w:val="0"/>
          <w:color w:val="89C6DC"/>
          <w:w w:val="95"/>
          <w:u w:val="single" w:color="006CB4"/>
        </w:rPr>
        <w:t>prices</w:t>
      </w:r>
      <w:r>
        <w:rPr>
          <w:smallCaps w:val="0"/>
          <w:color w:val="89C6DC"/>
          <w:u w:val="single" w:color="006CB4"/>
        </w:rPr>
        <w:tab/>
      </w:r>
    </w:p>
    <w:p>
      <w:pPr>
        <w:pStyle w:val="Heading6"/>
        <w:spacing w:before="270"/>
        <w:ind w:left="169"/>
      </w:pPr>
      <w:r>
        <w:rPr>
          <w:color w:val="89C6DC"/>
        </w:rPr>
        <w:t>Short-term interest rates</w:t>
      </w:r>
    </w:p>
    <w:p>
      <w:pPr>
        <w:pStyle w:val="BodyText"/>
        <w:spacing w:before="8"/>
        <w:rPr>
          <w:rFonts w:ascii="Trebuchet MS"/>
          <w:b/>
          <w:sz w:val="19"/>
        </w:rPr>
      </w:pPr>
    </w:p>
    <w:p>
      <w:pPr>
        <w:pStyle w:val="BodyText"/>
        <w:spacing w:line="292" w:lineRule="auto"/>
        <w:ind w:left="289" w:right="208"/>
      </w:pPr>
      <w:r>
        <w:rPr>
          <w:w w:val="110"/>
        </w:rPr>
        <w:t>The</w:t>
      </w:r>
      <w:r>
        <w:rPr>
          <w:spacing w:val="-19"/>
          <w:w w:val="110"/>
        </w:rPr>
        <w:t> </w:t>
      </w:r>
      <w:r>
        <w:rPr>
          <w:w w:val="110"/>
        </w:rPr>
        <w:t>MPC</w:t>
      </w:r>
      <w:r>
        <w:rPr>
          <w:spacing w:val="-18"/>
          <w:w w:val="110"/>
        </w:rPr>
        <w:t> </w:t>
      </w:r>
      <w:r>
        <w:rPr>
          <w:spacing w:val="-3"/>
          <w:w w:val="110"/>
        </w:rPr>
        <w:t>voted</w:t>
      </w:r>
      <w:r>
        <w:rPr>
          <w:spacing w:val="-18"/>
          <w:w w:val="110"/>
        </w:rPr>
        <w:t> </w:t>
      </w:r>
      <w:r>
        <w:rPr>
          <w:spacing w:val="-4"/>
          <w:w w:val="110"/>
        </w:rPr>
        <w:t>to</w:t>
      </w:r>
      <w:r>
        <w:rPr>
          <w:spacing w:val="-18"/>
          <w:w w:val="110"/>
        </w:rPr>
        <w:t> </w:t>
      </w:r>
      <w:r>
        <w:rPr>
          <w:w w:val="110"/>
        </w:rPr>
        <w:t>cut</w:t>
      </w:r>
      <w:r>
        <w:rPr>
          <w:spacing w:val="-18"/>
          <w:w w:val="110"/>
        </w:rPr>
        <w:t> </w:t>
      </w:r>
      <w:r>
        <w:rPr>
          <w:w w:val="110"/>
        </w:rPr>
        <w:t>the</w:t>
      </w:r>
      <w:r>
        <w:rPr>
          <w:spacing w:val="-18"/>
          <w:w w:val="110"/>
        </w:rPr>
        <w:t> </w:t>
      </w:r>
      <w:r>
        <w:rPr>
          <w:spacing w:val="-3"/>
          <w:w w:val="110"/>
        </w:rPr>
        <w:t>Bank’s</w:t>
      </w:r>
      <w:r>
        <w:rPr>
          <w:spacing w:val="-18"/>
          <w:w w:val="110"/>
        </w:rPr>
        <w:t> </w:t>
      </w:r>
      <w:r>
        <w:rPr>
          <w:w w:val="110"/>
        </w:rPr>
        <w:t>official</w:t>
      </w:r>
      <w:r>
        <w:rPr>
          <w:spacing w:val="-18"/>
          <w:w w:val="110"/>
        </w:rPr>
        <w:t> </w:t>
      </w:r>
      <w:r>
        <w:rPr>
          <w:w w:val="110"/>
        </w:rPr>
        <w:t>repo</w:t>
      </w:r>
      <w:r>
        <w:rPr>
          <w:spacing w:val="-18"/>
          <w:w w:val="110"/>
        </w:rPr>
        <w:t> </w:t>
      </w:r>
      <w:r>
        <w:rPr>
          <w:spacing w:val="-4"/>
          <w:w w:val="110"/>
        </w:rPr>
        <w:t>rate</w:t>
      </w:r>
      <w:r>
        <w:rPr>
          <w:spacing w:val="-18"/>
          <w:w w:val="110"/>
        </w:rPr>
        <w:t> </w:t>
      </w:r>
      <w:r>
        <w:rPr>
          <w:spacing w:val="-3"/>
          <w:w w:val="110"/>
        </w:rPr>
        <w:t>by</w:t>
      </w:r>
      <w:r>
        <w:rPr>
          <w:spacing w:val="-18"/>
          <w:w w:val="110"/>
        </w:rPr>
        <w:t> </w:t>
      </w:r>
      <w:r>
        <w:rPr>
          <w:spacing w:val="-12"/>
          <w:w w:val="110"/>
        </w:rPr>
        <w:t>25</w:t>
      </w:r>
      <w:r>
        <w:rPr>
          <w:spacing w:val="-18"/>
          <w:w w:val="110"/>
        </w:rPr>
        <w:t> </w:t>
      </w:r>
      <w:r>
        <w:rPr>
          <w:w w:val="110"/>
        </w:rPr>
        <w:t>basis points </w:t>
      </w:r>
      <w:r>
        <w:rPr>
          <w:spacing w:val="-4"/>
          <w:w w:val="110"/>
        </w:rPr>
        <w:t>to </w:t>
      </w:r>
      <w:r>
        <w:rPr>
          <w:spacing w:val="-8"/>
          <w:w w:val="110"/>
        </w:rPr>
        <w:t>5.75% </w:t>
      </w:r>
      <w:r>
        <w:rPr>
          <w:w w:val="110"/>
        </w:rPr>
        <w:t>on 8 </w:t>
      </w:r>
      <w:r>
        <w:rPr>
          <w:spacing w:val="-3"/>
          <w:w w:val="110"/>
        </w:rPr>
        <w:t>February. </w:t>
      </w:r>
      <w:r>
        <w:rPr>
          <w:w w:val="110"/>
        </w:rPr>
        <w:t>The US </w:t>
      </w:r>
      <w:r>
        <w:rPr>
          <w:spacing w:val="-3"/>
          <w:w w:val="110"/>
        </w:rPr>
        <w:t>Federal </w:t>
      </w:r>
      <w:r>
        <w:rPr>
          <w:w w:val="110"/>
        </w:rPr>
        <w:t>Open Market </w:t>
      </w:r>
      <w:r>
        <w:rPr>
          <w:spacing w:val="-3"/>
          <w:w w:val="110"/>
        </w:rPr>
        <w:t>Committee </w:t>
      </w:r>
      <w:r>
        <w:rPr>
          <w:w w:val="110"/>
        </w:rPr>
        <w:t>reduced its official </w:t>
      </w:r>
      <w:r>
        <w:rPr>
          <w:spacing w:val="-4"/>
          <w:w w:val="110"/>
        </w:rPr>
        <w:t>rate </w:t>
      </w:r>
      <w:r>
        <w:rPr>
          <w:spacing w:val="-3"/>
          <w:w w:val="110"/>
        </w:rPr>
        <w:t>by </w:t>
      </w:r>
      <w:r>
        <w:rPr>
          <w:spacing w:val="-9"/>
          <w:w w:val="110"/>
        </w:rPr>
        <w:t>100 </w:t>
      </w:r>
      <w:r>
        <w:rPr>
          <w:w w:val="110"/>
        </w:rPr>
        <w:t>basis points in January</w:t>
      </w:r>
      <w:r>
        <w:rPr>
          <w:spacing w:val="-18"/>
          <w:w w:val="110"/>
        </w:rPr>
        <w:t> </w:t>
      </w:r>
      <w:r>
        <w:rPr>
          <w:spacing w:val="-4"/>
          <w:w w:val="110"/>
        </w:rPr>
        <w:t>to</w:t>
      </w:r>
      <w:r>
        <w:rPr>
          <w:spacing w:val="-17"/>
          <w:w w:val="110"/>
        </w:rPr>
        <w:t> </w:t>
      </w:r>
      <w:r>
        <w:rPr>
          <w:w w:val="110"/>
        </w:rPr>
        <w:t>5.5%.</w:t>
      </w:r>
      <w:r>
        <w:rPr>
          <w:spacing w:val="21"/>
          <w:w w:val="110"/>
        </w:rPr>
        <w:t> </w:t>
      </w:r>
      <w:r>
        <w:rPr>
          <w:w w:val="110"/>
        </w:rPr>
        <w:t>Official</w:t>
      </w:r>
      <w:r>
        <w:rPr>
          <w:spacing w:val="-18"/>
          <w:w w:val="110"/>
        </w:rPr>
        <w:t> </w:t>
      </w:r>
      <w:r>
        <w:rPr>
          <w:spacing w:val="-4"/>
          <w:w w:val="110"/>
        </w:rPr>
        <w:t>rates</w:t>
      </w:r>
      <w:r>
        <w:rPr>
          <w:spacing w:val="-17"/>
          <w:w w:val="110"/>
        </w:rPr>
        <w:t> </w:t>
      </w:r>
      <w:r>
        <w:rPr>
          <w:w w:val="110"/>
        </w:rPr>
        <w:t>in</w:t>
      </w:r>
      <w:r>
        <w:rPr>
          <w:spacing w:val="-18"/>
          <w:w w:val="110"/>
        </w:rPr>
        <w:t> </w:t>
      </w:r>
      <w:r>
        <w:rPr>
          <w:w w:val="110"/>
        </w:rPr>
        <w:t>the</w:t>
      </w:r>
      <w:r>
        <w:rPr>
          <w:spacing w:val="-17"/>
          <w:w w:val="110"/>
        </w:rPr>
        <w:t> </w:t>
      </w:r>
      <w:r>
        <w:rPr>
          <w:w w:val="110"/>
        </w:rPr>
        <w:t>euro</w:t>
      </w:r>
      <w:r>
        <w:rPr>
          <w:spacing w:val="-18"/>
          <w:w w:val="110"/>
        </w:rPr>
        <w:t> </w:t>
      </w:r>
      <w:r>
        <w:rPr>
          <w:w w:val="110"/>
        </w:rPr>
        <w:t>area</w:t>
      </w:r>
      <w:r>
        <w:rPr>
          <w:spacing w:val="-17"/>
          <w:w w:val="110"/>
        </w:rPr>
        <w:t> </w:t>
      </w:r>
      <w:r>
        <w:rPr>
          <w:spacing w:val="-3"/>
          <w:w w:val="110"/>
        </w:rPr>
        <w:t>have</w:t>
      </w:r>
      <w:r>
        <w:rPr>
          <w:spacing w:val="-17"/>
          <w:w w:val="110"/>
        </w:rPr>
        <w:t> </w:t>
      </w:r>
      <w:r>
        <w:rPr>
          <w:w w:val="110"/>
        </w:rPr>
        <w:t>remained unchanged</w:t>
      </w:r>
      <w:r>
        <w:rPr>
          <w:spacing w:val="-8"/>
          <w:w w:val="110"/>
        </w:rPr>
        <w:t> </w:t>
      </w:r>
      <w:r>
        <w:rPr>
          <w:w w:val="110"/>
        </w:rPr>
        <w:t>since</w:t>
      </w:r>
      <w:r>
        <w:rPr>
          <w:spacing w:val="-7"/>
          <w:w w:val="110"/>
        </w:rPr>
        <w:t> </w:t>
      </w:r>
      <w:r>
        <w:rPr>
          <w:w w:val="110"/>
        </w:rPr>
        <w:t>the</w:t>
      </w:r>
      <w:r>
        <w:rPr>
          <w:spacing w:val="-8"/>
          <w:w w:val="110"/>
        </w:rPr>
        <w:t> </w:t>
      </w:r>
      <w:r>
        <w:rPr>
          <w:w w:val="110"/>
        </w:rPr>
        <w:t>November</w:t>
      </w:r>
      <w:r>
        <w:rPr>
          <w:spacing w:val="-7"/>
          <w:w w:val="110"/>
        </w:rPr>
        <w:t> </w:t>
      </w:r>
      <w:r>
        <w:rPr>
          <w:i/>
          <w:w w:val="110"/>
        </w:rPr>
        <w:t>Report</w:t>
      </w:r>
      <w:r>
        <w:rPr>
          <w:w w:val="110"/>
        </w:rPr>
        <w:t>,</w:t>
      </w:r>
      <w:r>
        <w:rPr>
          <w:spacing w:val="-8"/>
          <w:w w:val="110"/>
        </w:rPr>
        <w:t> </w:t>
      </w:r>
      <w:r>
        <w:rPr>
          <w:w w:val="110"/>
        </w:rPr>
        <w:t>at</w:t>
      </w:r>
      <w:r>
        <w:rPr>
          <w:spacing w:val="-7"/>
          <w:w w:val="110"/>
        </w:rPr>
        <w:t> 4.75%.</w:t>
      </w:r>
    </w:p>
    <w:p>
      <w:pPr>
        <w:pStyle w:val="BodyText"/>
        <w:rPr>
          <w:sz w:val="26"/>
        </w:rPr>
      </w:pPr>
      <w:r>
        <w:rPr/>
        <w:pict>
          <v:shape style="position:absolute;margin-left:280pt;margin-top:17.027685pt;width:276pt;height:.1pt;mso-position-horizontal-relative:page;mso-position-vertical-relative:paragraph;z-index:-15634944;mso-wrap-distance-left:0;mso-wrap-distance-right:0" coordorigin="5600,341" coordsize="5520,0" path="m5600,341l11120,341e" filled="false" stroked="true" strokeweight=".125pt" strokecolor="#006cb4">
            <v:path arrowok="t"/>
            <v:stroke dashstyle="solid"/>
            <w10:wrap type="topAndBottom"/>
          </v:shape>
        </w:pict>
      </w:r>
    </w:p>
    <w:p>
      <w:pPr>
        <w:spacing w:before="0"/>
        <w:ind w:left="404" w:right="476" w:hanging="240"/>
        <w:jc w:val="left"/>
        <w:rPr>
          <w:sz w:val="14"/>
        </w:rPr>
      </w:pPr>
      <w:r>
        <w:rPr>
          <w:w w:val="110"/>
          <w:sz w:val="14"/>
        </w:rPr>
        <w:t>(1)</w:t>
      </w:r>
      <w:r>
        <w:rPr>
          <w:spacing w:val="4"/>
          <w:w w:val="110"/>
          <w:sz w:val="14"/>
        </w:rPr>
        <w:t> </w:t>
      </w:r>
      <w:r>
        <w:rPr>
          <w:w w:val="110"/>
          <w:sz w:val="14"/>
        </w:rPr>
        <w:t>Institutional</w:t>
      </w:r>
      <w:r>
        <w:rPr>
          <w:spacing w:val="-13"/>
          <w:w w:val="110"/>
          <w:sz w:val="14"/>
        </w:rPr>
        <w:t> </w:t>
      </w:r>
      <w:r>
        <w:rPr>
          <w:spacing w:val="-3"/>
          <w:w w:val="110"/>
          <w:sz w:val="14"/>
        </w:rPr>
        <w:t>investors</w:t>
      </w:r>
      <w:r>
        <w:rPr>
          <w:spacing w:val="-14"/>
          <w:w w:val="110"/>
          <w:sz w:val="14"/>
        </w:rPr>
        <w:t> </w:t>
      </w:r>
      <w:r>
        <w:rPr>
          <w:w w:val="110"/>
          <w:sz w:val="14"/>
        </w:rPr>
        <w:t>are</w:t>
      </w:r>
      <w:r>
        <w:rPr>
          <w:spacing w:val="-13"/>
          <w:w w:val="110"/>
          <w:sz w:val="14"/>
        </w:rPr>
        <w:t> </w:t>
      </w:r>
      <w:r>
        <w:rPr>
          <w:w w:val="110"/>
          <w:sz w:val="14"/>
        </w:rPr>
        <w:t>defined</w:t>
      </w:r>
      <w:r>
        <w:rPr>
          <w:spacing w:val="-14"/>
          <w:w w:val="110"/>
          <w:sz w:val="14"/>
        </w:rPr>
        <w:t> </w:t>
      </w:r>
      <w:r>
        <w:rPr>
          <w:w w:val="110"/>
          <w:sz w:val="14"/>
        </w:rPr>
        <w:t>as</w:t>
      </w:r>
      <w:r>
        <w:rPr>
          <w:spacing w:val="-14"/>
          <w:w w:val="110"/>
          <w:sz w:val="14"/>
        </w:rPr>
        <w:t> </w:t>
      </w:r>
      <w:r>
        <w:rPr>
          <w:w w:val="110"/>
          <w:sz w:val="14"/>
        </w:rPr>
        <w:t>UK</w:t>
      </w:r>
      <w:r>
        <w:rPr>
          <w:spacing w:val="-13"/>
          <w:w w:val="110"/>
          <w:sz w:val="14"/>
        </w:rPr>
        <w:t> </w:t>
      </w:r>
      <w:r>
        <w:rPr>
          <w:w w:val="110"/>
          <w:sz w:val="14"/>
        </w:rPr>
        <w:t>insurance</w:t>
      </w:r>
      <w:r>
        <w:rPr>
          <w:spacing w:val="-14"/>
          <w:w w:val="110"/>
          <w:sz w:val="14"/>
        </w:rPr>
        <w:t> </w:t>
      </w:r>
      <w:r>
        <w:rPr>
          <w:w w:val="110"/>
          <w:sz w:val="14"/>
        </w:rPr>
        <w:t>company</w:t>
      </w:r>
      <w:r>
        <w:rPr>
          <w:spacing w:val="-14"/>
          <w:w w:val="110"/>
          <w:sz w:val="14"/>
        </w:rPr>
        <w:t> </w:t>
      </w:r>
      <w:r>
        <w:rPr>
          <w:w w:val="110"/>
          <w:sz w:val="14"/>
        </w:rPr>
        <w:t>and</w:t>
      </w:r>
      <w:r>
        <w:rPr>
          <w:spacing w:val="-13"/>
          <w:w w:val="110"/>
          <w:sz w:val="14"/>
        </w:rPr>
        <w:t> </w:t>
      </w:r>
      <w:r>
        <w:rPr>
          <w:w w:val="110"/>
          <w:sz w:val="14"/>
        </w:rPr>
        <w:t>pension</w:t>
      </w:r>
      <w:r>
        <w:rPr>
          <w:spacing w:val="-14"/>
          <w:w w:val="110"/>
          <w:sz w:val="14"/>
        </w:rPr>
        <w:t> </w:t>
      </w:r>
      <w:r>
        <w:rPr>
          <w:w w:val="110"/>
          <w:sz w:val="14"/>
        </w:rPr>
        <w:t>funds (ICPFs), investment and unit trusts, money market mutual funds, and institutions</w:t>
      </w:r>
      <w:r>
        <w:rPr>
          <w:spacing w:val="-6"/>
          <w:w w:val="110"/>
          <w:sz w:val="14"/>
        </w:rPr>
        <w:t> </w:t>
      </w:r>
      <w:r>
        <w:rPr>
          <w:w w:val="110"/>
          <w:sz w:val="14"/>
        </w:rPr>
        <w:t>engaged</w:t>
      </w:r>
      <w:r>
        <w:rPr>
          <w:spacing w:val="-5"/>
          <w:w w:val="110"/>
          <w:sz w:val="14"/>
        </w:rPr>
        <w:t> </w:t>
      </w:r>
      <w:r>
        <w:rPr>
          <w:w w:val="110"/>
          <w:sz w:val="14"/>
        </w:rPr>
        <w:t>in</w:t>
      </w:r>
      <w:r>
        <w:rPr>
          <w:spacing w:val="-5"/>
          <w:w w:val="110"/>
          <w:sz w:val="14"/>
        </w:rPr>
        <w:t> </w:t>
      </w:r>
      <w:r>
        <w:rPr>
          <w:w w:val="110"/>
          <w:sz w:val="14"/>
        </w:rPr>
        <w:t>other</w:t>
      </w:r>
      <w:r>
        <w:rPr>
          <w:spacing w:val="-6"/>
          <w:w w:val="110"/>
          <w:sz w:val="14"/>
        </w:rPr>
        <w:t> </w:t>
      </w:r>
      <w:r>
        <w:rPr>
          <w:w w:val="110"/>
          <w:sz w:val="14"/>
        </w:rPr>
        <w:t>fund</w:t>
      </w:r>
      <w:r>
        <w:rPr>
          <w:spacing w:val="-5"/>
          <w:w w:val="110"/>
          <w:sz w:val="14"/>
        </w:rPr>
        <w:t> </w:t>
      </w:r>
      <w:r>
        <w:rPr>
          <w:w w:val="110"/>
          <w:sz w:val="14"/>
        </w:rPr>
        <w:t>management</w:t>
      </w:r>
      <w:r>
        <w:rPr>
          <w:spacing w:val="-5"/>
          <w:w w:val="110"/>
          <w:sz w:val="14"/>
        </w:rPr>
        <w:t> </w:t>
      </w:r>
      <w:r>
        <w:rPr>
          <w:w w:val="110"/>
          <w:sz w:val="14"/>
        </w:rPr>
        <w:t>activities.</w:t>
      </w:r>
    </w:p>
    <w:p>
      <w:pPr>
        <w:spacing w:after="0"/>
        <w:jc w:val="left"/>
        <w:rPr>
          <w:sz w:val="14"/>
        </w:rPr>
        <w:sectPr>
          <w:type w:val="continuous"/>
          <w:pgSz w:w="11900" w:h="16840"/>
          <w:pgMar w:top="1260" w:bottom="280" w:left="640" w:right="640"/>
          <w:cols w:num="2" w:equalWidth="0">
            <w:col w:w="3504" w:space="1311"/>
            <w:col w:w="5805"/>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72"/>
      </w:pPr>
      <w:bookmarkStart w:name="Long-term interest rates" w:id="20"/>
      <w:bookmarkEnd w:id="20"/>
      <w:r>
        <w:rPr>
          <w:b w:val="0"/>
        </w:rPr>
      </w:r>
      <w:bookmarkStart w:name="Real interest rates" w:id="21"/>
      <w:bookmarkEnd w:id="21"/>
      <w:r>
        <w:rPr>
          <w:b w:val="0"/>
        </w:rPr>
      </w:r>
      <w:bookmarkStart w:name="_bookmark9" w:id="22"/>
      <w:bookmarkEnd w:id="22"/>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1.12</w:t>
      </w:r>
    </w:p>
    <w:p>
      <w:pPr>
        <w:spacing w:before="8"/>
        <w:ind w:left="172" w:right="0" w:firstLine="0"/>
        <w:jc w:val="left"/>
        <w:rPr>
          <w:rFonts w:ascii="Trebuchet MS"/>
          <w:b/>
          <w:sz w:val="20"/>
        </w:rPr>
      </w:pPr>
      <w:r>
        <w:rPr>
          <w:rFonts w:ascii="Trebuchet MS"/>
          <w:b/>
          <w:color w:val="89C6DC"/>
          <w:w w:val="90"/>
          <w:sz w:val="20"/>
        </w:rPr>
        <w:t>Three-month interest rates</w:t>
      </w:r>
    </w:p>
    <w:p>
      <w:pPr>
        <w:pStyle w:val="BodyText"/>
        <w:spacing w:before="4"/>
        <w:rPr>
          <w:rFonts w:ascii="Trebuchet MS"/>
          <w:b/>
          <w:sz w:val="19"/>
        </w:rPr>
      </w:pPr>
      <w:r>
        <w:rPr/>
        <w:br w:type="column"/>
      </w:r>
      <w:r>
        <w:rPr>
          <w:rFonts w:ascii="Trebuchet MS"/>
          <w:b/>
          <w:sz w:val="19"/>
        </w:rPr>
      </w:r>
    </w:p>
    <w:p>
      <w:pPr>
        <w:pStyle w:val="BodyText"/>
        <w:spacing w:line="292" w:lineRule="auto"/>
        <w:ind w:left="172" w:right="195"/>
      </w:pPr>
      <w:r>
        <w:rPr>
          <w:w w:val="110"/>
        </w:rPr>
        <w:t>Market expectations of future short </w:t>
      </w:r>
      <w:r>
        <w:rPr>
          <w:spacing w:val="-4"/>
          <w:w w:val="110"/>
        </w:rPr>
        <w:t>rates </w:t>
      </w:r>
      <w:r>
        <w:rPr>
          <w:w w:val="110"/>
        </w:rPr>
        <w:t>in the United Kingdom</w:t>
      </w:r>
      <w:r>
        <w:rPr>
          <w:spacing w:val="-30"/>
          <w:w w:val="110"/>
        </w:rPr>
        <w:t> </w:t>
      </w:r>
      <w:r>
        <w:rPr>
          <w:w w:val="110"/>
        </w:rPr>
        <w:t>and</w:t>
      </w:r>
      <w:r>
        <w:rPr>
          <w:spacing w:val="-29"/>
          <w:w w:val="110"/>
        </w:rPr>
        <w:t> </w:t>
      </w:r>
      <w:r>
        <w:rPr>
          <w:w w:val="110"/>
        </w:rPr>
        <w:t>major</w:t>
      </w:r>
      <w:r>
        <w:rPr>
          <w:spacing w:val="-29"/>
          <w:w w:val="110"/>
        </w:rPr>
        <w:t> </w:t>
      </w:r>
      <w:r>
        <w:rPr>
          <w:spacing w:val="-3"/>
          <w:w w:val="110"/>
        </w:rPr>
        <w:t>overseas</w:t>
      </w:r>
      <w:r>
        <w:rPr>
          <w:spacing w:val="-29"/>
          <w:w w:val="110"/>
        </w:rPr>
        <w:t> </w:t>
      </w:r>
      <w:r>
        <w:rPr>
          <w:w w:val="110"/>
        </w:rPr>
        <w:t>economies</w:t>
      </w:r>
      <w:r>
        <w:rPr>
          <w:spacing w:val="-29"/>
          <w:w w:val="110"/>
        </w:rPr>
        <w:t> </w:t>
      </w:r>
      <w:r>
        <w:rPr>
          <w:spacing w:val="-3"/>
          <w:w w:val="110"/>
        </w:rPr>
        <w:t>have</w:t>
      </w:r>
      <w:r>
        <w:rPr>
          <w:spacing w:val="-29"/>
          <w:w w:val="110"/>
        </w:rPr>
        <w:t> </w:t>
      </w:r>
      <w:r>
        <w:rPr>
          <w:w w:val="110"/>
        </w:rPr>
        <w:t>been</w:t>
      </w:r>
      <w:r>
        <w:rPr>
          <w:spacing w:val="-29"/>
          <w:w w:val="110"/>
        </w:rPr>
        <w:t> </w:t>
      </w:r>
      <w:r>
        <w:rPr>
          <w:w w:val="110"/>
        </w:rPr>
        <w:t>revised</w:t>
      </w:r>
    </w:p>
    <w:p>
      <w:pPr>
        <w:spacing w:after="0" w:line="292" w:lineRule="auto"/>
        <w:sectPr>
          <w:type w:val="continuous"/>
          <w:pgSz w:w="11900" w:h="16840"/>
          <w:pgMar w:top="1260" w:bottom="280" w:left="640" w:right="640"/>
          <w:cols w:num="2" w:equalWidth="0">
            <w:col w:w="2483" w:space="2439"/>
            <w:col w:w="5698"/>
          </w:cols>
        </w:sectPr>
      </w:pPr>
    </w:p>
    <w:p>
      <w:pPr>
        <w:spacing w:before="18"/>
        <w:ind w:left="647" w:right="0" w:firstLine="0"/>
        <w:jc w:val="left"/>
        <w:rPr>
          <w:sz w:val="12"/>
        </w:rPr>
      </w:pPr>
      <w:r>
        <w:rPr/>
        <w:drawing>
          <wp:anchor distT="0" distB="0" distL="0" distR="0" allowOverlap="1" layoutInCell="1" locked="0" behindDoc="0" simplePos="0" relativeHeight="15847424">
            <wp:simplePos x="0" y="0"/>
            <wp:positionH relativeFrom="page">
              <wp:posOffset>519772</wp:posOffset>
            </wp:positionH>
            <wp:positionV relativeFrom="paragraph">
              <wp:posOffset>47645</wp:posOffset>
            </wp:positionV>
            <wp:extent cx="220662" cy="14287"/>
            <wp:effectExtent l="0" t="0" r="0" b="0"/>
            <wp:wrapNone/>
            <wp:docPr id="127" name="image24.png"/>
            <wp:cNvGraphicFramePr>
              <a:graphicFrameLocks noChangeAspect="1"/>
            </wp:cNvGraphicFramePr>
            <a:graphic>
              <a:graphicData uri="http://schemas.openxmlformats.org/drawingml/2006/picture">
                <pic:pic>
                  <pic:nvPicPr>
                    <pic:cNvPr id="128" name="image24.png"/>
                    <pic:cNvPicPr/>
                  </pic:nvPicPr>
                  <pic:blipFill>
                    <a:blip r:embed="rId51" cstate="print"/>
                    <a:stretch>
                      <a:fillRect/>
                    </a:stretch>
                  </pic:blipFill>
                  <pic:spPr>
                    <a:xfrm>
                      <a:off x="0" y="0"/>
                      <a:ext cx="220662" cy="14287"/>
                    </a:xfrm>
                    <a:prstGeom prst="rect">
                      <a:avLst/>
                    </a:prstGeom>
                  </pic:spPr>
                </pic:pic>
              </a:graphicData>
            </a:graphic>
          </wp:anchor>
        </w:drawing>
      </w:r>
      <w:r>
        <w:rPr/>
        <w:drawing>
          <wp:anchor distT="0" distB="0" distL="0" distR="0" allowOverlap="1" layoutInCell="1" locked="0" behindDoc="0" simplePos="0" relativeHeight="15847936">
            <wp:simplePos x="0" y="0"/>
            <wp:positionH relativeFrom="page">
              <wp:posOffset>1503387</wp:posOffset>
            </wp:positionH>
            <wp:positionV relativeFrom="paragraph">
              <wp:posOffset>47645</wp:posOffset>
            </wp:positionV>
            <wp:extent cx="220662" cy="14287"/>
            <wp:effectExtent l="0" t="0" r="0" b="0"/>
            <wp:wrapNone/>
            <wp:docPr id="129" name="image25.png"/>
            <wp:cNvGraphicFramePr>
              <a:graphicFrameLocks noChangeAspect="1"/>
            </wp:cNvGraphicFramePr>
            <a:graphic>
              <a:graphicData uri="http://schemas.openxmlformats.org/drawingml/2006/picture">
                <pic:pic>
                  <pic:nvPicPr>
                    <pic:cNvPr id="130" name="image25.png"/>
                    <pic:cNvPicPr/>
                  </pic:nvPicPr>
                  <pic:blipFill>
                    <a:blip r:embed="rId52" cstate="print"/>
                    <a:stretch>
                      <a:fillRect/>
                    </a:stretch>
                  </pic:blipFill>
                  <pic:spPr>
                    <a:xfrm>
                      <a:off x="0" y="0"/>
                      <a:ext cx="220662" cy="14287"/>
                    </a:xfrm>
                    <a:prstGeom prst="rect">
                      <a:avLst/>
                    </a:prstGeom>
                  </pic:spPr>
                </pic:pic>
              </a:graphicData>
            </a:graphic>
          </wp:anchor>
        </w:drawing>
      </w:r>
      <w:r>
        <w:rPr>
          <w:w w:val="105"/>
          <w:sz w:val="12"/>
        </w:rPr>
        <w:t>United Kingdom</w:t>
      </w:r>
    </w:p>
    <w:p>
      <w:pPr>
        <w:tabs>
          <w:tab w:pos="525" w:val="left" w:leader="none"/>
          <w:tab w:pos="1727" w:val="left" w:leader="none"/>
          <w:tab w:pos="2074" w:val="left" w:leader="none"/>
        </w:tabs>
        <w:spacing w:before="24"/>
        <w:ind w:left="178" w:right="0" w:firstLine="0"/>
        <w:jc w:val="left"/>
        <w:rPr>
          <w:sz w:val="12"/>
        </w:rPr>
      </w:pPr>
      <w:r>
        <w:rPr>
          <w:sz w:val="12"/>
          <w:u w:val="thick" w:color="006CAA"/>
        </w:rPr>
        <w:t> </w:t>
        <w:tab/>
      </w:r>
      <w:r>
        <w:rPr>
          <w:sz w:val="12"/>
        </w:rPr>
        <w:t>   </w:t>
      </w:r>
      <w:r>
        <w:rPr>
          <w:spacing w:val="1"/>
          <w:sz w:val="12"/>
        </w:rPr>
        <w:t> </w:t>
      </w:r>
      <w:r>
        <w:rPr>
          <w:w w:val="110"/>
          <w:sz w:val="12"/>
        </w:rPr>
        <w:t>United</w:t>
      </w:r>
      <w:r>
        <w:rPr>
          <w:spacing w:val="-14"/>
          <w:w w:val="110"/>
          <w:sz w:val="12"/>
        </w:rPr>
        <w:t> </w:t>
      </w:r>
      <w:r>
        <w:rPr>
          <w:w w:val="110"/>
          <w:sz w:val="12"/>
        </w:rPr>
        <w:t>States</w:t>
      </w:r>
      <w:r>
        <w:rPr>
          <w:sz w:val="12"/>
        </w:rPr>
        <w:tab/>
      </w:r>
      <w:r>
        <w:rPr>
          <w:sz w:val="12"/>
          <w:u w:val="thick" w:color="A64991"/>
        </w:rPr>
        <w:t> </w:t>
        <w:tab/>
      </w:r>
    </w:p>
    <w:p>
      <w:pPr>
        <w:pStyle w:val="BodyText"/>
        <w:spacing w:before="1" w:after="39"/>
        <w:rPr>
          <w:sz w:val="27"/>
        </w:rPr>
      </w:pPr>
    </w:p>
    <w:p>
      <w:pPr>
        <w:pStyle w:val="BodyText"/>
        <w:spacing w:line="20" w:lineRule="exact"/>
        <w:ind w:left="188"/>
        <w:rPr>
          <w:sz w:val="2"/>
        </w:rPr>
      </w:pPr>
      <w:r>
        <w:rPr>
          <w:sz w:val="2"/>
        </w:rPr>
        <w:drawing>
          <wp:inline distT="0" distB="0" distL="0" distR="0">
            <wp:extent cx="55291" cy="6381"/>
            <wp:effectExtent l="0" t="0" r="0" b="0"/>
            <wp:docPr id="131" name="image8.png"/>
            <wp:cNvGraphicFramePr>
              <a:graphicFrameLocks noChangeAspect="1"/>
            </wp:cNvGraphicFramePr>
            <a:graphic>
              <a:graphicData uri="http://schemas.openxmlformats.org/drawingml/2006/picture">
                <pic:pic>
                  <pic:nvPicPr>
                    <pic:cNvPr id="132" name="image8.png"/>
                    <pic:cNvPicPr/>
                  </pic:nvPicPr>
                  <pic:blipFill>
                    <a:blip r:embed="rId29" cstate="print"/>
                    <a:stretch>
                      <a:fillRect/>
                    </a:stretch>
                  </pic:blipFill>
                  <pic:spPr>
                    <a:xfrm>
                      <a:off x="0" y="0"/>
                      <a:ext cx="55291" cy="6381"/>
                    </a:xfrm>
                    <a:prstGeom prst="rect">
                      <a:avLst/>
                    </a:prstGeom>
                  </pic:spPr>
                </pic:pic>
              </a:graphicData>
            </a:graphic>
          </wp:inline>
        </w:drawing>
      </w:r>
      <w:r>
        <w:rPr>
          <w:sz w:val="2"/>
        </w:rPr>
      </w:r>
    </w:p>
    <w:p>
      <w:pPr>
        <w:pStyle w:val="BodyText"/>
        <w:spacing w:before="10"/>
        <w:rPr>
          <w:sz w:val="22"/>
        </w:rPr>
      </w:pPr>
      <w:r>
        <w:rPr/>
        <w:drawing>
          <wp:anchor distT="0" distB="0" distL="0" distR="0" allowOverlap="1" layoutInCell="1" locked="0" behindDoc="0" simplePos="0" relativeHeight="202">
            <wp:simplePos x="0" y="0"/>
            <wp:positionH relativeFrom="page">
              <wp:posOffset>526427</wp:posOffset>
            </wp:positionH>
            <wp:positionV relativeFrom="paragraph">
              <wp:posOffset>191871</wp:posOffset>
            </wp:positionV>
            <wp:extent cx="55291" cy="6381"/>
            <wp:effectExtent l="0" t="0" r="0" b="0"/>
            <wp:wrapTopAndBottom/>
            <wp:docPr id="133" name="image10.png"/>
            <wp:cNvGraphicFramePr>
              <a:graphicFrameLocks noChangeAspect="1"/>
            </wp:cNvGraphicFramePr>
            <a:graphic>
              <a:graphicData uri="http://schemas.openxmlformats.org/drawingml/2006/picture">
                <pic:pic>
                  <pic:nvPicPr>
                    <pic:cNvPr id="134" name="image10.png"/>
                    <pic:cNvPicPr/>
                  </pic:nvPicPr>
                  <pic:blipFill>
                    <a:blip r:embed="rId31"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203">
            <wp:simplePos x="0" y="0"/>
            <wp:positionH relativeFrom="page">
              <wp:posOffset>526427</wp:posOffset>
            </wp:positionH>
            <wp:positionV relativeFrom="paragraph">
              <wp:posOffset>391985</wp:posOffset>
            </wp:positionV>
            <wp:extent cx="55291" cy="6381"/>
            <wp:effectExtent l="0" t="0" r="0" b="0"/>
            <wp:wrapTopAndBottom/>
            <wp:docPr id="135" name="image10.png"/>
            <wp:cNvGraphicFramePr>
              <a:graphicFrameLocks noChangeAspect="1"/>
            </wp:cNvGraphicFramePr>
            <a:graphic>
              <a:graphicData uri="http://schemas.openxmlformats.org/drawingml/2006/picture">
                <pic:pic>
                  <pic:nvPicPr>
                    <pic:cNvPr id="136" name="image10.png"/>
                    <pic:cNvPicPr/>
                  </pic:nvPicPr>
                  <pic:blipFill>
                    <a:blip r:embed="rId31"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204">
            <wp:simplePos x="0" y="0"/>
            <wp:positionH relativeFrom="page">
              <wp:posOffset>526427</wp:posOffset>
            </wp:positionH>
            <wp:positionV relativeFrom="paragraph">
              <wp:posOffset>601649</wp:posOffset>
            </wp:positionV>
            <wp:extent cx="55291" cy="6381"/>
            <wp:effectExtent l="0" t="0" r="0" b="0"/>
            <wp:wrapTopAndBottom/>
            <wp:docPr id="137" name="image10.png"/>
            <wp:cNvGraphicFramePr>
              <a:graphicFrameLocks noChangeAspect="1"/>
            </wp:cNvGraphicFramePr>
            <a:graphic>
              <a:graphicData uri="http://schemas.openxmlformats.org/drawingml/2006/picture">
                <pic:pic>
                  <pic:nvPicPr>
                    <pic:cNvPr id="138" name="image10.png"/>
                    <pic:cNvPicPr/>
                  </pic:nvPicPr>
                  <pic:blipFill>
                    <a:blip r:embed="rId31"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205">
            <wp:simplePos x="0" y="0"/>
            <wp:positionH relativeFrom="page">
              <wp:posOffset>526427</wp:posOffset>
            </wp:positionH>
            <wp:positionV relativeFrom="paragraph">
              <wp:posOffset>803198</wp:posOffset>
            </wp:positionV>
            <wp:extent cx="54466" cy="6286"/>
            <wp:effectExtent l="0" t="0" r="0" b="0"/>
            <wp:wrapTopAndBottom/>
            <wp:docPr id="139" name="image12.png"/>
            <wp:cNvGraphicFramePr>
              <a:graphicFrameLocks noChangeAspect="1"/>
            </wp:cNvGraphicFramePr>
            <a:graphic>
              <a:graphicData uri="http://schemas.openxmlformats.org/drawingml/2006/picture">
                <pic:pic>
                  <pic:nvPicPr>
                    <pic:cNvPr id="140" name="image12.png"/>
                    <pic:cNvPicPr/>
                  </pic:nvPicPr>
                  <pic:blipFill>
                    <a:blip r:embed="rId33" cstate="print"/>
                    <a:stretch>
                      <a:fillRect/>
                    </a:stretch>
                  </pic:blipFill>
                  <pic:spPr>
                    <a:xfrm>
                      <a:off x="0" y="0"/>
                      <a:ext cx="54466" cy="6286"/>
                    </a:xfrm>
                    <a:prstGeom prst="rect">
                      <a:avLst/>
                    </a:prstGeom>
                  </pic:spPr>
                </pic:pic>
              </a:graphicData>
            </a:graphic>
          </wp:anchor>
        </w:drawing>
      </w:r>
      <w:r>
        <w:rPr/>
        <w:drawing>
          <wp:anchor distT="0" distB="0" distL="0" distR="0" allowOverlap="1" layoutInCell="1" locked="0" behindDoc="0" simplePos="0" relativeHeight="206">
            <wp:simplePos x="0" y="0"/>
            <wp:positionH relativeFrom="page">
              <wp:posOffset>526427</wp:posOffset>
            </wp:positionH>
            <wp:positionV relativeFrom="paragraph">
              <wp:posOffset>992543</wp:posOffset>
            </wp:positionV>
            <wp:extent cx="55291" cy="6381"/>
            <wp:effectExtent l="0" t="0" r="0" b="0"/>
            <wp:wrapTopAndBottom/>
            <wp:docPr id="141" name="image10.png"/>
            <wp:cNvGraphicFramePr>
              <a:graphicFrameLocks noChangeAspect="1"/>
            </wp:cNvGraphicFramePr>
            <a:graphic>
              <a:graphicData uri="http://schemas.openxmlformats.org/drawingml/2006/picture">
                <pic:pic>
                  <pic:nvPicPr>
                    <pic:cNvPr id="142" name="image10.png"/>
                    <pic:cNvPicPr/>
                  </pic:nvPicPr>
                  <pic:blipFill>
                    <a:blip r:embed="rId31"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207">
            <wp:simplePos x="0" y="0"/>
            <wp:positionH relativeFrom="page">
              <wp:posOffset>526427</wp:posOffset>
            </wp:positionH>
            <wp:positionV relativeFrom="paragraph">
              <wp:posOffset>1202537</wp:posOffset>
            </wp:positionV>
            <wp:extent cx="54466" cy="6286"/>
            <wp:effectExtent l="0" t="0" r="0" b="0"/>
            <wp:wrapTopAndBottom/>
            <wp:docPr id="143" name="image12.png"/>
            <wp:cNvGraphicFramePr>
              <a:graphicFrameLocks noChangeAspect="1"/>
            </wp:cNvGraphicFramePr>
            <a:graphic>
              <a:graphicData uri="http://schemas.openxmlformats.org/drawingml/2006/picture">
                <pic:pic>
                  <pic:nvPicPr>
                    <pic:cNvPr id="144" name="image12.png"/>
                    <pic:cNvPicPr/>
                  </pic:nvPicPr>
                  <pic:blipFill>
                    <a:blip r:embed="rId33" cstate="print"/>
                    <a:stretch>
                      <a:fillRect/>
                    </a:stretch>
                  </pic:blipFill>
                  <pic:spPr>
                    <a:xfrm>
                      <a:off x="0" y="0"/>
                      <a:ext cx="54466" cy="6286"/>
                    </a:xfrm>
                    <a:prstGeom prst="rect">
                      <a:avLst/>
                    </a:prstGeom>
                  </pic:spPr>
                </pic:pic>
              </a:graphicData>
            </a:graphic>
          </wp:anchor>
        </w:drawing>
      </w:r>
      <w:r>
        <w:rPr/>
        <w:drawing>
          <wp:anchor distT="0" distB="0" distL="0" distR="0" allowOverlap="1" layoutInCell="1" locked="0" behindDoc="0" simplePos="0" relativeHeight="208">
            <wp:simplePos x="0" y="0"/>
            <wp:positionH relativeFrom="page">
              <wp:posOffset>526427</wp:posOffset>
            </wp:positionH>
            <wp:positionV relativeFrom="paragraph">
              <wp:posOffset>1399476</wp:posOffset>
            </wp:positionV>
            <wp:extent cx="55291" cy="6381"/>
            <wp:effectExtent l="0" t="0" r="0" b="0"/>
            <wp:wrapTopAndBottom/>
            <wp:docPr id="145" name="image10.png"/>
            <wp:cNvGraphicFramePr>
              <a:graphicFrameLocks noChangeAspect="1"/>
            </wp:cNvGraphicFramePr>
            <a:graphic>
              <a:graphicData uri="http://schemas.openxmlformats.org/drawingml/2006/picture">
                <pic:pic>
                  <pic:nvPicPr>
                    <pic:cNvPr id="146" name="image10.png"/>
                    <pic:cNvPicPr/>
                  </pic:nvPicPr>
                  <pic:blipFill>
                    <a:blip r:embed="rId31" cstate="print"/>
                    <a:stretch>
                      <a:fillRect/>
                    </a:stretch>
                  </pic:blipFill>
                  <pic:spPr>
                    <a:xfrm>
                      <a:off x="0" y="0"/>
                      <a:ext cx="55291" cy="6381"/>
                    </a:xfrm>
                    <a:prstGeom prst="rect">
                      <a:avLst/>
                    </a:prstGeom>
                  </pic:spPr>
                </pic:pic>
              </a:graphicData>
            </a:graphic>
          </wp:anchor>
        </w:drawing>
      </w:r>
    </w:p>
    <w:p>
      <w:pPr>
        <w:pStyle w:val="BodyText"/>
        <w:spacing w:before="7"/>
      </w:pPr>
    </w:p>
    <w:p>
      <w:pPr>
        <w:pStyle w:val="BodyText"/>
        <w:spacing w:before="10"/>
        <w:rPr>
          <w:sz w:val="21"/>
        </w:rPr>
      </w:pPr>
    </w:p>
    <w:p>
      <w:pPr>
        <w:pStyle w:val="BodyText"/>
        <w:spacing w:before="9"/>
      </w:pPr>
    </w:p>
    <w:p>
      <w:pPr>
        <w:pStyle w:val="BodyText"/>
        <w:spacing w:before="1"/>
        <w:rPr>
          <w:sz w:val="19"/>
        </w:rPr>
      </w:pPr>
    </w:p>
    <w:p>
      <w:pPr>
        <w:pStyle w:val="BodyText"/>
        <w:spacing w:before="11"/>
        <w:rPr>
          <w:sz w:val="21"/>
        </w:rPr>
      </w:pPr>
    </w:p>
    <w:p>
      <w:pPr>
        <w:pStyle w:val="BodyText"/>
        <w:spacing w:before="2"/>
      </w:pPr>
    </w:p>
    <w:p>
      <w:pPr>
        <w:spacing w:line="280" w:lineRule="auto" w:before="18"/>
        <w:ind w:left="130" w:right="10" w:firstLine="0"/>
        <w:jc w:val="left"/>
        <w:rPr>
          <w:sz w:val="12"/>
        </w:rPr>
      </w:pPr>
      <w:r>
        <w:rPr/>
        <w:br w:type="column"/>
      </w:r>
      <w:r>
        <w:rPr>
          <w:w w:val="110"/>
          <w:sz w:val="12"/>
        </w:rPr>
        <w:t>Euro area Japan</w:t>
      </w:r>
    </w:p>
    <w:p>
      <w:pPr>
        <w:pStyle w:val="BodyText"/>
        <w:rPr>
          <w:sz w:val="12"/>
        </w:rPr>
      </w:pPr>
      <w:r>
        <w:rPr/>
        <w:br w:type="column"/>
      </w:r>
      <w:r>
        <w:rPr>
          <w:sz w:val="12"/>
        </w:rPr>
      </w:r>
    </w:p>
    <w:p>
      <w:pPr>
        <w:pStyle w:val="BodyText"/>
        <w:rPr>
          <w:sz w:val="12"/>
        </w:rPr>
      </w:pPr>
    </w:p>
    <w:p>
      <w:pPr>
        <w:pStyle w:val="BodyText"/>
        <w:spacing w:before="5"/>
        <w:rPr>
          <w:sz w:val="16"/>
        </w:rPr>
      </w:pPr>
    </w:p>
    <w:p>
      <w:pPr>
        <w:spacing w:line="129" w:lineRule="exact" w:before="0"/>
        <w:ind w:left="178" w:right="0" w:firstLine="0"/>
        <w:jc w:val="left"/>
        <w:rPr>
          <w:sz w:val="12"/>
        </w:rPr>
      </w:pPr>
      <w:r>
        <w:rPr>
          <w:w w:val="110"/>
          <w:sz w:val="12"/>
        </w:rPr>
        <w:t>Per cent</w:t>
      </w:r>
    </w:p>
    <w:p>
      <w:pPr>
        <w:spacing w:line="129" w:lineRule="exact" w:before="0"/>
        <w:ind w:left="704" w:right="0" w:firstLine="0"/>
        <w:jc w:val="left"/>
        <w:rPr>
          <w:sz w:val="12"/>
        </w:rPr>
      </w:pPr>
      <w:r>
        <w:rPr/>
        <w:pict>
          <v:group style="position:absolute;margin-left:51.132999pt;margin-top:3.302032pt;width:145.450pt;height:144.25pt;mso-position-horizontal-relative:page;mso-position-vertical-relative:paragraph;z-index:15846912" coordorigin="1023,66" coordsize="2909,2885">
            <v:shape style="position:absolute;left:1022;top:66;width:2909;height:2885" type="#_x0000_t75" stroked="false">
              <v:imagedata r:id="rId53" o:title=""/>
            </v:shape>
            <v:shape style="position:absolute;left:1022;top:66;width:2909;height:2885"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tabs>
                        <w:tab w:pos="1881" w:val="left" w:leader="none"/>
                      </w:tabs>
                      <w:spacing w:before="92"/>
                      <w:ind w:left="462" w:right="0" w:firstLine="0"/>
                      <w:jc w:val="left"/>
                      <w:rPr>
                        <w:sz w:val="12"/>
                      </w:rPr>
                    </w:pPr>
                    <w:r>
                      <w:rPr>
                        <w:w w:val="105"/>
                        <w:sz w:val="12"/>
                      </w:rPr>
                      <w:t>Paths implied</w:t>
                    </w:r>
                    <w:r>
                      <w:rPr>
                        <w:spacing w:val="7"/>
                        <w:w w:val="105"/>
                        <w:sz w:val="12"/>
                      </w:rPr>
                      <w:t> </w:t>
                    </w:r>
                    <w:r>
                      <w:rPr>
                        <w:w w:val="105"/>
                        <w:sz w:val="12"/>
                      </w:rPr>
                      <w:t>by</w:t>
                    </w:r>
                    <w:r>
                      <w:rPr>
                        <w:sz w:val="12"/>
                      </w:rPr>
                      <w:t>  </w:t>
                    </w:r>
                    <w:r>
                      <w:rPr>
                        <w:spacing w:val="9"/>
                        <w:sz w:val="12"/>
                      </w:rPr>
                      <w:t> </w:t>
                    </w:r>
                    <w:r>
                      <w:rPr>
                        <w:sz w:val="12"/>
                        <w:u w:val="single"/>
                      </w:rPr>
                      <w:t> </w:t>
                      <w:tab/>
                    </w:r>
                  </w:p>
                  <w:p>
                    <w:pPr>
                      <w:spacing w:before="14"/>
                      <w:ind w:left="528" w:right="0" w:firstLine="0"/>
                      <w:jc w:val="left"/>
                      <w:rPr>
                        <w:sz w:val="12"/>
                      </w:rPr>
                    </w:pPr>
                    <w:r>
                      <w:rPr>
                        <w:w w:val="110"/>
                        <w:sz w:val="12"/>
                      </w:rPr>
                      <w:t>futures on 7 Feb.</w:t>
                    </w:r>
                  </w:p>
                  <w:p>
                    <w:pPr>
                      <w:spacing w:line="240" w:lineRule="auto" w:before="0"/>
                      <w:rPr>
                        <w:sz w:val="12"/>
                      </w:rPr>
                    </w:pPr>
                  </w:p>
                  <w:p>
                    <w:pPr>
                      <w:spacing w:line="240" w:lineRule="auto" w:before="0"/>
                      <w:rPr>
                        <w:sz w:val="16"/>
                      </w:rPr>
                    </w:pPr>
                  </w:p>
                  <w:p>
                    <w:pPr>
                      <w:tabs>
                        <w:tab w:pos="2908" w:val="left" w:leader="none"/>
                      </w:tabs>
                      <w:spacing w:before="0"/>
                      <w:ind w:left="12" w:right="0" w:firstLine="0"/>
                      <w:jc w:val="left"/>
                      <w:rPr>
                        <w:sz w:val="12"/>
                      </w:rPr>
                    </w:pPr>
                    <w:r>
                      <w:rPr>
                        <w:sz w:val="12"/>
                        <w:u w:val="single"/>
                      </w:rPr>
                      <w:t> </w:t>
                      <w:tab/>
                    </w:r>
                  </w:p>
                </w:txbxContent>
              </v:textbox>
              <w10:wrap type="none"/>
            </v:shape>
            <w10:wrap type="none"/>
          </v:group>
        </w:pict>
      </w:r>
      <w:r>
        <w:rPr/>
        <w:drawing>
          <wp:anchor distT="0" distB="0" distL="0" distR="0" allowOverlap="1" layoutInCell="1" locked="0" behindDoc="0" simplePos="0" relativeHeight="15848960">
            <wp:simplePos x="0" y="0"/>
            <wp:positionH relativeFrom="page">
              <wp:posOffset>2560967</wp:posOffset>
            </wp:positionH>
            <wp:positionV relativeFrom="paragraph">
              <wp:posOffset>47142</wp:posOffset>
            </wp:positionV>
            <wp:extent cx="55016" cy="6350"/>
            <wp:effectExtent l="0" t="0" r="0" b="0"/>
            <wp:wrapNone/>
            <wp:docPr id="147" name="image10.png"/>
            <wp:cNvGraphicFramePr>
              <a:graphicFrameLocks noChangeAspect="1"/>
            </wp:cNvGraphicFramePr>
            <a:graphic>
              <a:graphicData uri="http://schemas.openxmlformats.org/drawingml/2006/picture">
                <pic:pic>
                  <pic:nvPicPr>
                    <pic:cNvPr id="148" name="image10.png"/>
                    <pic:cNvPicPr/>
                  </pic:nvPicPr>
                  <pic:blipFill>
                    <a:blip r:embed="rId31" cstate="print"/>
                    <a:stretch>
                      <a:fillRect/>
                    </a:stretch>
                  </pic:blipFill>
                  <pic:spPr>
                    <a:xfrm>
                      <a:off x="0" y="0"/>
                      <a:ext cx="55016" cy="6350"/>
                    </a:xfrm>
                    <a:prstGeom prst="rect">
                      <a:avLst/>
                    </a:prstGeom>
                  </pic:spPr>
                </pic:pic>
              </a:graphicData>
            </a:graphic>
          </wp:anchor>
        </w:drawing>
      </w:r>
      <w:r>
        <w:rPr>
          <w:w w:val="121"/>
          <w:sz w:val="12"/>
        </w:rPr>
        <w:t>8</w:t>
      </w:r>
    </w:p>
    <w:p>
      <w:pPr>
        <w:pStyle w:val="BodyText"/>
        <w:rPr>
          <w:sz w:val="16"/>
        </w:rPr>
      </w:pPr>
    </w:p>
    <w:p>
      <w:pPr>
        <w:spacing w:before="0"/>
        <w:ind w:left="0" w:right="38" w:firstLine="0"/>
        <w:jc w:val="right"/>
        <w:rPr>
          <w:sz w:val="12"/>
        </w:rPr>
      </w:pPr>
      <w:r>
        <w:rPr/>
        <w:drawing>
          <wp:anchor distT="0" distB="0" distL="0" distR="0" allowOverlap="1" layoutInCell="1" locked="0" behindDoc="0" simplePos="0" relativeHeight="15849472">
            <wp:simplePos x="0" y="0"/>
            <wp:positionH relativeFrom="page">
              <wp:posOffset>2560967</wp:posOffset>
            </wp:positionH>
            <wp:positionV relativeFrom="paragraph">
              <wp:posOffset>52323</wp:posOffset>
            </wp:positionV>
            <wp:extent cx="55016" cy="6350"/>
            <wp:effectExtent l="0" t="0" r="0" b="0"/>
            <wp:wrapNone/>
            <wp:docPr id="149" name="image10.png"/>
            <wp:cNvGraphicFramePr>
              <a:graphicFrameLocks noChangeAspect="1"/>
            </wp:cNvGraphicFramePr>
            <a:graphic>
              <a:graphicData uri="http://schemas.openxmlformats.org/drawingml/2006/picture">
                <pic:pic>
                  <pic:nvPicPr>
                    <pic:cNvPr id="150" name="image10.png"/>
                    <pic:cNvPicPr/>
                  </pic:nvPicPr>
                  <pic:blipFill>
                    <a:blip r:embed="rId31" cstate="print"/>
                    <a:stretch>
                      <a:fillRect/>
                    </a:stretch>
                  </pic:blipFill>
                  <pic:spPr>
                    <a:xfrm>
                      <a:off x="0" y="0"/>
                      <a:ext cx="55016" cy="6350"/>
                    </a:xfrm>
                    <a:prstGeom prst="rect">
                      <a:avLst/>
                    </a:prstGeom>
                  </pic:spPr>
                </pic:pic>
              </a:graphicData>
            </a:graphic>
          </wp:anchor>
        </w:drawing>
      </w:r>
      <w:r>
        <w:rPr>
          <w:w w:val="121"/>
          <w:sz w:val="12"/>
        </w:rPr>
        <w:t>7</w:t>
      </w:r>
    </w:p>
    <w:p>
      <w:pPr>
        <w:pStyle w:val="BodyText"/>
        <w:spacing w:before="10"/>
        <w:rPr>
          <w:sz w:val="15"/>
        </w:rPr>
      </w:pPr>
    </w:p>
    <w:p>
      <w:pPr>
        <w:spacing w:before="0"/>
        <w:ind w:left="0" w:right="38" w:firstLine="0"/>
        <w:jc w:val="right"/>
        <w:rPr>
          <w:sz w:val="12"/>
        </w:rPr>
      </w:pPr>
      <w:r>
        <w:rPr/>
        <w:drawing>
          <wp:anchor distT="0" distB="0" distL="0" distR="0" allowOverlap="1" layoutInCell="1" locked="0" behindDoc="0" simplePos="0" relativeHeight="15849984">
            <wp:simplePos x="0" y="0"/>
            <wp:positionH relativeFrom="page">
              <wp:posOffset>2560967</wp:posOffset>
            </wp:positionH>
            <wp:positionV relativeFrom="paragraph">
              <wp:posOffset>49233</wp:posOffset>
            </wp:positionV>
            <wp:extent cx="55016" cy="6350"/>
            <wp:effectExtent l="0" t="0" r="0" b="0"/>
            <wp:wrapNone/>
            <wp:docPr id="151" name="image10.png"/>
            <wp:cNvGraphicFramePr>
              <a:graphicFrameLocks noChangeAspect="1"/>
            </wp:cNvGraphicFramePr>
            <a:graphic>
              <a:graphicData uri="http://schemas.openxmlformats.org/drawingml/2006/picture">
                <pic:pic>
                  <pic:nvPicPr>
                    <pic:cNvPr id="152" name="image10.png"/>
                    <pic:cNvPicPr/>
                  </pic:nvPicPr>
                  <pic:blipFill>
                    <a:blip r:embed="rId31" cstate="print"/>
                    <a:stretch>
                      <a:fillRect/>
                    </a:stretch>
                  </pic:blipFill>
                  <pic:spPr>
                    <a:xfrm>
                      <a:off x="0" y="0"/>
                      <a:ext cx="55016" cy="6350"/>
                    </a:xfrm>
                    <a:prstGeom prst="rect">
                      <a:avLst/>
                    </a:prstGeom>
                  </pic:spPr>
                </pic:pic>
              </a:graphicData>
            </a:graphic>
          </wp:anchor>
        </w:drawing>
      </w:r>
      <w:r>
        <w:rPr>
          <w:w w:val="121"/>
          <w:sz w:val="12"/>
        </w:rPr>
        <w:t>6</w:t>
      </w:r>
    </w:p>
    <w:p>
      <w:pPr>
        <w:pStyle w:val="BodyText"/>
        <w:spacing w:before="9"/>
        <w:rPr>
          <w:sz w:val="15"/>
        </w:rPr>
      </w:pPr>
    </w:p>
    <w:p>
      <w:pPr>
        <w:spacing w:before="0"/>
        <w:ind w:left="0" w:right="38" w:firstLine="0"/>
        <w:jc w:val="right"/>
        <w:rPr>
          <w:sz w:val="12"/>
        </w:rPr>
      </w:pPr>
      <w:r>
        <w:rPr/>
        <w:drawing>
          <wp:anchor distT="0" distB="0" distL="0" distR="0" allowOverlap="1" layoutInCell="1" locked="0" behindDoc="0" simplePos="0" relativeHeight="15850496">
            <wp:simplePos x="0" y="0"/>
            <wp:positionH relativeFrom="page">
              <wp:posOffset>2560967</wp:posOffset>
            </wp:positionH>
            <wp:positionV relativeFrom="paragraph">
              <wp:posOffset>55695</wp:posOffset>
            </wp:positionV>
            <wp:extent cx="55016" cy="6350"/>
            <wp:effectExtent l="0" t="0" r="0" b="0"/>
            <wp:wrapNone/>
            <wp:docPr id="153" name="image10.png"/>
            <wp:cNvGraphicFramePr>
              <a:graphicFrameLocks noChangeAspect="1"/>
            </wp:cNvGraphicFramePr>
            <a:graphic>
              <a:graphicData uri="http://schemas.openxmlformats.org/drawingml/2006/picture">
                <pic:pic>
                  <pic:nvPicPr>
                    <pic:cNvPr id="154" name="image10.png"/>
                    <pic:cNvPicPr/>
                  </pic:nvPicPr>
                  <pic:blipFill>
                    <a:blip r:embed="rId31" cstate="print"/>
                    <a:stretch>
                      <a:fillRect/>
                    </a:stretch>
                  </pic:blipFill>
                  <pic:spPr>
                    <a:xfrm>
                      <a:off x="0" y="0"/>
                      <a:ext cx="55016" cy="6350"/>
                    </a:xfrm>
                    <a:prstGeom prst="rect">
                      <a:avLst/>
                    </a:prstGeom>
                  </pic:spPr>
                </pic:pic>
              </a:graphicData>
            </a:graphic>
          </wp:anchor>
        </w:drawing>
      </w:r>
      <w:r>
        <w:rPr>
          <w:w w:val="121"/>
          <w:sz w:val="12"/>
        </w:rPr>
        <w:t>5</w:t>
      </w:r>
    </w:p>
    <w:p>
      <w:pPr>
        <w:pStyle w:val="BodyText"/>
        <w:spacing w:before="1"/>
        <w:rPr>
          <w:sz w:val="16"/>
        </w:rPr>
      </w:pPr>
    </w:p>
    <w:p>
      <w:pPr>
        <w:spacing w:before="0"/>
        <w:ind w:left="0" w:right="38" w:firstLine="0"/>
        <w:jc w:val="right"/>
        <w:rPr>
          <w:sz w:val="12"/>
        </w:rPr>
      </w:pPr>
      <w:r>
        <w:rPr/>
        <w:drawing>
          <wp:anchor distT="0" distB="0" distL="0" distR="0" allowOverlap="1" layoutInCell="1" locked="0" behindDoc="0" simplePos="0" relativeHeight="15851008">
            <wp:simplePos x="0" y="0"/>
            <wp:positionH relativeFrom="page">
              <wp:posOffset>2560967</wp:posOffset>
            </wp:positionH>
            <wp:positionV relativeFrom="paragraph">
              <wp:posOffset>52457</wp:posOffset>
            </wp:positionV>
            <wp:extent cx="55016" cy="6350"/>
            <wp:effectExtent l="0" t="0" r="0" b="0"/>
            <wp:wrapNone/>
            <wp:docPr id="155" name="image12.png"/>
            <wp:cNvGraphicFramePr>
              <a:graphicFrameLocks noChangeAspect="1"/>
            </wp:cNvGraphicFramePr>
            <a:graphic>
              <a:graphicData uri="http://schemas.openxmlformats.org/drawingml/2006/picture">
                <pic:pic>
                  <pic:nvPicPr>
                    <pic:cNvPr id="156" name="image12.png"/>
                    <pic:cNvPicPr/>
                  </pic:nvPicPr>
                  <pic:blipFill>
                    <a:blip r:embed="rId33" cstate="print"/>
                    <a:stretch>
                      <a:fillRect/>
                    </a:stretch>
                  </pic:blipFill>
                  <pic:spPr>
                    <a:xfrm>
                      <a:off x="0" y="0"/>
                      <a:ext cx="55016" cy="6350"/>
                    </a:xfrm>
                    <a:prstGeom prst="rect">
                      <a:avLst/>
                    </a:prstGeom>
                  </pic:spPr>
                </pic:pic>
              </a:graphicData>
            </a:graphic>
          </wp:anchor>
        </w:drawing>
      </w:r>
      <w:r>
        <w:rPr>
          <w:w w:val="121"/>
          <w:sz w:val="12"/>
        </w:rPr>
        <w:t>4</w:t>
      </w:r>
    </w:p>
    <w:p>
      <w:pPr>
        <w:pStyle w:val="BodyText"/>
        <w:spacing w:before="3"/>
        <w:rPr>
          <w:sz w:val="14"/>
        </w:rPr>
      </w:pPr>
    </w:p>
    <w:p>
      <w:pPr>
        <w:spacing w:before="0"/>
        <w:ind w:left="0" w:right="38" w:firstLine="0"/>
        <w:jc w:val="right"/>
        <w:rPr>
          <w:sz w:val="12"/>
        </w:rPr>
      </w:pPr>
      <w:r>
        <w:rPr/>
        <w:drawing>
          <wp:anchor distT="0" distB="0" distL="0" distR="0" allowOverlap="1" layoutInCell="1" locked="0" behindDoc="0" simplePos="0" relativeHeight="15851520">
            <wp:simplePos x="0" y="0"/>
            <wp:positionH relativeFrom="page">
              <wp:posOffset>2560967</wp:posOffset>
            </wp:positionH>
            <wp:positionV relativeFrom="paragraph">
              <wp:posOffset>49716</wp:posOffset>
            </wp:positionV>
            <wp:extent cx="55016" cy="6350"/>
            <wp:effectExtent l="0" t="0" r="0" b="0"/>
            <wp:wrapNone/>
            <wp:docPr id="157" name="image12.png"/>
            <wp:cNvGraphicFramePr>
              <a:graphicFrameLocks noChangeAspect="1"/>
            </wp:cNvGraphicFramePr>
            <a:graphic>
              <a:graphicData uri="http://schemas.openxmlformats.org/drawingml/2006/picture">
                <pic:pic>
                  <pic:nvPicPr>
                    <pic:cNvPr id="158" name="image12.png"/>
                    <pic:cNvPicPr/>
                  </pic:nvPicPr>
                  <pic:blipFill>
                    <a:blip r:embed="rId33" cstate="print"/>
                    <a:stretch>
                      <a:fillRect/>
                    </a:stretch>
                  </pic:blipFill>
                  <pic:spPr>
                    <a:xfrm>
                      <a:off x="0" y="0"/>
                      <a:ext cx="55016" cy="6350"/>
                    </a:xfrm>
                    <a:prstGeom prst="rect">
                      <a:avLst/>
                    </a:prstGeom>
                  </pic:spPr>
                </pic:pic>
              </a:graphicData>
            </a:graphic>
          </wp:anchor>
        </w:drawing>
      </w:r>
      <w:r>
        <w:rPr>
          <w:w w:val="121"/>
          <w:sz w:val="12"/>
        </w:rPr>
        <w:t>3</w:t>
      </w:r>
    </w:p>
    <w:p>
      <w:pPr>
        <w:pStyle w:val="BodyText"/>
        <w:spacing w:before="1"/>
        <w:rPr>
          <w:sz w:val="16"/>
        </w:rPr>
      </w:pPr>
    </w:p>
    <w:p>
      <w:pPr>
        <w:spacing w:before="0"/>
        <w:ind w:left="0" w:right="38" w:firstLine="0"/>
        <w:jc w:val="right"/>
        <w:rPr>
          <w:sz w:val="12"/>
        </w:rPr>
      </w:pPr>
      <w:r>
        <w:rPr/>
        <w:drawing>
          <wp:anchor distT="0" distB="0" distL="0" distR="0" allowOverlap="1" layoutInCell="1" locked="0" behindDoc="0" simplePos="0" relativeHeight="15852032">
            <wp:simplePos x="0" y="0"/>
            <wp:positionH relativeFrom="page">
              <wp:posOffset>2560967</wp:posOffset>
            </wp:positionH>
            <wp:positionV relativeFrom="paragraph">
              <wp:posOffset>54923</wp:posOffset>
            </wp:positionV>
            <wp:extent cx="55016" cy="6350"/>
            <wp:effectExtent l="0" t="0" r="0" b="0"/>
            <wp:wrapNone/>
            <wp:docPr id="159" name="image12.png"/>
            <wp:cNvGraphicFramePr>
              <a:graphicFrameLocks noChangeAspect="1"/>
            </wp:cNvGraphicFramePr>
            <a:graphic>
              <a:graphicData uri="http://schemas.openxmlformats.org/drawingml/2006/picture">
                <pic:pic>
                  <pic:nvPicPr>
                    <pic:cNvPr id="160" name="image12.png"/>
                    <pic:cNvPicPr/>
                  </pic:nvPicPr>
                  <pic:blipFill>
                    <a:blip r:embed="rId33" cstate="print"/>
                    <a:stretch>
                      <a:fillRect/>
                    </a:stretch>
                  </pic:blipFill>
                  <pic:spPr>
                    <a:xfrm>
                      <a:off x="0" y="0"/>
                      <a:ext cx="55016" cy="6350"/>
                    </a:xfrm>
                    <a:prstGeom prst="rect">
                      <a:avLst/>
                    </a:prstGeom>
                  </pic:spPr>
                </pic:pic>
              </a:graphicData>
            </a:graphic>
          </wp:anchor>
        </w:drawing>
      </w:r>
      <w:r>
        <w:rPr>
          <w:w w:val="121"/>
          <w:sz w:val="12"/>
        </w:rPr>
        <w:t>2</w:t>
      </w:r>
    </w:p>
    <w:p>
      <w:pPr>
        <w:pStyle w:val="BodyText"/>
        <w:spacing w:before="9"/>
        <w:rPr>
          <w:sz w:val="15"/>
        </w:rPr>
      </w:pPr>
    </w:p>
    <w:p>
      <w:pPr>
        <w:spacing w:line="135" w:lineRule="exact" w:before="0"/>
        <w:ind w:left="704" w:right="0" w:firstLine="0"/>
        <w:jc w:val="left"/>
        <w:rPr>
          <w:sz w:val="12"/>
        </w:rPr>
      </w:pPr>
      <w:r>
        <w:rPr/>
        <w:drawing>
          <wp:anchor distT="0" distB="0" distL="0" distR="0" allowOverlap="1" layoutInCell="1" locked="0" behindDoc="0" simplePos="0" relativeHeight="15852544">
            <wp:simplePos x="0" y="0"/>
            <wp:positionH relativeFrom="page">
              <wp:posOffset>2560967</wp:posOffset>
            </wp:positionH>
            <wp:positionV relativeFrom="paragraph">
              <wp:posOffset>61372</wp:posOffset>
            </wp:positionV>
            <wp:extent cx="55016" cy="6350"/>
            <wp:effectExtent l="0" t="0" r="0" b="0"/>
            <wp:wrapNone/>
            <wp:docPr id="161" name="image12.png"/>
            <wp:cNvGraphicFramePr>
              <a:graphicFrameLocks noChangeAspect="1"/>
            </wp:cNvGraphicFramePr>
            <a:graphic>
              <a:graphicData uri="http://schemas.openxmlformats.org/drawingml/2006/picture">
                <pic:pic>
                  <pic:nvPicPr>
                    <pic:cNvPr id="162" name="image12.png"/>
                    <pic:cNvPicPr/>
                  </pic:nvPicPr>
                  <pic:blipFill>
                    <a:blip r:embed="rId33" cstate="print"/>
                    <a:stretch>
                      <a:fillRect/>
                    </a:stretch>
                  </pic:blipFill>
                  <pic:spPr>
                    <a:xfrm>
                      <a:off x="0" y="0"/>
                      <a:ext cx="55016" cy="6350"/>
                    </a:xfrm>
                    <a:prstGeom prst="rect">
                      <a:avLst/>
                    </a:prstGeom>
                  </pic:spPr>
                </pic:pic>
              </a:graphicData>
            </a:graphic>
          </wp:anchor>
        </w:drawing>
      </w:r>
      <w:r>
        <w:rPr>
          <w:w w:val="121"/>
          <w:sz w:val="12"/>
        </w:rPr>
        <w:t>1</w:t>
      </w:r>
    </w:p>
    <w:p>
      <w:pPr>
        <w:spacing w:line="166" w:lineRule="exact" w:before="0"/>
        <w:ind w:left="0" w:right="161" w:firstLine="0"/>
        <w:jc w:val="right"/>
        <w:rPr>
          <w:sz w:val="16"/>
        </w:rPr>
      </w:pPr>
      <w:r>
        <w:rPr>
          <w:w w:val="107"/>
          <w:sz w:val="16"/>
        </w:rPr>
        <w:t>+</w:t>
      </w:r>
    </w:p>
    <w:p>
      <w:pPr>
        <w:pStyle w:val="BodyText"/>
        <w:spacing w:line="292" w:lineRule="auto"/>
        <w:ind w:left="178"/>
      </w:pPr>
      <w:r>
        <w:rPr/>
        <w:br w:type="column"/>
      </w:r>
      <w:r>
        <w:rPr>
          <w:spacing w:val="-3"/>
          <w:w w:val="110"/>
        </w:rPr>
        <w:t>downwards </w:t>
      </w:r>
      <w:r>
        <w:rPr>
          <w:w w:val="110"/>
        </w:rPr>
        <w:t>since </w:t>
      </w:r>
      <w:r>
        <w:rPr>
          <w:spacing w:val="-3"/>
          <w:w w:val="110"/>
        </w:rPr>
        <w:t>November, </w:t>
      </w:r>
      <w:r>
        <w:rPr>
          <w:w w:val="110"/>
        </w:rPr>
        <w:t>particularly markedly in the United </w:t>
      </w:r>
      <w:r>
        <w:rPr>
          <w:spacing w:val="-3"/>
          <w:w w:val="110"/>
        </w:rPr>
        <w:t>States. </w:t>
      </w:r>
      <w:r>
        <w:rPr>
          <w:w w:val="110"/>
        </w:rPr>
        <w:t>Three-month </w:t>
      </w:r>
      <w:r>
        <w:rPr>
          <w:spacing w:val="-3"/>
          <w:w w:val="110"/>
        </w:rPr>
        <w:t>interest </w:t>
      </w:r>
      <w:r>
        <w:rPr>
          <w:spacing w:val="-4"/>
          <w:w w:val="110"/>
        </w:rPr>
        <w:t>rate </w:t>
      </w:r>
      <w:r>
        <w:rPr>
          <w:w w:val="110"/>
        </w:rPr>
        <w:t>futures contracts suggest that markets now expect official </w:t>
      </w:r>
      <w:r>
        <w:rPr>
          <w:spacing w:val="-3"/>
          <w:w w:val="110"/>
        </w:rPr>
        <w:t>interest </w:t>
      </w:r>
      <w:r>
        <w:rPr>
          <w:spacing w:val="-4"/>
          <w:w w:val="110"/>
        </w:rPr>
        <w:t>rates to </w:t>
      </w:r>
      <w:r>
        <w:rPr>
          <w:w w:val="110"/>
        </w:rPr>
        <w:t>fall significantly</w:t>
      </w:r>
      <w:r>
        <w:rPr>
          <w:spacing w:val="-17"/>
          <w:w w:val="110"/>
        </w:rPr>
        <w:t> </w:t>
      </w:r>
      <w:r>
        <w:rPr>
          <w:w w:val="110"/>
        </w:rPr>
        <w:t>in</w:t>
      </w:r>
      <w:r>
        <w:rPr>
          <w:spacing w:val="-17"/>
          <w:w w:val="110"/>
        </w:rPr>
        <w:t> </w:t>
      </w:r>
      <w:r>
        <w:rPr>
          <w:spacing w:val="-11"/>
          <w:w w:val="110"/>
        </w:rPr>
        <w:t>2001</w:t>
      </w:r>
      <w:r>
        <w:rPr>
          <w:spacing w:val="-17"/>
          <w:w w:val="110"/>
        </w:rPr>
        <w:t> </w:t>
      </w:r>
      <w:r>
        <w:rPr>
          <w:w w:val="110"/>
        </w:rPr>
        <w:t>for</w:t>
      </w:r>
      <w:r>
        <w:rPr>
          <w:spacing w:val="-17"/>
          <w:w w:val="110"/>
        </w:rPr>
        <w:t> </w:t>
      </w:r>
      <w:r>
        <w:rPr>
          <w:w w:val="110"/>
        </w:rPr>
        <w:t>all</w:t>
      </w:r>
      <w:r>
        <w:rPr>
          <w:spacing w:val="-17"/>
          <w:w w:val="110"/>
        </w:rPr>
        <w:t> </w:t>
      </w:r>
      <w:r>
        <w:rPr>
          <w:w w:val="110"/>
        </w:rPr>
        <w:t>the</w:t>
      </w:r>
      <w:r>
        <w:rPr>
          <w:spacing w:val="-17"/>
          <w:w w:val="110"/>
        </w:rPr>
        <w:t> </w:t>
      </w:r>
      <w:r>
        <w:rPr>
          <w:w w:val="110"/>
        </w:rPr>
        <w:t>major</w:t>
      </w:r>
      <w:r>
        <w:rPr>
          <w:spacing w:val="-17"/>
          <w:w w:val="110"/>
        </w:rPr>
        <w:t> </w:t>
      </w:r>
      <w:r>
        <w:rPr>
          <w:w w:val="110"/>
        </w:rPr>
        <w:t>economies</w:t>
      </w:r>
      <w:r>
        <w:rPr>
          <w:spacing w:val="-17"/>
          <w:w w:val="110"/>
        </w:rPr>
        <w:t> </w:t>
      </w:r>
      <w:r>
        <w:rPr>
          <w:w w:val="110"/>
        </w:rPr>
        <w:t>outside</w:t>
      </w:r>
      <w:r>
        <w:rPr>
          <w:spacing w:val="-17"/>
          <w:w w:val="110"/>
        </w:rPr>
        <w:t> </w:t>
      </w:r>
      <w:r>
        <w:rPr>
          <w:w w:val="110"/>
        </w:rPr>
        <w:t>Japan (see Chart </w:t>
      </w:r>
      <w:r>
        <w:rPr>
          <w:spacing w:val="-5"/>
          <w:w w:val="110"/>
        </w:rPr>
        <w:t>1.12). </w:t>
      </w:r>
      <w:r>
        <w:rPr>
          <w:spacing w:val="-3"/>
          <w:w w:val="110"/>
        </w:rPr>
        <w:t>Lower expected interest </w:t>
      </w:r>
      <w:r>
        <w:rPr>
          <w:spacing w:val="-4"/>
          <w:w w:val="110"/>
        </w:rPr>
        <w:t>rates </w:t>
      </w:r>
      <w:r>
        <w:rPr>
          <w:w w:val="110"/>
        </w:rPr>
        <w:t>reflect </w:t>
      </w:r>
      <w:r>
        <w:rPr>
          <w:spacing w:val="-3"/>
          <w:w w:val="110"/>
        </w:rPr>
        <w:t>weaker </w:t>
      </w:r>
      <w:r>
        <w:rPr>
          <w:w w:val="110"/>
        </w:rPr>
        <w:t>growth prospects, particularly in the United </w:t>
      </w:r>
      <w:r>
        <w:rPr>
          <w:spacing w:val="-3"/>
          <w:w w:val="110"/>
        </w:rPr>
        <w:t>States, </w:t>
      </w:r>
      <w:r>
        <w:rPr>
          <w:w w:val="110"/>
        </w:rPr>
        <w:t>and the associated reduction in inflationary </w:t>
      </w:r>
      <w:r>
        <w:rPr>
          <w:spacing w:val="-3"/>
          <w:w w:val="110"/>
        </w:rPr>
        <w:t>pressures. </w:t>
      </w:r>
      <w:r>
        <w:rPr>
          <w:w w:val="110"/>
        </w:rPr>
        <w:t>But market expectations of a gentle rise in US short </w:t>
      </w:r>
      <w:r>
        <w:rPr>
          <w:spacing w:val="-3"/>
          <w:w w:val="110"/>
        </w:rPr>
        <w:t>interest </w:t>
      </w:r>
      <w:r>
        <w:rPr>
          <w:spacing w:val="-4"/>
          <w:w w:val="110"/>
        </w:rPr>
        <w:t>rates </w:t>
      </w:r>
      <w:r>
        <w:rPr>
          <w:w w:val="110"/>
        </w:rPr>
        <w:t>in the </w:t>
      </w:r>
      <w:r>
        <w:rPr>
          <w:spacing w:val="-3"/>
          <w:w w:val="110"/>
        </w:rPr>
        <w:t>latter </w:t>
      </w:r>
      <w:r>
        <w:rPr>
          <w:w w:val="110"/>
        </w:rPr>
        <w:t>part of </w:t>
      </w:r>
      <w:r>
        <w:rPr>
          <w:spacing w:val="-11"/>
          <w:w w:val="110"/>
        </w:rPr>
        <w:t>2001 </w:t>
      </w:r>
      <w:r>
        <w:rPr>
          <w:w w:val="110"/>
        </w:rPr>
        <w:t>are consistent with expectations of a relatively</w:t>
      </w:r>
      <w:r>
        <w:rPr>
          <w:spacing w:val="-12"/>
          <w:w w:val="110"/>
        </w:rPr>
        <w:t> </w:t>
      </w:r>
      <w:r>
        <w:rPr>
          <w:w w:val="110"/>
        </w:rPr>
        <w:t>quick</w:t>
      </w:r>
      <w:r>
        <w:rPr>
          <w:spacing w:val="-11"/>
          <w:w w:val="110"/>
        </w:rPr>
        <w:t> </w:t>
      </w:r>
      <w:r>
        <w:rPr>
          <w:w w:val="110"/>
        </w:rPr>
        <w:t>recovery</w:t>
      </w:r>
      <w:r>
        <w:rPr>
          <w:spacing w:val="-12"/>
          <w:w w:val="110"/>
        </w:rPr>
        <w:t> </w:t>
      </w:r>
      <w:r>
        <w:rPr>
          <w:w w:val="110"/>
        </w:rPr>
        <w:t>of</w:t>
      </w:r>
      <w:r>
        <w:rPr>
          <w:spacing w:val="-11"/>
          <w:w w:val="110"/>
        </w:rPr>
        <w:t> </w:t>
      </w:r>
      <w:r>
        <w:rPr>
          <w:w w:val="110"/>
        </w:rPr>
        <w:t>US</w:t>
      </w:r>
      <w:r>
        <w:rPr>
          <w:spacing w:val="-12"/>
          <w:w w:val="110"/>
        </w:rPr>
        <w:t> </w:t>
      </w:r>
      <w:r>
        <w:rPr>
          <w:w w:val="110"/>
        </w:rPr>
        <w:t>GDP</w:t>
      </w:r>
      <w:r>
        <w:rPr>
          <w:spacing w:val="-11"/>
          <w:w w:val="110"/>
        </w:rPr>
        <w:t> </w:t>
      </w:r>
      <w:r>
        <w:rPr>
          <w:w w:val="110"/>
        </w:rPr>
        <w:t>growth.</w:t>
      </w:r>
    </w:p>
    <w:p>
      <w:pPr>
        <w:spacing w:after="0" w:line="292" w:lineRule="auto"/>
        <w:sectPr>
          <w:type w:val="continuous"/>
          <w:pgSz w:w="11900" w:h="16840"/>
          <w:pgMar w:top="1260" w:bottom="280" w:left="640" w:right="640"/>
          <w:cols w:num="4" w:equalWidth="0">
            <w:col w:w="2076" w:space="40"/>
            <w:col w:w="670" w:space="88"/>
            <w:col w:w="818" w:space="1224"/>
            <w:col w:w="5704"/>
          </w:cols>
        </w:sectPr>
      </w:pPr>
    </w:p>
    <w:p>
      <w:pPr>
        <w:pStyle w:val="BodyText"/>
        <w:tabs>
          <w:tab w:pos="5094" w:val="left" w:leader="none"/>
        </w:tabs>
        <w:spacing w:line="173" w:lineRule="exact"/>
        <w:ind w:left="3393"/>
      </w:pPr>
      <w:r>
        <w:rPr/>
        <w:drawing>
          <wp:anchor distT="0" distB="0" distL="0" distR="0" allowOverlap="1" layoutInCell="1" locked="0" behindDoc="0" simplePos="0" relativeHeight="15848448">
            <wp:simplePos x="0" y="0"/>
            <wp:positionH relativeFrom="page">
              <wp:posOffset>526427</wp:posOffset>
            </wp:positionH>
            <wp:positionV relativeFrom="paragraph">
              <wp:posOffset>78552</wp:posOffset>
            </wp:positionV>
            <wp:extent cx="55016" cy="6350"/>
            <wp:effectExtent l="0" t="0" r="0" b="0"/>
            <wp:wrapNone/>
            <wp:docPr id="163" name="image10.png"/>
            <wp:cNvGraphicFramePr>
              <a:graphicFrameLocks noChangeAspect="1"/>
            </wp:cNvGraphicFramePr>
            <a:graphic>
              <a:graphicData uri="http://schemas.openxmlformats.org/drawingml/2006/picture">
                <pic:pic>
                  <pic:nvPicPr>
                    <pic:cNvPr id="164" name="image10.png"/>
                    <pic:cNvPicPr/>
                  </pic:nvPicPr>
                  <pic:blipFill>
                    <a:blip r:embed="rId31" cstate="print"/>
                    <a:stretch>
                      <a:fillRect/>
                    </a:stretch>
                  </pic:blipFill>
                  <pic:spPr>
                    <a:xfrm>
                      <a:off x="0" y="0"/>
                      <a:ext cx="55016" cy="6350"/>
                    </a:xfrm>
                    <a:prstGeom prst="rect">
                      <a:avLst/>
                    </a:prstGeom>
                  </pic:spPr>
                </pic:pic>
              </a:graphicData>
            </a:graphic>
          </wp:anchor>
        </w:drawing>
      </w:r>
      <w:r>
        <w:rPr>
          <w:position w:val="2"/>
          <w:sz w:val="12"/>
          <w:u w:val="single"/>
        </w:rPr>
        <w:t>  </w:t>
      </w:r>
      <w:r>
        <w:rPr>
          <w:spacing w:val="-4"/>
          <w:position w:val="2"/>
          <w:sz w:val="12"/>
          <w:u w:val="single"/>
        </w:rPr>
        <w:t> </w:t>
      </w:r>
      <w:r>
        <w:rPr>
          <w:position w:val="2"/>
          <w:sz w:val="12"/>
        </w:rPr>
        <w:t>  </w:t>
      </w:r>
      <w:r>
        <w:rPr>
          <w:spacing w:val="8"/>
          <w:position w:val="2"/>
          <w:sz w:val="12"/>
        </w:rPr>
        <w:t> </w:t>
      </w:r>
      <w:r>
        <w:rPr>
          <w:w w:val="110"/>
          <w:position w:val="2"/>
          <w:sz w:val="12"/>
        </w:rPr>
        <w:t>0</w:t>
        <w:tab/>
      </w:r>
      <w:r>
        <w:rPr>
          <w:w w:val="110"/>
        </w:rPr>
        <w:t>The</w:t>
      </w:r>
      <w:r>
        <w:rPr>
          <w:spacing w:val="-12"/>
          <w:w w:val="110"/>
        </w:rPr>
        <w:t> </w:t>
      </w:r>
      <w:r>
        <w:rPr>
          <w:w w:val="110"/>
        </w:rPr>
        <w:t>Bank</w:t>
      </w:r>
      <w:r>
        <w:rPr>
          <w:spacing w:val="-12"/>
          <w:w w:val="110"/>
        </w:rPr>
        <w:t> </w:t>
      </w:r>
      <w:r>
        <w:rPr>
          <w:w w:val="110"/>
        </w:rPr>
        <w:t>performs</w:t>
      </w:r>
      <w:r>
        <w:rPr>
          <w:spacing w:val="-11"/>
          <w:w w:val="110"/>
        </w:rPr>
        <w:t> </w:t>
      </w:r>
      <w:r>
        <w:rPr>
          <w:w w:val="110"/>
        </w:rPr>
        <w:t>the</w:t>
      </w:r>
      <w:r>
        <w:rPr>
          <w:spacing w:val="-12"/>
          <w:w w:val="110"/>
        </w:rPr>
        <w:t> </w:t>
      </w:r>
      <w:r>
        <w:rPr>
          <w:w w:val="110"/>
        </w:rPr>
        <w:t>vast</w:t>
      </w:r>
      <w:r>
        <w:rPr>
          <w:spacing w:val="-11"/>
          <w:w w:val="110"/>
        </w:rPr>
        <w:t> </w:t>
      </w:r>
      <w:r>
        <w:rPr>
          <w:w w:val="110"/>
        </w:rPr>
        <w:t>majority</w:t>
      </w:r>
      <w:r>
        <w:rPr>
          <w:spacing w:val="-12"/>
          <w:w w:val="110"/>
        </w:rPr>
        <w:t> </w:t>
      </w:r>
      <w:r>
        <w:rPr>
          <w:w w:val="110"/>
        </w:rPr>
        <w:t>of</w:t>
      </w:r>
      <w:r>
        <w:rPr>
          <w:spacing w:val="-12"/>
          <w:w w:val="110"/>
        </w:rPr>
        <w:t> </w:t>
      </w:r>
      <w:r>
        <w:rPr>
          <w:w w:val="110"/>
        </w:rPr>
        <w:t>its</w:t>
      </w:r>
      <w:r>
        <w:rPr>
          <w:spacing w:val="-11"/>
          <w:w w:val="110"/>
        </w:rPr>
        <w:t> </w:t>
      </w:r>
      <w:r>
        <w:rPr>
          <w:w w:val="110"/>
        </w:rPr>
        <w:t>monetary</w:t>
      </w:r>
    </w:p>
    <w:p>
      <w:pPr>
        <w:spacing w:line="108" w:lineRule="exact" w:before="0"/>
        <w:ind w:left="3425" w:right="0" w:firstLine="0"/>
        <w:jc w:val="left"/>
        <w:rPr>
          <w:sz w:val="16"/>
        </w:rPr>
      </w:pPr>
      <w:r>
        <w:rPr>
          <w:w w:val="117"/>
          <w:sz w:val="16"/>
        </w:rPr>
        <w:t>–</w:t>
      </w:r>
    </w:p>
    <w:p>
      <w:pPr>
        <w:spacing w:after="0" w:line="108" w:lineRule="exact"/>
        <w:jc w:val="left"/>
        <w:rPr>
          <w:sz w:val="16"/>
        </w:rPr>
        <w:sectPr>
          <w:type w:val="continuous"/>
          <w:pgSz w:w="11900" w:h="16840"/>
          <w:pgMar w:top="1260" w:bottom="280" w:left="640" w:right="640"/>
        </w:sectPr>
      </w:pPr>
    </w:p>
    <w:p>
      <w:pPr>
        <w:pStyle w:val="BodyText"/>
        <w:spacing w:before="5"/>
        <w:rPr>
          <w:sz w:val="11"/>
        </w:rPr>
      </w:pPr>
    </w:p>
    <w:p>
      <w:pPr>
        <w:pStyle w:val="BodyText"/>
        <w:spacing w:line="20" w:lineRule="exact"/>
        <w:ind w:left="189"/>
        <w:rPr>
          <w:sz w:val="2"/>
        </w:rPr>
      </w:pPr>
      <w:r>
        <w:rPr>
          <w:sz w:val="2"/>
        </w:rPr>
        <w:drawing>
          <wp:inline distT="0" distB="0" distL="0" distR="0">
            <wp:extent cx="54466" cy="6286"/>
            <wp:effectExtent l="0" t="0" r="0" b="0"/>
            <wp:docPr id="165" name="image12.png"/>
            <wp:cNvGraphicFramePr>
              <a:graphicFrameLocks noChangeAspect="1"/>
            </wp:cNvGraphicFramePr>
            <a:graphic>
              <a:graphicData uri="http://schemas.openxmlformats.org/drawingml/2006/picture">
                <pic:pic>
                  <pic:nvPicPr>
                    <pic:cNvPr id="166" name="image12.png"/>
                    <pic:cNvPicPr/>
                  </pic:nvPicPr>
                  <pic:blipFill>
                    <a:blip r:embed="rId33" cstate="print"/>
                    <a:stretch>
                      <a:fillRect/>
                    </a:stretch>
                  </pic:blipFill>
                  <pic:spPr>
                    <a:xfrm>
                      <a:off x="0" y="0"/>
                      <a:ext cx="54466" cy="6286"/>
                    </a:xfrm>
                    <a:prstGeom prst="rect">
                      <a:avLst/>
                    </a:prstGeom>
                  </pic:spPr>
                </pic:pic>
              </a:graphicData>
            </a:graphic>
          </wp:inline>
        </w:drawing>
      </w:r>
      <w:r>
        <w:rPr>
          <w:sz w:val="2"/>
        </w:rPr>
      </w:r>
    </w:p>
    <w:p>
      <w:pPr>
        <w:tabs>
          <w:tab w:pos="1521" w:val="left" w:leader="none"/>
        </w:tabs>
        <w:spacing w:before="79"/>
        <w:ind w:left="644" w:right="0" w:firstLine="0"/>
        <w:jc w:val="left"/>
        <w:rPr>
          <w:sz w:val="12"/>
        </w:rPr>
      </w:pPr>
      <w:r>
        <w:rPr>
          <w:w w:val="120"/>
          <w:sz w:val="12"/>
        </w:rPr>
        <w:t>1999</w:t>
        <w:tab/>
        <w:t>2000</w:t>
      </w:r>
    </w:p>
    <w:p>
      <w:pPr>
        <w:spacing w:before="62"/>
        <w:ind w:left="1324" w:right="0" w:firstLine="0"/>
        <w:jc w:val="left"/>
        <w:rPr>
          <w:sz w:val="12"/>
        </w:rPr>
      </w:pPr>
      <w:r>
        <w:rPr/>
        <w:br w:type="column"/>
      </w:r>
      <w:r>
        <w:rPr>
          <w:w w:val="120"/>
          <w:sz w:val="12"/>
        </w:rPr>
        <w:t>1</w:t>
      </w:r>
    </w:p>
    <w:p>
      <w:pPr>
        <w:tabs>
          <w:tab w:pos="807" w:val="left" w:leader="none"/>
        </w:tabs>
        <w:spacing w:before="31"/>
        <w:ind w:left="189" w:right="0" w:firstLine="0"/>
        <w:jc w:val="left"/>
        <w:rPr>
          <w:sz w:val="12"/>
        </w:rPr>
      </w:pPr>
      <w:r>
        <w:rPr/>
        <w:drawing>
          <wp:anchor distT="0" distB="0" distL="0" distR="0" allowOverlap="1" layoutInCell="1" locked="0" behindDoc="0" simplePos="0" relativeHeight="15853056">
            <wp:simplePos x="0" y="0"/>
            <wp:positionH relativeFrom="page">
              <wp:posOffset>2560967</wp:posOffset>
            </wp:positionH>
            <wp:positionV relativeFrom="paragraph">
              <wp:posOffset>-43355</wp:posOffset>
            </wp:positionV>
            <wp:extent cx="55016" cy="6350"/>
            <wp:effectExtent l="0" t="0" r="0" b="0"/>
            <wp:wrapNone/>
            <wp:docPr id="167" name="image12.png"/>
            <wp:cNvGraphicFramePr>
              <a:graphicFrameLocks noChangeAspect="1"/>
            </wp:cNvGraphicFramePr>
            <a:graphic>
              <a:graphicData uri="http://schemas.openxmlformats.org/drawingml/2006/picture">
                <pic:pic>
                  <pic:nvPicPr>
                    <pic:cNvPr id="168" name="image12.png"/>
                    <pic:cNvPicPr/>
                  </pic:nvPicPr>
                  <pic:blipFill>
                    <a:blip r:embed="rId33" cstate="print"/>
                    <a:stretch>
                      <a:fillRect/>
                    </a:stretch>
                  </pic:blipFill>
                  <pic:spPr>
                    <a:xfrm>
                      <a:off x="0" y="0"/>
                      <a:ext cx="55016" cy="6350"/>
                    </a:xfrm>
                    <a:prstGeom prst="rect">
                      <a:avLst/>
                    </a:prstGeom>
                  </pic:spPr>
                </pic:pic>
              </a:graphicData>
            </a:graphic>
          </wp:anchor>
        </w:drawing>
      </w:r>
      <w:r>
        <w:rPr>
          <w:w w:val="120"/>
          <w:sz w:val="12"/>
        </w:rPr>
        <w:t>01</w:t>
        <w:tab/>
        <w:t>02</w:t>
      </w:r>
    </w:p>
    <w:p>
      <w:pPr>
        <w:pStyle w:val="BodyText"/>
        <w:spacing w:line="193" w:lineRule="exact"/>
        <w:ind w:left="189"/>
      </w:pPr>
      <w:r>
        <w:rPr/>
        <w:br w:type="column"/>
      </w:r>
      <w:r>
        <w:rPr>
          <w:w w:val="105"/>
        </w:rPr>
        <w:t>operations via two-week sale and repurchase agreements.</w:t>
      </w:r>
    </w:p>
    <w:p>
      <w:pPr>
        <w:pStyle w:val="BodyText"/>
        <w:spacing w:before="50"/>
        <w:ind w:left="189"/>
      </w:pPr>
      <w:r>
        <w:rPr>
          <w:w w:val="110"/>
        </w:rPr>
        <w:t>Chart </w:t>
      </w:r>
      <w:r>
        <w:rPr>
          <w:spacing w:val="-11"/>
          <w:w w:val="110"/>
        </w:rPr>
        <w:t>1.13 </w:t>
      </w:r>
      <w:r>
        <w:rPr>
          <w:w w:val="110"/>
        </w:rPr>
        <w:t>shows estimates of </w:t>
      </w:r>
      <w:r>
        <w:rPr>
          <w:spacing w:val="-4"/>
          <w:w w:val="110"/>
        </w:rPr>
        <w:t>two-week </w:t>
      </w:r>
      <w:r>
        <w:rPr>
          <w:spacing w:val="-3"/>
          <w:w w:val="110"/>
        </w:rPr>
        <w:t>interest </w:t>
      </w:r>
      <w:r>
        <w:rPr>
          <w:spacing w:val="-4"/>
          <w:w w:val="110"/>
        </w:rPr>
        <w:t>rates </w:t>
      </w:r>
      <w:r>
        <w:rPr>
          <w:spacing w:val="-3"/>
          <w:w w:val="110"/>
        </w:rPr>
        <w:t>expected</w:t>
      </w:r>
    </w:p>
    <w:p>
      <w:pPr>
        <w:spacing w:after="0"/>
        <w:sectPr>
          <w:type w:val="continuous"/>
          <w:pgSz w:w="11900" w:h="16840"/>
          <w:pgMar w:top="1260" w:bottom="280" w:left="640" w:right="640"/>
          <w:cols w:num="3" w:equalWidth="0">
            <w:col w:w="1854" w:space="425"/>
            <w:col w:w="1437" w:space="1189"/>
            <w:col w:w="5715"/>
          </w:cols>
        </w:sectPr>
      </w:pPr>
    </w:p>
    <w:p>
      <w:pPr>
        <w:spacing w:line="125" w:lineRule="exact" w:before="0"/>
        <w:ind w:left="180" w:right="0" w:firstLine="0"/>
        <w:jc w:val="left"/>
        <w:rPr>
          <w:sz w:val="12"/>
        </w:rPr>
      </w:pPr>
      <w:r>
        <w:rPr>
          <w:w w:val="105"/>
          <w:sz w:val="12"/>
        </w:rPr>
        <w:t>Sources: Bloomberg, LIFFE and Thomson Financial Datastream.</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93"/>
        <w:ind w:left="179"/>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1.13</w:t>
      </w:r>
    </w:p>
    <w:p>
      <w:pPr>
        <w:spacing w:line="247" w:lineRule="auto" w:before="8"/>
        <w:ind w:left="179" w:right="37" w:firstLine="0"/>
        <w:jc w:val="left"/>
        <w:rPr>
          <w:sz w:val="12"/>
        </w:rPr>
      </w:pPr>
      <w:r>
        <w:rPr>
          <w:rFonts w:ascii="Trebuchet MS" w:hAnsi="Trebuchet MS"/>
          <w:b/>
          <w:color w:val="89C6DC"/>
          <w:spacing w:val="-3"/>
          <w:w w:val="95"/>
          <w:sz w:val="20"/>
        </w:rPr>
        <w:t>Banks’</w:t>
      </w:r>
      <w:r>
        <w:rPr>
          <w:rFonts w:ascii="Trebuchet MS" w:hAnsi="Trebuchet MS"/>
          <w:b/>
          <w:color w:val="89C6DC"/>
          <w:spacing w:val="-25"/>
          <w:w w:val="95"/>
          <w:sz w:val="20"/>
        </w:rPr>
        <w:t> </w:t>
      </w:r>
      <w:r>
        <w:rPr>
          <w:rFonts w:ascii="Trebuchet MS" w:hAnsi="Trebuchet MS"/>
          <w:b/>
          <w:color w:val="89C6DC"/>
          <w:w w:val="95"/>
          <w:sz w:val="20"/>
        </w:rPr>
        <w:t>repo</w:t>
      </w:r>
      <w:r>
        <w:rPr>
          <w:rFonts w:ascii="Trebuchet MS" w:hAnsi="Trebuchet MS"/>
          <w:b/>
          <w:color w:val="89C6DC"/>
          <w:spacing w:val="-18"/>
          <w:w w:val="95"/>
          <w:sz w:val="20"/>
        </w:rPr>
        <w:t> </w:t>
      </w:r>
      <w:r>
        <w:rPr>
          <w:rFonts w:ascii="Trebuchet MS" w:hAnsi="Trebuchet MS"/>
          <w:b/>
          <w:color w:val="89C6DC"/>
          <w:w w:val="95"/>
          <w:sz w:val="20"/>
        </w:rPr>
        <w:t>rate</w:t>
      </w:r>
      <w:r>
        <w:rPr>
          <w:rFonts w:ascii="Trebuchet MS" w:hAnsi="Trebuchet MS"/>
          <w:b/>
          <w:color w:val="89C6DC"/>
          <w:spacing w:val="-18"/>
          <w:w w:val="95"/>
          <w:sz w:val="20"/>
        </w:rPr>
        <w:t> </w:t>
      </w:r>
      <w:r>
        <w:rPr>
          <w:rFonts w:ascii="Trebuchet MS" w:hAnsi="Trebuchet MS"/>
          <w:b/>
          <w:color w:val="89C6DC"/>
          <w:w w:val="95"/>
          <w:sz w:val="20"/>
        </w:rPr>
        <w:t>and</w:t>
      </w:r>
      <w:r>
        <w:rPr>
          <w:rFonts w:ascii="Trebuchet MS" w:hAnsi="Trebuchet MS"/>
          <w:b/>
          <w:color w:val="89C6DC"/>
          <w:spacing w:val="-18"/>
          <w:w w:val="95"/>
          <w:sz w:val="20"/>
        </w:rPr>
        <w:t> </w:t>
      </w:r>
      <w:r>
        <w:rPr>
          <w:rFonts w:ascii="Trebuchet MS" w:hAnsi="Trebuchet MS"/>
          <w:b/>
          <w:color w:val="89C6DC"/>
          <w:w w:val="95"/>
          <w:sz w:val="20"/>
        </w:rPr>
        <w:t>two-week</w:t>
      </w:r>
      <w:r>
        <w:rPr>
          <w:rFonts w:ascii="Trebuchet MS" w:hAnsi="Trebuchet MS"/>
          <w:b/>
          <w:color w:val="89C6DC"/>
          <w:spacing w:val="-18"/>
          <w:w w:val="95"/>
          <w:sz w:val="20"/>
        </w:rPr>
        <w:t> </w:t>
      </w:r>
      <w:r>
        <w:rPr>
          <w:rFonts w:ascii="Trebuchet MS" w:hAnsi="Trebuchet MS"/>
          <w:b/>
          <w:color w:val="89C6DC"/>
          <w:w w:val="95"/>
          <w:sz w:val="20"/>
        </w:rPr>
        <w:t>rates expected</w:t>
      </w:r>
      <w:r>
        <w:rPr>
          <w:rFonts w:ascii="Trebuchet MS" w:hAnsi="Trebuchet MS"/>
          <w:b/>
          <w:color w:val="89C6DC"/>
          <w:spacing w:val="-22"/>
          <w:w w:val="95"/>
          <w:sz w:val="20"/>
        </w:rPr>
        <w:t> </w:t>
      </w:r>
      <w:r>
        <w:rPr>
          <w:rFonts w:ascii="Trebuchet MS" w:hAnsi="Trebuchet MS"/>
          <w:b/>
          <w:color w:val="89C6DC"/>
          <w:w w:val="95"/>
          <w:sz w:val="20"/>
        </w:rPr>
        <w:t>in</w:t>
      </w:r>
      <w:r>
        <w:rPr>
          <w:rFonts w:ascii="Trebuchet MS" w:hAnsi="Trebuchet MS"/>
          <w:b/>
          <w:color w:val="89C6DC"/>
          <w:spacing w:val="-22"/>
          <w:w w:val="95"/>
          <w:sz w:val="20"/>
        </w:rPr>
        <w:t> </w:t>
      </w:r>
      <w:r>
        <w:rPr>
          <w:rFonts w:ascii="Trebuchet MS" w:hAnsi="Trebuchet MS"/>
          <w:b/>
          <w:color w:val="89C6DC"/>
          <w:w w:val="95"/>
          <w:sz w:val="20"/>
        </w:rPr>
        <w:t>one</w:t>
      </w:r>
      <w:r>
        <w:rPr>
          <w:rFonts w:ascii="Trebuchet MS" w:hAnsi="Trebuchet MS"/>
          <w:b/>
          <w:color w:val="89C6DC"/>
          <w:spacing w:val="-22"/>
          <w:w w:val="95"/>
          <w:sz w:val="20"/>
        </w:rPr>
        <w:t> </w:t>
      </w:r>
      <w:r>
        <w:rPr>
          <w:rFonts w:ascii="Trebuchet MS" w:hAnsi="Trebuchet MS"/>
          <w:b/>
          <w:color w:val="89C6DC"/>
          <w:w w:val="95"/>
          <w:sz w:val="20"/>
        </w:rPr>
        <w:t>and</w:t>
      </w:r>
      <w:r>
        <w:rPr>
          <w:rFonts w:ascii="Trebuchet MS" w:hAnsi="Trebuchet MS"/>
          <w:b/>
          <w:color w:val="89C6DC"/>
          <w:spacing w:val="-22"/>
          <w:w w:val="95"/>
          <w:sz w:val="20"/>
        </w:rPr>
        <w:t> </w:t>
      </w:r>
      <w:r>
        <w:rPr>
          <w:rFonts w:ascii="Trebuchet MS" w:hAnsi="Trebuchet MS"/>
          <w:b/>
          <w:color w:val="89C6DC"/>
          <w:w w:val="95"/>
          <w:sz w:val="20"/>
        </w:rPr>
        <w:t>two</w:t>
      </w:r>
      <w:r>
        <w:rPr>
          <w:rFonts w:ascii="Trebuchet MS" w:hAnsi="Trebuchet MS"/>
          <w:b/>
          <w:color w:val="89C6DC"/>
          <w:spacing w:val="-22"/>
          <w:w w:val="95"/>
          <w:sz w:val="20"/>
        </w:rPr>
        <w:t> </w:t>
      </w:r>
      <w:r>
        <w:rPr>
          <w:rFonts w:ascii="Trebuchet MS" w:hAnsi="Trebuchet MS"/>
          <w:b/>
          <w:color w:val="89C6DC"/>
          <w:spacing w:val="-3"/>
          <w:w w:val="95"/>
          <w:sz w:val="20"/>
        </w:rPr>
        <w:t>years’</w:t>
      </w:r>
      <w:r>
        <w:rPr>
          <w:rFonts w:ascii="Trebuchet MS" w:hAnsi="Trebuchet MS"/>
          <w:b/>
          <w:color w:val="89C6DC"/>
          <w:spacing w:val="-28"/>
          <w:w w:val="95"/>
          <w:sz w:val="20"/>
        </w:rPr>
        <w:t> </w:t>
      </w:r>
      <w:r>
        <w:rPr>
          <w:rFonts w:ascii="Trebuchet MS" w:hAnsi="Trebuchet MS"/>
          <w:b/>
          <w:color w:val="89C6DC"/>
          <w:w w:val="95"/>
          <w:sz w:val="20"/>
        </w:rPr>
        <w:t>time</w:t>
      </w:r>
      <w:r>
        <w:rPr>
          <w:w w:val="95"/>
          <w:position w:val="4"/>
          <w:sz w:val="12"/>
        </w:rPr>
        <w:t>(a)</w:t>
      </w:r>
    </w:p>
    <w:p>
      <w:pPr>
        <w:spacing w:before="74"/>
        <w:ind w:left="0" w:right="8" w:firstLine="0"/>
        <w:jc w:val="right"/>
        <w:rPr>
          <w:sz w:val="12"/>
        </w:rPr>
      </w:pPr>
      <w:r>
        <w:rPr>
          <w:w w:val="110"/>
          <w:sz w:val="12"/>
        </w:rPr>
        <w:t>Per cent</w:t>
      </w:r>
    </w:p>
    <w:p>
      <w:pPr>
        <w:pStyle w:val="BodyText"/>
        <w:spacing w:before="2"/>
        <w:rPr>
          <w:sz w:val="4"/>
        </w:rPr>
      </w:pPr>
    </w:p>
    <w:p>
      <w:pPr>
        <w:tabs>
          <w:tab w:pos="3391" w:val="left" w:leader="none"/>
        </w:tabs>
        <w:spacing w:line="20" w:lineRule="exact"/>
        <w:ind w:left="181" w:right="-44" w:firstLine="0"/>
        <w:rPr>
          <w:sz w:val="2"/>
        </w:rPr>
      </w:pPr>
      <w:r>
        <w:rPr>
          <w:sz w:val="2"/>
        </w:rPr>
        <w:drawing>
          <wp:inline distT="0" distB="0" distL="0" distR="0">
            <wp:extent cx="54478" cy="6286"/>
            <wp:effectExtent l="0" t="0" r="0" b="0"/>
            <wp:docPr id="169" name="image12.png"/>
            <wp:cNvGraphicFramePr>
              <a:graphicFrameLocks noChangeAspect="1"/>
            </wp:cNvGraphicFramePr>
            <a:graphic>
              <a:graphicData uri="http://schemas.openxmlformats.org/drawingml/2006/picture">
                <pic:pic>
                  <pic:nvPicPr>
                    <pic:cNvPr id="170" name="image12.png"/>
                    <pic:cNvPicPr/>
                  </pic:nvPicPr>
                  <pic:blipFill>
                    <a:blip r:embed="rId33" cstate="print"/>
                    <a:stretch>
                      <a:fillRect/>
                    </a:stretch>
                  </pic:blipFill>
                  <pic:spPr>
                    <a:xfrm>
                      <a:off x="0" y="0"/>
                      <a:ext cx="54478" cy="6286"/>
                    </a:xfrm>
                    <a:prstGeom prst="rect">
                      <a:avLst/>
                    </a:prstGeom>
                  </pic:spPr>
                </pic:pic>
              </a:graphicData>
            </a:graphic>
          </wp:inline>
        </w:drawing>
      </w:r>
      <w:r>
        <w:rPr>
          <w:sz w:val="2"/>
        </w:rPr>
      </w:r>
      <w:r>
        <w:rPr>
          <w:sz w:val="2"/>
        </w:rPr>
        <w:tab/>
      </w:r>
      <w:r>
        <w:rPr>
          <w:sz w:val="2"/>
        </w:rPr>
        <w:drawing>
          <wp:inline distT="0" distB="0" distL="0" distR="0">
            <wp:extent cx="55304" cy="6381"/>
            <wp:effectExtent l="0" t="0" r="0" b="0"/>
            <wp:docPr id="171" name="image10.png"/>
            <wp:cNvGraphicFramePr>
              <a:graphicFrameLocks noChangeAspect="1"/>
            </wp:cNvGraphicFramePr>
            <a:graphic>
              <a:graphicData uri="http://schemas.openxmlformats.org/drawingml/2006/picture">
                <pic:pic>
                  <pic:nvPicPr>
                    <pic:cNvPr id="172" name="image10.png"/>
                    <pic:cNvPicPr/>
                  </pic:nvPicPr>
                  <pic:blipFill>
                    <a:blip r:embed="rId31" cstate="print"/>
                    <a:stretch>
                      <a:fillRect/>
                    </a:stretch>
                  </pic:blipFill>
                  <pic:spPr>
                    <a:xfrm>
                      <a:off x="0" y="0"/>
                      <a:ext cx="55304" cy="6381"/>
                    </a:xfrm>
                    <a:prstGeom prst="rect">
                      <a:avLst/>
                    </a:prstGeom>
                  </pic:spPr>
                </pic:pic>
              </a:graphicData>
            </a:graphic>
          </wp:inline>
        </w:drawing>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3"/>
        </w:rPr>
      </w:pPr>
    </w:p>
    <w:p>
      <w:pPr>
        <w:spacing w:before="0"/>
        <w:ind w:left="84" w:right="0" w:firstLine="0"/>
        <w:jc w:val="left"/>
        <w:rPr>
          <w:sz w:val="12"/>
        </w:rPr>
      </w:pPr>
      <w:r>
        <w:rPr>
          <w:w w:val="115"/>
          <w:sz w:val="12"/>
        </w:rPr>
        <w:t>8.0</w:t>
      </w:r>
    </w:p>
    <w:p>
      <w:pPr>
        <w:pStyle w:val="BodyText"/>
        <w:spacing w:line="292" w:lineRule="auto" w:before="50"/>
        <w:ind w:left="299" w:right="544"/>
      </w:pPr>
      <w:r>
        <w:rPr/>
        <w:br w:type="column"/>
      </w:r>
      <w:r>
        <w:rPr>
          <w:spacing w:val="-4"/>
          <w:w w:val="110"/>
        </w:rPr>
        <w:t>to</w:t>
      </w:r>
      <w:r>
        <w:rPr>
          <w:spacing w:val="-19"/>
          <w:w w:val="110"/>
        </w:rPr>
        <w:t> </w:t>
      </w:r>
      <w:r>
        <w:rPr>
          <w:w w:val="110"/>
        </w:rPr>
        <w:t>prevail</w:t>
      </w:r>
      <w:r>
        <w:rPr>
          <w:spacing w:val="-18"/>
          <w:w w:val="110"/>
        </w:rPr>
        <w:t> </w:t>
      </w:r>
      <w:r>
        <w:rPr>
          <w:w w:val="110"/>
        </w:rPr>
        <w:t>in</w:t>
      </w:r>
      <w:r>
        <w:rPr>
          <w:spacing w:val="-18"/>
          <w:w w:val="110"/>
        </w:rPr>
        <w:t> </w:t>
      </w:r>
      <w:r>
        <w:rPr>
          <w:w w:val="110"/>
        </w:rPr>
        <w:t>one</w:t>
      </w:r>
      <w:r>
        <w:rPr>
          <w:spacing w:val="-18"/>
          <w:w w:val="110"/>
        </w:rPr>
        <w:t> </w:t>
      </w:r>
      <w:r>
        <w:rPr>
          <w:w w:val="110"/>
        </w:rPr>
        <w:t>and</w:t>
      </w:r>
      <w:r>
        <w:rPr>
          <w:spacing w:val="-19"/>
          <w:w w:val="110"/>
        </w:rPr>
        <w:t> </w:t>
      </w:r>
      <w:r>
        <w:rPr>
          <w:spacing w:val="-5"/>
          <w:w w:val="110"/>
        </w:rPr>
        <w:t>two</w:t>
      </w:r>
      <w:r>
        <w:rPr>
          <w:spacing w:val="-18"/>
          <w:w w:val="110"/>
        </w:rPr>
        <w:t> </w:t>
      </w:r>
      <w:r>
        <w:rPr>
          <w:spacing w:val="-3"/>
          <w:w w:val="110"/>
        </w:rPr>
        <w:t>years</w:t>
      </w:r>
      <w:r>
        <w:rPr>
          <w:spacing w:val="-18"/>
          <w:w w:val="110"/>
        </w:rPr>
        <w:t> </w:t>
      </w:r>
      <w:r>
        <w:rPr>
          <w:w w:val="110"/>
        </w:rPr>
        <w:t>from</w:t>
      </w:r>
      <w:r>
        <w:rPr>
          <w:spacing w:val="-18"/>
          <w:w w:val="110"/>
        </w:rPr>
        <w:t> </w:t>
      </w:r>
      <w:r>
        <w:rPr>
          <w:spacing w:val="-6"/>
          <w:w w:val="110"/>
        </w:rPr>
        <w:t>now,</w:t>
      </w:r>
      <w:r>
        <w:rPr>
          <w:spacing w:val="-18"/>
          <w:w w:val="110"/>
        </w:rPr>
        <w:t> </w:t>
      </w:r>
      <w:r>
        <w:rPr>
          <w:w w:val="110"/>
        </w:rPr>
        <w:t>as</w:t>
      </w:r>
      <w:r>
        <w:rPr>
          <w:spacing w:val="-19"/>
          <w:w w:val="110"/>
        </w:rPr>
        <w:t> </w:t>
      </w:r>
      <w:r>
        <w:rPr>
          <w:w w:val="110"/>
        </w:rPr>
        <w:t>implied</w:t>
      </w:r>
      <w:r>
        <w:rPr>
          <w:spacing w:val="-18"/>
          <w:w w:val="110"/>
        </w:rPr>
        <w:t> </w:t>
      </w:r>
      <w:r>
        <w:rPr>
          <w:spacing w:val="-3"/>
          <w:w w:val="110"/>
        </w:rPr>
        <w:t>by</w:t>
      </w:r>
      <w:r>
        <w:rPr>
          <w:spacing w:val="-18"/>
          <w:w w:val="110"/>
        </w:rPr>
        <w:t> </w:t>
      </w:r>
      <w:r>
        <w:rPr>
          <w:w w:val="110"/>
        </w:rPr>
        <w:t>the prices of government bonds and gilt repo </w:t>
      </w:r>
      <w:r>
        <w:rPr>
          <w:spacing w:val="-4"/>
          <w:w w:val="110"/>
        </w:rPr>
        <w:t>rates. </w:t>
      </w:r>
      <w:r>
        <w:rPr>
          <w:w w:val="110"/>
        </w:rPr>
        <w:t>Official </w:t>
      </w:r>
      <w:r>
        <w:rPr>
          <w:spacing w:val="-3"/>
          <w:w w:val="110"/>
        </w:rPr>
        <w:t>interest</w:t>
      </w:r>
      <w:r>
        <w:rPr>
          <w:spacing w:val="-18"/>
          <w:w w:val="110"/>
        </w:rPr>
        <w:t> </w:t>
      </w:r>
      <w:r>
        <w:rPr>
          <w:spacing w:val="-4"/>
          <w:w w:val="110"/>
        </w:rPr>
        <w:t>rate</w:t>
      </w:r>
      <w:r>
        <w:rPr>
          <w:spacing w:val="-18"/>
          <w:w w:val="110"/>
        </w:rPr>
        <w:t> </w:t>
      </w:r>
      <w:r>
        <w:rPr>
          <w:w w:val="110"/>
        </w:rPr>
        <w:t>expectations</w:t>
      </w:r>
      <w:r>
        <w:rPr>
          <w:spacing w:val="-18"/>
          <w:w w:val="110"/>
        </w:rPr>
        <w:t> </w:t>
      </w:r>
      <w:r>
        <w:rPr>
          <w:w w:val="110"/>
        </w:rPr>
        <w:t>measured</w:t>
      </w:r>
      <w:r>
        <w:rPr>
          <w:spacing w:val="-18"/>
          <w:w w:val="110"/>
        </w:rPr>
        <w:t> </w:t>
      </w:r>
      <w:r>
        <w:rPr>
          <w:w w:val="110"/>
        </w:rPr>
        <w:t>in</w:t>
      </w:r>
      <w:r>
        <w:rPr>
          <w:spacing w:val="-17"/>
          <w:w w:val="110"/>
        </w:rPr>
        <w:t> </w:t>
      </w:r>
      <w:r>
        <w:rPr>
          <w:w w:val="110"/>
        </w:rPr>
        <w:t>this</w:t>
      </w:r>
      <w:r>
        <w:rPr>
          <w:spacing w:val="-18"/>
          <w:w w:val="110"/>
        </w:rPr>
        <w:t> </w:t>
      </w:r>
      <w:r>
        <w:rPr>
          <w:spacing w:val="-4"/>
          <w:w w:val="110"/>
        </w:rPr>
        <w:t>way</w:t>
      </w:r>
      <w:r>
        <w:rPr>
          <w:spacing w:val="-18"/>
          <w:w w:val="110"/>
        </w:rPr>
        <w:t> </w:t>
      </w:r>
      <w:r>
        <w:rPr>
          <w:spacing w:val="-3"/>
          <w:w w:val="110"/>
        </w:rPr>
        <w:t>have</w:t>
      </w:r>
      <w:r>
        <w:rPr>
          <w:spacing w:val="-18"/>
          <w:w w:val="110"/>
        </w:rPr>
        <w:t> </w:t>
      </w:r>
      <w:r>
        <w:rPr>
          <w:w w:val="110"/>
        </w:rPr>
        <w:t>fallen during</w:t>
      </w:r>
      <w:r>
        <w:rPr>
          <w:spacing w:val="-12"/>
          <w:w w:val="110"/>
        </w:rPr>
        <w:t> </w:t>
      </w:r>
      <w:r>
        <w:rPr>
          <w:w w:val="110"/>
        </w:rPr>
        <w:t>the</w:t>
      </w:r>
      <w:r>
        <w:rPr>
          <w:spacing w:val="-11"/>
          <w:w w:val="110"/>
        </w:rPr>
        <w:t> </w:t>
      </w:r>
      <w:r>
        <w:rPr>
          <w:w w:val="110"/>
        </w:rPr>
        <w:t>past</w:t>
      </w:r>
      <w:r>
        <w:rPr>
          <w:spacing w:val="-12"/>
          <w:w w:val="110"/>
        </w:rPr>
        <w:t> </w:t>
      </w:r>
      <w:r>
        <w:rPr>
          <w:spacing w:val="-4"/>
          <w:w w:val="110"/>
        </w:rPr>
        <w:t>year,</w:t>
      </w:r>
      <w:r>
        <w:rPr>
          <w:spacing w:val="-11"/>
          <w:w w:val="110"/>
        </w:rPr>
        <w:t> </w:t>
      </w:r>
      <w:r>
        <w:rPr>
          <w:w w:val="110"/>
        </w:rPr>
        <w:t>though</w:t>
      </w:r>
      <w:r>
        <w:rPr>
          <w:spacing w:val="-12"/>
          <w:w w:val="110"/>
        </w:rPr>
        <w:t> </w:t>
      </w:r>
      <w:r>
        <w:rPr>
          <w:w w:val="110"/>
        </w:rPr>
        <w:t>they</w:t>
      </w:r>
      <w:r>
        <w:rPr>
          <w:spacing w:val="-11"/>
          <w:w w:val="110"/>
        </w:rPr>
        <w:t> </w:t>
      </w:r>
      <w:r>
        <w:rPr>
          <w:spacing w:val="-3"/>
          <w:w w:val="110"/>
        </w:rPr>
        <w:t>have</w:t>
      </w:r>
      <w:r>
        <w:rPr>
          <w:spacing w:val="-12"/>
          <w:w w:val="110"/>
        </w:rPr>
        <w:t> </w:t>
      </w:r>
      <w:r>
        <w:rPr>
          <w:w w:val="110"/>
        </w:rPr>
        <w:t>stabilised</w:t>
      </w:r>
      <w:r>
        <w:rPr>
          <w:spacing w:val="-11"/>
          <w:w w:val="110"/>
        </w:rPr>
        <w:t> </w:t>
      </w:r>
      <w:r>
        <w:rPr>
          <w:w w:val="110"/>
        </w:rPr>
        <w:t>in</w:t>
      </w:r>
      <w:r>
        <w:rPr>
          <w:spacing w:val="-12"/>
          <w:w w:val="110"/>
        </w:rPr>
        <w:t> </w:t>
      </w:r>
      <w:r>
        <w:rPr>
          <w:w w:val="110"/>
        </w:rPr>
        <w:t>recent weeks. These data, combined with evidence from other markets,</w:t>
      </w:r>
      <w:r>
        <w:rPr>
          <w:spacing w:val="-17"/>
          <w:w w:val="110"/>
        </w:rPr>
        <w:t> </w:t>
      </w:r>
      <w:r>
        <w:rPr>
          <w:w w:val="110"/>
        </w:rPr>
        <w:t>suggest</w:t>
      </w:r>
      <w:r>
        <w:rPr>
          <w:spacing w:val="-17"/>
          <w:w w:val="110"/>
        </w:rPr>
        <w:t> </w:t>
      </w:r>
      <w:r>
        <w:rPr>
          <w:w w:val="110"/>
        </w:rPr>
        <w:t>that</w:t>
      </w:r>
      <w:r>
        <w:rPr>
          <w:spacing w:val="-17"/>
          <w:w w:val="110"/>
        </w:rPr>
        <w:t> </w:t>
      </w:r>
      <w:r>
        <w:rPr>
          <w:w w:val="110"/>
        </w:rPr>
        <w:t>markets</w:t>
      </w:r>
      <w:r>
        <w:rPr>
          <w:spacing w:val="-17"/>
          <w:w w:val="110"/>
        </w:rPr>
        <w:t> </w:t>
      </w:r>
      <w:r>
        <w:rPr>
          <w:w w:val="110"/>
        </w:rPr>
        <w:t>expect</w:t>
      </w:r>
      <w:r>
        <w:rPr>
          <w:spacing w:val="-17"/>
          <w:w w:val="110"/>
        </w:rPr>
        <w:t> </w:t>
      </w:r>
      <w:r>
        <w:rPr>
          <w:spacing w:val="-4"/>
          <w:w w:val="110"/>
        </w:rPr>
        <w:t>rates</w:t>
      </w:r>
      <w:r>
        <w:rPr>
          <w:spacing w:val="-17"/>
          <w:w w:val="110"/>
        </w:rPr>
        <w:t> </w:t>
      </w:r>
      <w:r>
        <w:rPr>
          <w:spacing w:val="-4"/>
          <w:w w:val="110"/>
        </w:rPr>
        <w:t>to</w:t>
      </w:r>
      <w:r>
        <w:rPr>
          <w:spacing w:val="-17"/>
          <w:w w:val="110"/>
        </w:rPr>
        <w:t> </w:t>
      </w:r>
      <w:r>
        <w:rPr>
          <w:w w:val="110"/>
        </w:rPr>
        <w:t>fall</w:t>
      </w:r>
      <w:r>
        <w:rPr>
          <w:spacing w:val="-17"/>
          <w:w w:val="110"/>
        </w:rPr>
        <w:t> </w:t>
      </w:r>
      <w:r>
        <w:rPr>
          <w:w w:val="110"/>
        </w:rPr>
        <w:t>a</w:t>
      </w:r>
      <w:r>
        <w:rPr>
          <w:spacing w:val="-16"/>
          <w:w w:val="110"/>
        </w:rPr>
        <w:t> </w:t>
      </w:r>
      <w:r>
        <w:rPr>
          <w:w w:val="110"/>
        </w:rPr>
        <w:t>further </w:t>
      </w:r>
      <w:r>
        <w:rPr>
          <w:spacing w:val="-8"/>
          <w:w w:val="110"/>
        </w:rPr>
        <w:t>50 </w:t>
      </w:r>
      <w:r>
        <w:rPr>
          <w:w w:val="110"/>
        </w:rPr>
        <w:t>basis points </w:t>
      </w:r>
      <w:r>
        <w:rPr>
          <w:spacing w:val="-3"/>
          <w:w w:val="110"/>
        </w:rPr>
        <w:t>by </w:t>
      </w:r>
      <w:r>
        <w:rPr>
          <w:w w:val="110"/>
        </w:rPr>
        <w:t>the end of the</w:t>
      </w:r>
      <w:r>
        <w:rPr>
          <w:spacing w:val="-35"/>
          <w:w w:val="110"/>
        </w:rPr>
        <w:t> </w:t>
      </w:r>
      <w:r>
        <w:rPr>
          <w:spacing w:val="-4"/>
          <w:w w:val="110"/>
        </w:rPr>
        <w:t>year.</w:t>
      </w:r>
    </w:p>
    <w:p>
      <w:pPr>
        <w:pStyle w:val="BodyText"/>
        <w:spacing w:before="4"/>
      </w:pPr>
    </w:p>
    <w:p>
      <w:pPr>
        <w:pStyle w:val="Heading6"/>
        <w:spacing w:before="1"/>
        <w:ind w:left="179"/>
      </w:pPr>
      <w:r>
        <w:rPr>
          <w:color w:val="89C6DC"/>
        </w:rPr>
        <w:t>Long-term interest rates</w:t>
      </w:r>
    </w:p>
    <w:p>
      <w:pPr>
        <w:spacing w:after="0"/>
        <w:sectPr>
          <w:type w:val="continuous"/>
          <w:pgSz w:w="11900" w:h="16840"/>
          <w:pgMar w:top="1260" w:bottom="280" w:left="640" w:right="640"/>
          <w:cols w:num="3" w:equalWidth="0">
            <w:col w:w="3479" w:space="40"/>
            <w:col w:w="297" w:space="979"/>
            <w:col w:w="5825"/>
          </w:cols>
        </w:sectPr>
      </w:pPr>
    </w:p>
    <w:p>
      <w:pPr>
        <w:spacing w:line="133" w:lineRule="exact" w:before="0"/>
        <w:ind w:left="856" w:right="0" w:firstLine="0"/>
        <w:jc w:val="left"/>
        <w:rPr>
          <w:sz w:val="12"/>
        </w:rPr>
      </w:pPr>
      <w:r>
        <w:rPr/>
        <w:pict>
          <v:group style="position:absolute;margin-left:51.564999pt;margin-top:8.484863pt;width:145.5pt;height:119.9pt;mso-position-horizontal-relative:page;mso-position-vertical-relative:paragraph;z-index:15838720" coordorigin="1031,170" coordsize="2910,2398">
            <v:shape style="position:absolute;left:1031;top:169;width:2908;height:2358" type="#_x0000_t75" stroked="false">
              <v:imagedata r:id="rId54" o:title=""/>
            </v:shape>
            <v:shape style="position:absolute;left:3037;top:405;width:904;height:358" type="#_x0000_t202" filled="false" stroked="false">
              <v:textbox inset="0,0,0,0">
                <w:txbxContent>
                  <w:p>
                    <w:pPr>
                      <w:spacing w:line="206" w:lineRule="auto" w:before="0"/>
                      <w:ind w:left="66" w:right="-11" w:hanging="67"/>
                      <w:jc w:val="left"/>
                      <w:rPr>
                        <w:sz w:val="12"/>
                      </w:rPr>
                    </w:pPr>
                    <w:r>
                      <w:rPr>
                        <w:w w:val="110"/>
                        <w:sz w:val="12"/>
                      </w:rPr>
                      <w:t>Two-week rate expected in one year's time</w:t>
                    </w:r>
                  </w:p>
                </w:txbxContent>
              </v:textbox>
              <w10:wrap type="none"/>
            </v:shape>
            <v:shape style="position:absolute;left:2199;top:2209;width:1413;height:358" type="#_x0000_t202" filled="false" stroked="false">
              <v:textbox inset="0,0,0,0">
                <w:txbxContent>
                  <w:p>
                    <w:pPr>
                      <w:spacing w:line="108" w:lineRule="exact" w:before="0"/>
                      <w:ind w:left="503" w:right="0" w:firstLine="0"/>
                      <w:jc w:val="left"/>
                      <w:rPr>
                        <w:sz w:val="12"/>
                      </w:rPr>
                    </w:pPr>
                    <w:r>
                      <w:rPr>
                        <w:w w:val="105"/>
                        <w:sz w:val="12"/>
                      </w:rPr>
                      <w:t>Two-week rate</w:t>
                    </w:r>
                  </w:p>
                  <w:p>
                    <w:pPr>
                      <w:tabs>
                        <w:tab w:pos="535" w:val="left" w:leader="none"/>
                      </w:tabs>
                      <w:spacing w:line="119" w:lineRule="exact" w:before="0"/>
                      <w:ind w:left="0" w:right="0" w:firstLine="0"/>
                      <w:jc w:val="left"/>
                      <w:rPr>
                        <w:sz w:val="12"/>
                      </w:rPr>
                    </w:pPr>
                    <w:r>
                      <w:rPr>
                        <w:sz w:val="12"/>
                        <w:u w:val="single"/>
                      </w:rPr>
                      <w:t> </w:t>
                      <w:tab/>
                    </w:r>
                    <w:r>
                      <w:rPr>
                        <w:sz w:val="12"/>
                      </w:rPr>
                      <w:t> </w:t>
                    </w:r>
                    <w:r>
                      <w:rPr>
                        <w:spacing w:val="-14"/>
                        <w:sz w:val="12"/>
                      </w:rPr>
                      <w:t> </w:t>
                    </w:r>
                    <w:r>
                      <w:rPr>
                        <w:w w:val="105"/>
                        <w:sz w:val="12"/>
                      </w:rPr>
                      <w:t>expected in</w:t>
                    </w:r>
                    <w:r>
                      <w:rPr>
                        <w:spacing w:val="7"/>
                        <w:w w:val="105"/>
                        <w:sz w:val="12"/>
                      </w:rPr>
                      <w:t> </w:t>
                    </w:r>
                    <w:r>
                      <w:rPr>
                        <w:w w:val="105"/>
                        <w:sz w:val="12"/>
                      </w:rPr>
                      <w:t>two</w:t>
                    </w:r>
                  </w:p>
                  <w:p>
                    <w:pPr>
                      <w:spacing w:line="126" w:lineRule="exact" w:before="0"/>
                      <w:ind w:left="595" w:right="0" w:firstLine="0"/>
                      <w:jc w:val="left"/>
                      <w:rPr>
                        <w:sz w:val="12"/>
                      </w:rPr>
                    </w:pPr>
                    <w:r>
                      <w:rPr>
                        <w:w w:val="105"/>
                        <w:sz w:val="12"/>
                      </w:rPr>
                      <w:t>years' time</w:t>
                    </w:r>
                  </w:p>
                </w:txbxContent>
              </v:textbox>
              <w10:wrap type="none"/>
            </v:shape>
            <w10:wrap type="none"/>
          </v:group>
        </w:pict>
      </w:r>
      <w:r>
        <w:rPr/>
        <w:drawing>
          <wp:anchor distT="0" distB="0" distL="0" distR="0" allowOverlap="1" layoutInCell="1" locked="0" behindDoc="0" simplePos="0" relativeHeight="15839232">
            <wp:simplePos x="0" y="0"/>
            <wp:positionH relativeFrom="page">
              <wp:posOffset>521919</wp:posOffset>
            </wp:positionH>
            <wp:positionV relativeFrom="paragraph">
              <wp:posOffset>118133</wp:posOffset>
            </wp:positionV>
            <wp:extent cx="55304" cy="6381"/>
            <wp:effectExtent l="0" t="0" r="0" b="0"/>
            <wp:wrapNone/>
            <wp:docPr id="173" name="image10.png"/>
            <wp:cNvGraphicFramePr>
              <a:graphicFrameLocks noChangeAspect="1"/>
            </wp:cNvGraphicFramePr>
            <a:graphic>
              <a:graphicData uri="http://schemas.openxmlformats.org/drawingml/2006/picture">
                <pic:pic>
                  <pic:nvPicPr>
                    <pic:cNvPr id="174"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39744">
            <wp:simplePos x="0" y="0"/>
            <wp:positionH relativeFrom="page">
              <wp:posOffset>521919</wp:posOffset>
            </wp:positionH>
            <wp:positionV relativeFrom="paragraph">
              <wp:posOffset>348740</wp:posOffset>
            </wp:positionV>
            <wp:extent cx="55304" cy="6381"/>
            <wp:effectExtent l="0" t="0" r="0" b="0"/>
            <wp:wrapNone/>
            <wp:docPr id="175" name="image10.png"/>
            <wp:cNvGraphicFramePr>
              <a:graphicFrameLocks noChangeAspect="1"/>
            </wp:cNvGraphicFramePr>
            <a:graphic>
              <a:graphicData uri="http://schemas.openxmlformats.org/drawingml/2006/picture">
                <pic:pic>
                  <pic:nvPicPr>
                    <pic:cNvPr id="176"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40256">
            <wp:simplePos x="0" y="0"/>
            <wp:positionH relativeFrom="page">
              <wp:posOffset>521919</wp:posOffset>
            </wp:positionH>
            <wp:positionV relativeFrom="paragraph">
              <wp:posOffset>573644</wp:posOffset>
            </wp:positionV>
            <wp:extent cx="55304" cy="6381"/>
            <wp:effectExtent l="0" t="0" r="0" b="0"/>
            <wp:wrapNone/>
            <wp:docPr id="177" name="image10.png"/>
            <wp:cNvGraphicFramePr>
              <a:graphicFrameLocks noChangeAspect="1"/>
            </wp:cNvGraphicFramePr>
            <a:graphic>
              <a:graphicData uri="http://schemas.openxmlformats.org/drawingml/2006/picture">
                <pic:pic>
                  <pic:nvPicPr>
                    <pic:cNvPr id="178"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40768">
            <wp:simplePos x="0" y="0"/>
            <wp:positionH relativeFrom="page">
              <wp:posOffset>521919</wp:posOffset>
            </wp:positionH>
            <wp:positionV relativeFrom="paragraph">
              <wp:posOffset>795526</wp:posOffset>
            </wp:positionV>
            <wp:extent cx="55304" cy="6381"/>
            <wp:effectExtent l="0" t="0" r="0" b="0"/>
            <wp:wrapNone/>
            <wp:docPr id="179" name="image10.png"/>
            <wp:cNvGraphicFramePr>
              <a:graphicFrameLocks noChangeAspect="1"/>
            </wp:cNvGraphicFramePr>
            <a:graphic>
              <a:graphicData uri="http://schemas.openxmlformats.org/drawingml/2006/picture">
                <pic:pic>
                  <pic:nvPicPr>
                    <pic:cNvPr id="180"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42816">
            <wp:simplePos x="0" y="0"/>
            <wp:positionH relativeFrom="page">
              <wp:posOffset>2559989</wp:posOffset>
            </wp:positionH>
            <wp:positionV relativeFrom="paragraph">
              <wp:posOffset>115644</wp:posOffset>
            </wp:positionV>
            <wp:extent cx="55304" cy="6381"/>
            <wp:effectExtent l="0" t="0" r="0" b="0"/>
            <wp:wrapNone/>
            <wp:docPr id="181" name="image10.png"/>
            <wp:cNvGraphicFramePr>
              <a:graphicFrameLocks noChangeAspect="1"/>
            </wp:cNvGraphicFramePr>
            <a:graphic>
              <a:graphicData uri="http://schemas.openxmlformats.org/drawingml/2006/picture">
                <pic:pic>
                  <pic:nvPicPr>
                    <pic:cNvPr id="182"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43328">
            <wp:simplePos x="0" y="0"/>
            <wp:positionH relativeFrom="page">
              <wp:posOffset>2559989</wp:posOffset>
            </wp:positionH>
            <wp:positionV relativeFrom="paragraph">
              <wp:posOffset>346251</wp:posOffset>
            </wp:positionV>
            <wp:extent cx="54478" cy="6286"/>
            <wp:effectExtent l="0" t="0" r="0" b="0"/>
            <wp:wrapNone/>
            <wp:docPr id="183" name="image12.png"/>
            <wp:cNvGraphicFramePr>
              <a:graphicFrameLocks noChangeAspect="1"/>
            </wp:cNvGraphicFramePr>
            <a:graphic>
              <a:graphicData uri="http://schemas.openxmlformats.org/drawingml/2006/picture">
                <pic:pic>
                  <pic:nvPicPr>
                    <pic:cNvPr id="184" name="image12.png"/>
                    <pic:cNvPicPr/>
                  </pic:nvPicPr>
                  <pic:blipFill>
                    <a:blip r:embed="rId33"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43840">
            <wp:simplePos x="0" y="0"/>
            <wp:positionH relativeFrom="page">
              <wp:posOffset>2559989</wp:posOffset>
            </wp:positionH>
            <wp:positionV relativeFrom="paragraph">
              <wp:posOffset>571155</wp:posOffset>
            </wp:positionV>
            <wp:extent cx="55304" cy="6381"/>
            <wp:effectExtent l="0" t="0" r="0" b="0"/>
            <wp:wrapNone/>
            <wp:docPr id="185" name="image10.png"/>
            <wp:cNvGraphicFramePr>
              <a:graphicFrameLocks noChangeAspect="1"/>
            </wp:cNvGraphicFramePr>
            <a:graphic>
              <a:graphicData uri="http://schemas.openxmlformats.org/drawingml/2006/picture">
                <pic:pic>
                  <pic:nvPicPr>
                    <pic:cNvPr id="186"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44352">
            <wp:simplePos x="0" y="0"/>
            <wp:positionH relativeFrom="page">
              <wp:posOffset>2559989</wp:posOffset>
            </wp:positionH>
            <wp:positionV relativeFrom="paragraph">
              <wp:posOffset>793037</wp:posOffset>
            </wp:positionV>
            <wp:extent cx="54478" cy="6286"/>
            <wp:effectExtent l="0" t="0" r="0" b="0"/>
            <wp:wrapNone/>
            <wp:docPr id="187" name="image12.png"/>
            <wp:cNvGraphicFramePr>
              <a:graphicFrameLocks noChangeAspect="1"/>
            </wp:cNvGraphicFramePr>
            <a:graphic>
              <a:graphicData uri="http://schemas.openxmlformats.org/drawingml/2006/picture">
                <pic:pic>
                  <pic:nvPicPr>
                    <pic:cNvPr id="188" name="image12.png"/>
                    <pic:cNvPicPr/>
                  </pic:nvPicPr>
                  <pic:blipFill>
                    <a:blip r:embed="rId33" cstate="print"/>
                    <a:stretch>
                      <a:fillRect/>
                    </a:stretch>
                  </pic:blipFill>
                  <pic:spPr>
                    <a:xfrm>
                      <a:off x="0" y="0"/>
                      <a:ext cx="54478" cy="6286"/>
                    </a:xfrm>
                    <a:prstGeom prst="rect">
                      <a:avLst/>
                    </a:prstGeom>
                  </pic:spPr>
                </pic:pic>
              </a:graphicData>
            </a:graphic>
          </wp:anchor>
        </w:drawing>
      </w:r>
      <w:r>
        <w:rPr>
          <w:w w:val="110"/>
          <w:sz w:val="12"/>
        </w:rPr>
        <w:t>Bank's repo rate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r>
        <w:rPr/>
        <w:drawing>
          <wp:anchor distT="0" distB="0" distL="0" distR="0" allowOverlap="1" layoutInCell="1" locked="0" behindDoc="0" simplePos="0" relativeHeight="209">
            <wp:simplePos x="0" y="0"/>
            <wp:positionH relativeFrom="page">
              <wp:posOffset>514870</wp:posOffset>
            </wp:positionH>
            <wp:positionV relativeFrom="paragraph">
              <wp:posOffset>171067</wp:posOffset>
            </wp:positionV>
            <wp:extent cx="2102266" cy="100012"/>
            <wp:effectExtent l="0" t="0" r="0" b="0"/>
            <wp:wrapTopAndBottom/>
            <wp:docPr id="189" name="image28.png"/>
            <wp:cNvGraphicFramePr>
              <a:graphicFrameLocks noChangeAspect="1"/>
            </wp:cNvGraphicFramePr>
            <a:graphic>
              <a:graphicData uri="http://schemas.openxmlformats.org/drawingml/2006/picture">
                <pic:pic>
                  <pic:nvPicPr>
                    <pic:cNvPr id="190" name="image28.png"/>
                    <pic:cNvPicPr/>
                  </pic:nvPicPr>
                  <pic:blipFill>
                    <a:blip r:embed="rId55" cstate="print"/>
                    <a:stretch>
                      <a:fillRect/>
                    </a:stretch>
                  </pic:blipFill>
                  <pic:spPr>
                    <a:xfrm>
                      <a:off x="0" y="0"/>
                      <a:ext cx="2102266" cy="100012"/>
                    </a:xfrm>
                    <a:prstGeom prst="rect">
                      <a:avLst/>
                    </a:prstGeom>
                  </pic:spPr>
                </pic:pic>
              </a:graphicData>
            </a:graphic>
          </wp:anchor>
        </w:drawing>
      </w:r>
    </w:p>
    <w:p>
      <w:pPr>
        <w:tabs>
          <w:tab w:pos="1746" w:val="left" w:leader="none"/>
          <w:tab w:pos="2618" w:val="left" w:leader="none"/>
          <w:tab w:pos="3276" w:val="left" w:leader="none"/>
        </w:tabs>
        <w:spacing w:before="0"/>
        <w:ind w:left="743" w:right="0" w:firstLine="0"/>
        <w:jc w:val="left"/>
        <w:rPr>
          <w:sz w:val="12"/>
        </w:rPr>
      </w:pPr>
      <w:r>
        <w:rPr>
          <w:w w:val="120"/>
          <w:sz w:val="12"/>
        </w:rPr>
        <w:t>1998</w:t>
        <w:tab/>
        <w:t>99</w:t>
        <w:tab/>
        <w:t>2000</w:t>
        <w:tab/>
        <w:t>01</w:t>
      </w:r>
    </w:p>
    <w:p>
      <w:pPr>
        <w:spacing w:before="108"/>
        <w:ind w:left="168" w:right="0" w:firstLine="0"/>
        <w:jc w:val="left"/>
        <w:rPr>
          <w:sz w:val="12"/>
        </w:rPr>
      </w:pPr>
      <w:r>
        <w:rPr/>
        <w:drawing>
          <wp:anchor distT="0" distB="0" distL="0" distR="0" allowOverlap="1" layoutInCell="1" locked="0" behindDoc="0" simplePos="0" relativeHeight="15841280">
            <wp:simplePos x="0" y="0"/>
            <wp:positionH relativeFrom="page">
              <wp:posOffset>521919</wp:posOffset>
            </wp:positionH>
            <wp:positionV relativeFrom="paragraph">
              <wp:posOffset>-878324</wp:posOffset>
            </wp:positionV>
            <wp:extent cx="55304" cy="6381"/>
            <wp:effectExtent l="0" t="0" r="0" b="0"/>
            <wp:wrapNone/>
            <wp:docPr id="191" name="image10.png"/>
            <wp:cNvGraphicFramePr>
              <a:graphicFrameLocks noChangeAspect="1"/>
            </wp:cNvGraphicFramePr>
            <a:graphic>
              <a:graphicData uri="http://schemas.openxmlformats.org/drawingml/2006/picture">
                <pic:pic>
                  <pic:nvPicPr>
                    <pic:cNvPr id="192"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41792">
            <wp:simplePos x="0" y="0"/>
            <wp:positionH relativeFrom="page">
              <wp:posOffset>521906</wp:posOffset>
            </wp:positionH>
            <wp:positionV relativeFrom="paragraph">
              <wp:posOffset>-647324</wp:posOffset>
            </wp:positionV>
            <wp:extent cx="54491" cy="6286"/>
            <wp:effectExtent l="0" t="0" r="0" b="0"/>
            <wp:wrapNone/>
            <wp:docPr id="193" name="image12.png"/>
            <wp:cNvGraphicFramePr>
              <a:graphicFrameLocks noChangeAspect="1"/>
            </wp:cNvGraphicFramePr>
            <a:graphic>
              <a:graphicData uri="http://schemas.openxmlformats.org/drawingml/2006/picture">
                <pic:pic>
                  <pic:nvPicPr>
                    <pic:cNvPr id="194" name="image12.png"/>
                    <pic:cNvPicPr/>
                  </pic:nvPicPr>
                  <pic:blipFill>
                    <a:blip r:embed="rId33"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15842304">
            <wp:simplePos x="0" y="0"/>
            <wp:positionH relativeFrom="page">
              <wp:posOffset>521906</wp:posOffset>
            </wp:positionH>
            <wp:positionV relativeFrom="paragraph">
              <wp:posOffset>-422420</wp:posOffset>
            </wp:positionV>
            <wp:extent cx="54491" cy="6286"/>
            <wp:effectExtent l="0" t="0" r="0" b="0"/>
            <wp:wrapNone/>
            <wp:docPr id="195" name="image12.png"/>
            <wp:cNvGraphicFramePr>
              <a:graphicFrameLocks noChangeAspect="1"/>
            </wp:cNvGraphicFramePr>
            <a:graphic>
              <a:graphicData uri="http://schemas.openxmlformats.org/drawingml/2006/picture">
                <pic:pic>
                  <pic:nvPicPr>
                    <pic:cNvPr id="196" name="image12.png"/>
                    <pic:cNvPicPr/>
                  </pic:nvPicPr>
                  <pic:blipFill>
                    <a:blip r:embed="rId33"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15844864">
            <wp:simplePos x="0" y="0"/>
            <wp:positionH relativeFrom="page">
              <wp:posOffset>2559989</wp:posOffset>
            </wp:positionH>
            <wp:positionV relativeFrom="paragraph">
              <wp:posOffset>-880826</wp:posOffset>
            </wp:positionV>
            <wp:extent cx="54478" cy="6286"/>
            <wp:effectExtent l="0" t="0" r="0" b="0"/>
            <wp:wrapNone/>
            <wp:docPr id="197" name="image12.png"/>
            <wp:cNvGraphicFramePr>
              <a:graphicFrameLocks noChangeAspect="1"/>
            </wp:cNvGraphicFramePr>
            <a:graphic>
              <a:graphicData uri="http://schemas.openxmlformats.org/drawingml/2006/picture">
                <pic:pic>
                  <pic:nvPicPr>
                    <pic:cNvPr id="198" name="image12.png"/>
                    <pic:cNvPicPr/>
                  </pic:nvPicPr>
                  <pic:blipFill>
                    <a:blip r:embed="rId33"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45376">
            <wp:simplePos x="0" y="0"/>
            <wp:positionH relativeFrom="page">
              <wp:posOffset>2559977</wp:posOffset>
            </wp:positionH>
            <wp:positionV relativeFrom="paragraph">
              <wp:posOffset>-649813</wp:posOffset>
            </wp:positionV>
            <wp:extent cx="55317" cy="6381"/>
            <wp:effectExtent l="0" t="0" r="0" b="0"/>
            <wp:wrapNone/>
            <wp:docPr id="199" name="image10.png"/>
            <wp:cNvGraphicFramePr>
              <a:graphicFrameLocks noChangeAspect="1"/>
            </wp:cNvGraphicFramePr>
            <a:graphic>
              <a:graphicData uri="http://schemas.openxmlformats.org/drawingml/2006/picture">
                <pic:pic>
                  <pic:nvPicPr>
                    <pic:cNvPr id="200" name="image10.png"/>
                    <pic:cNvPicPr/>
                  </pic:nvPicPr>
                  <pic:blipFill>
                    <a:blip r:embed="rId31"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15845888">
            <wp:simplePos x="0" y="0"/>
            <wp:positionH relativeFrom="page">
              <wp:posOffset>2559977</wp:posOffset>
            </wp:positionH>
            <wp:positionV relativeFrom="paragraph">
              <wp:posOffset>-424909</wp:posOffset>
            </wp:positionV>
            <wp:extent cx="55317" cy="6381"/>
            <wp:effectExtent l="0" t="0" r="0" b="0"/>
            <wp:wrapNone/>
            <wp:docPr id="201" name="image10.png"/>
            <wp:cNvGraphicFramePr>
              <a:graphicFrameLocks noChangeAspect="1"/>
            </wp:cNvGraphicFramePr>
            <a:graphic>
              <a:graphicData uri="http://schemas.openxmlformats.org/drawingml/2006/picture">
                <pic:pic>
                  <pic:nvPicPr>
                    <pic:cNvPr id="202" name="image10.png"/>
                    <pic:cNvPicPr/>
                  </pic:nvPicPr>
                  <pic:blipFill>
                    <a:blip r:embed="rId31" cstate="print"/>
                    <a:stretch>
                      <a:fillRect/>
                    </a:stretch>
                  </pic:blipFill>
                  <pic:spPr>
                    <a:xfrm>
                      <a:off x="0" y="0"/>
                      <a:ext cx="55317" cy="6381"/>
                    </a:xfrm>
                    <a:prstGeom prst="rect">
                      <a:avLst/>
                    </a:prstGeom>
                  </pic:spPr>
                </pic:pic>
              </a:graphicData>
            </a:graphic>
          </wp:anchor>
        </w:drawing>
      </w:r>
      <w:r>
        <w:rPr>
          <w:w w:val="105"/>
          <w:sz w:val="12"/>
        </w:rPr>
        <w:t>Source: Bank of England.</w:t>
      </w:r>
    </w:p>
    <w:p>
      <w:pPr>
        <w:spacing w:before="97"/>
        <w:ind w:left="56" w:right="0" w:firstLine="0"/>
        <w:jc w:val="left"/>
        <w:rPr>
          <w:sz w:val="12"/>
        </w:rPr>
      </w:pPr>
      <w:r>
        <w:rPr/>
        <w:br w:type="column"/>
      </w:r>
      <w:r>
        <w:rPr>
          <w:w w:val="115"/>
          <w:sz w:val="12"/>
        </w:rPr>
        <w:t>7.5</w:t>
      </w:r>
    </w:p>
    <w:p>
      <w:pPr>
        <w:pStyle w:val="BodyText"/>
        <w:rPr>
          <w:sz w:val="12"/>
        </w:rPr>
      </w:pPr>
    </w:p>
    <w:p>
      <w:pPr>
        <w:spacing w:before="97"/>
        <w:ind w:left="56" w:right="0" w:firstLine="0"/>
        <w:jc w:val="left"/>
        <w:rPr>
          <w:sz w:val="12"/>
        </w:rPr>
      </w:pPr>
      <w:r>
        <w:rPr>
          <w:w w:val="115"/>
          <w:sz w:val="12"/>
        </w:rPr>
        <w:t>7.0</w:t>
      </w:r>
    </w:p>
    <w:p>
      <w:pPr>
        <w:pStyle w:val="BodyText"/>
        <w:rPr>
          <w:sz w:val="12"/>
        </w:rPr>
      </w:pPr>
    </w:p>
    <w:p>
      <w:pPr>
        <w:spacing w:before="79"/>
        <w:ind w:left="56" w:right="0" w:firstLine="0"/>
        <w:jc w:val="left"/>
        <w:rPr>
          <w:sz w:val="12"/>
        </w:rPr>
      </w:pPr>
      <w:r>
        <w:rPr>
          <w:w w:val="115"/>
          <w:sz w:val="12"/>
        </w:rPr>
        <w:t>6.5</w:t>
      </w:r>
    </w:p>
    <w:p>
      <w:pPr>
        <w:pStyle w:val="BodyText"/>
        <w:rPr>
          <w:sz w:val="12"/>
        </w:rPr>
      </w:pPr>
    </w:p>
    <w:p>
      <w:pPr>
        <w:spacing w:before="79"/>
        <w:ind w:left="56" w:right="0" w:firstLine="0"/>
        <w:jc w:val="left"/>
        <w:rPr>
          <w:sz w:val="12"/>
        </w:rPr>
      </w:pPr>
      <w:r>
        <w:rPr>
          <w:w w:val="115"/>
          <w:sz w:val="12"/>
        </w:rPr>
        <w:t>6.0</w:t>
      </w:r>
    </w:p>
    <w:p>
      <w:pPr>
        <w:pStyle w:val="BodyText"/>
        <w:rPr>
          <w:sz w:val="12"/>
        </w:rPr>
      </w:pPr>
    </w:p>
    <w:p>
      <w:pPr>
        <w:spacing w:before="79"/>
        <w:ind w:left="56" w:right="0" w:firstLine="0"/>
        <w:jc w:val="left"/>
        <w:rPr>
          <w:sz w:val="12"/>
        </w:rPr>
      </w:pPr>
      <w:r>
        <w:rPr>
          <w:w w:val="115"/>
          <w:sz w:val="12"/>
        </w:rPr>
        <w:t>5.5</w:t>
      </w:r>
    </w:p>
    <w:p>
      <w:pPr>
        <w:pStyle w:val="BodyText"/>
        <w:rPr>
          <w:sz w:val="12"/>
        </w:rPr>
      </w:pPr>
    </w:p>
    <w:p>
      <w:pPr>
        <w:spacing w:before="96"/>
        <w:ind w:left="56" w:right="0" w:firstLine="0"/>
        <w:jc w:val="left"/>
        <w:rPr>
          <w:sz w:val="12"/>
        </w:rPr>
      </w:pPr>
      <w:r>
        <w:rPr>
          <w:w w:val="115"/>
          <w:sz w:val="12"/>
        </w:rPr>
        <w:t>5.0</w:t>
      </w:r>
    </w:p>
    <w:p>
      <w:pPr>
        <w:pStyle w:val="BodyText"/>
        <w:rPr>
          <w:sz w:val="12"/>
        </w:rPr>
      </w:pPr>
    </w:p>
    <w:p>
      <w:pPr>
        <w:spacing w:before="82"/>
        <w:ind w:left="56" w:right="0" w:firstLine="0"/>
        <w:jc w:val="left"/>
        <w:rPr>
          <w:sz w:val="12"/>
        </w:rPr>
      </w:pPr>
      <w:r>
        <w:rPr>
          <w:w w:val="115"/>
          <w:sz w:val="12"/>
        </w:rPr>
        <w:t>4.5</w:t>
      </w:r>
    </w:p>
    <w:p>
      <w:pPr>
        <w:pStyle w:val="BodyText"/>
        <w:rPr>
          <w:sz w:val="12"/>
        </w:rPr>
      </w:pPr>
    </w:p>
    <w:p>
      <w:pPr>
        <w:spacing w:before="79"/>
        <w:ind w:left="56" w:right="0" w:firstLine="0"/>
        <w:jc w:val="left"/>
        <w:rPr>
          <w:sz w:val="12"/>
        </w:rPr>
      </w:pPr>
      <w:r>
        <w:rPr>
          <w:w w:val="115"/>
          <w:sz w:val="12"/>
        </w:rPr>
        <w:t>4.0</w:t>
      </w:r>
    </w:p>
    <w:p>
      <w:pPr>
        <w:spacing w:before="10"/>
        <w:ind w:left="56" w:right="0" w:firstLine="0"/>
        <w:jc w:val="left"/>
        <w:rPr>
          <w:sz w:val="12"/>
        </w:rPr>
      </w:pPr>
      <w:r>
        <w:rPr>
          <w:w w:val="115"/>
          <w:sz w:val="12"/>
        </w:rPr>
        <w:t>0.0</w:t>
      </w:r>
    </w:p>
    <w:p>
      <w:pPr>
        <w:pStyle w:val="BodyText"/>
        <w:spacing w:before="1"/>
        <w:rPr>
          <w:sz w:val="18"/>
        </w:rPr>
      </w:pPr>
      <w:r>
        <w:rPr/>
        <w:br w:type="column"/>
      </w:r>
      <w:r>
        <w:rPr>
          <w:sz w:val="18"/>
        </w:rPr>
      </w:r>
    </w:p>
    <w:p>
      <w:pPr>
        <w:pStyle w:val="BodyText"/>
        <w:spacing w:line="292" w:lineRule="auto" w:before="1"/>
        <w:ind w:left="288" w:right="215"/>
      </w:pPr>
      <w:r>
        <w:rPr>
          <w:spacing w:val="-3"/>
          <w:w w:val="105"/>
        </w:rPr>
        <w:t>Long-term interest </w:t>
      </w:r>
      <w:r>
        <w:rPr>
          <w:spacing w:val="-4"/>
          <w:w w:val="105"/>
        </w:rPr>
        <w:t>rates, </w:t>
      </w:r>
      <w:r>
        <w:rPr>
          <w:w w:val="105"/>
        </w:rPr>
        <w:t>measured </w:t>
      </w:r>
      <w:r>
        <w:rPr>
          <w:spacing w:val="-3"/>
          <w:w w:val="105"/>
        </w:rPr>
        <w:t>by </w:t>
      </w:r>
      <w:r>
        <w:rPr>
          <w:w w:val="105"/>
        </w:rPr>
        <w:t>those at the </w:t>
      </w:r>
      <w:r>
        <w:rPr>
          <w:spacing w:val="-4"/>
          <w:w w:val="105"/>
        </w:rPr>
        <w:t>ten-year </w:t>
      </w:r>
      <w:r>
        <w:rPr>
          <w:w w:val="105"/>
        </w:rPr>
        <w:t>horizon, </w:t>
      </w:r>
      <w:r>
        <w:rPr>
          <w:spacing w:val="-3"/>
          <w:w w:val="105"/>
        </w:rPr>
        <w:t>have </w:t>
      </w:r>
      <w:r>
        <w:rPr>
          <w:w w:val="105"/>
        </w:rPr>
        <w:t>fallen during the past </w:t>
      </w:r>
      <w:r>
        <w:rPr>
          <w:spacing w:val="-4"/>
          <w:w w:val="105"/>
        </w:rPr>
        <w:t>year, </w:t>
      </w:r>
      <w:r>
        <w:rPr>
          <w:w w:val="105"/>
        </w:rPr>
        <w:t>with further reductions since the November </w:t>
      </w:r>
      <w:r>
        <w:rPr>
          <w:i/>
          <w:w w:val="105"/>
        </w:rPr>
        <w:t>Report  </w:t>
      </w:r>
      <w:r>
        <w:rPr>
          <w:w w:val="105"/>
        </w:rPr>
        <w:t>as  </w:t>
      </w:r>
      <w:r>
        <w:rPr>
          <w:spacing w:val="-3"/>
          <w:w w:val="105"/>
        </w:rPr>
        <w:t>expected  </w:t>
      </w:r>
      <w:r>
        <w:rPr>
          <w:w w:val="105"/>
        </w:rPr>
        <w:t>future short </w:t>
      </w:r>
      <w:r>
        <w:rPr>
          <w:spacing w:val="-3"/>
          <w:w w:val="105"/>
        </w:rPr>
        <w:t>interest </w:t>
      </w:r>
      <w:r>
        <w:rPr>
          <w:spacing w:val="-4"/>
          <w:w w:val="105"/>
        </w:rPr>
        <w:t>rates  </w:t>
      </w:r>
      <w:r>
        <w:rPr>
          <w:spacing w:val="-3"/>
          <w:w w:val="105"/>
        </w:rPr>
        <w:t>have  </w:t>
      </w:r>
      <w:r>
        <w:rPr>
          <w:w w:val="105"/>
        </w:rPr>
        <w:t>declined.  </w:t>
      </w:r>
      <w:r>
        <w:rPr>
          <w:spacing w:val="-3"/>
          <w:w w:val="105"/>
        </w:rPr>
        <w:t>Long-term  </w:t>
      </w:r>
      <w:r>
        <w:rPr>
          <w:w w:val="105"/>
        </w:rPr>
        <w:t>government bond yields </w:t>
      </w:r>
      <w:r>
        <w:rPr>
          <w:spacing w:val="-3"/>
          <w:w w:val="105"/>
        </w:rPr>
        <w:t>have </w:t>
      </w:r>
      <w:r>
        <w:rPr>
          <w:w w:val="105"/>
        </w:rPr>
        <w:t>also fallen in the United </w:t>
      </w:r>
      <w:r>
        <w:rPr>
          <w:spacing w:val="-3"/>
          <w:w w:val="105"/>
        </w:rPr>
        <w:t>States, </w:t>
      </w:r>
      <w:r>
        <w:rPr>
          <w:w w:val="105"/>
        </w:rPr>
        <w:t>euro area and Japan at this maturity (see </w:t>
      </w:r>
      <w:r>
        <w:rPr>
          <w:spacing w:val="-5"/>
          <w:w w:val="105"/>
        </w:rPr>
        <w:t>Table</w:t>
      </w:r>
      <w:r>
        <w:rPr>
          <w:spacing w:val="-15"/>
          <w:w w:val="105"/>
        </w:rPr>
        <w:t> </w:t>
      </w:r>
      <w:r>
        <w:rPr>
          <w:w w:val="105"/>
        </w:rPr>
        <w:t>1.B).</w:t>
      </w:r>
    </w:p>
    <w:p>
      <w:pPr>
        <w:pStyle w:val="BodyText"/>
        <w:spacing w:before="5"/>
      </w:pPr>
    </w:p>
    <w:p>
      <w:pPr>
        <w:pStyle w:val="Heading6"/>
        <w:ind w:left="168"/>
      </w:pPr>
      <w:r>
        <w:rPr>
          <w:color w:val="89C6DC"/>
        </w:rPr>
        <w:t>Real interest rates</w:t>
      </w:r>
    </w:p>
    <w:p>
      <w:pPr>
        <w:pStyle w:val="BodyText"/>
        <w:rPr>
          <w:rFonts w:ascii="Trebuchet MS"/>
          <w:b/>
          <w:sz w:val="18"/>
        </w:rPr>
      </w:pPr>
    </w:p>
    <w:p>
      <w:pPr>
        <w:pStyle w:val="BodyText"/>
        <w:spacing w:line="292" w:lineRule="auto"/>
        <w:ind w:left="288" w:right="215"/>
      </w:pPr>
      <w:r>
        <w:rPr>
          <w:w w:val="110"/>
        </w:rPr>
        <w:t>Consensus forecasts of inflation for the major economies </w:t>
      </w:r>
      <w:r>
        <w:rPr>
          <w:spacing w:val="-3"/>
          <w:w w:val="110"/>
        </w:rPr>
        <w:t>over</w:t>
      </w:r>
      <w:r>
        <w:rPr>
          <w:spacing w:val="-16"/>
          <w:w w:val="110"/>
        </w:rPr>
        <w:t> </w:t>
      </w:r>
      <w:r>
        <w:rPr>
          <w:w w:val="110"/>
        </w:rPr>
        <w:t>the</w:t>
      </w:r>
      <w:r>
        <w:rPr>
          <w:spacing w:val="-16"/>
          <w:w w:val="110"/>
        </w:rPr>
        <w:t> </w:t>
      </w:r>
      <w:r>
        <w:rPr>
          <w:w w:val="110"/>
        </w:rPr>
        <w:t>next</w:t>
      </w:r>
      <w:r>
        <w:rPr>
          <w:spacing w:val="-15"/>
          <w:w w:val="110"/>
        </w:rPr>
        <w:t> </w:t>
      </w:r>
      <w:r>
        <w:rPr>
          <w:spacing w:val="-5"/>
          <w:w w:val="110"/>
        </w:rPr>
        <w:t>two</w:t>
      </w:r>
      <w:r>
        <w:rPr>
          <w:spacing w:val="-16"/>
          <w:w w:val="110"/>
        </w:rPr>
        <w:t> </w:t>
      </w:r>
      <w:r>
        <w:rPr>
          <w:spacing w:val="-3"/>
          <w:w w:val="110"/>
        </w:rPr>
        <w:t>years</w:t>
      </w:r>
      <w:r>
        <w:rPr>
          <w:spacing w:val="-15"/>
          <w:w w:val="110"/>
        </w:rPr>
        <w:t> </w:t>
      </w:r>
      <w:r>
        <w:rPr>
          <w:spacing w:val="-3"/>
          <w:w w:val="110"/>
        </w:rPr>
        <w:t>have</w:t>
      </w:r>
      <w:r>
        <w:rPr>
          <w:spacing w:val="-16"/>
          <w:w w:val="110"/>
        </w:rPr>
        <w:t> </w:t>
      </w:r>
      <w:r>
        <w:rPr>
          <w:w w:val="110"/>
        </w:rPr>
        <w:t>changed</w:t>
      </w:r>
      <w:r>
        <w:rPr>
          <w:spacing w:val="-16"/>
          <w:w w:val="110"/>
        </w:rPr>
        <w:t> </w:t>
      </w:r>
      <w:r>
        <w:rPr>
          <w:w w:val="110"/>
        </w:rPr>
        <w:t>little</w:t>
      </w:r>
      <w:r>
        <w:rPr>
          <w:spacing w:val="-15"/>
          <w:w w:val="110"/>
        </w:rPr>
        <w:t> </w:t>
      </w:r>
      <w:r>
        <w:rPr>
          <w:w w:val="110"/>
        </w:rPr>
        <w:t>in</w:t>
      </w:r>
      <w:r>
        <w:rPr>
          <w:spacing w:val="-16"/>
          <w:w w:val="110"/>
        </w:rPr>
        <w:t> </w:t>
      </w:r>
      <w:r>
        <w:rPr>
          <w:w w:val="110"/>
        </w:rPr>
        <w:t>recent</w:t>
      </w:r>
      <w:r>
        <w:rPr>
          <w:spacing w:val="-15"/>
          <w:w w:val="110"/>
        </w:rPr>
        <w:t> </w:t>
      </w:r>
      <w:r>
        <w:rPr>
          <w:w w:val="110"/>
        </w:rPr>
        <w:t>months, so</w:t>
      </w:r>
      <w:r>
        <w:rPr>
          <w:spacing w:val="-17"/>
          <w:w w:val="110"/>
        </w:rPr>
        <w:t> </w:t>
      </w:r>
      <w:r>
        <w:rPr>
          <w:w w:val="110"/>
        </w:rPr>
        <w:t>it</w:t>
      </w:r>
      <w:r>
        <w:rPr>
          <w:spacing w:val="-16"/>
          <w:w w:val="110"/>
        </w:rPr>
        <w:t> </w:t>
      </w:r>
      <w:r>
        <w:rPr>
          <w:w w:val="110"/>
        </w:rPr>
        <w:t>seems</w:t>
      </w:r>
      <w:r>
        <w:rPr>
          <w:spacing w:val="-17"/>
          <w:w w:val="110"/>
        </w:rPr>
        <w:t> </w:t>
      </w:r>
      <w:r>
        <w:rPr>
          <w:w w:val="110"/>
        </w:rPr>
        <w:t>likely</w:t>
      </w:r>
      <w:r>
        <w:rPr>
          <w:spacing w:val="-16"/>
          <w:w w:val="110"/>
        </w:rPr>
        <w:t> </w:t>
      </w:r>
      <w:r>
        <w:rPr>
          <w:w w:val="110"/>
        </w:rPr>
        <w:t>that</w:t>
      </w:r>
      <w:r>
        <w:rPr>
          <w:spacing w:val="-16"/>
          <w:w w:val="110"/>
        </w:rPr>
        <w:t> </w:t>
      </w:r>
      <w:r>
        <w:rPr>
          <w:w w:val="110"/>
        </w:rPr>
        <w:t>falls</w:t>
      </w:r>
      <w:r>
        <w:rPr>
          <w:spacing w:val="-17"/>
          <w:w w:val="110"/>
        </w:rPr>
        <w:t> </w:t>
      </w:r>
      <w:r>
        <w:rPr>
          <w:w w:val="110"/>
        </w:rPr>
        <w:t>in</w:t>
      </w:r>
      <w:r>
        <w:rPr>
          <w:spacing w:val="-16"/>
          <w:w w:val="110"/>
        </w:rPr>
        <w:t> </w:t>
      </w:r>
      <w:r>
        <w:rPr>
          <w:spacing w:val="-3"/>
          <w:w w:val="110"/>
        </w:rPr>
        <w:t>expected</w:t>
      </w:r>
      <w:r>
        <w:rPr>
          <w:spacing w:val="-16"/>
          <w:w w:val="110"/>
        </w:rPr>
        <w:t> </w:t>
      </w:r>
      <w:r>
        <w:rPr>
          <w:w w:val="110"/>
        </w:rPr>
        <w:t>future</w:t>
      </w:r>
      <w:r>
        <w:rPr>
          <w:spacing w:val="-17"/>
          <w:w w:val="110"/>
        </w:rPr>
        <w:t> </w:t>
      </w:r>
      <w:r>
        <w:rPr>
          <w:w w:val="110"/>
        </w:rPr>
        <w:t>nominal</w:t>
      </w:r>
      <w:r>
        <w:rPr>
          <w:spacing w:val="-16"/>
          <w:w w:val="110"/>
        </w:rPr>
        <w:t> </w:t>
      </w:r>
      <w:r>
        <w:rPr>
          <w:w w:val="110"/>
        </w:rPr>
        <w:t>short</w:t>
      </w:r>
    </w:p>
    <w:p>
      <w:pPr>
        <w:spacing w:after="0" w:line="292" w:lineRule="auto"/>
        <w:sectPr>
          <w:type w:val="continuous"/>
          <w:pgSz w:w="11900" w:h="16840"/>
          <w:pgMar w:top="1260" w:bottom="280" w:left="640" w:right="640"/>
          <w:cols w:num="3" w:equalWidth="0">
            <w:col w:w="3507" w:space="40"/>
            <w:col w:w="268" w:space="990"/>
            <w:col w:w="5815"/>
          </w:cols>
        </w:sectPr>
      </w:pPr>
    </w:p>
    <w:p>
      <w:pPr>
        <w:spacing w:line="85" w:lineRule="exact" w:before="0"/>
        <w:ind w:left="168" w:right="0" w:firstLine="0"/>
        <w:jc w:val="left"/>
        <w:rPr>
          <w:sz w:val="12"/>
        </w:rPr>
      </w:pPr>
      <w:r>
        <w:rPr>
          <w:w w:val="105"/>
          <w:sz w:val="12"/>
        </w:rPr>
        <w:t>(a) Forward rates are derived from GC repo rates and gilts, adjusted</w:t>
      </w:r>
    </w:p>
    <w:p>
      <w:pPr>
        <w:spacing w:line="208" w:lineRule="auto" w:before="5"/>
        <w:ind w:left="408" w:right="0" w:firstLine="0"/>
        <w:jc w:val="left"/>
        <w:rPr>
          <w:sz w:val="12"/>
        </w:rPr>
      </w:pPr>
      <w:r>
        <w:rPr>
          <w:w w:val="110"/>
          <w:sz w:val="12"/>
        </w:rPr>
        <w:t>upwards</w:t>
      </w:r>
      <w:r>
        <w:rPr>
          <w:spacing w:val="-13"/>
          <w:w w:val="110"/>
          <w:sz w:val="12"/>
        </w:rPr>
        <w:t> </w:t>
      </w:r>
      <w:r>
        <w:rPr>
          <w:w w:val="110"/>
          <w:sz w:val="12"/>
        </w:rPr>
        <w:t>by</w:t>
      </w:r>
      <w:r>
        <w:rPr>
          <w:spacing w:val="-12"/>
          <w:w w:val="110"/>
          <w:sz w:val="12"/>
        </w:rPr>
        <w:t> </w:t>
      </w:r>
      <w:r>
        <w:rPr>
          <w:spacing w:val="-11"/>
          <w:w w:val="110"/>
          <w:sz w:val="12"/>
        </w:rPr>
        <w:t>15</w:t>
      </w:r>
      <w:r>
        <w:rPr>
          <w:spacing w:val="-12"/>
          <w:w w:val="110"/>
          <w:sz w:val="12"/>
        </w:rPr>
        <w:t> </w:t>
      </w:r>
      <w:r>
        <w:rPr>
          <w:w w:val="110"/>
          <w:sz w:val="12"/>
        </w:rPr>
        <w:t>basis</w:t>
      </w:r>
      <w:r>
        <w:rPr>
          <w:spacing w:val="-13"/>
          <w:w w:val="110"/>
          <w:sz w:val="12"/>
        </w:rPr>
        <w:t> </w:t>
      </w:r>
      <w:r>
        <w:rPr>
          <w:w w:val="110"/>
          <w:sz w:val="12"/>
        </w:rPr>
        <w:t>points</w:t>
      </w:r>
      <w:r>
        <w:rPr>
          <w:spacing w:val="-12"/>
          <w:w w:val="110"/>
          <w:sz w:val="12"/>
        </w:rPr>
        <w:t> </w:t>
      </w:r>
      <w:r>
        <w:rPr>
          <w:w w:val="110"/>
          <w:sz w:val="12"/>
        </w:rPr>
        <w:t>to</w:t>
      </w:r>
      <w:r>
        <w:rPr>
          <w:spacing w:val="-12"/>
          <w:w w:val="110"/>
          <w:sz w:val="12"/>
        </w:rPr>
        <w:t> </w:t>
      </w:r>
      <w:r>
        <w:rPr>
          <w:w w:val="110"/>
          <w:sz w:val="12"/>
        </w:rPr>
        <w:t>reflect</w:t>
      </w:r>
      <w:r>
        <w:rPr>
          <w:spacing w:val="-13"/>
          <w:w w:val="110"/>
          <w:sz w:val="12"/>
        </w:rPr>
        <w:t> </w:t>
      </w:r>
      <w:r>
        <w:rPr>
          <w:w w:val="110"/>
          <w:sz w:val="12"/>
        </w:rPr>
        <w:t>the</w:t>
      </w:r>
      <w:r>
        <w:rPr>
          <w:spacing w:val="-12"/>
          <w:w w:val="110"/>
          <w:sz w:val="12"/>
        </w:rPr>
        <w:t> </w:t>
      </w:r>
      <w:r>
        <w:rPr>
          <w:w w:val="110"/>
          <w:sz w:val="12"/>
        </w:rPr>
        <w:t>average</w:t>
      </w:r>
      <w:r>
        <w:rPr>
          <w:spacing w:val="-12"/>
          <w:w w:val="110"/>
          <w:sz w:val="12"/>
        </w:rPr>
        <w:t> </w:t>
      </w:r>
      <w:r>
        <w:rPr>
          <w:w w:val="110"/>
          <w:sz w:val="12"/>
        </w:rPr>
        <w:t>historical</w:t>
      </w:r>
      <w:r>
        <w:rPr>
          <w:spacing w:val="-12"/>
          <w:w w:val="110"/>
          <w:sz w:val="12"/>
        </w:rPr>
        <w:t> </w:t>
      </w:r>
      <w:r>
        <w:rPr>
          <w:w w:val="110"/>
          <w:sz w:val="12"/>
        </w:rPr>
        <w:t>spread between</w:t>
      </w:r>
      <w:r>
        <w:rPr>
          <w:spacing w:val="-5"/>
          <w:w w:val="110"/>
          <w:sz w:val="12"/>
        </w:rPr>
        <w:t> </w:t>
      </w:r>
      <w:r>
        <w:rPr>
          <w:w w:val="110"/>
          <w:sz w:val="12"/>
        </w:rPr>
        <w:t>the</w:t>
      </w:r>
      <w:r>
        <w:rPr>
          <w:spacing w:val="-5"/>
          <w:w w:val="110"/>
          <w:sz w:val="12"/>
        </w:rPr>
        <w:t> </w:t>
      </w:r>
      <w:r>
        <w:rPr>
          <w:w w:val="110"/>
          <w:sz w:val="12"/>
        </w:rPr>
        <w:t>GC</w:t>
      </w:r>
      <w:r>
        <w:rPr>
          <w:spacing w:val="-4"/>
          <w:w w:val="110"/>
          <w:sz w:val="12"/>
        </w:rPr>
        <w:t> </w:t>
      </w:r>
      <w:r>
        <w:rPr>
          <w:w w:val="110"/>
          <w:sz w:val="12"/>
        </w:rPr>
        <w:t>repo</w:t>
      </w:r>
      <w:r>
        <w:rPr>
          <w:spacing w:val="-5"/>
          <w:w w:val="110"/>
          <w:sz w:val="12"/>
        </w:rPr>
        <w:t> </w:t>
      </w:r>
      <w:r>
        <w:rPr>
          <w:spacing w:val="-3"/>
          <w:w w:val="110"/>
          <w:sz w:val="12"/>
        </w:rPr>
        <w:t>rate</w:t>
      </w:r>
      <w:r>
        <w:rPr>
          <w:spacing w:val="-4"/>
          <w:w w:val="110"/>
          <w:sz w:val="12"/>
        </w:rPr>
        <w:t> </w:t>
      </w:r>
      <w:r>
        <w:rPr>
          <w:w w:val="110"/>
          <w:sz w:val="12"/>
        </w:rPr>
        <w:t>and</w:t>
      </w:r>
      <w:r>
        <w:rPr>
          <w:spacing w:val="-5"/>
          <w:w w:val="110"/>
          <w:sz w:val="12"/>
        </w:rPr>
        <w:t> </w:t>
      </w:r>
      <w:r>
        <w:rPr>
          <w:w w:val="110"/>
          <w:sz w:val="12"/>
        </w:rPr>
        <w:t>the</w:t>
      </w:r>
      <w:r>
        <w:rPr>
          <w:spacing w:val="-4"/>
          <w:w w:val="110"/>
          <w:sz w:val="12"/>
        </w:rPr>
        <w:t> </w:t>
      </w:r>
      <w:r>
        <w:rPr>
          <w:spacing w:val="-3"/>
          <w:w w:val="110"/>
          <w:sz w:val="12"/>
        </w:rPr>
        <w:t>Bank’s</w:t>
      </w:r>
      <w:r>
        <w:rPr>
          <w:spacing w:val="-5"/>
          <w:w w:val="110"/>
          <w:sz w:val="12"/>
        </w:rPr>
        <w:t> </w:t>
      </w:r>
      <w:r>
        <w:rPr>
          <w:w w:val="110"/>
          <w:sz w:val="12"/>
        </w:rPr>
        <w:t>repo</w:t>
      </w:r>
      <w:r>
        <w:rPr>
          <w:spacing w:val="-5"/>
          <w:w w:val="110"/>
          <w:sz w:val="12"/>
        </w:rPr>
        <w:t> </w:t>
      </w:r>
      <w:r>
        <w:rPr>
          <w:spacing w:val="-3"/>
          <w:w w:val="110"/>
          <w:sz w:val="12"/>
        </w:rPr>
        <w:t>rate.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78"/>
        <w:ind w:left="170"/>
      </w:pPr>
      <w:r>
        <w:rPr>
          <w:color w:val="89C6DC"/>
          <w:spacing w:val="-15"/>
          <w:w w:val="81"/>
        </w:rPr>
        <w:t>T</w:t>
      </w:r>
      <w:r>
        <w:rPr>
          <w:color w:val="89C6DC"/>
          <w:spacing w:val="-1"/>
          <w:w w:val="91"/>
        </w:rPr>
        <w:t>abl</w:t>
      </w:r>
      <w:r>
        <w:rPr>
          <w:color w:val="89C6DC"/>
          <w:w w:val="91"/>
        </w:rPr>
        <w:t>e</w:t>
      </w:r>
      <w:r>
        <w:rPr>
          <w:color w:val="89C6DC"/>
          <w:spacing w:val="6"/>
        </w:rPr>
        <w:t> </w:t>
      </w:r>
      <w:r>
        <w:rPr>
          <w:smallCaps/>
          <w:color w:val="89C6DC"/>
          <w:spacing w:val="-1"/>
          <w:w w:val="84"/>
        </w:rPr>
        <w:t>1.B</w:t>
      </w:r>
    </w:p>
    <w:p>
      <w:pPr>
        <w:spacing w:line="247" w:lineRule="auto" w:before="8"/>
        <w:ind w:left="170" w:right="0" w:firstLine="0"/>
        <w:jc w:val="left"/>
        <w:rPr>
          <w:rFonts w:ascii="Trebuchet MS"/>
          <w:b/>
          <w:sz w:val="20"/>
        </w:rPr>
      </w:pPr>
      <w:r>
        <w:rPr>
          <w:rFonts w:ascii="Trebuchet MS"/>
          <w:b/>
          <w:color w:val="89C6DC"/>
          <w:spacing w:val="-1"/>
          <w:w w:val="94"/>
          <w:sz w:val="20"/>
        </w:rPr>
        <w:t>Change</w:t>
      </w:r>
      <w:r>
        <w:rPr>
          <w:rFonts w:ascii="Trebuchet MS"/>
          <w:b/>
          <w:color w:val="89C6DC"/>
          <w:w w:val="94"/>
          <w:sz w:val="20"/>
        </w:rPr>
        <w:t>s</w:t>
      </w:r>
      <w:r>
        <w:rPr>
          <w:rFonts w:ascii="Trebuchet MS"/>
          <w:b/>
          <w:color w:val="89C6DC"/>
          <w:spacing w:val="6"/>
          <w:sz w:val="20"/>
        </w:rPr>
        <w:t> </w:t>
      </w:r>
      <w:r>
        <w:rPr>
          <w:rFonts w:ascii="Trebuchet MS"/>
          <w:b/>
          <w:color w:val="89C6DC"/>
          <w:spacing w:val="-1"/>
          <w:w w:val="88"/>
          <w:sz w:val="20"/>
        </w:rPr>
        <w:t>i</w:t>
      </w:r>
      <w:r>
        <w:rPr>
          <w:rFonts w:ascii="Trebuchet MS"/>
          <w:b/>
          <w:color w:val="89C6DC"/>
          <w:w w:val="88"/>
          <w:sz w:val="20"/>
        </w:rPr>
        <w:t>n</w:t>
      </w:r>
      <w:r>
        <w:rPr>
          <w:rFonts w:ascii="Trebuchet MS"/>
          <w:b/>
          <w:color w:val="89C6DC"/>
          <w:spacing w:val="6"/>
          <w:sz w:val="20"/>
        </w:rPr>
        <w:t> </w:t>
      </w:r>
      <w:r>
        <w:rPr>
          <w:rFonts w:ascii="Trebuchet MS"/>
          <w:b/>
          <w:color w:val="89C6DC"/>
          <w:spacing w:val="-1"/>
          <w:w w:val="88"/>
          <w:sz w:val="20"/>
        </w:rPr>
        <w:t>ten-</w:t>
      </w:r>
      <w:r>
        <w:rPr>
          <w:rFonts w:ascii="Trebuchet MS"/>
          <w:b/>
          <w:color w:val="89C6DC"/>
          <w:spacing w:val="-2"/>
          <w:w w:val="88"/>
          <w:sz w:val="20"/>
        </w:rPr>
        <w:t>y</w:t>
      </w:r>
      <w:r>
        <w:rPr>
          <w:rFonts w:ascii="Trebuchet MS"/>
          <w:b/>
          <w:color w:val="89C6DC"/>
          <w:spacing w:val="-1"/>
          <w:w w:val="87"/>
          <w:sz w:val="20"/>
        </w:rPr>
        <w:t>ea</w:t>
      </w:r>
      <w:r>
        <w:rPr>
          <w:rFonts w:ascii="Trebuchet MS"/>
          <w:b/>
          <w:color w:val="89C6DC"/>
          <w:w w:val="87"/>
          <w:sz w:val="20"/>
        </w:rPr>
        <w:t>r</w:t>
      </w:r>
      <w:r>
        <w:rPr>
          <w:rFonts w:ascii="Trebuchet MS"/>
          <w:b/>
          <w:color w:val="89C6DC"/>
          <w:spacing w:val="6"/>
          <w:sz w:val="20"/>
        </w:rPr>
        <w:t> </w:t>
      </w:r>
      <w:r>
        <w:rPr>
          <w:rFonts w:ascii="Trebuchet MS"/>
          <w:b/>
          <w:color w:val="89C6DC"/>
          <w:spacing w:val="-1"/>
          <w:w w:val="100"/>
          <w:sz w:val="20"/>
        </w:rPr>
        <w:t>g</w:t>
      </w:r>
      <w:r>
        <w:rPr>
          <w:rFonts w:ascii="Trebuchet MS"/>
          <w:b/>
          <w:color w:val="89C6DC"/>
          <w:spacing w:val="-3"/>
          <w:w w:val="100"/>
          <w:sz w:val="20"/>
        </w:rPr>
        <w:t>o</w:t>
      </w:r>
      <w:r>
        <w:rPr>
          <w:rFonts w:ascii="Trebuchet MS"/>
          <w:b/>
          <w:color w:val="89C6DC"/>
          <w:spacing w:val="-2"/>
          <w:w w:val="91"/>
          <w:sz w:val="20"/>
        </w:rPr>
        <w:t>v</w:t>
      </w:r>
      <w:r>
        <w:rPr>
          <w:rFonts w:ascii="Trebuchet MS"/>
          <w:b/>
          <w:color w:val="89C6DC"/>
          <w:spacing w:val="-1"/>
          <w:w w:val="87"/>
          <w:sz w:val="20"/>
        </w:rPr>
        <w:t>e</w:t>
      </w:r>
      <w:r>
        <w:rPr>
          <w:rFonts w:ascii="Trebuchet MS"/>
          <w:b/>
          <w:color w:val="89C6DC"/>
          <w:spacing w:val="-1"/>
          <w:w w:val="87"/>
          <w:sz w:val="20"/>
        </w:rPr>
        <w:t>rnmen</w:t>
      </w:r>
      <w:r>
        <w:rPr>
          <w:rFonts w:ascii="Trebuchet MS"/>
          <w:b/>
          <w:color w:val="89C6DC"/>
          <w:w w:val="87"/>
          <w:sz w:val="20"/>
        </w:rPr>
        <w:t>t</w:t>
      </w:r>
      <w:r>
        <w:rPr>
          <w:rFonts w:ascii="Trebuchet MS"/>
          <w:b/>
          <w:color w:val="89C6DC"/>
          <w:spacing w:val="6"/>
          <w:sz w:val="20"/>
        </w:rPr>
        <w:t> </w:t>
      </w:r>
      <w:r>
        <w:rPr>
          <w:rFonts w:ascii="Trebuchet MS"/>
          <w:b/>
          <w:color w:val="89C6DC"/>
          <w:spacing w:val="-1"/>
          <w:w w:val="93"/>
          <w:sz w:val="20"/>
        </w:rPr>
        <w:t>bond </w:t>
      </w:r>
      <w:r>
        <w:rPr>
          <w:rFonts w:ascii="Trebuchet MS"/>
          <w:b/>
          <w:color w:val="89C6DC"/>
          <w:spacing w:val="-1"/>
          <w:w w:val="93"/>
          <w:sz w:val="20"/>
        </w:rPr>
        <w:t>yield</w:t>
      </w:r>
      <w:r>
        <w:rPr>
          <w:rFonts w:ascii="Trebuchet MS"/>
          <w:b/>
          <w:color w:val="89C6DC"/>
          <w:w w:val="93"/>
          <w:sz w:val="20"/>
        </w:rPr>
        <w:t>s</w:t>
      </w:r>
      <w:r>
        <w:rPr>
          <w:rFonts w:ascii="Trebuchet MS"/>
          <w:b/>
          <w:color w:val="89C6DC"/>
          <w:spacing w:val="6"/>
          <w:sz w:val="20"/>
        </w:rPr>
        <w:t> </w:t>
      </w:r>
      <w:r>
        <w:rPr>
          <w:rFonts w:ascii="Trebuchet MS"/>
          <w:b/>
          <w:color w:val="89C6DC"/>
          <w:spacing w:val="-1"/>
          <w:w w:val="85"/>
          <w:sz w:val="20"/>
        </w:rPr>
        <w:t>t</w:t>
      </w:r>
      <w:r>
        <w:rPr>
          <w:rFonts w:ascii="Trebuchet MS"/>
          <w:b/>
          <w:color w:val="89C6DC"/>
          <w:w w:val="85"/>
          <w:sz w:val="20"/>
        </w:rPr>
        <w:t>o</w:t>
      </w:r>
      <w:r>
        <w:rPr>
          <w:rFonts w:ascii="Trebuchet MS"/>
          <w:b/>
          <w:color w:val="89C6DC"/>
          <w:spacing w:val="6"/>
          <w:sz w:val="20"/>
        </w:rPr>
        <w:t> </w:t>
      </w:r>
      <w:r>
        <w:rPr>
          <w:rFonts w:ascii="Trebuchet MS"/>
          <w:b/>
          <w:color w:val="89C6DC"/>
          <w:w w:val="91"/>
          <w:sz w:val="20"/>
        </w:rPr>
        <w:t>7</w:t>
      </w:r>
      <w:r>
        <w:rPr>
          <w:rFonts w:ascii="Trebuchet MS"/>
          <w:b/>
          <w:color w:val="89C6DC"/>
          <w:spacing w:val="6"/>
          <w:sz w:val="20"/>
        </w:rPr>
        <w:t> </w:t>
      </w:r>
      <w:r>
        <w:rPr>
          <w:rFonts w:ascii="Trebuchet MS"/>
          <w:b/>
          <w:color w:val="89C6DC"/>
          <w:spacing w:val="-8"/>
          <w:w w:val="76"/>
          <w:sz w:val="20"/>
        </w:rPr>
        <w:t>F</w:t>
      </w:r>
      <w:r>
        <w:rPr>
          <w:rFonts w:ascii="Trebuchet MS"/>
          <w:b/>
          <w:color w:val="89C6DC"/>
          <w:spacing w:val="-1"/>
          <w:w w:val="87"/>
          <w:sz w:val="20"/>
        </w:rPr>
        <w:t>eb</w:t>
      </w:r>
      <w:r>
        <w:rPr>
          <w:rFonts w:ascii="Trebuchet MS"/>
          <w:b/>
          <w:color w:val="89C6DC"/>
          <w:spacing w:val="1"/>
          <w:w w:val="87"/>
          <w:sz w:val="20"/>
        </w:rPr>
        <w:t>r</w:t>
      </w:r>
      <w:r>
        <w:rPr>
          <w:rFonts w:ascii="Trebuchet MS"/>
          <w:b/>
          <w:color w:val="89C6DC"/>
          <w:spacing w:val="-1"/>
          <w:w w:val="88"/>
          <w:sz w:val="20"/>
        </w:rPr>
        <w:t>ua</w:t>
      </w:r>
      <w:r>
        <w:rPr>
          <w:rFonts w:ascii="Trebuchet MS"/>
          <w:b/>
          <w:color w:val="89C6DC"/>
          <w:spacing w:val="3"/>
          <w:w w:val="88"/>
          <w:sz w:val="20"/>
        </w:rPr>
        <w:t>r</w:t>
      </w:r>
      <w:r>
        <w:rPr>
          <w:rFonts w:ascii="Trebuchet MS"/>
          <w:b/>
          <w:color w:val="89C6DC"/>
          <w:w w:val="93"/>
          <w:sz w:val="20"/>
        </w:rPr>
        <w:t>y</w:t>
      </w:r>
      <w:r>
        <w:rPr>
          <w:rFonts w:ascii="Trebuchet MS"/>
          <w:b/>
          <w:color w:val="89C6DC"/>
          <w:spacing w:val="6"/>
          <w:sz w:val="20"/>
        </w:rPr>
        <w:t> </w:t>
      </w:r>
      <w:r>
        <w:rPr>
          <w:rFonts w:ascii="Trebuchet MS"/>
          <w:b/>
          <w:smallCaps/>
          <w:color w:val="89C6DC"/>
          <w:spacing w:val="-1"/>
          <w:w w:val="87"/>
          <w:sz w:val="20"/>
        </w:rPr>
        <w:t>2001</w:t>
      </w:r>
    </w:p>
    <w:p>
      <w:pPr>
        <w:spacing w:before="99"/>
        <w:ind w:left="170" w:right="0" w:firstLine="0"/>
        <w:jc w:val="left"/>
        <w:rPr>
          <w:sz w:val="14"/>
        </w:rPr>
      </w:pPr>
      <w:r>
        <w:rPr>
          <w:w w:val="105"/>
          <w:sz w:val="14"/>
        </w:rPr>
        <w:t>Basis points</w:t>
      </w:r>
    </w:p>
    <w:p>
      <w:pPr>
        <w:spacing w:before="119"/>
        <w:ind w:left="1870" w:right="0" w:firstLine="0"/>
        <w:jc w:val="left"/>
        <w:rPr>
          <w:sz w:val="14"/>
        </w:rPr>
      </w:pPr>
      <w:r>
        <w:rPr>
          <w:sz w:val="14"/>
        </w:rPr>
        <w:t>Since:</w:t>
      </w:r>
    </w:p>
    <w:p>
      <w:pPr>
        <w:pStyle w:val="BodyText"/>
        <w:spacing w:before="10"/>
        <w:rPr>
          <w:sz w:val="3"/>
        </w:rPr>
      </w:pPr>
    </w:p>
    <w:p>
      <w:pPr>
        <w:pStyle w:val="BodyText"/>
        <w:spacing w:line="20" w:lineRule="exact"/>
        <w:ind w:left="1888"/>
        <w:rPr>
          <w:sz w:val="2"/>
        </w:rPr>
      </w:pPr>
      <w:r>
        <w:rPr>
          <w:sz w:val="2"/>
        </w:rPr>
        <w:pict>
          <v:group style="width:87.75pt;height:.15pt;mso-position-horizontal-relative:char;mso-position-vertical-relative:line" coordorigin="0,0" coordsize="1755,3">
            <v:line style="position:absolute" from="0,1" to="1754,1" stroked="true" strokeweight=".125pt" strokecolor="#000000">
              <v:stroke dashstyle="solid"/>
            </v:line>
          </v:group>
        </w:pict>
      </w:r>
      <w:r>
        <w:rPr>
          <w:sz w:val="2"/>
        </w:rPr>
      </w:r>
    </w:p>
    <w:p>
      <w:pPr>
        <w:tabs>
          <w:tab w:pos="2909" w:val="left" w:leader="none"/>
        </w:tabs>
        <w:spacing w:before="54"/>
        <w:ind w:left="1870" w:right="0" w:firstLine="0"/>
        <w:jc w:val="left"/>
        <w:rPr>
          <w:sz w:val="14"/>
        </w:rPr>
      </w:pPr>
      <w:r>
        <w:rPr>
          <w:w w:val="115"/>
          <w:sz w:val="14"/>
        </w:rPr>
        <w:t>1</w:t>
      </w:r>
      <w:r>
        <w:rPr>
          <w:spacing w:val="-8"/>
          <w:w w:val="115"/>
          <w:sz w:val="14"/>
        </w:rPr>
        <w:t> </w:t>
      </w:r>
      <w:r>
        <w:rPr>
          <w:w w:val="115"/>
          <w:sz w:val="14"/>
        </w:rPr>
        <w:t>Jan.</w:t>
      </w:r>
      <w:r>
        <w:rPr>
          <w:spacing w:val="-8"/>
          <w:w w:val="115"/>
          <w:sz w:val="14"/>
        </w:rPr>
        <w:t> </w:t>
      </w:r>
      <w:r>
        <w:rPr>
          <w:spacing w:val="-3"/>
          <w:w w:val="115"/>
          <w:sz w:val="14"/>
        </w:rPr>
        <w:t>2000</w:t>
        <w:tab/>
      </w:r>
      <w:r>
        <w:rPr>
          <w:w w:val="115"/>
          <w:sz w:val="14"/>
        </w:rPr>
        <w:t>8 </w:t>
      </w:r>
      <w:r>
        <w:rPr>
          <w:spacing w:val="-4"/>
          <w:w w:val="115"/>
          <w:sz w:val="14"/>
        </w:rPr>
        <w:t>Nov.</w:t>
      </w:r>
      <w:r>
        <w:rPr>
          <w:spacing w:val="-18"/>
          <w:w w:val="115"/>
          <w:sz w:val="14"/>
        </w:rPr>
        <w:t> </w:t>
      </w:r>
      <w:r>
        <w:rPr>
          <w:spacing w:val="-3"/>
          <w:w w:val="115"/>
          <w:sz w:val="14"/>
        </w:rPr>
        <w:t>2000</w:t>
      </w:r>
    </w:p>
    <w:p>
      <w:pPr>
        <w:tabs>
          <w:tab w:pos="2952" w:val="left" w:leader="none"/>
        </w:tabs>
        <w:spacing w:line="24" w:lineRule="exact"/>
        <w:ind w:left="1912" w:right="0" w:firstLine="0"/>
        <w:rPr>
          <w:sz w:val="2"/>
        </w:rPr>
      </w:pPr>
      <w:r>
        <w:rPr>
          <w:sz w:val="2"/>
        </w:rPr>
        <w:pict>
          <v:group style="width:31.8pt;height:.15pt;mso-position-horizontal-relative:char;mso-position-vertical-relative:line" coordorigin="0,0" coordsize="636,3">
            <v:line style="position:absolute" from="0,1" to="636,1" stroked="true" strokeweight=".125pt" strokecolor="#000000">
              <v:stroke dashstyle="solid"/>
            </v:line>
          </v:group>
        </w:pict>
      </w:r>
      <w:r>
        <w:rPr>
          <w:sz w:val="2"/>
        </w:rPr>
      </w:r>
      <w:r>
        <w:rPr>
          <w:sz w:val="2"/>
        </w:rPr>
        <w:tab/>
      </w:r>
      <w:r>
        <w:rPr>
          <w:position w:val="2"/>
          <w:sz w:val="2"/>
        </w:rPr>
        <w:pict>
          <v:group style="width:35.3pt;height:.15pt;mso-position-horizontal-relative:char;mso-position-vertical-relative:line" coordorigin="0,0" coordsize="706,3">
            <v:line style="position:absolute" from="0,1" to="706,1" stroked="true" strokeweight=".125pt" strokecolor="#000000">
              <v:stroke dashstyle="solid"/>
            </v:line>
          </v:group>
        </w:pict>
      </w:r>
      <w:r>
        <w:rPr>
          <w:position w:val="2"/>
          <w:sz w:val="2"/>
        </w:rPr>
      </w:r>
    </w:p>
    <w:p>
      <w:pPr>
        <w:tabs>
          <w:tab w:pos="2120" w:val="left" w:leader="none"/>
          <w:tab w:pos="3194" w:val="left" w:leader="none"/>
        </w:tabs>
        <w:spacing w:line="150" w:lineRule="exact" w:before="95"/>
        <w:ind w:left="170" w:right="0" w:firstLine="0"/>
        <w:jc w:val="left"/>
        <w:rPr>
          <w:sz w:val="14"/>
        </w:rPr>
      </w:pPr>
      <w:r>
        <w:rPr>
          <w:w w:val="110"/>
          <w:sz w:val="14"/>
        </w:rPr>
        <w:t>United</w:t>
      </w:r>
      <w:r>
        <w:rPr>
          <w:spacing w:val="-20"/>
          <w:w w:val="110"/>
          <w:sz w:val="14"/>
        </w:rPr>
        <w:t> </w:t>
      </w:r>
      <w:r>
        <w:rPr>
          <w:w w:val="110"/>
          <w:sz w:val="14"/>
        </w:rPr>
        <w:t>Kingdom</w:t>
        <w:tab/>
      </w:r>
      <w:r>
        <w:rPr>
          <w:spacing w:val="-4"/>
          <w:w w:val="110"/>
          <w:sz w:val="14"/>
        </w:rPr>
        <w:t>-69</w:t>
        <w:tab/>
      </w:r>
      <w:r>
        <w:rPr>
          <w:spacing w:val="-6"/>
          <w:w w:val="110"/>
          <w:sz w:val="14"/>
        </w:rPr>
        <w:t>-43</w:t>
      </w:r>
    </w:p>
    <w:p>
      <w:pPr>
        <w:tabs>
          <w:tab w:pos="2062" w:val="left" w:leader="none"/>
          <w:tab w:pos="3194" w:val="left" w:leader="none"/>
        </w:tabs>
        <w:spacing w:line="140" w:lineRule="exact" w:before="0"/>
        <w:ind w:left="170" w:right="0" w:firstLine="0"/>
        <w:jc w:val="left"/>
        <w:rPr>
          <w:sz w:val="14"/>
        </w:rPr>
      </w:pPr>
      <w:r>
        <w:rPr>
          <w:w w:val="110"/>
          <w:sz w:val="14"/>
        </w:rPr>
        <w:t>United</w:t>
      </w:r>
      <w:r>
        <w:rPr>
          <w:spacing w:val="-14"/>
          <w:w w:val="110"/>
          <w:sz w:val="14"/>
        </w:rPr>
        <w:t> </w:t>
      </w:r>
      <w:r>
        <w:rPr>
          <w:w w:val="110"/>
          <w:sz w:val="14"/>
        </w:rPr>
        <w:t>States</w:t>
        <w:tab/>
      </w:r>
      <w:r>
        <w:rPr>
          <w:spacing w:val="-10"/>
          <w:w w:val="110"/>
          <w:sz w:val="14"/>
        </w:rPr>
        <w:t>-143</w:t>
        <w:tab/>
      </w:r>
      <w:r>
        <w:rPr>
          <w:spacing w:val="-6"/>
          <w:w w:val="110"/>
          <w:sz w:val="14"/>
        </w:rPr>
        <w:t>-57</w:t>
      </w:r>
    </w:p>
    <w:p>
      <w:pPr>
        <w:tabs>
          <w:tab w:pos="2117" w:val="left" w:leader="none"/>
          <w:tab w:pos="3198" w:val="left" w:leader="none"/>
        </w:tabs>
        <w:spacing w:line="140" w:lineRule="exact" w:before="0"/>
        <w:ind w:left="170" w:right="0" w:firstLine="0"/>
        <w:jc w:val="left"/>
        <w:rPr>
          <w:sz w:val="14"/>
        </w:rPr>
      </w:pPr>
      <w:r>
        <w:rPr>
          <w:w w:val="115"/>
          <w:sz w:val="14"/>
        </w:rPr>
        <w:t>Euro</w:t>
      </w:r>
      <w:r>
        <w:rPr>
          <w:spacing w:val="-20"/>
          <w:w w:val="115"/>
          <w:sz w:val="14"/>
        </w:rPr>
        <w:t> </w:t>
      </w:r>
      <w:r>
        <w:rPr>
          <w:w w:val="115"/>
          <w:sz w:val="14"/>
        </w:rPr>
        <w:t>area</w:t>
        <w:tab/>
      </w:r>
      <w:r>
        <w:rPr>
          <w:spacing w:val="-3"/>
          <w:w w:val="115"/>
          <w:sz w:val="14"/>
        </w:rPr>
        <w:t>-64</w:t>
        <w:tab/>
      </w:r>
      <w:r>
        <w:rPr>
          <w:spacing w:val="-7"/>
          <w:w w:val="115"/>
          <w:sz w:val="14"/>
        </w:rPr>
        <w:t>-41</w:t>
      </w:r>
    </w:p>
    <w:p>
      <w:pPr>
        <w:tabs>
          <w:tab w:pos="2117" w:val="left" w:leader="none"/>
          <w:tab w:pos="3194" w:val="left" w:leader="none"/>
        </w:tabs>
        <w:spacing w:line="150" w:lineRule="exact" w:before="0"/>
        <w:ind w:left="170" w:right="0" w:firstLine="0"/>
        <w:jc w:val="left"/>
        <w:rPr>
          <w:sz w:val="14"/>
        </w:rPr>
      </w:pPr>
      <w:r>
        <w:rPr>
          <w:w w:val="115"/>
          <w:sz w:val="14"/>
        </w:rPr>
        <w:t>Japan</w:t>
        <w:tab/>
      </w:r>
      <w:r>
        <w:rPr>
          <w:spacing w:val="-3"/>
          <w:w w:val="115"/>
          <w:sz w:val="14"/>
        </w:rPr>
        <w:t>-40</w:t>
        <w:tab/>
      </w:r>
      <w:r>
        <w:rPr>
          <w:spacing w:val="-5"/>
          <w:w w:val="115"/>
          <w:sz w:val="14"/>
        </w:rPr>
        <w:t>-43</w:t>
      </w:r>
    </w:p>
    <w:p>
      <w:pPr>
        <w:pStyle w:val="BodyText"/>
        <w:rPr>
          <w:sz w:val="12"/>
        </w:rPr>
      </w:pPr>
    </w:p>
    <w:p>
      <w:pPr>
        <w:spacing w:before="0"/>
        <w:ind w:left="170" w:right="0" w:firstLine="0"/>
        <w:jc w:val="left"/>
        <w:rPr>
          <w:sz w:val="12"/>
        </w:rPr>
      </w:pPr>
      <w:r>
        <w:rPr>
          <w:w w:val="105"/>
          <w:sz w:val="12"/>
        </w:rPr>
        <w:t>Source: Bank of England.</w:t>
      </w:r>
    </w:p>
    <w:p>
      <w:pPr>
        <w:pStyle w:val="BodyText"/>
        <w:spacing w:line="292" w:lineRule="auto"/>
        <w:ind w:left="168" w:right="182"/>
      </w:pPr>
      <w:r>
        <w:rPr/>
        <w:br w:type="column"/>
      </w:r>
      <w:r>
        <w:rPr>
          <w:spacing w:val="-3"/>
          <w:w w:val="105"/>
        </w:rPr>
        <w:t>interest </w:t>
      </w:r>
      <w:r>
        <w:rPr>
          <w:spacing w:val="-4"/>
          <w:w w:val="105"/>
        </w:rPr>
        <w:t>rates </w:t>
      </w:r>
      <w:r>
        <w:rPr>
          <w:w w:val="105"/>
        </w:rPr>
        <w:t>reflect </w:t>
      </w:r>
      <w:r>
        <w:rPr>
          <w:spacing w:val="-3"/>
          <w:w w:val="105"/>
        </w:rPr>
        <w:t>lower </w:t>
      </w:r>
      <w:r>
        <w:rPr>
          <w:w w:val="105"/>
        </w:rPr>
        <w:t>expectations of future real short </w:t>
      </w:r>
      <w:r>
        <w:rPr>
          <w:spacing w:val="-3"/>
          <w:w w:val="105"/>
        </w:rPr>
        <w:t>interest </w:t>
      </w:r>
      <w:r>
        <w:rPr>
          <w:spacing w:val="-4"/>
          <w:w w:val="105"/>
        </w:rPr>
        <w:t>rates. </w:t>
      </w:r>
      <w:r>
        <w:rPr>
          <w:w w:val="105"/>
        </w:rPr>
        <w:t>Further, estimates of long real yields from inflation-linked bonds </w:t>
      </w:r>
      <w:r>
        <w:rPr>
          <w:spacing w:val="-3"/>
          <w:w w:val="105"/>
        </w:rPr>
        <w:t>have </w:t>
      </w:r>
      <w:r>
        <w:rPr>
          <w:w w:val="105"/>
        </w:rPr>
        <w:t>fallen. Market expectations of world real </w:t>
      </w:r>
      <w:r>
        <w:rPr>
          <w:spacing w:val="-3"/>
          <w:w w:val="105"/>
        </w:rPr>
        <w:t>interest </w:t>
      </w:r>
      <w:r>
        <w:rPr>
          <w:spacing w:val="-4"/>
          <w:w w:val="105"/>
        </w:rPr>
        <w:t>rates </w:t>
      </w:r>
      <w:r>
        <w:rPr>
          <w:w w:val="105"/>
        </w:rPr>
        <w:t>will reflect expectations regarding the balance of global savings and investment.  Recent falls in </w:t>
      </w:r>
      <w:r>
        <w:rPr>
          <w:spacing w:val="-3"/>
          <w:w w:val="105"/>
        </w:rPr>
        <w:t>equity </w:t>
      </w:r>
      <w:r>
        <w:rPr>
          <w:w w:val="105"/>
        </w:rPr>
        <w:t>markets suggest a </w:t>
      </w:r>
      <w:r>
        <w:rPr>
          <w:spacing w:val="-3"/>
          <w:w w:val="105"/>
        </w:rPr>
        <w:t>downward </w:t>
      </w:r>
      <w:r>
        <w:rPr>
          <w:w w:val="105"/>
        </w:rPr>
        <w:t>revision </w:t>
      </w:r>
      <w:r>
        <w:rPr>
          <w:spacing w:val="-4"/>
          <w:w w:val="105"/>
        </w:rPr>
        <w:t>to </w:t>
      </w:r>
      <w:r>
        <w:rPr>
          <w:spacing w:val="-3"/>
          <w:w w:val="105"/>
        </w:rPr>
        <w:t>expected </w:t>
      </w:r>
      <w:r>
        <w:rPr>
          <w:w w:val="105"/>
        </w:rPr>
        <w:t>real </w:t>
      </w:r>
      <w:r>
        <w:rPr>
          <w:spacing w:val="-4"/>
          <w:w w:val="105"/>
        </w:rPr>
        <w:t>rates </w:t>
      </w:r>
      <w:r>
        <w:rPr>
          <w:w w:val="105"/>
        </w:rPr>
        <w:t>of return, consistent with a </w:t>
      </w:r>
      <w:r>
        <w:rPr>
          <w:spacing w:val="-3"/>
          <w:w w:val="105"/>
        </w:rPr>
        <w:t>weaker </w:t>
      </w:r>
      <w:r>
        <w:rPr>
          <w:w w:val="105"/>
        </w:rPr>
        <w:t>outlook for global </w:t>
      </w:r>
      <w:r>
        <w:rPr>
          <w:spacing w:val="-3"/>
          <w:w w:val="105"/>
        </w:rPr>
        <w:t>investment </w:t>
      </w:r>
      <w:r>
        <w:rPr>
          <w:w w:val="105"/>
        </w:rPr>
        <w:t>demand. And </w:t>
      </w:r>
      <w:r>
        <w:rPr>
          <w:spacing w:val="-3"/>
          <w:w w:val="105"/>
        </w:rPr>
        <w:t>lower equity </w:t>
      </w:r>
      <w:r>
        <w:rPr>
          <w:w w:val="105"/>
        </w:rPr>
        <w:t>prices </w:t>
      </w:r>
      <w:r>
        <w:rPr>
          <w:spacing w:val="-3"/>
          <w:w w:val="105"/>
        </w:rPr>
        <w:t>may have </w:t>
      </w:r>
      <w:r>
        <w:rPr>
          <w:w w:val="105"/>
        </w:rPr>
        <w:t>led </w:t>
      </w:r>
      <w:r>
        <w:rPr>
          <w:spacing w:val="-4"/>
          <w:w w:val="105"/>
        </w:rPr>
        <w:t>to </w:t>
      </w:r>
      <w:r>
        <w:rPr>
          <w:w w:val="105"/>
        </w:rPr>
        <w:t>expectations of somewhat higher savings out of current income, because of the weakening of household balance  sheets. During the past three months </w:t>
      </w:r>
      <w:r>
        <w:rPr>
          <w:spacing w:val="-3"/>
          <w:w w:val="105"/>
        </w:rPr>
        <w:t>short-term </w:t>
      </w:r>
      <w:r>
        <w:rPr>
          <w:w w:val="105"/>
        </w:rPr>
        <w:t>world </w:t>
      </w:r>
      <w:r>
        <w:rPr>
          <w:spacing w:val="-3"/>
          <w:w w:val="105"/>
        </w:rPr>
        <w:t>growth </w:t>
      </w:r>
      <w:r>
        <w:rPr>
          <w:w w:val="105"/>
        </w:rPr>
        <w:t>forecasts have been lowered, largely due </w:t>
      </w:r>
      <w:r>
        <w:rPr>
          <w:spacing w:val="-4"/>
          <w:w w:val="105"/>
        </w:rPr>
        <w:t>to </w:t>
      </w:r>
      <w:r>
        <w:rPr>
          <w:w w:val="105"/>
        </w:rPr>
        <w:t>the effects of weakening </w:t>
      </w:r>
      <w:r>
        <w:rPr>
          <w:spacing w:val="-3"/>
          <w:w w:val="105"/>
        </w:rPr>
        <w:t>short-term </w:t>
      </w:r>
      <w:r>
        <w:rPr>
          <w:w w:val="105"/>
        </w:rPr>
        <w:t>prospects for US GDP growth, and US </w:t>
      </w:r>
      <w:r>
        <w:rPr>
          <w:spacing w:val="-3"/>
          <w:w w:val="105"/>
        </w:rPr>
        <w:t>investment </w:t>
      </w:r>
      <w:r>
        <w:rPr>
          <w:w w:val="105"/>
        </w:rPr>
        <w:t>in particular. So recent falls in international</w:t>
      </w:r>
      <w:r>
        <w:rPr>
          <w:spacing w:val="5"/>
          <w:w w:val="105"/>
        </w:rPr>
        <w:t> </w:t>
      </w:r>
      <w:r>
        <w:rPr>
          <w:w w:val="105"/>
        </w:rPr>
        <w:t>real</w:t>
      </w:r>
    </w:p>
    <w:p>
      <w:pPr>
        <w:spacing w:after="0" w:line="292" w:lineRule="auto"/>
        <w:sectPr>
          <w:type w:val="continuous"/>
          <w:pgSz w:w="11900" w:h="16840"/>
          <w:pgMar w:top="1260" w:bottom="280" w:left="640" w:right="640"/>
          <w:cols w:num="2" w:equalWidth="0">
            <w:col w:w="3805" w:space="1120"/>
            <w:col w:w="5695"/>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0"/>
      </w:pPr>
      <w:bookmarkStart w:name="Household borrowing rates" w:id="23"/>
      <w:bookmarkEnd w:id="23"/>
      <w:r>
        <w:rPr>
          <w:b w:val="0"/>
        </w:rPr>
      </w:r>
      <w:bookmarkStart w:name="Corporate borrowing rates" w:id="24"/>
      <w:bookmarkEnd w:id="24"/>
      <w:r>
        <w:rPr>
          <w:b w:val="0"/>
        </w:rPr>
      </w:r>
      <w:bookmarkStart w:name="_bookmark10" w:id="25"/>
      <w:bookmarkEnd w:id="25"/>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1.14</w:t>
      </w:r>
    </w:p>
    <w:p>
      <w:pPr>
        <w:spacing w:line="247" w:lineRule="auto" w:before="8"/>
        <w:ind w:left="180" w:right="0" w:firstLine="0"/>
        <w:jc w:val="left"/>
        <w:rPr>
          <w:rFonts w:ascii="Trebuchet MS"/>
          <w:b/>
          <w:sz w:val="20"/>
        </w:rPr>
      </w:pPr>
      <w:r>
        <w:rPr>
          <w:rFonts w:ascii="Trebuchet MS"/>
          <w:b/>
          <w:color w:val="89C6DC"/>
          <w:w w:val="90"/>
          <w:sz w:val="20"/>
        </w:rPr>
        <w:t>Quoted five-year average fixed mortgage </w:t>
      </w:r>
      <w:r>
        <w:rPr>
          <w:rFonts w:ascii="Trebuchet MS"/>
          <w:b/>
          <w:color w:val="89C6DC"/>
          <w:sz w:val="20"/>
        </w:rPr>
        <w:t>and swap interest rates</w:t>
      </w:r>
    </w:p>
    <w:p>
      <w:pPr>
        <w:spacing w:line="121" w:lineRule="exact" w:before="36"/>
        <w:ind w:left="0" w:right="257" w:firstLine="0"/>
        <w:jc w:val="right"/>
        <w:rPr>
          <w:sz w:val="12"/>
        </w:rPr>
      </w:pPr>
      <w:r>
        <w:rPr/>
        <w:drawing>
          <wp:anchor distT="0" distB="0" distL="0" distR="0" allowOverlap="1" layoutInCell="1" locked="0" behindDoc="0" simplePos="0" relativeHeight="15857152">
            <wp:simplePos x="0" y="0"/>
            <wp:positionH relativeFrom="page">
              <wp:posOffset>558533</wp:posOffset>
            </wp:positionH>
            <wp:positionV relativeFrom="paragraph">
              <wp:posOffset>535689</wp:posOffset>
            </wp:positionV>
            <wp:extent cx="55304" cy="6381"/>
            <wp:effectExtent l="0" t="0" r="0" b="0"/>
            <wp:wrapNone/>
            <wp:docPr id="203" name="image8.png"/>
            <wp:cNvGraphicFramePr>
              <a:graphicFrameLocks noChangeAspect="1"/>
            </wp:cNvGraphicFramePr>
            <a:graphic>
              <a:graphicData uri="http://schemas.openxmlformats.org/drawingml/2006/picture">
                <pic:pic>
                  <pic:nvPicPr>
                    <pic:cNvPr id="204"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57664">
            <wp:simplePos x="0" y="0"/>
            <wp:positionH relativeFrom="page">
              <wp:posOffset>558533</wp:posOffset>
            </wp:positionH>
            <wp:positionV relativeFrom="paragraph">
              <wp:posOffset>739423</wp:posOffset>
            </wp:positionV>
            <wp:extent cx="55304" cy="6381"/>
            <wp:effectExtent l="0" t="0" r="0" b="0"/>
            <wp:wrapNone/>
            <wp:docPr id="205" name="image8.png"/>
            <wp:cNvGraphicFramePr>
              <a:graphicFrameLocks noChangeAspect="1"/>
            </wp:cNvGraphicFramePr>
            <a:graphic>
              <a:graphicData uri="http://schemas.openxmlformats.org/drawingml/2006/picture">
                <pic:pic>
                  <pic:nvPicPr>
                    <pic:cNvPr id="206"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58176">
            <wp:simplePos x="0" y="0"/>
            <wp:positionH relativeFrom="page">
              <wp:posOffset>558533</wp:posOffset>
            </wp:positionH>
            <wp:positionV relativeFrom="paragraph">
              <wp:posOffset>943156</wp:posOffset>
            </wp:positionV>
            <wp:extent cx="54478" cy="6286"/>
            <wp:effectExtent l="0" t="0" r="0" b="0"/>
            <wp:wrapNone/>
            <wp:docPr id="207" name="image13.png"/>
            <wp:cNvGraphicFramePr>
              <a:graphicFrameLocks noChangeAspect="1"/>
            </wp:cNvGraphicFramePr>
            <a:graphic>
              <a:graphicData uri="http://schemas.openxmlformats.org/drawingml/2006/picture">
                <pic:pic>
                  <pic:nvPicPr>
                    <pic:cNvPr id="208" name="image13.png"/>
                    <pic:cNvPicPr/>
                  </pic:nvPicPr>
                  <pic:blipFill>
                    <a:blip r:embed="rId34" cstate="print"/>
                    <a:stretch>
                      <a:fillRect/>
                    </a:stretch>
                  </pic:blipFill>
                  <pic:spPr>
                    <a:xfrm>
                      <a:off x="0" y="0"/>
                      <a:ext cx="54478" cy="6286"/>
                    </a:xfrm>
                    <a:prstGeom prst="rect">
                      <a:avLst/>
                    </a:prstGeom>
                  </pic:spPr>
                </pic:pic>
              </a:graphicData>
            </a:graphic>
          </wp:anchor>
        </w:drawing>
      </w:r>
      <w:r>
        <w:rPr>
          <w:w w:val="110"/>
          <w:sz w:val="12"/>
        </w:rPr>
        <w:t>Per cent</w:t>
      </w:r>
    </w:p>
    <w:p>
      <w:pPr>
        <w:pStyle w:val="BodyText"/>
        <w:spacing w:before="5"/>
      </w:pPr>
      <w:r>
        <w:rPr/>
        <w:br w:type="column"/>
      </w:r>
      <w:r>
        <w:rPr/>
      </w:r>
    </w:p>
    <w:p>
      <w:pPr>
        <w:pStyle w:val="BodyText"/>
        <w:spacing w:line="292" w:lineRule="auto"/>
        <w:ind w:left="180" w:right="230"/>
      </w:pPr>
      <w:r>
        <w:rPr>
          <w:spacing w:val="-3"/>
          <w:w w:val="110"/>
        </w:rPr>
        <w:t>interest </w:t>
      </w:r>
      <w:r>
        <w:rPr>
          <w:spacing w:val="-4"/>
          <w:w w:val="110"/>
        </w:rPr>
        <w:t>rates </w:t>
      </w:r>
      <w:r>
        <w:rPr>
          <w:spacing w:val="-3"/>
          <w:w w:val="110"/>
        </w:rPr>
        <w:t>may </w:t>
      </w:r>
      <w:r>
        <w:rPr>
          <w:w w:val="110"/>
        </w:rPr>
        <w:t>reflect expectations of </w:t>
      </w:r>
      <w:r>
        <w:rPr>
          <w:spacing w:val="-3"/>
          <w:w w:val="110"/>
        </w:rPr>
        <w:t>lower short-term </w:t>
      </w:r>
      <w:r>
        <w:rPr>
          <w:w w:val="110"/>
        </w:rPr>
        <w:t>world</w:t>
      </w:r>
      <w:r>
        <w:rPr>
          <w:spacing w:val="-22"/>
          <w:w w:val="110"/>
        </w:rPr>
        <w:t> </w:t>
      </w:r>
      <w:r>
        <w:rPr>
          <w:w w:val="110"/>
        </w:rPr>
        <w:t>demand</w:t>
      </w:r>
      <w:r>
        <w:rPr>
          <w:spacing w:val="-22"/>
          <w:w w:val="110"/>
        </w:rPr>
        <w:t> </w:t>
      </w:r>
      <w:r>
        <w:rPr>
          <w:w w:val="110"/>
        </w:rPr>
        <w:t>growth,</w:t>
      </w:r>
      <w:r>
        <w:rPr>
          <w:spacing w:val="-22"/>
          <w:w w:val="110"/>
        </w:rPr>
        <w:t> </w:t>
      </w:r>
      <w:r>
        <w:rPr>
          <w:w w:val="110"/>
        </w:rPr>
        <w:t>perhaps</w:t>
      </w:r>
      <w:r>
        <w:rPr>
          <w:spacing w:val="-21"/>
          <w:w w:val="110"/>
        </w:rPr>
        <w:t> </w:t>
      </w:r>
      <w:r>
        <w:rPr>
          <w:spacing w:val="-3"/>
          <w:w w:val="110"/>
        </w:rPr>
        <w:t>related</w:t>
      </w:r>
      <w:r>
        <w:rPr>
          <w:spacing w:val="-22"/>
          <w:w w:val="110"/>
        </w:rPr>
        <w:t> </w:t>
      </w:r>
      <w:r>
        <w:rPr>
          <w:spacing w:val="-4"/>
          <w:w w:val="110"/>
        </w:rPr>
        <w:t>to</w:t>
      </w:r>
      <w:r>
        <w:rPr>
          <w:spacing w:val="-22"/>
          <w:w w:val="110"/>
        </w:rPr>
        <w:t> </w:t>
      </w:r>
      <w:r>
        <w:rPr>
          <w:w w:val="110"/>
        </w:rPr>
        <w:t>a</w:t>
      </w:r>
      <w:r>
        <w:rPr>
          <w:spacing w:val="-21"/>
          <w:w w:val="110"/>
        </w:rPr>
        <w:t> </w:t>
      </w:r>
      <w:r>
        <w:rPr>
          <w:w w:val="110"/>
        </w:rPr>
        <w:t>reassessment</w:t>
      </w:r>
      <w:r>
        <w:rPr>
          <w:spacing w:val="-22"/>
          <w:w w:val="110"/>
        </w:rPr>
        <w:t> </w:t>
      </w:r>
      <w:r>
        <w:rPr>
          <w:w w:val="110"/>
        </w:rPr>
        <w:t>of real </w:t>
      </w:r>
      <w:r>
        <w:rPr>
          <w:spacing w:val="-4"/>
          <w:w w:val="110"/>
        </w:rPr>
        <w:t>rates </w:t>
      </w:r>
      <w:r>
        <w:rPr>
          <w:w w:val="110"/>
        </w:rPr>
        <w:t>of return from</w:t>
      </w:r>
      <w:r>
        <w:rPr>
          <w:spacing w:val="-28"/>
          <w:w w:val="110"/>
        </w:rPr>
        <w:t> </w:t>
      </w:r>
      <w:r>
        <w:rPr>
          <w:spacing w:val="-3"/>
          <w:w w:val="110"/>
        </w:rPr>
        <w:t>investment.</w:t>
      </w:r>
    </w:p>
    <w:p>
      <w:pPr>
        <w:spacing w:after="0" w:line="292" w:lineRule="auto"/>
        <w:sectPr>
          <w:type w:val="continuous"/>
          <w:pgSz w:w="11900" w:h="16840"/>
          <w:pgMar w:top="1260" w:bottom="280" w:left="640" w:right="640"/>
          <w:cols w:num="2" w:equalWidth="0">
            <w:col w:w="3733" w:space="1187"/>
            <w:col w:w="5700"/>
          </w:cols>
        </w:sectPr>
      </w:pPr>
    </w:p>
    <w:p>
      <w:pPr>
        <w:pStyle w:val="BodyText"/>
        <w:spacing w:before="7"/>
        <w:rPr>
          <w:sz w:val="3"/>
        </w:rPr>
      </w:pPr>
    </w:p>
    <w:p>
      <w:pPr>
        <w:tabs>
          <w:tab w:pos="3386" w:val="left" w:leader="none"/>
        </w:tabs>
        <w:spacing w:line="20" w:lineRule="exact"/>
        <w:ind w:left="239" w:right="-29" w:firstLine="0"/>
        <w:rPr>
          <w:sz w:val="2"/>
        </w:rPr>
      </w:pPr>
      <w:r>
        <w:rPr>
          <w:sz w:val="2"/>
        </w:rPr>
        <w:drawing>
          <wp:inline distT="0" distB="0" distL="0" distR="0">
            <wp:extent cx="54478" cy="6286"/>
            <wp:effectExtent l="0" t="0" r="0" b="0"/>
            <wp:docPr id="209" name="image13.png"/>
            <wp:cNvGraphicFramePr>
              <a:graphicFrameLocks noChangeAspect="1"/>
            </wp:cNvGraphicFramePr>
            <a:graphic>
              <a:graphicData uri="http://schemas.openxmlformats.org/drawingml/2006/picture">
                <pic:pic>
                  <pic:nvPicPr>
                    <pic:cNvPr id="210" name="image13.png"/>
                    <pic:cNvPicPr/>
                  </pic:nvPicPr>
                  <pic:blipFill>
                    <a:blip r:embed="rId34" cstate="print"/>
                    <a:stretch>
                      <a:fillRect/>
                    </a:stretch>
                  </pic:blipFill>
                  <pic:spPr>
                    <a:xfrm>
                      <a:off x="0" y="0"/>
                      <a:ext cx="54478" cy="6286"/>
                    </a:xfrm>
                    <a:prstGeom prst="rect">
                      <a:avLst/>
                    </a:prstGeom>
                  </pic:spPr>
                </pic:pic>
              </a:graphicData>
            </a:graphic>
          </wp:inline>
        </w:drawing>
      </w:r>
      <w:r>
        <w:rPr>
          <w:sz w:val="2"/>
        </w:rPr>
      </w:r>
      <w:r>
        <w:rPr>
          <w:sz w:val="2"/>
        </w:rPr>
        <w:tab/>
      </w:r>
      <w:r>
        <w:rPr>
          <w:sz w:val="2"/>
        </w:rPr>
        <w:drawing>
          <wp:inline distT="0" distB="0" distL="0" distR="0">
            <wp:extent cx="55291" cy="6381"/>
            <wp:effectExtent l="0" t="0" r="0" b="0"/>
            <wp:docPr id="211" name="image10.png"/>
            <wp:cNvGraphicFramePr>
              <a:graphicFrameLocks noChangeAspect="1"/>
            </wp:cNvGraphicFramePr>
            <a:graphic>
              <a:graphicData uri="http://schemas.openxmlformats.org/drawingml/2006/picture">
                <pic:pic>
                  <pic:nvPicPr>
                    <pic:cNvPr id="212" name="image10.png"/>
                    <pic:cNvPicPr/>
                  </pic:nvPicPr>
                  <pic:blipFill>
                    <a:blip r:embed="rId31" cstate="print"/>
                    <a:stretch>
                      <a:fillRect/>
                    </a:stretch>
                  </pic:blipFill>
                  <pic:spPr>
                    <a:xfrm>
                      <a:off x="0" y="0"/>
                      <a:ext cx="55291" cy="6381"/>
                    </a:xfrm>
                    <a:prstGeom prst="rect">
                      <a:avLst/>
                    </a:prstGeom>
                  </pic:spPr>
                </pic:pic>
              </a:graphicData>
            </a:graphic>
          </wp:inline>
        </w:drawing>
      </w:r>
      <w:r>
        <w:rPr>
          <w:sz w:val="2"/>
        </w:rPr>
      </w:r>
    </w:p>
    <w:p>
      <w:pPr>
        <w:pStyle w:val="BodyText"/>
        <w:spacing w:before="8"/>
        <w:rPr>
          <w:sz w:val="22"/>
        </w:rPr>
      </w:pPr>
      <w:r>
        <w:rPr/>
        <w:drawing>
          <wp:anchor distT="0" distB="0" distL="0" distR="0" allowOverlap="1" layoutInCell="1" locked="0" behindDoc="0" simplePos="0" relativeHeight="244">
            <wp:simplePos x="0" y="0"/>
            <wp:positionH relativeFrom="page">
              <wp:posOffset>558533</wp:posOffset>
            </wp:positionH>
            <wp:positionV relativeFrom="paragraph">
              <wp:posOffset>193375</wp:posOffset>
            </wp:positionV>
            <wp:extent cx="55304" cy="6381"/>
            <wp:effectExtent l="0" t="0" r="0" b="0"/>
            <wp:wrapTopAndBottom/>
            <wp:docPr id="213" name="image8.png"/>
            <wp:cNvGraphicFramePr>
              <a:graphicFrameLocks noChangeAspect="1"/>
            </wp:cNvGraphicFramePr>
            <a:graphic>
              <a:graphicData uri="http://schemas.openxmlformats.org/drawingml/2006/picture">
                <pic:pic>
                  <pic:nvPicPr>
                    <pic:cNvPr id="214"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45">
            <wp:simplePos x="0" y="0"/>
            <wp:positionH relativeFrom="page">
              <wp:posOffset>2556522</wp:posOffset>
            </wp:positionH>
            <wp:positionV relativeFrom="paragraph">
              <wp:posOffset>191089</wp:posOffset>
            </wp:positionV>
            <wp:extent cx="55291" cy="6381"/>
            <wp:effectExtent l="0" t="0" r="0" b="0"/>
            <wp:wrapTopAndBottom/>
            <wp:docPr id="215" name="image10.png"/>
            <wp:cNvGraphicFramePr>
              <a:graphicFrameLocks noChangeAspect="1"/>
            </wp:cNvGraphicFramePr>
            <a:graphic>
              <a:graphicData uri="http://schemas.openxmlformats.org/drawingml/2006/picture">
                <pic:pic>
                  <pic:nvPicPr>
                    <pic:cNvPr id="216" name="image10.png"/>
                    <pic:cNvPicPr/>
                  </pic:nvPicPr>
                  <pic:blipFill>
                    <a:blip r:embed="rId31" cstate="print"/>
                    <a:stretch>
                      <a:fillRect/>
                    </a:stretch>
                  </pic:blipFill>
                  <pic:spPr>
                    <a:xfrm>
                      <a:off x="0" y="0"/>
                      <a:ext cx="55291" cy="6381"/>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8"/>
        </w:rPr>
      </w:pPr>
      <w:r>
        <w:rPr/>
        <w:drawing>
          <wp:anchor distT="0" distB="0" distL="0" distR="0" allowOverlap="1" layoutInCell="1" locked="0" behindDoc="0" simplePos="0" relativeHeight="246">
            <wp:simplePos x="0" y="0"/>
            <wp:positionH relativeFrom="page">
              <wp:posOffset>558533</wp:posOffset>
            </wp:positionH>
            <wp:positionV relativeFrom="paragraph">
              <wp:posOffset>232998</wp:posOffset>
            </wp:positionV>
            <wp:extent cx="55304" cy="6381"/>
            <wp:effectExtent l="0" t="0" r="0" b="0"/>
            <wp:wrapTopAndBottom/>
            <wp:docPr id="217" name="image8.png"/>
            <wp:cNvGraphicFramePr>
              <a:graphicFrameLocks noChangeAspect="1"/>
            </wp:cNvGraphicFramePr>
            <a:graphic>
              <a:graphicData uri="http://schemas.openxmlformats.org/drawingml/2006/picture">
                <pic:pic>
                  <pic:nvPicPr>
                    <pic:cNvPr id="218"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47">
            <wp:simplePos x="0" y="0"/>
            <wp:positionH relativeFrom="page">
              <wp:posOffset>2556522</wp:posOffset>
            </wp:positionH>
            <wp:positionV relativeFrom="paragraph">
              <wp:posOffset>230712</wp:posOffset>
            </wp:positionV>
            <wp:extent cx="55291" cy="6381"/>
            <wp:effectExtent l="0" t="0" r="0" b="0"/>
            <wp:wrapTopAndBottom/>
            <wp:docPr id="219" name="image10.png"/>
            <wp:cNvGraphicFramePr>
              <a:graphicFrameLocks noChangeAspect="1"/>
            </wp:cNvGraphicFramePr>
            <a:graphic>
              <a:graphicData uri="http://schemas.openxmlformats.org/drawingml/2006/picture">
                <pic:pic>
                  <pic:nvPicPr>
                    <pic:cNvPr id="220" name="image10.png"/>
                    <pic:cNvPicPr/>
                  </pic:nvPicPr>
                  <pic:blipFill>
                    <a:blip r:embed="rId31" cstate="print"/>
                    <a:stretch>
                      <a:fillRect/>
                    </a:stretch>
                  </pic:blipFill>
                  <pic:spPr>
                    <a:xfrm>
                      <a:off x="0" y="0"/>
                      <a:ext cx="55291" cy="6381"/>
                    </a:xfrm>
                    <a:prstGeom prst="rect">
                      <a:avLst/>
                    </a:prstGeom>
                  </pic:spPr>
                </pic:pic>
              </a:graphicData>
            </a:graphic>
          </wp:anchor>
        </w:drawing>
      </w:r>
    </w:p>
    <w:p>
      <w:pPr>
        <w:pStyle w:val="BodyText"/>
        <w:spacing w:before="2"/>
        <w:rPr>
          <w:sz w:val="24"/>
        </w:rPr>
      </w:pPr>
    </w:p>
    <w:p>
      <w:pPr>
        <w:pStyle w:val="BodyText"/>
        <w:spacing w:line="142" w:lineRule="exact"/>
        <w:ind w:left="239" w:right="-72"/>
        <w:rPr>
          <w:sz w:val="14"/>
        </w:rPr>
      </w:pPr>
      <w:r>
        <w:rPr>
          <w:position w:val="-2"/>
          <w:sz w:val="14"/>
        </w:rPr>
        <w:drawing>
          <wp:inline distT="0" distB="0" distL="0" distR="0">
            <wp:extent cx="2080598" cy="90487"/>
            <wp:effectExtent l="0" t="0" r="0" b="0"/>
            <wp:docPr id="221" name="image29.png"/>
            <wp:cNvGraphicFramePr>
              <a:graphicFrameLocks noChangeAspect="1"/>
            </wp:cNvGraphicFramePr>
            <a:graphic>
              <a:graphicData uri="http://schemas.openxmlformats.org/drawingml/2006/picture">
                <pic:pic>
                  <pic:nvPicPr>
                    <pic:cNvPr id="222" name="image29.png"/>
                    <pic:cNvPicPr/>
                  </pic:nvPicPr>
                  <pic:blipFill>
                    <a:blip r:embed="rId56" cstate="print"/>
                    <a:stretch>
                      <a:fillRect/>
                    </a:stretch>
                  </pic:blipFill>
                  <pic:spPr>
                    <a:xfrm>
                      <a:off x="0" y="0"/>
                      <a:ext cx="2080598" cy="90487"/>
                    </a:xfrm>
                    <a:prstGeom prst="rect">
                      <a:avLst/>
                    </a:prstGeom>
                  </pic:spPr>
                </pic:pic>
              </a:graphicData>
            </a:graphic>
          </wp:inline>
        </w:drawing>
      </w:r>
      <w:r>
        <w:rPr>
          <w:position w:val="-2"/>
          <w:sz w:val="14"/>
        </w:rPr>
      </w:r>
    </w:p>
    <w:p>
      <w:pPr>
        <w:tabs>
          <w:tab w:pos="1179" w:val="left" w:leader="none"/>
          <w:tab w:pos="1766" w:val="left" w:leader="none"/>
          <w:tab w:pos="2339" w:val="left" w:leader="none"/>
          <w:tab w:pos="2844" w:val="left" w:leader="none"/>
        </w:tabs>
        <w:spacing w:before="44"/>
        <w:ind w:left="547" w:right="0" w:firstLine="0"/>
        <w:jc w:val="left"/>
        <w:rPr>
          <w:sz w:val="12"/>
        </w:rPr>
      </w:pPr>
      <w:r>
        <w:rPr/>
        <w:drawing>
          <wp:anchor distT="0" distB="0" distL="0" distR="0" allowOverlap="1" layoutInCell="1" locked="0" behindDoc="0" simplePos="0" relativeHeight="15858688">
            <wp:simplePos x="0" y="0"/>
            <wp:positionH relativeFrom="page">
              <wp:posOffset>558533</wp:posOffset>
            </wp:positionH>
            <wp:positionV relativeFrom="paragraph">
              <wp:posOffset>-903031</wp:posOffset>
            </wp:positionV>
            <wp:extent cx="54478" cy="6286"/>
            <wp:effectExtent l="0" t="0" r="0" b="0"/>
            <wp:wrapNone/>
            <wp:docPr id="223" name="image13.png"/>
            <wp:cNvGraphicFramePr>
              <a:graphicFrameLocks noChangeAspect="1"/>
            </wp:cNvGraphicFramePr>
            <a:graphic>
              <a:graphicData uri="http://schemas.openxmlformats.org/drawingml/2006/picture">
                <pic:pic>
                  <pic:nvPicPr>
                    <pic:cNvPr id="224"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59200">
            <wp:simplePos x="0" y="0"/>
            <wp:positionH relativeFrom="page">
              <wp:posOffset>558533</wp:posOffset>
            </wp:positionH>
            <wp:positionV relativeFrom="paragraph">
              <wp:posOffset>-699298</wp:posOffset>
            </wp:positionV>
            <wp:extent cx="55304" cy="6381"/>
            <wp:effectExtent l="0" t="0" r="0" b="0"/>
            <wp:wrapNone/>
            <wp:docPr id="225" name="image8.png"/>
            <wp:cNvGraphicFramePr>
              <a:graphicFrameLocks noChangeAspect="1"/>
            </wp:cNvGraphicFramePr>
            <a:graphic>
              <a:graphicData uri="http://schemas.openxmlformats.org/drawingml/2006/picture">
                <pic:pic>
                  <pic:nvPicPr>
                    <pic:cNvPr id="226"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59712">
            <wp:simplePos x="0" y="0"/>
            <wp:positionH relativeFrom="page">
              <wp:posOffset>558533</wp:posOffset>
            </wp:positionH>
            <wp:positionV relativeFrom="paragraph">
              <wp:posOffset>-495565</wp:posOffset>
            </wp:positionV>
            <wp:extent cx="55304" cy="6381"/>
            <wp:effectExtent l="0" t="0" r="0" b="0"/>
            <wp:wrapNone/>
            <wp:docPr id="227" name="image8.png"/>
            <wp:cNvGraphicFramePr>
              <a:graphicFrameLocks noChangeAspect="1"/>
            </wp:cNvGraphicFramePr>
            <a:graphic>
              <a:graphicData uri="http://schemas.openxmlformats.org/drawingml/2006/picture">
                <pic:pic>
                  <pic:nvPicPr>
                    <pic:cNvPr id="228" name="image8.png"/>
                    <pic:cNvPicPr/>
                  </pic:nvPicPr>
                  <pic:blipFill>
                    <a:blip r:embed="rId29" cstate="print"/>
                    <a:stretch>
                      <a:fillRect/>
                    </a:stretch>
                  </pic:blipFill>
                  <pic:spPr>
                    <a:xfrm>
                      <a:off x="0" y="0"/>
                      <a:ext cx="55304" cy="6381"/>
                    </a:xfrm>
                    <a:prstGeom prst="rect">
                      <a:avLst/>
                    </a:prstGeom>
                  </pic:spPr>
                </pic:pic>
              </a:graphicData>
            </a:graphic>
          </wp:anchor>
        </w:drawing>
      </w:r>
      <w:r>
        <w:rPr>
          <w:w w:val="120"/>
          <w:sz w:val="12"/>
        </w:rPr>
        <w:t>1996</w:t>
        <w:tab/>
        <w:t>97</w:t>
        <w:tab/>
        <w:t>98</w:t>
        <w:tab/>
        <w:t>99</w:t>
        <w:tab/>
        <w:t>2000</w:t>
      </w:r>
      <w:r>
        <w:rPr>
          <w:spacing w:val="18"/>
          <w:w w:val="120"/>
          <w:sz w:val="12"/>
        </w:rPr>
        <w:t> </w:t>
      </w:r>
      <w:r>
        <w:rPr>
          <w:w w:val="120"/>
          <w:sz w:val="12"/>
        </w:rPr>
        <w:t>01</w:t>
      </w:r>
    </w:p>
    <w:p>
      <w:pPr>
        <w:pStyle w:val="BodyText"/>
        <w:spacing w:before="6"/>
        <w:rPr>
          <w:sz w:val="13"/>
        </w:rPr>
      </w:pPr>
    </w:p>
    <w:p>
      <w:pPr>
        <w:spacing w:before="0"/>
        <w:ind w:left="195" w:right="0" w:firstLine="0"/>
        <w:jc w:val="left"/>
        <w:rPr>
          <w:sz w:val="12"/>
        </w:rPr>
      </w:pPr>
      <w:r>
        <w:rPr>
          <w:w w:val="105"/>
          <w:sz w:val="12"/>
        </w:rPr>
        <w:t>Sources: Bank of England and Moneyfacts.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7"/>
        </w:rPr>
      </w:pPr>
    </w:p>
    <w:p>
      <w:pPr>
        <w:pStyle w:val="Heading6"/>
        <w:ind w:left="179"/>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1.15</w:t>
      </w:r>
    </w:p>
    <w:p>
      <w:pPr>
        <w:spacing w:line="116" w:lineRule="exact" w:before="0"/>
        <w:ind w:left="14" w:right="0" w:firstLine="0"/>
        <w:jc w:val="left"/>
        <w:rPr>
          <w:sz w:val="12"/>
        </w:rPr>
      </w:pPr>
      <w:r>
        <w:rPr/>
        <w:br w:type="column"/>
      </w:r>
      <w:r>
        <w:rPr>
          <w:w w:val="115"/>
          <w:sz w:val="12"/>
        </w:rPr>
        <w:t>9.0</w:t>
      </w:r>
    </w:p>
    <w:p>
      <w:pPr>
        <w:pStyle w:val="BodyText"/>
        <w:spacing w:before="10"/>
        <w:rPr>
          <w:sz w:val="15"/>
        </w:rPr>
      </w:pPr>
    </w:p>
    <w:p>
      <w:pPr>
        <w:spacing w:before="0"/>
        <w:ind w:left="14" w:right="0" w:firstLine="0"/>
        <w:jc w:val="left"/>
        <w:rPr>
          <w:sz w:val="12"/>
        </w:rPr>
      </w:pPr>
      <w:r>
        <w:rPr/>
        <w:pict>
          <v:group style="position:absolute;margin-left:52.029999pt;margin-top:5.570374pt;width:145.5pt;height:106.65pt;mso-position-horizontal-relative:page;mso-position-vertical-relative:paragraph;z-index:15856640" coordorigin="1041,111" coordsize="2910,2133">
            <v:shape style="position:absolute;left:1040;top:111;width:2910;height:2133" type="#_x0000_t75" stroked="false">
              <v:imagedata r:id="rId57" o:title=""/>
            </v:shape>
            <v:shape style="position:absolute;left:1762;top:141;width:748;height:121" type="#_x0000_t202" filled="false" stroked="false">
              <v:textbox inset="0,0,0,0">
                <w:txbxContent>
                  <w:p>
                    <w:pPr>
                      <w:spacing w:line="116" w:lineRule="exact" w:before="0"/>
                      <w:ind w:left="0" w:right="0" w:firstLine="0"/>
                      <w:jc w:val="left"/>
                      <w:rPr>
                        <w:sz w:val="12"/>
                      </w:rPr>
                    </w:pPr>
                    <w:r>
                      <w:rPr>
                        <w:w w:val="110"/>
                        <w:sz w:val="12"/>
                      </w:rPr>
                      <w:t>Mortgage rate</w:t>
                    </w:r>
                  </w:p>
                </w:txbxContent>
              </v:textbox>
              <w10:wrap type="none"/>
            </v:shape>
            <v:shape style="position:absolute;left:2136;top:1716;width:519;height:121" type="#_x0000_t202" filled="false" stroked="false">
              <v:textbox inset="0,0,0,0">
                <w:txbxContent>
                  <w:p>
                    <w:pPr>
                      <w:spacing w:line="116" w:lineRule="exact" w:before="0"/>
                      <w:ind w:left="0" w:right="0" w:firstLine="0"/>
                      <w:jc w:val="left"/>
                      <w:rPr>
                        <w:sz w:val="12"/>
                      </w:rPr>
                    </w:pPr>
                    <w:r>
                      <w:rPr>
                        <w:w w:val="105"/>
                        <w:sz w:val="12"/>
                      </w:rPr>
                      <w:t>Swap rate</w:t>
                    </w:r>
                  </w:p>
                </w:txbxContent>
              </v:textbox>
              <w10:wrap type="none"/>
            </v:shape>
            <w10:wrap type="none"/>
          </v:group>
        </w:pict>
      </w:r>
      <w:r>
        <w:rPr>
          <w:w w:val="115"/>
          <w:sz w:val="12"/>
        </w:rPr>
        <w:t>8.5</w:t>
      </w:r>
    </w:p>
    <w:p>
      <w:pPr>
        <w:pStyle w:val="BodyText"/>
        <w:spacing w:before="10"/>
        <w:rPr>
          <w:sz w:val="15"/>
        </w:rPr>
      </w:pPr>
    </w:p>
    <w:p>
      <w:pPr>
        <w:spacing w:before="0"/>
        <w:ind w:left="14" w:right="0" w:firstLine="0"/>
        <w:jc w:val="left"/>
        <w:rPr>
          <w:sz w:val="12"/>
        </w:rPr>
      </w:pPr>
      <w:r>
        <w:rPr/>
        <w:drawing>
          <wp:anchor distT="0" distB="0" distL="0" distR="0" allowOverlap="1" layoutInCell="1" locked="0" behindDoc="0" simplePos="0" relativeHeight="15860224">
            <wp:simplePos x="0" y="0"/>
            <wp:positionH relativeFrom="page">
              <wp:posOffset>2556522</wp:posOffset>
            </wp:positionH>
            <wp:positionV relativeFrom="paragraph">
              <wp:posOffset>40603</wp:posOffset>
            </wp:positionV>
            <wp:extent cx="54466" cy="6286"/>
            <wp:effectExtent l="0" t="0" r="0" b="0"/>
            <wp:wrapNone/>
            <wp:docPr id="229" name="image12.png"/>
            <wp:cNvGraphicFramePr>
              <a:graphicFrameLocks noChangeAspect="1"/>
            </wp:cNvGraphicFramePr>
            <a:graphic>
              <a:graphicData uri="http://schemas.openxmlformats.org/drawingml/2006/picture">
                <pic:pic>
                  <pic:nvPicPr>
                    <pic:cNvPr id="230" name="image12.png"/>
                    <pic:cNvPicPr/>
                  </pic:nvPicPr>
                  <pic:blipFill>
                    <a:blip r:embed="rId33" cstate="print"/>
                    <a:stretch>
                      <a:fillRect/>
                    </a:stretch>
                  </pic:blipFill>
                  <pic:spPr>
                    <a:xfrm>
                      <a:off x="0" y="0"/>
                      <a:ext cx="54466" cy="6286"/>
                    </a:xfrm>
                    <a:prstGeom prst="rect">
                      <a:avLst/>
                    </a:prstGeom>
                  </pic:spPr>
                </pic:pic>
              </a:graphicData>
            </a:graphic>
          </wp:anchor>
        </w:drawing>
      </w:r>
      <w:r>
        <w:rPr>
          <w:w w:val="115"/>
          <w:sz w:val="12"/>
        </w:rPr>
        <w:t>8.0</w:t>
      </w:r>
    </w:p>
    <w:p>
      <w:pPr>
        <w:pStyle w:val="BodyText"/>
        <w:spacing w:before="10"/>
        <w:rPr>
          <w:sz w:val="15"/>
        </w:rPr>
      </w:pPr>
    </w:p>
    <w:p>
      <w:pPr>
        <w:spacing w:before="0"/>
        <w:ind w:left="14" w:right="0" w:firstLine="0"/>
        <w:jc w:val="left"/>
        <w:rPr>
          <w:sz w:val="12"/>
        </w:rPr>
      </w:pPr>
      <w:r>
        <w:rPr/>
        <w:drawing>
          <wp:anchor distT="0" distB="0" distL="0" distR="0" allowOverlap="1" layoutInCell="1" locked="0" behindDoc="0" simplePos="0" relativeHeight="15860736">
            <wp:simplePos x="0" y="0"/>
            <wp:positionH relativeFrom="page">
              <wp:posOffset>2556522</wp:posOffset>
            </wp:positionH>
            <wp:positionV relativeFrom="paragraph">
              <wp:posOffset>40779</wp:posOffset>
            </wp:positionV>
            <wp:extent cx="54466" cy="6286"/>
            <wp:effectExtent l="0" t="0" r="0" b="0"/>
            <wp:wrapNone/>
            <wp:docPr id="231" name="image12.png"/>
            <wp:cNvGraphicFramePr>
              <a:graphicFrameLocks noChangeAspect="1"/>
            </wp:cNvGraphicFramePr>
            <a:graphic>
              <a:graphicData uri="http://schemas.openxmlformats.org/drawingml/2006/picture">
                <pic:pic>
                  <pic:nvPicPr>
                    <pic:cNvPr id="232" name="image12.png"/>
                    <pic:cNvPicPr/>
                  </pic:nvPicPr>
                  <pic:blipFill>
                    <a:blip r:embed="rId33" cstate="print"/>
                    <a:stretch>
                      <a:fillRect/>
                    </a:stretch>
                  </pic:blipFill>
                  <pic:spPr>
                    <a:xfrm>
                      <a:off x="0" y="0"/>
                      <a:ext cx="54466" cy="6286"/>
                    </a:xfrm>
                    <a:prstGeom prst="rect">
                      <a:avLst/>
                    </a:prstGeom>
                  </pic:spPr>
                </pic:pic>
              </a:graphicData>
            </a:graphic>
          </wp:anchor>
        </w:drawing>
      </w:r>
      <w:r>
        <w:rPr>
          <w:w w:val="115"/>
          <w:sz w:val="12"/>
        </w:rPr>
        <w:t>7.5</w:t>
      </w:r>
    </w:p>
    <w:p>
      <w:pPr>
        <w:pStyle w:val="BodyText"/>
        <w:spacing w:before="10"/>
        <w:rPr>
          <w:sz w:val="15"/>
        </w:rPr>
      </w:pPr>
    </w:p>
    <w:p>
      <w:pPr>
        <w:spacing w:before="0"/>
        <w:ind w:left="14" w:right="0" w:firstLine="0"/>
        <w:jc w:val="left"/>
        <w:rPr>
          <w:sz w:val="12"/>
        </w:rPr>
      </w:pPr>
      <w:r>
        <w:rPr/>
        <w:drawing>
          <wp:anchor distT="0" distB="0" distL="0" distR="0" allowOverlap="1" layoutInCell="1" locked="0" behindDoc="0" simplePos="0" relativeHeight="15861248">
            <wp:simplePos x="0" y="0"/>
            <wp:positionH relativeFrom="page">
              <wp:posOffset>2556522</wp:posOffset>
            </wp:positionH>
            <wp:positionV relativeFrom="paragraph">
              <wp:posOffset>40967</wp:posOffset>
            </wp:positionV>
            <wp:extent cx="55291" cy="6381"/>
            <wp:effectExtent l="0" t="0" r="0" b="0"/>
            <wp:wrapNone/>
            <wp:docPr id="233" name="image10.png"/>
            <wp:cNvGraphicFramePr>
              <a:graphicFrameLocks noChangeAspect="1"/>
            </wp:cNvGraphicFramePr>
            <a:graphic>
              <a:graphicData uri="http://schemas.openxmlformats.org/drawingml/2006/picture">
                <pic:pic>
                  <pic:nvPicPr>
                    <pic:cNvPr id="234" name="image10.png"/>
                    <pic:cNvPicPr/>
                  </pic:nvPicPr>
                  <pic:blipFill>
                    <a:blip r:embed="rId31" cstate="print"/>
                    <a:stretch>
                      <a:fillRect/>
                    </a:stretch>
                  </pic:blipFill>
                  <pic:spPr>
                    <a:xfrm>
                      <a:off x="0" y="0"/>
                      <a:ext cx="55291" cy="6381"/>
                    </a:xfrm>
                    <a:prstGeom prst="rect">
                      <a:avLst/>
                    </a:prstGeom>
                  </pic:spPr>
                </pic:pic>
              </a:graphicData>
            </a:graphic>
          </wp:anchor>
        </w:drawing>
      </w:r>
      <w:r>
        <w:rPr>
          <w:w w:val="115"/>
          <w:sz w:val="12"/>
        </w:rPr>
        <w:t>7.0</w:t>
      </w:r>
    </w:p>
    <w:p>
      <w:pPr>
        <w:pStyle w:val="BodyText"/>
        <w:spacing w:before="10"/>
        <w:rPr>
          <w:sz w:val="15"/>
        </w:rPr>
      </w:pPr>
    </w:p>
    <w:p>
      <w:pPr>
        <w:spacing w:before="0"/>
        <w:ind w:left="14" w:right="0" w:firstLine="0"/>
        <w:jc w:val="left"/>
        <w:rPr>
          <w:sz w:val="12"/>
        </w:rPr>
      </w:pPr>
      <w:r>
        <w:rPr/>
        <w:drawing>
          <wp:anchor distT="0" distB="0" distL="0" distR="0" allowOverlap="1" layoutInCell="1" locked="0" behindDoc="0" simplePos="0" relativeHeight="15861760">
            <wp:simplePos x="0" y="0"/>
            <wp:positionH relativeFrom="page">
              <wp:posOffset>2556522</wp:posOffset>
            </wp:positionH>
            <wp:positionV relativeFrom="paragraph">
              <wp:posOffset>41154</wp:posOffset>
            </wp:positionV>
            <wp:extent cx="55291" cy="6381"/>
            <wp:effectExtent l="0" t="0" r="0" b="0"/>
            <wp:wrapNone/>
            <wp:docPr id="235" name="image10.png"/>
            <wp:cNvGraphicFramePr>
              <a:graphicFrameLocks noChangeAspect="1"/>
            </wp:cNvGraphicFramePr>
            <a:graphic>
              <a:graphicData uri="http://schemas.openxmlformats.org/drawingml/2006/picture">
                <pic:pic>
                  <pic:nvPicPr>
                    <pic:cNvPr id="236" name="image10.png"/>
                    <pic:cNvPicPr/>
                  </pic:nvPicPr>
                  <pic:blipFill>
                    <a:blip r:embed="rId31" cstate="print"/>
                    <a:stretch>
                      <a:fillRect/>
                    </a:stretch>
                  </pic:blipFill>
                  <pic:spPr>
                    <a:xfrm>
                      <a:off x="0" y="0"/>
                      <a:ext cx="55291" cy="6381"/>
                    </a:xfrm>
                    <a:prstGeom prst="rect">
                      <a:avLst/>
                    </a:prstGeom>
                  </pic:spPr>
                </pic:pic>
              </a:graphicData>
            </a:graphic>
          </wp:anchor>
        </w:drawing>
      </w:r>
      <w:r>
        <w:rPr>
          <w:w w:val="115"/>
          <w:sz w:val="12"/>
        </w:rPr>
        <w:t>6.5</w:t>
      </w:r>
    </w:p>
    <w:p>
      <w:pPr>
        <w:pStyle w:val="BodyText"/>
        <w:spacing w:before="10"/>
        <w:rPr>
          <w:sz w:val="15"/>
        </w:rPr>
      </w:pPr>
    </w:p>
    <w:p>
      <w:pPr>
        <w:spacing w:before="0"/>
        <w:ind w:left="14" w:right="0" w:firstLine="0"/>
        <w:jc w:val="left"/>
        <w:rPr>
          <w:sz w:val="12"/>
        </w:rPr>
      </w:pPr>
      <w:r>
        <w:rPr/>
        <w:drawing>
          <wp:anchor distT="0" distB="0" distL="0" distR="0" allowOverlap="1" layoutInCell="1" locked="0" behindDoc="0" simplePos="0" relativeHeight="15862272">
            <wp:simplePos x="0" y="0"/>
            <wp:positionH relativeFrom="page">
              <wp:posOffset>2556522</wp:posOffset>
            </wp:positionH>
            <wp:positionV relativeFrom="paragraph">
              <wp:posOffset>41330</wp:posOffset>
            </wp:positionV>
            <wp:extent cx="55291" cy="6381"/>
            <wp:effectExtent l="0" t="0" r="0" b="0"/>
            <wp:wrapNone/>
            <wp:docPr id="237" name="image10.png"/>
            <wp:cNvGraphicFramePr>
              <a:graphicFrameLocks noChangeAspect="1"/>
            </wp:cNvGraphicFramePr>
            <a:graphic>
              <a:graphicData uri="http://schemas.openxmlformats.org/drawingml/2006/picture">
                <pic:pic>
                  <pic:nvPicPr>
                    <pic:cNvPr id="238" name="image10.png"/>
                    <pic:cNvPicPr/>
                  </pic:nvPicPr>
                  <pic:blipFill>
                    <a:blip r:embed="rId31" cstate="print"/>
                    <a:stretch>
                      <a:fillRect/>
                    </a:stretch>
                  </pic:blipFill>
                  <pic:spPr>
                    <a:xfrm>
                      <a:off x="0" y="0"/>
                      <a:ext cx="55291" cy="6381"/>
                    </a:xfrm>
                    <a:prstGeom prst="rect">
                      <a:avLst/>
                    </a:prstGeom>
                  </pic:spPr>
                </pic:pic>
              </a:graphicData>
            </a:graphic>
          </wp:anchor>
        </w:drawing>
      </w:r>
      <w:r>
        <w:rPr>
          <w:w w:val="115"/>
          <w:sz w:val="12"/>
        </w:rPr>
        <w:t>6.0</w:t>
      </w:r>
    </w:p>
    <w:p>
      <w:pPr>
        <w:pStyle w:val="BodyText"/>
        <w:spacing w:before="10"/>
        <w:rPr>
          <w:sz w:val="15"/>
        </w:rPr>
      </w:pPr>
    </w:p>
    <w:p>
      <w:pPr>
        <w:spacing w:before="0"/>
        <w:ind w:left="14" w:right="0" w:firstLine="0"/>
        <w:jc w:val="left"/>
        <w:rPr>
          <w:sz w:val="12"/>
        </w:rPr>
      </w:pPr>
      <w:r>
        <w:rPr/>
        <w:drawing>
          <wp:anchor distT="0" distB="0" distL="0" distR="0" allowOverlap="1" layoutInCell="1" locked="0" behindDoc="0" simplePos="0" relativeHeight="15862784">
            <wp:simplePos x="0" y="0"/>
            <wp:positionH relativeFrom="page">
              <wp:posOffset>2556522</wp:posOffset>
            </wp:positionH>
            <wp:positionV relativeFrom="paragraph">
              <wp:posOffset>41518</wp:posOffset>
            </wp:positionV>
            <wp:extent cx="54466" cy="6286"/>
            <wp:effectExtent l="0" t="0" r="0" b="0"/>
            <wp:wrapNone/>
            <wp:docPr id="239" name="image12.png"/>
            <wp:cNvGraphicFramePr>
              <a:graphicFrameLocks noChangeAspect="1"/>
            </wp:cNvGraphicFramePr>
            <a:graphic>
              <a:graphicData uri="http://schemas.openxmlformats.org/drawingml/2006/picture">
                <pic:pic>
                  <pic:nvPicPr>
                    <pic:cNvPr id="240" name="image12.png"/>
                    <pic:cNvPicPr/>
                  </pic:nvPicPr>
                  <pic:blipFill>
                    <a:blip r:embed="rId33" cstate="print"/>
                    <a:stretch>
                      <a:fillRect/>
                    </a:stretch>
                  </pic:blipFill>
                  <pic:spPr>
                    <a:xfrm>
                      <a:off x="0" y="0"/>
                      <a:ext cx="54466" cy="6286"/>
                    </a:xfrm>
                    <a:prstGeom prst="rect">
                      <a:avLst/>
                    </a:prstGeom>
                  </pic:spPr>
                </pic:pic>
              </a:graphicData>
            </a:graphic>
          </wp:anchor>
        </w:drawing>
      </w:r>
      <w:r>
        <w:rPr>
          <w:w w:val="115"/>
          <w:sz w:val="12"/>
        </w:rPr>
        <w:t>5.5</w:t>
      </w:r>
    </w:p>
    <w:p>
      <w:pPr>
        <w:pStyle w:val="BodyText"/>
        <w:spacing w:before="10"/>
        <w:rPr>
          <w:sz w:val="15"/>
        </w:rPr>
      </w:pPr>
    </w:p>
    <w:p>
      <w:pPr>
        <w:spacing w:before="0"/>
        <w:ind w:left="14" w:right="0" w:firstLine="0"/>
        <w:jc w:val="left"/>
        <w:rPr>
          <w:sz w:val="12"/>
        </w:rPr>
      </w:pPr>
      <w:r>
        <w:rPr>
          <w:w w:val="115"/>
          <w:sz w:val="12"/>
        </w:rPr>
        <w:t>5.0</w:t>
      </w:r>
    </w:p>
    <w:p>
      <w:pPr>
        <w:pStyle w:val="BodyText"/>
        <w:spacing w:before="10"/>
        <w:rPr>
          <w:sz w:val="15"/>
        </w:rPr>
      </w:pPr>
    </w:p>
    <w:p>
      <w:pPr>
        <w:spacing w:line="131" w:lineRule="exact" w:before="0"/>
        <w:ind w:left="14" w:right="0" w:firstLine="0"/>
        <w:jc w:val="left"/>
        <w:rPr>
          <w:sz w:val="12"/>
        </w:rPr>
      </w:pPr>
      <w:r>
        <w:rPr>
          <w:w w:val="115"/>
          <w:sz w:val="12"/>
        </w:rPr>
        <w:t>4.5</w:t>
      </w:r>
    </w:p>
    <w:p>
      <w:pPr>
        <w:spacing w:line="131" w:lineRule="exact" w:before="0"/>
        <w:ind w:left="14" w:right="0" w:firstLine="0"/>
        <w:jc w:val="left"/>
        <w:rPr>
          <w:sz w:val="12"/>
        </w:rPr>
      </w:pPr>
      <w:r>
        <w:rPr>
          <w:w w:val="115"/>
          <w:sz w:val="12"/>
        </w:rPr>
        <w:t>0.0</w:t>
      </w:r>
    </w:p>
    <w:p>
      <w:pPr>
        <w:pStyle w:val="Heading6"/>
        <w:spacing w:before="180"/>
        <w:ind w:left="179"/>
      </w:pPr>
      <w:r>
        <w:rPr>
          <w:b w:val="0"/>
        </w:rPr>
        <w:br w:type="column"/>
      </w:r>
      <w:r>
        <w:rPr>
          <w:color w:val="89C6DC"/>
        </w:rPr>
        <w:t>Household borrowing rates</w:t>
      </w:r>
    </w:p>
    <w:p>
      <w:pPr>
        <w:pStyle w:val="BodyText"/>
        <w:rPr>
          <w:rFonts w:ascii="Trebuchet MS"/>
          <w:b/>
          <w:sz w:val="18"/>
        </w:rPr>
      </w:pPr>
    </w:p>
    <w:p>
      <w:pPr>
        <w:pStyle w:val="BodyText"/>
        <w:spacing w:line="292" w:lineRule="auto"/>
        <w:ind w:left="299" w:right="136"/>
      </w:pPr>
      <w:r>
        <w:rPr>
          <w:spacing w:val="-4"/>
          <w:w w:val="110"/>
        </w:rPr>
        <w:t>Longer-term </w:t>
      </w:r>
      <w:r>
        <w:rPr>
          <w:spacing w:val="-3"/>
          <w:w w:val="110"/>
        </w:rPr>
        <w:t>interest </w:t>
      </w:r>
      <w:r>
        <w:rPr>
          <w:spacing w:val="-4"/>
          <w:w w:val="110"/>
        </w:rPr>
        <w:t>rates </w:t>
      </w:r>
      <w:r>
        <w:rPr>
          <w:w w:val="110"/>
        </w:rPr>
        <w:t>affect the cost of borrowing in the household sector primarily through their impact on </w:t>
      </w:r>
      <w:r>
        <w:rPr>
          <w:spacing w:val="-3"/>
          <w:w w:val="110"/>
        </w:rPr>
        <w:t>fixed-rate </w:t>
      </w:r>
      <w:r>
        <w:rPr>
          <w:w w:val="110"/>
        </w:rPr>
        <w:t>mortgages. Lenders typically set </w:t>
      </w:r>
      <w:r>
        <w:rPr>
          <w:spacing w:val="-3"/>
          <w:w w:val="110"/>
        </w:rPr>
        <w:t>fixed-rate </w:t>
      </w:r>
      <w:r>
        <w:rPr>
          <w:w w:val="110"/>
        </w:rPr>
        <w:t>mortgages in relation</w:t>
      </w:r>
      <w:r>
        <w:rPr>
          <w:spacing w:val="-22"/>
          <w:w w:val="110"/>
        </w:rPr>
        <w:t> </w:t>
      </w:r>
      <w:r>
        <w:rPr>
          <w:spacing w:val="-4"/>
          <w:w w:val="110"/>
        </w:rPr>
        <w:t>to</w:t>
      </w:r>
      <w:r>
        <w:rPr>
          <w:spacing w:val="-22"/>
          <w:w w:val="110"/>
        </w:rPr>
        <w:t> </w:t>
      </w:r>
      <w:r>
        <w:rPr>
          <w:w w:val="110"/>
        </w:rPr>
        <w:t>swap</w:t>
      </w:r>
      <w:r>
        <w:rPr>
          <w:spacing w:val="-22"/>
          <w:w w:val="110"/>
        </w:rPr>
        <w:t> </w:t>
      </w:r>
      <w:r>
        <w:rPr>
          <w:spacing w:val="-4"/>
          <w:w w:val="110"/>
        </w:rPr>
        <w:t>rates.</w:t>
      </w:r>
      <w:r>
        <w:rPr>
          <w:spacing w:val="12"/>
          <w:w w:val="110"/>
        </w:rPr>
        <w:t> </w:t>
      </w:r>
      <w:r>
        <w:rPr>
          <w:w w:val="110"/>
        </w:rPr>
        <w:t>Like</w:t>
      </w:r>
      <w:r>
        <w:rPr>
          <w:spacing w:val="-22"/>
          <w:w w:val="110"/>
        </w:rPr>
        <w:t> </w:t>
      </w:r>
      <w:r>
        <w:rPr>
          <w:w w:val="110"/>
        </w:rPr>
        <w:t>long</w:t>
      </w:r>
      <w:r>
        <w:rPr>
          <w:spacing w:val="-21"/>
          <w:w w:val="110"/>
        </w:rPr>
        <w:t> </w:t>
      </w:r>
      <w:r>
        <w:rPr>
          <w:w w:val="110"/>
        </w:rPr>
        <w:t>bond</w:t>
      </w:r>
      <w:r>
        <w:rPr>
          <w:spacing w:val="-22"/>
          <w:w w:val="110"/>
        </w:rPr>
        <w:t> </w:t>
      </w:r>
      <w:r>
        <w:rPr>
          <w:w w:val="110"/>
        </w:rPr>
        <w:t>yields,</w:t>
      </w:r>
      <w:r>
        <w:rPr>
          <w:spacing w:val="-22"/>
          <w:w w:val="110"/>
        </w:rPr>
        <w:t> </w:t>
      </w:r>
      <w:r>
        <w:rPr>
          <w:w w:val="110"/>
        </w:rPr>
        <w:t>swap</w:t>
      </w:r>
      <w:r>
        <w:rPr>
          <w:spacing w:val="-22"/>
          <w:w w:val="110"/>
        </w:rPr>
        <w:t> </w:t>
      </w:r>
      <w:r>
        <w:rPr>
          <w:spacing w:val="-4"/>
          <w:w w:val="110"/>
        </w:rPr>
        <w:t>rates</w:t>
      </w:r>
      <w:r>
        <w:rPr>
          <w:spacing w:val="-22"/>
          <w:w w:val="110"/>
        </w:rPr>
        <w:t> </w:t>
      </w:r>
      <w:r>
        <w:rPr>
          <w:w w:val="110"/>
        </w:rPr>
        <w:t>reflect market expectations of the future path of </w:t>
      </w:r>
      <w:r>
        <w:rPr>
          <w:spacing w:val="-3"/>
          <w:w w:val="110"/>
        </w:rPr>
        <w:t>short-term </w:t>
      </w:r>
      <w:r>
        <w:rPr>
          <w:w w:val="110"/>
        </w:rPr>
        <w:t>interest </w:t>
      </w:r>
      <w:r>
        <w:rPr>
          <w:spacing w:val="-4"/>
          <w:w w:val="110"/>
        </w:rPr>
        <w:t>rates, </w:t>
      </w:r>
      <w:r>
        <w:rPr>
          <w:w w:val="110"/>
        </w:rPr>
        <w:t>and </w:t>
      </w:r>
      <w:r>
        <w:rPr>
          <w:spacing w:val="-3"/>
          <w:w w:val="110"/>
        </w:rPr>
        <w:t>have </w:t>
      </w:r>
      <w:r>
        <w:rPr>
          <w:w w:val="110"/>
        </w:rPr>
        <w:t>fallen during the past </w:t>
      </w:r>
      <w:r>
        <w:rPr>
          <w:spacing w:val="-4"/>
          <w:w w:val="110"/>
        </w:rPr>
        <w:t>year. </w:t>
      </w:r>
      <w:r>
        <w:rPr>
          <w:w w:val="110"/>
        </w:rPr>
        <w:t>As a result, fixed mortgage</w:t>
      </w:r>
      <w:r>
        <w:rPr>
          <w:spacing w:val="-19"/>
          <w:w w:val="110"/>
        </w:rPr>
        <w:t> </w:t>
      </w:r>
      <w:r>
        <w:rPr>
          <w:spacing w:val="-4"/>
          <w:w w:val="110"/>
        </w:rPr>
        <w:t>rates</w:t>
      </w:r>
      <w:r>
        <w:rPr>
          <w:spacing w:val="-18"/>
          <w:w w:val="110"/>
        </w:rPr>
        <w:t> </w:t>
      </w:r>
      <w:r>
        <w:rPr>
          <w:spacing w:val="-3"/>
          <w:w w:val="110"/>
        </w:rPr>
        <w:t>have</w:t>
      </w:r>
      <w:r>
        <w:rPr>
          <w:spacing w:val="-19"/>
          <w:w w:val="110"/>
        </w:rPr>
        <w:t> </w:t>
      </w:r>
      <w:r>
        <w:rPr>
          <w:w w:val="110"/>
        </w:rPr>
        <w:t>fallen</w:t>
      </w:r>
      <w:r>
        <w:rPr>
          <w:spacing w:val="-18"/>
          <w:w w:val="110"/>
        </w:rPr>
        <w:t> </w:t>
      </w:r>
      <w:r>
        <w:rPr>
          <w:w w:val="110"/>
        </w:rPr>
        <w:t>markedly</w:t>
      </w:r>
      <w:r>
        <w:rPr>
          <w:spacing w:val="-19"/>
          <w:w w:val="110"/>
        </w:rPr>
        <w:t> </w:t>
      </w:r>
      <w:r>
        <w:rPr>
          <w:w w:val="110"/>
        </w:rPr>
        <w:t>(see</w:t>
      </w:r>
      <w:r>
        <w:rPr>
          <w:spacing w:val="-18"/>
          <w:w w:val="110"/>
        </w:rPr>
        <w:t> </w:t>
      </w:r>
      <w:r>
        <w:rPr>
          <w:w w:val="110"/>
        </w:rPr>
        <w:t>Chart</w:t>
      </w:r>
      <w:r>
        <w:rPr>
          <w:spacing w:val="-19"/>
          <w:w w:val="110"/>
        </w:rPr>
        <w:t> </w:t>
      </w:r>
      <w:r>
        <w:rPr>
          <w:spacing w:val="-8"/>
          <w:w w:val="110"/>
        </w:rPr>
        <w:t>1.14)</w:t>
      </w:r>
      <w:r>
        <w:rPr>
          <w:spacing w:val="-18"/>
          <w:w w:val="110"/>
        </w:rPr>
        <w:t> </w:t>
      </w:r>
      <w:r>
        <w:rPr>
          <w:w w:val="110"/>
        </w:rPr>
        <w:t>while</w:t>
      </w:r>
      <w:r>
        <w:rPr>
          <w:spacing w:val="-19"/>
          <w:w w:val="110"/>
        </w:rPr>
        <w:t> </w:t>
      </w:r>
      <w:r>
        <w:rPr>
          <w:w w:val="110"/>
        </w:rPr>
        <w:t>the repo</w:t>
      </w:r>
      <w:r>
        <w:rPr>
          <w:spacing w:val="-15"/>
          <w:w w:val="110"/>
        </w:rPr>
        <w:t> </w:t>
      </w:r>
      <w:r>
        <w:rPr>
          <w:spacing w:val="-4"/>
          <w:w w:val="110"/>
        </w:rPr>
        <w:t>rate</w:t>
      </w:r>
      <w:r>
        <w:rPr>
          <w:spacing w:val="-15"/>
          <w:w w:val="110"/>
        </w:rPr>
        <w:t> </w:t>
      </w:r>
      <w:r>
        <w:rPr>
          <w:w w:val="110"/>
        </w:rPr>
        <w:t>has</w:t>
      </w:r>
      <w:r>
        <w:rPr>
          <w:spacing w:val="-15"/>
          <w:w w:val="110"/>
        </w:rPr>
        <w:t> </w:t>
      </w:r>
      <w:r>
        <w:rPr>
          <w:w w:val="110"/>
        </w:rPr>
        <w:t>remained</w:t>
      </w:r>
      <w:r>
        <w:rPr>
          <w:spacing w:val="-14"/>
          <w:w w:val="110"/>
        </w:rPr>
        <w:t> </w:t>
      </w:r>
      <w:r>
        <w:rPr>
          <w:w w:val="110"/>
        </w:rPr>
        <w:t>unchanged.</w:t>
      </w:r>
      <w:r>
        <w:rPr>
          <w:spacing w:val="26"/>
          <w:w w:val="110"/>
        </w:rPr>
        <w:t> </w:t>
      </w:r>
      <w:r>
        <w:rPr>
          <w:w w:val="110"/>
        </w:rPr>
        <w:t>That</w:t>
      </w:r>
      <w:r>
        <w:rPr>
          <w:spacing w:val="-15"/>
          <w:w w:val="110"/>
        </w:rPr>
        <w:t> </w:t>
      </w:r>
      <w:r>
        <w:rPr>
          <w:w w:val="110"/>
        </w:rPr>
        <w:t>will</w:t>
      </w:r>
      <w:r>
        <w:rPr>
          <w:spacing w:val="-15"/>
          <w:w w:val="110"/>
        </w:rPr>
        <w:t> </w:t>
      </w:r>
      <w:r>
        <w:rPr>
          <w:spacing w:val="-3"/>
          <w:w w:val="110"/>
        </w:rPr>
        <w:t>have</w:t>
      </w:r>
      <w:r>
        <w:rPr>
          <w:spacing w:val="-14"/>
          <w:w w:val="110"/>
        </w:rPr>
        <w:t> </w:t>
      </w:r>
      <w:r>
        <w:rPr>
          <w:w w:val="110"/>
        </w:rPr>
        <w:t>reduced</w:t>
      </w:r>
      <w:r>
        <w:rPr>
          <w:spacing w:val="-15"/>
          <w:w w:val="110"/>
        </w:rPr>
        <w:t> </w:t>
      </w:r>
      <w:r>
        <w:rPr>
          <w:w w:val="110"/>
        </w:rPr>
        <w:t>the marginal cost of secured</w:t>
      </w:r>
      <w:r>
        <w:rPr>
          <w:spacing w:val="-30"/>
          <w:w w:val="110"/>
        </w:rPr>
        <w:t> </w:t>
      </w:r>
      <w:r>
        <w:rPr>
          <w:w w:val="110"/>
        </w:rPr>
        <w:t>borrowing.</w:t>
      </w:r>
    </w:p>
    <w:p>
      <w:pPr>
        <w:pStyle w:val="BodyText"/>
        <w:spacing w:before="10"/>
        <w:rPr>
          <w:sz w:val="23"/>
        </w:rPr>
      </w:pPr>
    </w:p>
    <w:p>
      <w:pPr>
        <w:pStyle w:val="BodyText"/>
        <w:spacing w:line="292" w:lineRule="auto" w:before="1"/>
        <w:ind w:left="299" w:right="142"/>
      </w:pPr>
      <w:r>
        <w:rPr>
          <w:w w:val="110"/>
        </w:rPr>
        <w:t>Unsecured </w:t>
      </w:r>
      <w:r>
        <w:rPr>
          <w:spacing w:val="-3"/>
          <w:w w:val="110"/>
        </w:rPr>
        <w:t>interest </w:t>
      </w:r>
      <w:r>
        <w:rPr>
          <w:spacing w:val="-4"/>
          <w:w w:val="110"/>
        </w:rPr>
        <w:t>rates </w:t>
      </w:r>
      <w:r>
        <w:rPr>
          <w:spacing w:val="-3"/>
          <w:w w:val="110"/>
        </w:rPr>
        <w:t>have </w:t>
      </w:r>
      <w:r>
        <w:rPr>
          <w:w w:val="110"/>
        </w:rPr>
        <w:t>changed little in recent months. But comparing retail </w:t>
      </w:r>
      <w:r>
        <w:rPr>
          <w:spacing w:val="-4"/>
          <w:w w:val="110"/>
        </w:rPr>
        <w:t>rates </w:t>
      </w:r>
      <w:r>
        <w:rPr>
          <w:spacing w:val="-3"/>
          <w:w w:val="110"/>
        </w:rPr>
        <w:t>over </w:t>
      </w:r>
      <w:r>
        <w:rPr>
          <w:w w:val="110"/>
        </w:rPr>
        <w:t>a longer period, a striking feature is the </w:t>
      </w:r>
      <w:r>
        <w:rPr>
          <w:spacing w:val="-2"/>
          <w:w w:val="110"/>
        </w:rPr>
        <w:t>marked </w:t>
      </w:r>
      <w:r>
        <w:rPr>
          <w:w w:val="110"/>
        </w:rPr>
        <w:t>decline in credit card and personal loan </w:t>
      </w:r>
      <w:r>
        <w:rPr>
          <w:spacing w:val="-4"/>
          <w:w w:val="110"/>
        </w:rPr>
        <w:t>rates, </w:t>
      </w:r>
      <w:r>
        <w:rPr>
          <w:w w:val="110"/>
        </w:rPr>
        <w:t>both in absolute terms and relative </w:t>
      </w:r>
      <w:r>
        <w:rPr>
          <w:spacing w:val="-4"/>
          <w:w w:val="110"/>
        </w:rPr>
        <w:t>to </w:t>
      </w:r>
      <w:r>
        <w:rPr>
          <w:w w:val="110"/>
        </w:rPr>
        <w:t>the official repo </w:t>
      </w:r>
      <w:r>
        <w:rPr>
          <w:spacing w:val="-4"/>
          <w:w w:val="110"/>
        </w:rPr>
        <w:t>rate. </w:t>
      </w:r>
      <w:r>
        <w:rPr>
          <w:w w:val="110"/>
        </w:rPr>
        <w:t>That </w:t>
      </w:r>
      <w:r>
        <w:rPr>
          <w:spacing w:val="-3"/>
          <w:w w:val="110"/>
        </w:rPr>
        <w:t>may </w:t>
      </w:r>
      <w:r>
        <w:rPr>
          <w:w w:val="110"/>
        </w:rPr>
        <w:t>reflect increased competition </w:t>
      </w:r>
      <w:r>
        <w:rPr>
          <w:spacing w:val="-3"/>
          <w:w w:val="110"/>
        </w:rPr>
        <w:t>between </w:t>
      </w:r>
      <w:r>
        <w:rPr>
          <w:w w:val="110"/>
        </w:rPr>
        <w:t>lenders.</w:t>
      </w:r>
    </w:p>
    <w:p>
      <w:pPr>
        <w:spacing w:after="0" w:line="292" w:lineRule="auto"/>
        <w:sectPr>
          <w:type w:val="continuous"/>
          <w:pgSz w:w="11900" w:h="16840"/>
          <w:pgMar w:top="1260" w:bottom="280" w:left="640" w:right="640"/>
          <w:cols w:num="3" w:equalWidth="0">
            <w:col w:w="3495" w:space="40"/>
            <w:col w:w="227" w:space="1038"/>
            <w:col w:w="5820"/>
          </w:cols>
        </w:sectPr>
      </w:pPr>
    </w:p>
    <w:p>
      <w:pPr>
        <w:pStyle w:val="Heading6"/>
        <w:spacing w:line="247" w:lineRule="auto"/>
        <w:ind w:left="179" w:right="31"/>
      </w:pPr>
      <w:r>
        <w:rPr>
          <w:color w:val="89C6DC"/>
          <w:spacing w:val="-2"/>
        </w:rPr>
        <w:t>Yields</w:t>
      </w:r>
      <w:r>
        <w:rPr>
          <w:color w:val="89C6DC"/>
          <w:spacing w:val="-35"/>
        </w:rPr>
        <w:t> </w:t>
      </w:r>
      <w:r>
        <w:rPr>
          <w:color w:val="89C6DC"/>
        </w:rPr>
        <w:t>and</w:t>
      </w:r>
      <w:r>
        <w:rPr>
          <w:color w:val="89C6DC"/>
          <w:spacing w:val="-35"/>
        </w:rPr>
        <w:t> </w:t>
      </w:r>
      <w:r>
        <w:rPr>
          <w:color w:val="89C6DC"/>
        </w:rPr>
        <w:t>spreads</w:t>
      </w:r>
      <w:r>
        <w:rPr>
          <w:color w:val="89C6DC"/>
          <w:spacing w:val="-35"/>
        </w:rPr>
        <w:t> </w:t>
      </w:r>
      <w:r>
        <w:rPr>
          <w:color w:val="89C6DC"/>
        </w:rPr>
        <w:t>of</w:t>
      </w:r>
      <w:r>
        <w:rPr>
          <w:color w:val="89C6DC"/>
          <w:spacing w:val="-35"/>
        </w:rPr>
        <w:t> </w:t>
      </w:r>
      <w:r>
        <w:rPr>
          <w:color w:val="89C6DC"/>
        </w:rPr>
        <w:t>ten-year</w:t>
      </w:r>
      <w:r>
        <w:rPr>
          <w:color w:val="89C6DC"/>
          <w:spacing w:val="-35"/>
        </w:rPr>
        <w:t> </w:t>
      </w:r>
      <w:r>
        <w:rPr>
          <w:color w:val="89C6DC"/>
        </w:rPr>
        <w:t>BBB-rated </w:t>
      </w:r>
      <w:r>
        <w:rPr>
          <w:color w:val="89C6DC"/>
          <w:w w:val="95"/>
        </w:rPr>
        <w:t>corporate</w:t>
      </w:r>
      <w:r>
        <w:rPr>
          <w:color w:val="89C6DC"/>
          <w:spacing w:val="-33"/>
          <w:w w:val="95"/>
        </w:rPr>
        <w:t> </w:t>
      </w:r>
      <w:r>
        <w:rPr>
          <w:color w:val="89C6DC"/>
          <w:w w:val="95"/>
        </w:rPr>
        <w:t>par</w:t>
      </w:r>
      <w:r>
        <w:rPr>
          <w:color w:val="89C6DC"/>
          <w:spacing w:val="-32"/>
          <w:w w:val="95"/>
        </w:rPr>
        <w:t> </w:t>
      </w:r>
      <w:r>
        <w:rPr>
          <w:color w:val="89C6DC"/>
          <w:w w:val="95"/>
        </w:rPr>
        <w:t>yields</w:t>
      </w:r>
      <w:r>
        <w:rPr>
          <w:color w:val="89C6DC"/>
          <w:spacing w:val="-32"/>
          <w:w w:val="95"/>
        </w:rPr>
        <w:t> </w:t>
      </w:r>
      <w:r>
        <w:rPr>
          <w:color w:val="89C6DC"/>
          <w:w w:val="95"/>
        </w:rPr>
        <w:t>over</w:t>
      </w:r>
      <w:r>
        <w:rPr>
          <w:color w:val="89C6DC"/>
          <w:spacing w:val="-33"/>
          <w:w w:val="95"/>
        </w:rPr>
        <w:t> </w:t>
      </w:r>
      <w:r>
        <w:rPr>
          <w:color w:val="89C6DC"/>
          <w:w w:val="95"/>
        </w:rPr>
        <w:t>government</w:t>
      </w:r>
      <w:r>
        <w:rPr>
          <w:color w:val="89C6DC"/>
          <w:spacing w:val="-32"/>
          <w:w w:val="95"/>
        </w:rPr>
        <w:t> </w:t>
      </w:r>
      <w:r>
        <w:rPr>
          <w:color w:val="89C6DC"/>
          <w:w w:val="95"/>
        </w:rPr>
        <w:t>bond </w:t>
      </w:r>
      <w:r>
        <w:rPr>
          <w:color w:val="89C6DC"/>
        </w:rPr>
        <w:t>yields</w:t>
      </w:r>
    </w:p>
    <w:p>
      <w:pPr>
        <w:spacing w:line="120" w:lineRule="exact" w:before="138"/>
        <w:ind w:left="3019" w:right="0" w:firstLine="0"/>
        <w:jc w:val="left"/>
        <w:rPr>
          <w:sz w:val="12"/>
        </w:rPr>
      </w:pPr>
      <w:r>
        <w:rPr>
          <w:w w:val="110"/>
          <w:sz w:val="12"/>
        </w:rPr>
        <w:t>Per cent</w:t>
      </w:r>
    </w:p>
    <w:p>
      <w:pPr>
        <w:spacing w:line="120" w:lineRule="exact" w:before="0"/>
        <w:ind w:left="3508" w:right="0" w:firstLine="0"/>
        <w:jc w:val="left"/>
        <w:rPr>
          <w:sz w:val="12"/>
        </w:rPr>
      </w:pPr>
      <w:r>
        <w:rPr/>
        <w:drawing>
          <wp:anchor distT="0" distB="0" distL="0" distR="0" allowOverlap="1" layoutInCell="1" locked="0" behindDoc="0" simplePos="0" relativeHeight="15869952">
            <wp:simplePos x="0" y="0"/>
            <wp:positionH relativeFrom="page">
              <wp:posOffset>525970</wp:posOffset>
            </wp:positionH>
            <wp:positionV relativeFrom="paragraph">
              <wp:posOffset>35019</wp:posOffset>
            </wp:positionV>
            <wp:extent cx="55041" cy="6350"/>
            <wp:effectExtent l="0" t="0" r="0" b="0"/>
            <wp:wrapNone/>
            <wp:docPr id="241" name="image8.png"/>
            <wp:cNvGraphicFramePr>
              <a:graphicFrameLocks noChangeAspect="1"/>
            </wp:cNvGraphicFramePr>
            <a:graphic>
              <a:graphicData uri="http://schemas.openxmlformats.org/drawingml/2006/picture">
                <pic:pic>
                  <pic:nvPicPr>
                    <pic:cNvPr id="242"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876096">
            <wp:simplePos x="0" y="0"/>
            <wp:positionH relativeFrom="page">
              <wp:posOffset>2547797</wp:posOffset>
            </wp:positionH>
            <wp:positionV relativeFrom="paragraph">
              <wp:posOffset>36162</wp:posOffset>
            </wp:positionV>
            <wp:extent cx="55041" cy="6350"/>
            <wp:effectExtent l="0" t="0" r="0" b="0"/>
            <wp:wrapNone/>
            <wp:docPr id="243" name="image13.png"/>
            <wp:cNvGraphicFramePr>
              <a:graphicFrameLocks noChangeAspect="1"/>
            </wp:cNvGraphicFramePr>
            <a:graphic>
              <a:graphicData uri="http://schemas.openxmlformats.org/drawingml/2006/picture">
                <pic:pic>
                  <pic:nvPicPr>
                    <pic:cNvPr id="244" name="image13.png"/>
                    <pic:cNvPicPr/>
                  </pic:nvPicPr>
                  <pic:blipFill>
                    <a:blip r:embed="rId34" cstate="print"/>
                    <a:stretch>
                      <a:fillRect/>
                    </a:stretch>
                  </pic:blipFill>
                  <pic:spPr>
                    <a:xfrm>
                      <a:off x="0" y="0"/>
                      <a:ext cx="55041" cy="6350"/>
                    </a:xfrm>
                    <a:prstGeom prst="rect">
                      <a:avLst/>
                    </a:prstGeom>
                  </pic:spPr>
                </pic:pic>
              </a:graphicData>
            </a:graphic>
          </wp:anchor>
        </w:drawing>
      </w:r>
      <w:r>
        <w:rPr>
          <w:w w:val="120"/>
          <w:sz w:val="12"/>
        </w:rPr>
        <w:t>11</w:t>
      </w:r>
    </w:p>
    <w:p>
      <w:pPr>
        <w:pStyle w:val="BodyText"/>
        <w:spacing w:before="5"/>
        <w:rPr>
          <w:sz w:val="10"/>
        </w:rPr>
      </w:pPr>
    </w:p>
    <w:p>
      <w:pPr>
        <w:spacing w:before="0"/>
        <w:ind w:left="0" w:right="281" w:firstLine="0"/>
        <w:jc w:val="right"/>
        <w:rPr>
          <w:sz w:val="12"/>
        </w:rPr>
      </w:pPr>
      <w:r>
        <w:rPr/>
        <w:pict>
          <v:group style="position:absolute;margin-left:49.779999pt;margin-top:5.068399pt;width:145.25pt;height:56.1pt;mso-position-horizontal-relative:page;mso-position-vertical-relative:paragraph;z-index:15864320" coordorigin="996,101" coordsize="2905,1122">
            <v:shape style="position:absolute;left:995;top:144;width:2905;height:1060" type="#_x0000_t75" stroked="false">
              <v:imagedata r:id="rId58" o:title=""/>
            </v:shape>
            <v:shape style="position:absolute;left:2327;top:101;width:858;height:121" type="#_x0000_t202" filled="false" stroked="false">
              <v:textbox inset="0,0,0,0">
                <w:txbxContent>
                  <w:p>
                    <w:pPr>
                      <w:spacing w:line="116" w:lineRule="exact" w:before="0"/>
                      <w:ind w:left="0" w:right="0" w:firstLine="0"/>
                      <w:jc w:val="left"/>
                      <w:rPr>
                        <w:sz w:val="12"/>
                      </w:rPr>
                    </w:pPr>
                    <w:r>
                      <w:rPr>
                        <w:sz w:val="12"/>
                      </w:rPr>
                      <w:t>US BBB yield (a)</w:t>
                    </w:r>
                  </w:p>
                </w:txbxContent>
              </v:textbox>
              <w10:wrap type="none"/>
            </v:shape>
            <v:shape style="position:absolute;left:2923;top:1101;width:709;height:121" type="#_x0000_t202" filled="false" stroked="false">
              <v:textbox inset="0,0,0,0">
                <w:txbxContent>
                  <w:p>
                    <w:pPr>
                      <w:spacing w:line="116" w:lineRule="exact" w:before="0"/>
                      <w:ind w:left="0" w:right="0" w:firstLine="0"/>
                      <w:jc w:val="left"/>
                      <w:rPr>
                        <w:sz w:val="12"/>
                      </w:rPr>
                    </w:pPr>
                    <w:r>
                      <w:rPr>
                        <w:sz w:val="12"/>
                      </w:rPr>
                      <w:t>UK BBB</w:t>
                    </w:r>
                    <w:r>
                      <w:rPr>
                        <w:spacing w:val="-19"/>
                        <w:sz w:val="12"/>
                      </w:rPr>
                      <w:t> </w:t>
                    </w:r>
                    <w:r>
                      <w:rPr>
                        <w:sz w:val="12"/>
                      </w:rPr>
                      <w:t>yield</w:t>
                    </w:r>
                  </w:p>
                </w:txbxContent>
              </v:textbox>
              <w10:wrap type="none"/>
            </v:shape>
            <w10:wrap type="none"/>
          </v:group>
        </w:pict>
      </w:r>
      <w:r>
        <w:rPr/>
        <w:drawing>
          <wp:anchor distT="0" distB="0" distL="0" distR="0" allowOverlap="1" layoutInCell="1" locked="0" behindDoc="0" simplePos="0" relativeHeight="15870464">
            <wp:simplePos x="0" y="0"/>
            <wp:positionH relativeFrom="page">
              <wp:posOffset>525970</wp:posOffset>
            </wp:positionH>
            <wp:positionV relativeFrom="paragraph">
              <wp:posOffset>51961</wp:posOffset>
            </wp:positionV>
            <wp:extent cx="55041" cy="6350"/>
            <wp:effectExtent l="0" t="0" r="0" b="0"/>
            <wp:wrapNone/>
            <wp:docPr id="245" name="image8.png"/>
            <wp:cNvGraphicFramePr>
              <a:graphicFrameLocks noChangeAspect="1"/>
            </wp:cNvGraphicFramePr>
            <a:graphic>
              <a:graphicData uri="http://schemas.openxmlformats.org/drawingml/2006/picture">
                <pic:pic>
                  <pic:nvPicPr>
                    <pic:cNvPr id="246"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876608">
            <wp:simplePos x="0" y="0"/>
            <wp:positionH relativeFrom="page">
              <wp:posOffset>2547797</wp:posOffset>
            </wp:positionH>
            <wp:positionV relativeFrom="paragraph">
              <wp:posOffset>53104</wp:posOffset>
            </wp:positionV>
            <wp:extent cx="55041" cy="6350"/>
            <wp:effectExtent l="0" t="0" r="0" b="0"/>
            <wp:wrapNone/>
            <wp:docPr id="247" name="image8.png"/>
            <wp:cNvGraphicFramePr>
              <a:graphicFrameLocks noChangeAspect="1"/>
            </wp:cNvGraphicFramePr>
            <a:graphic>
              <a:graphicData uri="http://schemas.openxmlformats.org/drawingml/2006/picture">
                <pic:pic>
                  <pic:nvPicPr>
                    <pic:cNvPr id="248"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0"/>
          <w:sz w:val="12"/>
        </w:rPr>
        <w:t>10</w:t>
      </w:r>
    </w:p>
    <w:p>
      <w:pPr>
        <w:pStyle w:val="BodyText"/>
        <w:spacing w:before="5"/>
        <w:rPr>
          <w:sz w:val="11"/>
        </w:rPr>
      </w:pPr>
    </w:p>
    <w:p>
      <w:pPr>
        <w:spacing w:before="0"/>
        <w:ind w:left="0" w:right="281" w:firstLine="0"/>
        <w:jc w:val="right"/>
        <w:rPr>
          <w:sz w:val="12"/>
        </w:rPr>
      </w:pPr>
      <w:r>
        <w:rPr/>
        <w:drawing>
          <wp:anchor distT="0" distB="0" distL="0" distR="0" allowOverlap="1" layoutInCell="1" locked="0" behindDoc="0" simplePos="0" relativeHeight="15872000">
            <wp:simplePos x="0" y="0"/>
            <wp:positionH relativeFrom="page">
              <wp:posOffset>525970</wp:posOffset>
            </wp:positionH>
            <wp:positionV relativeFrom="paragraph">
              <wp:posOffset>46273</wp:posOffset>
            </wp:positionV>
            <wp:extent cx="55041" cy="6350"/>
            <wp:effectExtent l="0" t="0" r="0" b="0"/>
            <wp:wrapNone/>
            <wp:docPr id="249" name="image13.png"/>
            <wp:cNvGraphicFramePr>
              <a:graphicFrameLocks noChangeAspect="1"/>
            </wp:cNvGraphicFramePr>
            <a:graphic>
              <a:graphicData uri="http://schemas.openxmlformats.org/drawingml/2006/picture">
                <pic:pic>
                  <pic:nvPicPr>
                    <pic:cNvPr id="250"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878144">
            <wp:simplePos x="0" y="0"/>
            <wp:positionH relativeFrom="page">
              <wp:posOffset>2547797</wp:posOffset>
            </wp:positionH>
            <wp:positionV relativeFrom="paragraph">
              <wp:posOffset>47403</wp:posOffset>
            </wp:positionV>
            <wp:extent cx="55041" cy="6350"/>
            <wp:effectExtent l="0" t="0" r="0" b="0"/>
            <wp:wrapNone/>
            <wp:docPr id="251" name="image8.png"/>
            <wp:cNvGraphicFramePr>
              <a:graphicFrameLocks noChangeAspect="1"/>
            </wp:cNvGraphicFramePr>
            <a:graphic>
              <a:graphicData uri="http://schemas.openxmlformats.org/drawingml/2006/picture">
                <pic:pic>
                  <pic:nvPicPr>
                    <pic:cNvPr id="252"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9</w:t>
      </w:r>
    </w:p>
    <w:p>
      <w:pPr>
        <w:pStyle w:val="BodyText"/>
        <w:spacing w:before="5"/>
        <w:rPr>
          <w:sz w:val="10"/>
        </w:rPr>
      </w:pPr>
    </w:p>
    <w:p>
      <w:pPr>
        <w:spacing w:before="0"/>
        <w:ind w:left="0" w:right="281" w:firstLine="0"/>
        <w:jc w:val="right"/>
        <w:rPr>
          <w:sz w:val="12"/>
        </w:rPr>
      </w:pPr>
      <w:r>
        <w:rPr/>
        <w:drawing>
          <wp:anchor distT="0" distB="0" distL="0" distR="0" allowOverlap="1" layoutInCell="1" locked="0" behindDoc="0" simplePos="0" relativeHeight="15870976">
            <wp:simplePos x="0" y="0"/>
            <wp:positionH relativeFrom="page">
              <wp:posOffset>525970</wp:posOffset>
            </wp:positionH>
            <wp:positionV relativeFrom="paragraph">
              <wp:posOffset>49196</wp:posOffset>
            </wp:positionV>
            <wp:extent cx="55041" cy="6350"/>
            <wp:effectExtent l="0" t="0" r="0" b="0"/>
            <wp:wrapNone/>
            <wp:docPr id="253" name="image13.png"/>
            <wp:cNvGraphicFramePr>
              <a:graphicFrameLocks noChangeAspect="1"/>
            </wp:cNvGraphicFramePr>
            <a:graphic>
              <a:graphicData uri="http://schemas.openxmlformats.org/drawingml/2006/picture">
                <pic:pic>
                  <pic:nvPicPr>
                    <pic:cNvPr id="254"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877120">
            <wp:simplePos x="0" y="0"/>
            <wp:positionH relativeFrom="page">
              <wp:posOffset>2547797</wp:posOffset>
            </wp:positionH>
            <wp:positionV relativeFrom="paragraph">
              <wp:posOffset>50339</wp:posOffset>
            </wp:positionV>
            <wp:extent cx="55041" cy="6350"/>
            <wp:effectExtent l="0" t="0" r="0" b="0"/>
            <wp:wrapNone/>
            <wp:docPr id="255" name="image8.png"/>
            <wp:cNvGraphicFramePr>
              <a:graphicFrameLocks noChangeAspect="1"/>
            </wp:cNvGraphicFramePr>
            <a:graphic>
              <a:graphicData uri="http://schemas.openxmlformats.org/drawingml/2006/picture">
                <pic:pic>
                  <pic:nvPicPr>
                    <pic:cNvPr id="256"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8</w:t>
      </w:r>
    </w:p>
    <w:p>
      <w:pPr>
        <w:pStyle w:val="BodyText"/>
        <w:spacing w:before="2"/>
        <w:rPr>
          <w:sz w:val="10"/>
        </w:rPr>
      </w:pPr>
    </w:p>
    <w:p>
      <w:pPr>
        <w:spacing w:before="0"/>
        <w:ind w:left="0" w:right="281" w:firstLine="0"/>
        <w:jc w:val="right"/>
        <w:rPr>
          <w:sz w:val="12"/>
        </w:rPr>
      </w:pPr>
      <w:r>
        <w:rPr/>
        <w:drawing>
          <wp:anchor distT="0" distB="0" distL="0" distR="0" allowOverlap="1" layoutInCell="1" locked="0" behindDoc="0" simplePos="0" relativeHeight="15871488">
            <wp:simplePos x="0" y="0"/>
            <wp:positionH relativeFrom="page">
              <wp:posOffset>525970</wp:posOffset>
            </wp:positionH>
            <wp:positionV relativeFrom="paragraph">
              <wp:posOffset>46123</wp:posOffset>
            </wp:positionV>
            <wp:extent cx="55041" cy="6350"/>
            <wp:effectExtent l="0" t="0" r="0" b="0"/>
            <wp:wrapNone/>
            <wp:docPr id="257" name="image8.png"/>
            <wp:cNvGraphicFramePr>
              <a:graphicFrameLocks noChangeAspect="1"/>
            </wp:cNvGraphicFramePr>
            <a:graphic>
              <a:graphicData uri="http://schemas.openxmlformats.org/drawingml/2006/picture">
                <pic:pic>
                  <pic:nvPicPr>
                    <pic:cNvPr id="258" name="image8.png"/>
                    <pic:cNvPicPr/>
                  </pic:nvPicPr>
                  <pic:blipFill>
                    <a:blip r:embed="rId2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877632">
            <wp:simplePos x="0" y="0"/>
            <wp:positionH relativeFrom="page">
              <wp:posOffset>2547797</wp:posOffset>
            </wp:positionH>
            <wp:positionV relativeFrom="paragraph">
              <wp:posOffset>47266</wp:posOffset>
            </wp:positionV>
            <wp:extent cx="55041" cy="6350"/>
            <wp:effectExtent l="0" t="0" r="0" b="0"/>
            <wp:wrapNone/>
            <wp:docPr id="259" name="image8.png"/>
            <wp:cNvGraphicFramePr>
              <a:graphicFrameLocks noChangeAspect="1"/>
            </wp:cNvGraphicFramePr>
            <a:graphic>
              <a:graphicData uri="http://schemas.openxmlformats.org/drawingml/2006/picture">
                <pic:pic>
                  <pic:nvPicPr>
                    <pic:cNvPr id="260"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7</w:t>
      </w:r>
    </w:p>
    <w:p>
      <w:pPr>
        <w:pStyle w:val="BodyText"/>
        <w:spacing w:before="4"/>
        <w:rPr>
          <w:sz w:val="10"/>
        </w:rPr>
      </w:pPr>
    </w:p>
    <w:p>
      <w:pPr>
        <w:spacing w:before="0"/>
        <w:ind w:left="0" w:right="281" w:firstLine="0"/>
        <w:jc w:val="right"/>
        <w:rPr>
          <w:sz w:val="12"/>
        </w:rPr>
      </w:pPr>
      <w:r>
        <w:rPr/>
        <w:drawing>
          <wp:anchor distT="0" distB="0" distL="0" distR="0" allowOverlap="1" layoutInCell="1" locked="0" behindDoc="0" simplePos="0" relativeHeight="15866368">
            <wp:simplePos x="0" y="0"/>
            <wp:positionH relativeFrom="page">
              <wp:posOffset>525995</wp:posOffset>
            </wp:positionH>
            <wp:positionV relativeFrom="paragraph">
              <wp:posOffset>51282</wp:posOffset>
            </wp:positionV>
            <wp:extent cx="55016" cy="6350"/>
            <wp:effectExtent l="0" t="0" r="0" b="0"/>
            <wp:wrapNone/>
            <wp:docPr id="261" name="image8.png"/>
            <wp:cNvGraphicFramePr>
              <a:graphicFrameLocks noChangeAspect="1"/>
            </wp:cNvGraphicFramePr>
            <a:graphic>
              <a:graphicData uri="http://schemas.openxmlformats.org/drawingml/2006/picture">
                <pic:pic>
                  <pic:nvPicPr>
                    <pic:cNvPr id="262" name="image8.png"/>
                    <pic:cNvPicPr/>
                  </pic:nvPicPr>
                  <pic:blipFill>
                    <a:blip r:embed="rId29"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73024">
            <wp:simplePos x="0" y="0"/>
            <wp:positionH relativeFrom="page">
              <wp:posOffset>2547823</wp:posOffset>
            </wp:positionH>
            <wp:positionV relativeFrom="paragraph">
              <wp:posOffset>52412</wp:posOffset>
            </wp:positionV>
            <wp:extent cx="55016" cy="6350"/>
            <wp:effectExtent l="0" t="0" r="0" b="0"/>
            <wp:wrapNone/>
            <wp:docPr id="263" name="image13.png"/>
            <wp:cNvGraphicFramePr>
              <a:graphicFrameLocks noChangeAspect="1"/>
            </wp:cNvGraphicFramePr>
            <a:graphic>
              <a:graphicData uri="http://schemas.openxmlformats.org/drawingml/2006/picture">
                <pic:pic>
                  <pic:nvPicPr>
                    <pic:cNvPr id="264" name="image13.png"/>
                    <pic:cNvPicPr/>
                  </pic:nvPicPr>
                  <pic:blipFill>
                    <a:blip r:embed="rId34" cstate="print"/>
                    <a:stretch>
                      <a:fillRect/>
                    </a:stretch>
                  </pic:blipFill>
                  <pic:spPr>
                    <a:xfrm>
                      <a:off x="0" y="0"/>
                      <a:ext cx="55016" cy="6350"/>
                    </a:xfrm>
                    <a:prstGeom prst="rect">
                      <a:avLst/>
                    </a:prstGeom>
                  </pic:spPr>
                </pic:pic>
              </a:graphicData>
            </a:graphic>
          </wp:anchor>
        </w:drawing>
      </w:r>
      <w:r>
        <w:rPr>
          <w:w w:val="121"/>
          <w:sz w:val="12"/>
        </w:rPr>
        <w:t>6</w:t>
      </w:r>
    </w:p>
    <w:p>
      <w:pPr>
        <w:pStyle w:val="BodyText"/>
        <w:spacing w:before="6"/>
        <w:rPr>
          <w:sz w:val="11"/>
        </w:rPr>
      </w:pPr>
    </w:p>
    <w:p>
      <w:pPr>
        <w:spacing w:before="0"/>
        <w:ind w:left="0" w:right="281" w:firstLine="0"/>
        <w:jc w:val="right"/>
        <w:rPr>
          <w:sz w:val="12"/>
        </w:rPr>
      </w:pPr>
      <w:r>
        <w:rPr/>
        <w:drawing>
          <wp:anchor distT="0" distB="0" distL="0" distR="0" allowOverlap="1" layoutInCell="1" locked="0" behindDoc="0" simplePos="0" relativeHeight="15872512">
            <wp:simplePos x="0" y="0"/>
            <wp:positionH relativeFrom="page">
              <wp:posOffset>525970</wp:posOffset>
            </wp:positionH>
            <wp:positionV relativeFrom="paragraph">
              <wp:posOffset>42569</wp:posOffset>
            </wp:positionV>
            <wp:extent cx="55041" cy="6350"/>
            <wp:effectExtent l="0" t="0" r="0" b="0"/>
            <wp:wrapNone/>
            <wp:docPr id="265" name="image13.png"/>
            <wp:cNvGraphicFramePr>
              <a:graphicFrameLocks noChangeAspect="1"/>
            </wp:cNvGraphicFramePr>
            <a:graphic>
              <a:graphicData uri="http://schemas.openxmlformats.org/drawingml/2006/picture">
                <pic:pic>
                  <pic:nvPicPr>
                    <pic:cNvPr id="266"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878656">
            <wp:simplePos x="0" y="0"/>
            <wp:positionH relativeFrom="page">
              <wp:posOffset>2547797</wp:posOffset>
            </wp:positionH>
            <wp:positionV relativeFrom="paragraph">
              <wp:posOffset>43712</wp:posOffset>
            </wp:positionV>
            <wp:extent cx="55041" cy="6350"/>
            <wp:effectExtent l="0" t="0" r="0" b="0"/>
            <wp:wrapNone/>
            <wp:docPr id="267" name="image8.png"/>
            <wp:cNvGraphicFramePr>
              <a:graphicFrameLocks noChangeAspect="1"/>
            </wp:cNvGraphicFramePr>
            <a:graphic>
              <a:graphicData uri="http://schemas.openxmlformats.org/drawingml/2006/picture">
                <pic:pic>
                  <pic:nvPicPr>
                    <pic:cNvPr id="268"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5</w:t>
      </w:r>
    </w:p>
    <w:p>
      <w:pPr>
        <w:pStyle w:val="BodyText"/>
        <w:spacing w:before="4"/>
        <w:rPr>
          <w:sz w:val="10"/>
        </w:rPr>
      </w:pPr>
    </w:p>
    <w:p>
      <w:pPr>
        <w:spacing w:before="0"/>
        <w:ind w:left="0" w:right="281" w:firstLine="0"/>
        <w:jc w:val="right"/>
        <w:rPr>
          <w:sz w:val="12"/>
        </w:rPr>
      </w:pPr>
      <w:r>
        <w:rPr/>
        <w:pict>
          <v:group style="position:absolute;margin-left:49.779999pt;margin-top:7.226175pt;width:145.25pt;height:38.75pt;mso-position-horizontal-relative:page;mso-position-vertical-relative:paragraph;z-index:15865856" coordorigin="996,145" coordsize="2905,775">
            <v:shape style="position:absolute;left:995;top:144;width:2905;height:775" type="#_x0000_t75" stroked="false">
              <v:imagedata r:id="rId59" o:title=""/>
            </v:shape>
            <v:shape style="position:absolute;left:2655;top:186;width:708;height:121" type="#_x0000_t202" filled="false" stroked="false">
              <v:textbox inset="0,0,0,0">
                <w:txbxContent>
                  <w:p>
                    <w:pPr>
                      <w:spacing w:line="116" w:lineRule="exact" w:before="0"/>
                      <w:ind w:left="0" w:right="0" w:firstLine="0"/>
                      <w:jc w:val="left"/>
                      <w:rPr>
                        <w:sz w:val="12"/>
                      </w:rPr>
                    </w:pPr>
                    <w:r>
                      <w:rPr>
                        <w:w w:val="105"/>
                        <w:sz w:val="12"/>
                      </w:rPr>
                      <w:t>US spread (a)</w:t>
                    </w:r>
                  </w:p>
                </w:txbxContent>
              </v:textbox>
              <w10:wrap type="none"/>
            </v:shape>
            <v:shape style="position:absolute;left:3058;top:771;width:559;height:121" type="#_x0000_t202" filled="false" stroked="false">
              <v:textbox inset="0,0,0,0">
                <w:txbxContent>
                  <w:p>
                    <w:pPr>
                      <w:spacing w:line="116" w:lineRule="exact" w:before="0"/>
                      <w:ind w:left="0" w:right="0" w:firstLine="0"/>
                      <w:jc w:val="left"/>
                      <w:rPr>
                        <w:sz w:val="12"/>
                      </w:rPr>
                    </w:pPr>
                    <w:r>
                      <w:rPr>
                        <w:w w:val="105"/>
                        <w:sz w:val="12"/>
                      </w:rPr>
                      <w:t>UK spread</w:t>
                    </w:r>
                  </w:p>
                </w:txbxContent>
              </v:textbox>
              <w10:wrap type="none"/>
            </v:shape>
            <w10:wrap type="none"/>
          </v:group>
        </w:pict>
      </w:r>
      <w:r>
        <w:rPr/>
        <w:drawing>
          <wp:anchor distT="0" distB="0" distL="0" distR="0" allowOverlap="1" layoutInCell="1" locked="0" behindDoc="0" simplePos="0" relativeHeight="15866880">
            <wp:simplePos x="0" y="0"/>
            <wp:positionH relativeFrom="page">
              <wp:posOffset>525995</wp:posOffset>
            </wp:positionH>
            <wp:positionV relativeFrom="paragraph">
              <wp:posOffset>47881</wp:posOffset>
            </wp:positionV>
            <wp:extent cx="55016" cy="6350"/>
            <wp:effectExtent l="0" t="0" r="0" b="0"/>
            <wp:wrapNone/>
            <wp:docPr id="269" name="image8.png"/>
            <wp:cNvGraphicFramePr>
              <a:graphicFrameLocks noChangeAspect="1"/>
            </wp:cNvGraphicFramePr>
            <a:graphic>
              <a:graphicData uri="http://schemas.openxmlformats.org/drawingml/2006/picture">
                <pic:pic>
                  <pic:nvPicPr>
                    <pic:cNvPr id="270" name="image8.png"/>
                    <pic:cNvPicPr/>
                  </pic:nvPicPr>
                  <pic:blipFill>
                    <a:blip r:embed="rId29"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73536">
            <wp:simplePos x="0" y="0"/>
            <wp:positionH relativeFrom="page">
              <wp:posOffset>2547823</wp:posOffset>
            </wp:positionH>
            <wp:positionV relativeFrom="paragraph">
              <wp:posOffset>49024</wp:posOffset>
            </wp:positionV>
            <wp:extent cx="55016" cy="6350"/>
            <wp:effectExtent l="0" t="0" r="0" b="0"/>
            <wp:wrapNone/>
            <wp:docPr id="271" name="image8.png"/>
            <wp:cNvGraphicFramePr>
              <a:graphicFrameLocks noChangeAspect="1"/>
            </wp:cNvGraphicFramePr>
            <a:graphic>
              <a:graphicData uri="http://schemas.openxmlformats.org/drawingml/2006/picture">
                <pic:pic>
                  <pic:nvPicPr>
                    <pic:cNvPr id="272" name="image8.png"/>
                    <pic:cNvPicPr/>
                  </pic:nvPicPr>
                  <pic:blipFill>
                    <a:blip r:embed="rId29" cstate="print"/>
                    <a:stretch>
                      <a:fillRect/>
                    </a:stretch>
                  </pic:blipFill>
                  <pic:spPr>
                    <a:xfrm>
                      <a:off x="0" y="0"/>
                      <a:ext cx="55016" cy="6350"/>
                    </a:xfrm>
                    <a:prstGeom prst="rect">
                      <a:avLst/>
                    </a:prstGeom>
                  </pic:spPr>
                </pic:pic>
              </a:graphicData>
            </a:graphic>
          </wp:anchor>
        </w:drawing>
      </w:r>
      <w:r>
        <w:rPr>
          <w:w w:val="121"/>
          <w:sz w:val="12"/>
        </w:rPr>
        <w:t>4</w:t>
      </w:r>
    </w:p>
    <w:p>
      <w:pPr>
        <w:pStyle w:val="BodyText"/>
        <w:spacing w:before="5"/>
        <w:rPr>
          <w:sz w:val="10"/>
        </w:rPr>
      </w:pPr>
    </w:p>
    <w:p>
      <w:pPr>
        <w:spacing w:before="0"/>
        <w:ind w:left="0" w:right="281" w:firstLine="0"/>
        <w:jc w:val="right"/>
        <w:rPr>
          <w:sz w:val="12"/>
        </w:rPr>
      </w:pPr>
      <w:r>
        <w:rPr/>
        <w:drawing>
          <wp:anchor distT="0" distB="0" distL="0" distR="0" allowOverlap="1" layoutInCell="1" locked="0" behindDoc="0" simplePos="0" relativeHeight="15867392">
            <wp:simplePos x="0" y="0"/>
            <wp:positionH relativeFrom="page">
              <wp:posOffset>525995</wp:posOffset>
            </wp:positionH>
            <wp:positionV relativeFrom="paragraph">
              <wp:posOffset>43883</wp:posOffset>
            </wp:positionV>
            <wp:extent cx="55016" cy="6350"/>
            <wp:effectExtent l="0" t="0" r="0" b="0"/>
            <wp:wrapNone/>
            <wp:docPr id="273" name="image13.png"/>
            <wp:cNvGraphicFramePr>
              <a:graphicFrameLocks noChangeAspect="1"/>
            </wp:cNvGraphicFramePr>
            <a:graphic>
              <a:graphicData uri="http://schemas.openxmlformats.org/drawingml/2006/picture">
                <pic:pic>
                  <pic:nvPicPr>
                    <pic:cNvPr id="274" name="image13.png"/>
                    <pic:cNvPicPr/>
                  </pic:nvPicPr>
                  <pic:blipFill>
                    <a:blip r:embed="rId34"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74048">
            <wp:simplePos x="0" y="0"/>
            <wp:positionH relativeFrom="page">
              <wp:posOffset>2547823</wp:posOffset>
            </wp:positionH>
            <wp:positionV relativeFrom="paragraph">
              <wp:posOffset>45013</wp:posOffset>
            </wp:positionV>
            <wp:extent cx="55016" cy="6350"/>
            <wp:effectExtent l="0" t="0" r="0" b="0"/>
            <wp:wrapNone/>
            <wp:docPr id="275" name="image13.png"/>
            <wp:cNvGraphicFramePr>
              <a:graphicFrameLocks noChangeAspect="1"/>
            </wp:cNvGraphicFramePr>
            <a:graphic>
              <a:graphicData uri="http://schemas.openxmlformats.org/drawingml/2006/picture">
                <pic:pic>
                  <pic:nvPicPr>
                    <pic:cNvPr id="276" name="image13.png"/>
                    <pic:cNvPicPr/>
                  </pic:nvPicPr>
                  <pic:blipFill>
                    <a:blip r:embed="rId34" cstate="print"/>
                    <a:stretch>
                      <a:fillRect/>
                    </a:stretch>
                  </pic:blipFill>
                  <pic:spPr>
                    <a:xfrm>
                      <a:off x="0" y="0"/>
                      <a:ext cx="55016" cy="6350"/>
                    </a:xfrm>
                    <a:prstGeom prst="rect">
                      <a:avLst/>
                    </a:prstGeom>
                  </pic:spPr>
                </pic:pic>
              </a:graphicData>
            </a:graphic>
          </wp:anchor>
        </w:drawing>
      </w:r>
      <w:r>
        <w:rPr>
          <w:w w:val="121"/>
          <w:sz w:val="12"/>
        </w:rPr>
        <w:t>3</w:t>
      </w:r>
    </w:p>
    <w:p>
      <w:pPr>
        <w:pStyle w:val="BodyText"/>
        <w:spacing w:before="2"/>
        <w:rPr>
          <w:sz w:val="10"/>
        </w:rPr>
      </w:pPr>
    </w:p>
    <w:p>
      <w:pPr>
        <w:spacing w:before="0"/>
        <w:ind w:left="0" w:right="281" w:firstLine="0"/>
        <w:jc w:val="right"/>
        <w:rPr>
          <w:sz w:val="12"/>
        </w:rPr>
      </w:pPr>
      <w:r>
        <w:rPr/>
        <w:drawing>
          <wp:anchor distT="0" distB="0" distL="0" distR="0" allowOverlap="1" layoutInCell="1" locked="0" behindDoc="0" simplePos="0" relativeHeight="15867904">
            <wp:simplePos x="0" y="0"/>
            <wp:positionH relativeFrom="page">
              <wp:posOffset>525995</wp:posOffset>
            </wp:positionH>
            <wp:positionV relativeFrom="paragraph">
              <wp:posOffset>53484</wp:posOffset>
            </wp:positionV>
            <wp:extent cx="55016" cy="6350"/>
            <wp:effectExtent l="0" t="0" r="0" b="0"/>
            <wp:wrapNone/>
            <wp:docPr id="277" name="image13.png"/>
            <wp:cNvGraphicFramePr>
              <a:graphicFrameLocks noChangeAspect="1"/>
            </wp:cNvGraphicFramePr>
            <a:graphic>
              <a:graphicData uri="http://schemas.openxmlformats.org/drawingml/2006/picture">
                <pic:pic>
                  <pic:nvPicPr>
                    <pic:cNvPr id="278" name="image13.png"/>
                    <pic:cNvPicPr/>
                  </pic:nvPicPr>
                  <pic:blipFill>
                    <a:blip r:embed="rId34"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74560">
            <wp:simplePos x="0" y="0"/>
            <wp:positionH relativeFrom="page">
              <wp:posOffset>2547823</wp:posOffset>
            </wp:positionH>
            <wp:positionV relativeFrom="paragraph">
              <wp:posOffset>54627</wp:posOffset>
            </wp:positionV>
            <wp:extent cx="55016" cy="6350"/>
            <wp:effectExtent l="0" t="0" r="0" b="0"/>
            <wp:wrapNone/>
            <wp:docPr id="279" name="image8.png"/>
            <wp:cNvGraphicFramePr>
              <a:graphicFrameLocks noChangeAspect="1"/>
            </wp:cNvGraphicFramePr>
            <a:graphic>
              <a:graphicData uri="http://schemas.openxmlformats.org/drawingml/2006/picture">
                <pic:pic>
                  <pic:nvPicPr>
                    <pic:cNvPr id="280" name="image8.png"/>
                    <pic:cNvPicPr/>
                  </pic:nvPicPr>
                  <pic:blipFill>
                    <a:blip r:embed="rId29" cstate="print"/>
                    <a:stretch>
                      <a:fillRect/>
                    </a:stretch>
                  </pic:blipFill>
                  <pic:spPr>
                    <a:xfrm>
                      <a:off x="0" y="0"/>
                      <a:ext cx="55016" cy="6350"/>
                    </a:xfrm>
                    <a:prstGeom prst="rect">
                      <a:avLst/>
                    </a:prstGeom>
                  </pic:spPr>
                </pic:pic>
              </a:graphicData>
            </a:graphic>
          </wp:anchor>
        </w:drawing>
      </w:r>
      <w:r>
        <w:rPr>
          <w:w w:val="121"/>
          <w:sz w:val="12"/>
        </w:rPr>
        <w:t>2</w:t>
      </w:r>
    </w:p>
    <w:p>
      <w:pPr>
        <w:pStyle w:val="BodyText"/>
        <w:spacing w:before="8"/>
        <w:rPr>
          <w:sz w:val="11"/>
        </w:rPr>
      </w:pPr>
    </w:p>
    <w:p>
      <w:pPr>
        <w:spacing w:before="0"/>
        <w:ind w:left="0" w:right="281" w:firstLine="0"/>
        <w:jc w:val="right"/>
        <w:rPr>
          <w:sz w:val="12"/>
        </w:rPr>
      </w:pPr>
      <w:r>
        <w:rPr/>
        <w:drawing>
          <wp:anchor distT="0" distB="0" distL="0" distR="0" allowOverlap="1" layoutInCell="1" locked="0" behindDoc="0" simplePos="0" relativeHeight="15868416">
            <wp:simplePos x="0" y="0"/>
            <wp:positionH relativeFrom="page">
              <wp:posOffset>525995</wp:posOffset>
            </wp:positionH>
            <wp:positionV relativeFrom="paragraph">
              <wp:posOffset>43923</wp:posOffset>
            </wp:positionV>
            <wp:extent cx="55016" cy="6350"/>
            <wp:effectExtent l="0" t="0" r="0" b="0"/>
            <wp:wrapNone/>
            <wp:docPr id="281" name="image8.png"/>
            <wp:cNvGraphicFramePr>
              <a:graphicFrameLocks noChangeAspect="1"/>
            </wp:cNvGraphicFramePr>
            <a:graphic>
              <a:graphicData uri="http://schemas.openxmlformats.org/drawingml/2006/picture">
                <pic:pic>
                  <pic:nvPicPr>
                    <pic:cNvPr id="282" name="image8.png"/>
                    <pic:cNvPicPr/>
                  </pic:nvPicPr>
                  <pic:blipFill>
                    <a:blip r:embed="rId29"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75072">
            <wp:simplePos x="0" y="0"/>
            <wp:positionH relativeFrom="page">
              <wp:posOffset>2547823</wp:posOffset>
            </wp:positionH>
            <wp:positionV relativeFrom="paragraph">
              <wp:posOffset>45066</wp:posOffset>
            </wp:positionV>
            <wp:extent cx="55016" cy="6350"/>
            <wp:effectExtent l="0" t="0" r="0" b="0"/>
            <wp:wrapNone/>
            <wp:docPr id="283" name="image8.png"/>
            <wp:cNvGraphicFramePr>
              <a:graphicFrameLocks noChangeAspect="1"/>
            </wp:cNvGraphicFramePr>
            <a:graphic>
              <a:graphicData uri="http://schemas.openxmlformats.org/drawingml/2006/picture">
                <pic:pic>
                  <pic:nvPicPr>
                    <pic:cNvPr id="284" name="image8.png"/>
                    <pic:cNvPicPr/>
                  </pic:nvPicPr>
                  <pic:blipFill>
                    <a:blip r:embed="rId29" cstate="print"/>
                    <a:stretch>
                      <a:fillRect/>
                    </a:stretch>
                  </pic:blipFill>
                  <pic:spPr>
                    <a:xfrm>
                      <a:off x="0" y="0"/>
                      <a:ext cx="55016" cy="6350"/>
                    </a:xfrm>
                    <a:prstGeom prst="rect">
                      <a:avLst/>
                    </a:prstGeom>
                  </pic:spPr>
                </pic:pic>
              </a:graphicData>
            </a:graphic>
          </wp:anchor>
        </w:drawing>
      </w:r>
      <w:r>
        <w:rPr>
          <w:w w:val="121"/>
          <w:sz w:val="12"/>
        </w:rPr>
        <w:t>1</w:t>
      </w:r>
    </w:p>
    <w:p>
      <w:pPr>
        <w:pStyle w:val="BodyText"/>
        <w:spacing w:before="2"/>
        <w:rPr>
          <w:sz w:val="10"/>
        </w:rPr>
      </w:pPr>
    </w:p>
    <w:p>
      <w:pPr>
        <w:spacing w:before="0"/>
        <w:ind w:left="0" w:right="281" w:firstLine="0"/>
        <w:jc w:val="right"/>
        <w:rPr>
          <w:sz w:val="12"/>
        </w:rPr>
      </w:pPr>
      <w:r>
        <w:rPr/>
        <w:drawing>
          <wp:anchor distT="0" distB="0" distL="0" distR="0" allowOverlap="1" layoutInCell="1" locked="0" behindDoc="0" simplePos="0" relativeHeight="15868928">
            <wp:simplePos x="0" y="0"/>
            <wp:positionH relativeFrom="page">
              <wp:posOffset>525995</wp:posOffset>
            </wp:positionH>
            <wp:positionV relativeFrom="paragraph">
              <wp:posOffset>57208</wp:posOffset>
            </wp:positionV>
            <wp:extent cx="55016" cy="6350"/>
            <wp:effectExtent l="0" t="0" r="0" b="0"/>
            <wp:wrapNone/>
            <wp:docPr id="285" name="image13.png"/>
            <wp:cNvGraphicFramePr>
              <a:graphicFrameLocks noChangeAspect="1"/>
            </wp:cNvGraphicFramePr>
            <a:graphic>
              <a:graphicData uri="http://schemas.openxmlformats.org/drawingml/2006/picture">
                <pic:pic>
                  <pic:nvPicPr>
                    <pic:cNvPr id="286" name="image13.png"/>
                    <pic:cNvPicPr/>
                  </pic:nvPicPr>
                  <pic:blipFill>
                    <a:blip r:embed="rId34"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69440">
            <wp:simplePos x="0" y="0"/>
            <wp:positionH relativeFrom="page">
              <wp:posOffset>630301</wp:posOffset>
            </wp:positionH>
            <wp:positionV relativeFrom="paragraph">
              <wp:posOffset>1861</wp:posOffset>
            </wp:positionV>
            <wp:extent cx="1849132" cy="63500"/>
            <wp:effectExtent l="0" t="0" r="0" b="0"/>
            <wp:wrapNone/>
            <wp:docPr id="287" name="image33.png"/>
            <wp:cNvGraphicFramePr>
              <a:graphicFrameLocks noChangeAspect="1"/>
            </wp:cNvGraphicFramePr>
            <a:graphic>
              <a:graphicData uri="http://schemas.openxmlformats.org/drawingml/2006/picture">
                <pic:pic>
                  <pic:nvPicPr>
                    <pic:cNvPr id="288" name="image33.png"/>
                    <pic:cNvPicPr/>
                  </pic:nvPicPr>
                  <pic:blipFill>
                    <a:blip r:embed="rId60" cstate="print"/>
                    <a:stretch>
                      <a:fillRect/>
                    </a:stretch>
                  </pic:blipFill>
                  <pic:spPr>
                    <a:xfrm>
                      <a:off x="0" y="0"/>
                      <a:ext cx="1849132" cy="63500"/>
                    </a:xfrm>
                    <a:prstGeom prst="rect">
                      <a:avLst/>
                    </a:prstGeom>
                  </pic:spPr>
                </pic:pic>
              </a:graphicData>
            </a:graphic>
          </wp:anchor>
        </w:drawing>
      </w:r>
      <w:r>
        <w:rPr/>
        <w:drawing>
          <wp:anchor distT="0" distB="0" distL="0" distR="0" allowOverlap="1" layoutInCell="1" locked="0" behindDoc="0" simplePos="0" relativeHeight="15875584">
            <wp:simplePos x="0" y="0"/>
            <wp:positionH relativeFrom="page">
              <wp:posOffset>2547823</wp:posOffset>
            </wp:positionH>
            <wp:positionV relativeFrom="paragraph">
              <wp:posOffset>57208</wp:posOffset>
            </wp:positionV>
            <wp:extent cx="55016" cy="6350"/>
            <wp:effectExtent l="0" t="0" r="0" b="0"/>
            <wp:wrapNone/>
            <wp:docPr id="289" name="image13.png"/>
            <wp:cNvGraphicFramePr>
              <a:graphicFrameLocks noChangeAspect="1"/>
            </wp:cNvGraphicFramePr>
            <a:graphic>
              <a:graphicData uri="http://schemas.openxmlformats.org/drawingml/2006/picture">
                <pic:pic>
                  <pic:nvPicPr>
                    <pic:cNvPr id="290" name="image13.png"/>
                    <pic:cNvPicPr/>
                  </pic:nvPicPr>
                  <pic:blipFill>
                    <a:blip r:embed="rId34" cstate="print"/>
                    <a:stretch>
                      <a:fillRect/>
                    </a:stretch>
                  </pic:blipFill>
                  <pic:spPr>
                    <a:xfrm>
                      <a:off x="0" y="0"/>
                      <a:ext cx="55016" cy="6350"/>
                    </a:xfrm>
                    <a:prstGeom prst="rect">
                      <a:avLst/>
                    </a:prstGeom>
                  </pic:spPr>
                </pic:pic>
              </a:graphicData>
            </a:graphic>
          </wp:anchor>
        </w:drawing>
      </w:r>
      <w:r>
        <w:rPr>
          <w:w w:val="121"/>
          <w:sz w:val="12"/>
        </w:rPr>
        <w:t>0</w:t>
      </w:r>
    </w:p>
    <w:p>
      <w:pPr>
        <w:pStyle w:val="BodyText"/>
        <w:spacing w:line="292" w:lineRule="auto"/>
        <w:ind w:left="179" w:right="240"/>
      </w:pPr>
      <w:r>
        <w:rPr/>
        <w:br w:type="column"/>
      </w:r>
      <w:r>
        <w:rPr>
          <w:w w:val="105"/>
        </w:rPr>
        <w:t>Nonetheless, unsecured borrowing </w:t>
      </w:r>
      <w:r>
        <w:rPr>
          <w:spacing w:val="-4"/>
          <w:w w:val="105"/>
        </w:rPr>
        <w:t>rates </w:t>
      </w:r>
      <w:r>
        <w:rPr>
          <w:w w:val="105"/>
        </w:rPr>
        <w:t>remain much higher than secured </w:t>
      </w:r>
      <w:r>
        <w:rPr>
          <w:spacing w:val="-4"/>
          <w:w w:val="105"/>
        </w:rPr>
        <w:t>rates, </w:t>
      </w:r>
      <w:r>
        <w:rPr>
          <w:w w:val="105"/>
        </w:rPr>
        <w:t>reflecting the higher risk </w:t>
      </w:r>
      <w:r>
        <w:rPr>
          <w:spacing w:val="-4"/>
          <w:w w:val="105"/>
        </w:rPr>
        <w:t>to </w:t>
      </w:r>
      <w:r>
        <w:rPr>
          <w:w w:val="105"/>
        </w:rPr>
        <w:t>the </w:t>
      </w:r>
      <w:r>
        <w:rPr>
          <w:spacing w:val="-3"/>
          <w:w w:val="105"/>
        </w:rPr>
        <w:t>lender. </w:t>
      </w:r>
      <w:r>
        <w:rPr>
          <w:w w:val="105"/>
        </w:rPr>
        <w:t>So  the cost of financing consumption through borrowing will also depend on whether funds are obtained on a secured or unsecured basis. As noted </w:t>
      </w:r>
      <w:r>
        <w:rPr>
          <w:spacing w:val="-3"/>
          <w:w w:val="105"/>
        </w:rPr>
        <w:t>earlier, </w:t>
      </w:r>
      <w:r>
        <w:rPr>
          <w:w w:val="105"/>
        </w:rPr>
        <w:t>the increase in house prices in recent </w:t>
      </w:r>
      <w:r>
        <w:rPr>
          <w:spacing w:val="-3"/>
          <w:w w:val="105"/>
        </w:rPr>
        <w:t>years </w:t>
      </w:r>
      <w:r>
        <w:rPr>
          <w:w w:val="105"/>
        </w:rPr>
        <w:t>has raised the </w:t>
      </w:r>
      <w:r>
        <w:rPr>
          <w:spacing w:val="-3"/>
          <w:w w:val="105"/>
        </w:rPr>
        <w:t>average level </w:t>
      </w:r>
      <w:r>
        <w:rPr>
          <w:w w:val="105"/>
        </w:rPr>
        <w:t>of housing </w:t>
      </w:r>
      <w:r>
        <w:rPr>
          <w:spacing w:val="-5"/>
          <w:w w:val="105"/>
        </w:rPr>
        <w:t>equity, </w:t>
      </w:r>
      <w:r>
        <w:rPr>
          <w:w w:val="105"/>
        </w:rPr>
        <w:t>while innovation in the mortgage market, such as increased scope for lump-sum withdrawals against housing </w:t>
      </w:r>
      <w:r>
        <w:rPr>
          <w:spacing w:val="-5"/>
          <w:w w:val="105"/>
        </w:rPr>
        <w:t>equity, </w:t>
      </w:r>
      <w:r>
        <w:rPr>
          <w:spacing w:val="-3"/>
          <w:w w:val="105"/>
        </w:rPr>
        <w:t>may </w:t>
      </w:r>
      <w:r>
        <w:rPr>
          <w:w w:val="105"/>
        </w:rPr>
        <w:t>have </w:t>
      </w:r>
      <w:r>
        <w:rPr>
          <w:spacing w:val="-3"/>
          <w:w w:val="105"/>
        </w:rPr>
        <w:t>lowered </w:t>
      </w:r>
      <w:r>
        <w:rPr>
          <w:w w:val="105"/>
        </w:rPr>
        <w:t>the cost of borrowing for consumption on a secured basis.  So recent </w:t>
      </w:r>
      <w:r>
        <w:rPr>
          <w:spacing w:val="-3"/>
          <w:w w:val="105"/>
        </w:rPr>
        <w:t>years have </w:t>
      </w:r>
      <w:r>
        <w:rPr>
          <w:w w:val="105"/>
        </w:rPr>
        <w:t>probably seen reductions  in the marginal cost of financing consumption through either secured or unsecured borrowing, relative </w:t>
      </w:r>
      <w:r>
        <w:rPr>
          <w:spacing w:val="-4"/>
          <w:w w:val="105"/>
        </w:rPr>
        <w:t>to </w:t>
      </w:r>
      <w:r>
        <w:rPr>
          <w:w w:val="105"/>
        </w:rPr>
        <w:t>the </w:t>
      </w:r>
      <w:r>
        <w:rPr>
          <w:spacing w:val="-3"/>
          <w:w w:val="105"/>
        </w:rPr>
        <w:t>Bank’s </w:t>
      </w:r>
      <w:r>
        <w:rPr>
          <w:w w:val="105"/>
        </w:rPr>
        <w:t>repo </w:t>
      </w:r>
      <w:r>
        <w:rPr>
          <w:spacing w:val="-3"/>
          <w:w w:val="105"/>
        </w:rPr>
        <w:t>rate.   </w:t>
      </w:r>
      <w:hyperlink w:history="true" w:anchor="_bookmark5">
        <w:r>
          <w:rPr>
            <w:w w:val="105"/>
          </w:rPr>
          <w:t>The </w:t>
        </w:r>
        <w:r>
          <w:rPr>
            <w:color w:val="FF0000"/>
            <w:w w:val="105"/>
          </w:rPr>
          <w:t>box </w:t>
        </w:r>
        <w:r>
          <w:rPr>
            <w:w w:val="105"/>
          </w:rPr>
          <w:t>on page 6 </w:t>
        </w:r>
      </w:hyperlink>
      <w:r>
        <w:rPr>
          <w:w w:val="105"/>
        </w:rPr>
        <w:t>looks further at the effect of  structural change in retail</w:t>
      </w:r>
      <w:r>
        <w:rPr>
          <w:spacing w:val="-6"/>
          <w:w w:val="105"/>
        </w:rPr>
        <w:t> </w:t>
      </w:r>
      <w:r>
        <w:rPr>
          <w:w w:val="105"/>
        </w:rPr>
        <w:t>markets.</w:t>
      </w:r>
    </w:p>
    <w:p>
      <w:pPr>
        <w:spacing w:after="0" w:line="292" w:lineRule="auto"/>
        <w:sectPr>
          <w:type w:val="continuous"/>
          <w:pgSz w:w="11900" w:h="16840"/>
          <w:pgMar w:top="1260" w:bottom="280" w:left="640" w:right="640"/>
          <w:cols w:num="2" w:equalWidth="0">
            <w:col w:w="3938" w:space="982"/>
            <w:col w:w="5700"/>
          </w:cols>
        </w:sectPr>
      </w:pPr>
    </w:p>
    <w:p>
      <w:pPr>
        <w:spacing w:before="24"/>
        <w:ind w:left="593" w:right="0" w:firstLine="0"/>
        <w:jc w:val="left"/>
        <w:rPr>
          <w:sz w:val="12"/>
        </w:rPr>
      </w:pPr>
      <w:r>
        <w:rPr>
          <w:w w:val="120"/>
          <w:sz w:val="12"/>
        </w:rPr>
        <w:t>1997</w:t>
      </w:r>
    </w:p>
    <w:p>
      <w:pPr>
        <w:pStyle w:val="BodyText"/>
        <w:spacing w:before="8"/>
        <w:rPr>
          <w:sz w:val="9"/>
        </w:rPr>
      </w:pPr>
    </w:p>
    <w:p>
      <w:pPr>
        <w:spacing w:before="0"/>
        <w:ind w:left="170" w:right="0" w:firstLine="0"/>
        <w:jc w:val="left"/>
        <w:rPr>
          <w:sz w:val="12"/>
        </w:rPr>
      </w:pPr>
      <w:r>
        <w:rPr>
          <w:w w:val="105"/>
          <w:sz w:val="12"/>
        </w:rPr>
        <w:t>Source: Bloomberg.</w:t>
      </w:r>
    </w:p>
    <w:p>
      <w:pPr>
        <w:tabs>
          <w:tab w:pos="846" w:val="left" w:leader="none"/>
          <w:tab w:pos="1496" w:val="left" w:leader="none"/>
          <w:tab w:pos="1999" w:val="left" w:leader="none"/>
        </w:tabs>
        <w:spacing w:before="24"/>
        <w:ind w:left="147" w:right="0" w:firstLine="0"/>
        <w:jc w:val="left"/>
        <w:rPr>
          <w:sz w:val="12"/>
        </w:rPr>
      </w:pPr>
      <w:r>
        <w:rPr/>
        <w:br w:type="column"/>
      </w:r>
      <w:r>
        <w:rPr>
          <w:w w:val="120"/>
          <w:sz w:val="12"/>
        </w:rPr>
        <w:t>98</w:t>
        <w:tab/>
        <w:t>99</w:t>
        <w:tab/>
        <w:t>2000</w:t>
        <w:tab/>
        <w:t>01</w:t>
      </w:r>
    </w:p>
    <w:p>
      <w:pPr>
        <w:pStyle w:val="Heading6"/>
        <w:spacing w:before="195"/>
        <w:ind w:left="170"/>
      </w:pPr>
      <w:r>
        <w:rPr>
          <w:b w:val="0"/>
        </w:rPr>
        <w:br w:type="column"/>
      </w:r>
      <w:r>
        <w:rPr>
          <w:color w:val="89C6DC"/>
        </w:rPr>
        <w:t>Corporate borrowing rates</w:t>
      </w:r>
    </w:p>
    <w:p>
      <w:pPr>
        <w:spacing w:after="0"/>
        <w:sectPr>
          <w:type w:val="continuous"/>
          <w:pgSz w:w="11900" w:h="16840"/>
          <w:pgMar w:top="1260" w:bottom="280" w:left="640" w:right="640"/>
          <w:cols w:num="3" w:equalWidth="0">
            <w:col w:w="1195" w:space="40"/>
            <w:col w:w="2185" w:space="1390"/>
            <w:col w:w="5810"/>
          </w:cols>
        </w:sectPr>
      </w:pPr>
    </w:p>
    <w:p>
      <w:pPr>
        <w:spacing w:before="86"/>
        <w:ind w:left="170" w:right="0" w:firstLine="0"/>
        <w:jc w:val="left"/>
        <w:rPr>
          <w:sz w:val="12"/>
        </w:rPr>
      </w:pPr>
      <w:r>
        <w:rPr>
          <w:w w:val="110"/>
          <w:sz w:val="12"/>
        </w:rPr>
        <w:t>(a) US industrial corporate bonds.</w:t>
      </w:r>
    </w:p>
    <w:p>
      <w:pPr>
        <w:pStyle w:val="BodyText"/>
        <w:spacing w:before="1"/>
        <w:rPr>
          <w:sz w:val="18"/>
        </w:rPr>
      </w:pPr>
      <w:r>
        <w:rPr/>
        <w:br w:type="column"/>
      </w:r>
      <w:r>
        <w:rPr>
          <w:sz w:val="18"/>
        </w:rPr>
      </w:r>
    </w:p>
    <w:p>
      <w:pPr>
        <w:pStyle w:val="BodyText"/>
        <w:spacing w:line="292" w:lineRule="auto" w:before="1"/>
        <w:ind w:left="170" w:right="150"/>
      </w:pPr>
      <w:r>
        <w:rPr>
          <w:w w:val="110"/>
        </w:rPr>
        <w:t>The cost of debt </w:t>
      </w:r>
      <w:r>
        <w:rPr>
          <w:spacing w:val="-4"/>
          <w:w w:val="110"/>
        </w:rPr>
        <w:t>to </w:t>
      </w:r>
      <w:r>
        <w:rPr>
          <w:w w:val="110"/>
        </w:rPr>
        <w:t>companies depends on perceptions of credit and other risks, as well as the </w:t>
      </w:r>
      <w:r>
        <w:rPr>
          <w:spacing w:val="-4"/>
          <w:w w:val="110"/>
        </w:rPr>
        <w:t>risk-free </w:t>
      </w:r>
      <w:r>
        <w:rPr>
          <w:spacing w:val="-3"/>
          <w:w w:val="110"/>
        </w:rPr>
        <w:t>interest </w:t>
      </w:r>
      <w:r>
        <w:rPr>
          <w:spacing w:val="-4"/>
          <w:w w:val="110"/>
        </w:rPr>
        <w:t>rate. </w:t>
      </w:r>
      <w:r>
        <w:rPr>
          <w:spacing w:val="-3"/>
          <w:w w:val="110"/>
        </w:rPr>
        <w:t>Corporate </w:t>
      </w:r>
      <w:r>
        <w:rPr>
          <w:w w:val="110"/>
        </w:rPr>
        <w:t>bond yield spreads </w:t>
      </w:r>
      <w:r>
        <w:rPr>
          <w:spacing w:val="-3"/>
          <w:w w:val="110"/>
        </w:rPr>
        <w:t>have </w:t>
      </w:r>
      <w:r>
        <w:rPr>
          <w:w w:val="110"/>
        </w:rPr>
        <w:t>been little changed in recent months, so that reductions in </w:t>
      </w:r>
      <w:r>
        <w:rPr>
          <w:spacing w:val="-4"/>
          <w:w w:val="110"/>
        </w:rPr>
        <w:t>risk-free </w:t>
      </w:r>
      <w:r>
        <w:rPr>
          <w:spacing w:val="-3"/>
          <w:w w:val="110"/>
        </w:rPr>
        <w:t>interest </w:t>
      </w:r>
      <w:r>
        <w:rPr>
          <w:spacing w:val="-4"/>
          <w:w w:val="110"/>
        </w:rPr>
        <w:t>rates </w:t>
      </w:r>
      <w:r>
        <w:rPr>
          <w:spacing w:val="-3"/>
          <w:w w:val="110"/>
        </w:rPr>
        <w:t>have</w:t>
      </w:r>
      <w:r>
        <w:rPr>
          <w:spacing w:val="-10"/>
          <w:w w:val="110"/>
        </w:rPr>
        <w:t> </w:t>
      </w:r>
      <w:r>
        <w:rPr>
          <w:w w:val="110"/>
        </w:rPr>
        <w:t>led</w:t>
      </w:r>
      <w:r>
        <w:rPr>
          <w:spacing w:val="-9"/>
          <w:w w:val="110"/>
        </w:rPr>
        <w:t> </w:t>
      </w:r>
      <w:r>
        <w:rPr>
          <w:spacing w:val="-4"/>
          <w:w w:val="110"/>
        </w:rPr>
        <w:t>to</w:t>
      </w:r>
      <w:r>
        <w:rPr>
          <w:spacing w:val="-10"/>
          <w:w w:val="110"/>
        </w:rPr>
        <w:t> </w:t>
      </w:r>
      <w:r>
        <w:rPr>
          <w:w w:val="110"/>
        </w:rPr>
        <w:t>a</w:t>
      </w:r>
      <w:r>
        <w:rPr>
          <w:spacing w:val="-9"/>
          <w:w w:val="110"/>
        </w:rPr>
        <w:t> </w:t>
      </w:r>
      <w:r>
        <w:rPr>
          <w:w w:val="110"/>
        </w:rPr>
        <w:t>decline</w:t>
      </w:r>
      <w:r>
        <w:rPr>
          <w:spacing w:val="-10"/>
          <w:w w:val="110"/>
        </w:rPr>
        <w:t> </w:t>
      </w:r>
      <w:r>
        <w:rPr>
          <w:w w:val="110"/>
        </w:rPr>
        <w:t>in</w:t>
      </w:r>
      <w:r>
        <w:rPr>
          <w:spacing w:val="-9"/>
          <w:w w:val="110"/>
        </w:rPr>
        <w:t> </w:t>
      </w:r>
      <w:r>
        <w:rPr>
          <w:spacing w:val="-3"/>
          <w:w w:val="110"/>
        </w:rPr>
        <w:t>corporate</w:t>
      </w:r>
      <w:r>
        <w:rPr>
          <w:spacing w:val="-10"/>
          <w:w w:val="110"/>
        </w:rPr>
        <w:t> </w:t>
      </w:r>
      <w:r>
        <w:rPr>
          <w:w w:val="110"/>
        </w:rPr>
        <w:t>bond</w:t>
      </w:r>
      <w:r>
        <w:rPr>
          <w:spacing w:val="-9"/>
          <w:w w:val="110"/>
        </w:rPr>
        <w:t> </w:t>
      </w:r>
      <w:r>
        <w:rPr>
          <w:w w:val="110"/>
        </w:rPr>
        <w:t>yields</w:t>
      </w:r>
      <w:r>
        <w:rPr>
          <w:spacing w:val="-10"/>
          <w:w w:val="110"/>
        </w:rPr>
        <w:t> </w:t>
      </w:r>
      <w:r>
        <w:rPr>
          <w:w w:val="110"/>
        </w:rPr>
        <w:t>(see</w:t>
      </w:r>
      <w:r>
        <w:rPr>
          <w:spacing w:val="-9"/>
          <w:w w:val="110"/>
        </w:rPr>
        <w:t> </w:t>
      </w:r>
      <w:r>
        <w:rPr>
          <w:w w:val="110"/>
        </w:rPr>
        <w:t>Chart</w:t>
      </w:r>
      <w:r>
        <w:rPr>
          <w:spacing w:val="-10"/>
          <w:w w:val="110"/>
        </w:rPr>
        <w:t> </w:t>
      </w:r>
      <w:r>
        <w:rPr>
          <w:spacing w:val="-7"/>
          <w:w w:val="110"/>
        </w:rPr>
        <w:t>1.15). </w:t>
      </w:r>
      <w:r>
        <w:rPr>
          <w:w w:val="110"/>
        </w:rPr>
        <w:t>In contrast, in the United </w:t>
      </w:r>
      <w:r>
        <w:rPr>
          <w:spacing w:val="-3"/>
          <w:w w:val="110"/>
        </w:rPr>
        <w:t>States, corporate </w:t>
      </w:r>
      <w:r>
        <w:rPr>
          <w:w w:val="110"/>
        </w:rPr>
        <w:t>spreads </w:t>
      </w:r>
      <w:r>
        <w:rPr>
          <w:spacing w:val="-3"/>
          <w:w w:val="110"/>
        </w:rPr>
        <w:t>have </w:t>
      </w:r>
      <w:r>
        <w:rPr>
          <w:w w:val="110"/>
        </w:rPr>
        <w:t>risen since the November </w:t>
      </w:r>
      <w:r>
        <w:rPr>
          <w:i/>
          <w:w w:val="110"/>
        </w:rPr>
        <w:t>Report</w:t>
      </w:r>
      <w:r>
        <w:rPr>
          <w:w w:val="110"/>
        </w:rPr>
        <w:t>, though they </w:t>
      </w:r>
      <w:r>
        <w:rPr>
          <w:spacing w:val="-3"/>
          <w:w w:val="110"/>
        </w:rPr>
        <w:t>have </w:t>
      </w:r>
      <w:r>
        <w:rPr>
          <w:w w:val="110"/>
        </w:rPr>
        <w:t>fallen back somewhat</w:t>
      </w:r>
      <w:r>
        <w:rPr>
          <w:spacing w:val="-31"/>
          <w:w w:val="110"/>
        </w:rPr>
        <w:t> </w:t>
      </w:r>
      <w:r>
        <w:rPr>
          <w:w w:val="110"/>
        </w:rPr>
        <w:t>following</w:t>
      </w:r>
      <w:r>
        <w:rPr>
          <w:spacing w:val="-31"/>
          <w:w w:val="110"/>
        </w:rPr>
        <w:t> </w:t>
      </w:r>
      <w:r>
        <w:rPr>
          <w:w w:val="110"/>
        </w:rPr>
        <w:t>the</w:t>
      </w:r>
      <w:r>
        <w:rPr>
          <w:spacing w:val="-31"/>
          <w:w w:val="110"/>
        </w:rPr>
        <w:t> </w:t>
      </w:r>
      <w:r>
        <w:rPr>
          <w:w w:val="110"/>
        </w:rPr>
        <w:t>first</w:t>
      </w:r>
      <w:r>
        <w:rPr>
          <w:spacing w:val="-31"/>
          <w:w w:val="110"/>
        </w:rPr>
        <w:t> </w:t>
      </w:r>
      <w:r>
        <w:rPr>
          <w:w w:val="110"/>
        </w:rPr>
        <w:t>of</w:t>
      </w:r>
      <w:r>
        <w:rPr>
          <w:spacing w:val="-31"/>
          <w:w w:val="110"/>
        </w:rPr>
        <w:t> </w:t>
      </w:r>
      <w:r>
        <w:rPr>
          <w:w w:val="110"/>
        </w:rPr>
        <w:t>the</w:t>
      </w:r>
      <w:r>
        <w:rPr>
          <w:spacing w:val="-31"/>
          <w:w w:val="110"/>
        </w:rPr>
        <w:t> </w:t>
      </w:r>
      <w:r>
        <w:rPr>
          <w:spacing w:val="-5"/>
          <w:w w:val="110"/>
        </w:rPr>
        <w:t>two</w:t>
      </w:r>
      <w:r>
        <w:rPr>
          <w:spacing w:val="-30"/>
          <w:w w:val="110"/>
        </w:rPr>
        <w:t> </w:t>
      </w:r>
      <w:r>
        <w:rPr>
          <w:spacing w:val="-3"/>
          <w:w w:val="110"/>
        </w:rPr>
        <w:t>Federal</w:t>
      </w:r>
      <w:r>
        <w:rPr>
          <w:spacing w:val="-31"/>
          <w:w w:val="110"/>
        </w:rPr>
        <w:t> </w:t>
      </w:r>
      <w:r>
        <w:rPr>
          <w:spacing w:val="-3"/>
          <w:w w:val="110"/>
        </w:rPr>
        <w:t>Reserve</w:t>
      </w:r>
      <w:r>
        <w:rPr>
          <w:spacing w:val="-31"/>
          <w:w w:val="110"/>
        </w:rPr>
        <w:t> </w:t>
      </w:r>
      <w:r>
        <w:rPr>
          <w:w w:val="110"/>
        </w:rPr>
        <w:t>official </w:t>
      </w:r>
      <w:r>
        <w:rPr>
          <w:spacing w:val="-3"/>
          <w:w w:val="110"/>
        </w:rPr>
        <w:t>interest </w:t>
      </w:r>
      <w:r>
        <w:rPr>
          <w:spacing w:val="-4"/>
          <w:w w:val="110"/>
        </w:rPr>
        <w:t>rate </w:t>
      </w:r>
      <w:r>
        <w:rPr>
          <w:w w:val="110"/>
        </w:rPr>
        <w:t>cuts in </w:t>
      </w:r>
      <w:r>
        <w:rPr>
          <w:spacing w:val="-3"/>
          <w:w w:val="110"/>
        </w:rPr>
        <w:t>January. </w:t>
      </w:r>
      <w:r>
        <w:rPr>
          <w:spacing w:val="-4"/>
          <w:w w:val="110"/>
        </w:rPr>
        <w:t>However, </w:t>
      </w:r>
      <w:r>
        <w:rPr>
          <w:w w:val="110"/>
        </w:rPr>
        <w:t>the rise in </w:t>
      </w:r>
      <w:r>
        <w:rPr>
          <w:spacing w:val="-3"/>
          <w:w w:val="110"/>
        </w:rPr>
        <w:t>corporate </w:t>
      </w:r>
      <w:r>
        <w:rPr>
          <w:w w:val="110"/>
        </w:rPr>
        <w:t>spreads</w:t>
      </w:r>
      <w:r>
        <w:rPr>
          <w:spacing w:val="-10"/>
          <w:w w:val="110"/>
        </w:rPr>
        <w:t> </w:t>
      </w:r>
      <w:r>
        <w:rPr>
          <w:w w:val="110"/>
        </w:rPr>
        <w:t>has</w:t>
      </w:r>
      <w:r>
        <w:rPr>
          <w:spacing w:val="-10"/>
          <w:w w:val="110"/>
        </w:rPr>
        <w:t> </w:t>
      </w:r>
      <w:r>
        <w:rPr>
          <w:w w:val="110"/>
        </w:rPr>
        <w:t>been</w:t>
      </w:r>
      <w:r>
        <w:rPr>
          <w:spacing w:val="-10"/>
          <w:w w:val="110"/>
        </w:rPr>
        <w:t> </w:t>
      </w:r>
      <w:r>
        <w:rPr>
          <w:w w:val="110"/>
        </w:rPr>
        <w:t>more</w:t>
      </w:r>
      <w:r>
        <w:rPr>
          <w:spacing w:val="-10"/>
          <w:w w:val="110"/>
        </w:rPr>
        <w:t> </w:t>
      </w:r>
      <w:r>
        <w:rPr>
          <w:w w:val="110"/>
        </w:rPr>
        <w:t>than</w:t>
      </w:r>
      <w:r>
        <w:rPr>
          <w:spacing w:val="-10"/>
          <w:w w:val="110"/>
        </w:rPr>
        <w:t> </w:t>
      </w:r>
      <w:r>
        <w:rPr>
          <w:w w:val="110"/>
        </w:rPr>
        <w:t>offset</w:t>
      </w:r>
      <w:r>
        <w:rPr>
          <w:spacing w:val="-9"/>
          <w:w w:val="110"/>
        </w:rPr>
        <w:t> </w:t>
      </w:r>
      <w:r>
        <w:rPr>
          <w:spacing w:val="-3"/>
          <w:w w:val="110"/>
        </w:rPr>
        <w:t>by</w:t>
      </w:r>
      <w:r>
        <w:rPr>
          <w:spacing w:val="-10"/>
          <w:w w:val="110"/>
        </w:rPr>
        <w:t> </w:t>
      </w:r>
      <w:r>
        <w:rPr>
          <w:w w:val="110"/>
        </w:rPr>
        <w:t>reductions</w:t>
      </w:r>
      <w:r>
        <w:rPr>
          <w:spacing w:val="-10"/>
          <w:w w:val="110"/>
        </w:rPr>
        <w:t> </w:t>
      </w:r>
      <w:r>
        <w:rPr>
          <w:w w:val="110"/>
        </w:rPr>
        <w:t>in</w:t>
      </w:r>
      <w:r>
        <w:rPr>
          <w:spacing w:val="-10"/>
          <w:w w:val="110"/>
        </w:rPr>
        <w:t> </w:t>
      </w:r>
      <w:r>
        <w:rPr>
          <w:w w:val="110"/>
        </w:rPr>
        <w:t>US</w:t>
      </w:r>
    </w:p>
    <w:p>
      <w:pPr>
        <w:pStyle w:val="BodyText"/>
        <w:spacing w:line="292" w:lineRule="auto"/>
        <w:ind w:left="170" w:right="260"/>
      </w:pPr>
      <w:r>
        <w:rPr>
          <w:spacing w:val="-4"/>
          <w:w w:val="110"/>
        </w:rPr>
        <w:t>risk-free </w:t>
      </w:r>
      <w:r>
        <w:rPr>
          <w:spacing w:val="-3"/>
          <w:w w:val="110"/>
        </w:rPr>
        <w:t>interest </w:t>
      </w:r>
      <w:r>
        <w:rPr>
          <w:spacing w:val="-4"/>
          <w:w w:val="110"/>
        </w:rPr>
        <w:t>rates, </w:t>
      </w:r>
      <w:r>
        <w:rPr>
          <w:w w:val="110"/>
        </w:rPr>
        <w:t>so that US </w:t>
      </w:r>
      <w:r>
        <w:rPr>
          <w:spacing w:val="-3"/>
          <w:w w:val="110"/>
        </w:rPr>
        <w:t>corporate </w:t>
      </w:r>
      <w:r>
        <w:rPr>
          <w:w w:val="110"/>
        </w:rPr>
        <w:t>bond yields </w:t>
      </w:r>
      <w:r>
        <w:rPr>
          <w:spacing w:val="-3"/>
          <w:w w:val="110"/>
        </w:rPr>
        <w:t>have </w:t>
      </w:r>
      <w:r>
        <w:rPr>
          <w:w w:val="110"/>
        </w:rPr>
        <w:t>fallen (see Chart </w:t>
      </w:r>
      <w:r>
        <w:rPr>
          <w:spacing w:val="-7"/>
          <w:w w:val="110"/>
        </w:rPr>
        <w:t>1.15).</w:t>
      </w:r>
    </w:p>
    <w:p>
      <w:pPr>
        <w:spacing w:after="0" w:line="292" w:lineRule="auto"/>
        <w:sectPr>
          <w:type w:val="continuous"/>
          <w:pgSz w:w="11900" w:h="16840"/>
          <w:pgMar w:top="1260" w:bottom="280" w:left="640" w:right="640"/>
          <w:cols w:num="2" w:equalWidth="0">
            <w:col w:w="2024" w:space="2906"/>
            <w:col w:w="5690"/>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65"/>
      </w:pPr>
      <w:bookmarkStart w:name="Equity prices" w:id="26"/>
      <w:bookmarkEnd w:id="26"/>
      <w:r>
        <w:rPr>
          <w:b w:val="0"/>
        </w:rPr>
      </w:r>
      <w:bookmarkStart w:name="Property prices" w:id="27"/>
      <w:bookmarkEnd w:id="27"/>
      <w:r>
        <w:rPr>
          <w:b w:val="0"/>
        </w:rPr>
      </w:r>
      <w:bookmarkStart w:name="_bookmark11" w:id="28"/>
      <w:bookmarkEnd w:id="28"/>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1.16</w:t>
      </w:r>
    </w:p>
    <w:p>
      <w:pPr>
        <w:spacing w:before="8"/>
        <w:ind w:left="165" w:right="0" w:firstLine="0"/>
        <w:jc w:val="left"/>
        <w:rPr>
          <w:rFonts w:ascii="Trebuchet MS"/>
          <w:b/>
          <w:sz w:val="20"/>
        </w:rPr>
      </w:pPr>
      <w:r>
        <w:rPr>
          <w:rFonts w:ascii="Trebuchet MS"/>
          <w:b/>
          <w:color w:val="89C6DC"/>
          <w:sz w:val="20"/>
        </w:rPr>
        <w:t>International equity indices</w:t>
      </w:r>
    </w:p>
    <w:p>
      <w:pPr>
        <w:spacing w:before="68"/>
        <w:ind w:left="2093" w:right="0" w:firstLine="0"/>
        <w:jc w:val="left"/>
        <w:rPr>
          <w:sz w:val="12"/>
        </w:rPr>
      </w:pPr>
      <w:r>
        <w:rPr/>
        <w:pict>
          <v:group style="position:absolute;margin-left:42.570999pt;margin-top:36.028419pt;width:152.35pt;height:107.2pt;mso-position-horizontal-relative:page;mso-position-vertical-relative:paragraph;z-index:15889408" coordorigin="851,721" coordsize="3047,2144">
            <v:shape style="position:absolute;left:851;top:720;width:3047;height:2144" type="#_x0000_t75" stroked="false">
              <v:imagedata r:id="rId61" o:title=""/>
            </v:shape>
            <v:shape style="position:absolute;left:1842;top:930;width:604;height:121" type="#_x0000_t202" filled="false" stroked="false">
              <v:textbox inset="0,0,0,0">
                <w:txbxContent>
                  <w:p>
                    <w:pPr>
                      <w:spacing w:line="116" w:lineRule="exact" w:before="0"/>
                      <w:ind w:left="0" w:right="0" w:firstLine="0"/>
                      <w:jc w:val="left"/>
                      <w:rPr>
                        <w:sz w:val="12"/>
                      </w:rPr>
                    </w:pPr>
                    <w:r>
                      <w:rPr>
                        <w:w w:val="110"/>
                        <w:sz w:val="12"/>
                      </w:rPr>
                      <w:t>Nikkei 225</w:t>
                    </w:r>
                  </w:p>
                </w:txbxContent>
              </v:textbox>
              <w10:wrap type="none"/>
            </v:shape>
            <v:shape style="position:absolute;left:3247;top:930;width:529;height:121" type="#_x0000_t202" filled="false" stroked="false">
              <v:textbox inset="0,0,0,0">
                <w:txbxContent>
                  <w:p>
                    <w:pPr>
                      <w:spacing w:line="116" w:lineRule="exact" w:before="0"/>
                      <w:ind w:left="0" w:right="0" w:firstLine="0"/>
                      <w:jc w:val="left"/>
                      <w:rPr>
                        <w:sz w:val="12"/>
                      </w:rPr>
                    </w:pPr>
                    <w:r>
                      <w:rPr>
                        <w:w w:val="105"/>
                        <w:sz w:val="12"/>
                      </w:rPr>
                      <w:t>Eurostoxx</w:t>
                    </w:r>
                  </w:p>
                </w:txbxContent>
              </v:textbox>
              <w10:wrap type="none"/>
            </v:shape>
            <v:shape style="position:absolute;left:2637;top:2335;width:779;height:121" type="#_x0000_t202" filled="false" stroked="false">
              <v:textbox inset="0,0,0,0">
                <w:txbxContent>
                  <w:p>
                    <w:pPr>
                      <w:spacing w:line="116" w:lineRule="exact" w:before="0"/>
                      <w:ind w:left="0" w:right="0" w:firstLine="0"/>
                      <w:jc w:val="left"/>
                      <w:rPr>
                        <w:sz w:val="12"/>
                      </w:rPr>
                    </w:pPr>
                    <w:r>
                      <w:rPr>
                        <w:sz w:val="12"/>
                      </w:rPr>
                      <w:t>FTSE All-Share</w:t>
                    </w:r>
                  </w:p>
                </w:txbxContent>
              </v:textbox>
              <w10:wrap type="none"/>
            </v:shape>
            <w10:wrap type="none"/>
          </v:group>
        </w:pict>
      </w:r>
      <w:r>
        <w:rPr/>
        <w:drawing>
          <wp:anchor distT="0" distB="0" distL="0" distR="0" allowOverlap="1" layoutInCell="1" locked="0" behindDoc="0" simplePos="0" relativeHeight="15890944">
            <wp:simplePos x="0" y="0"/>
            <wp:positionH relativeFrom="page">
              <wp:posOffset>2522918</wp:posOffset>
            </wp:positionH>
            <wp:positionV relativeFrom="paragraph">
              <wp:posOffset>572381</wp:posOffset>
            </wp:positionV>
            <wp:extent cx="55304" cy="6381"/>
            <wp:effectExtent l="0" t="0" r="0" b="0"/>
            <wp:wrapNone/>
            <wp:docPr id="291" name="image10.png"/>
            <wp:cNvGraphicFramePr>
              <a:graphicFrameLocks noChangeAspect="1"/>
            </wp:cNvGraphicFramePr>
            <a:graphic>
              <a:graphicData uri="http://schemas.openxmlformats.org/drawingml/2006/picture">
                <pic:pic>
                  <pic:nvPicPr>
                    <pic:cNvPr id="292"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91456">
            <wp:simplePos x="0" y="0"/>
            <wp:positionH relativeFrom="page">
              <wp:posOffset>2522918</wp:posOffset>
            </wp:positionH>
            <wp:positionV relativeFrom="paragraph">
              <wp:posOffset>772508</wp:posOffset>
            </wp:positionV>
            <wp:extent cx="55304" cy="6381"/>
            <wp:effectExtent l="0" t="0" r="0" b="0"/>
            <wp:wrapNone/>
            <wp:docPr id="293" name="image10.png"/>
            <wp:cNvGraphicFramePr>
              <a:graphicFrameLocks noChangeAspect="1"/>
            </wp:cNvGraphicFramePr>
            <a:graphic>
              <a:graphicData uri="http://schemas.openxmlformats.org/drawingml/2006/picture">
                <pic:pic>
                  <pic:nvPicPr>
                    <pic:cNvPr id="294"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91968">
            <wp:simplePos x="0" y="0"/>
            <wp:positionH relativeFrom="page">
              <wp:posOffset>2522918</wp:posOffset>
            </wp:positionH>
            <wp:positionV relativeFrom="paragraph">
              <wp:posOffset>966919</wp:posOffset>
            </wp:positionV>
            <wp:extent cx="55304" cy="6381"/>
            <wp:effectExtent l="0" t="0" r="0" b="0"/>
            <wp:wrapNone/>
            <wp:docPr id="295" name="image10.png"/>
            <wp:cNvGraphicFramePr>
              <a:graphicFrameLocks noChangeAspect="1"/>
            </wp:cNvGraphicFramePr>
            <a:graphic>
              <a:graphicData uri="http://schemas.openxmlformats.org/drawingml/2006/picture">
                <pic:pic>
                  <pic:nvPicPr>
                    <pic:cNvPr id="296" name="image10.png"/>
                    <pic:cNvPicPr/>
                  </pic:nvPicPr>
                  <pic:blipFill>
                    <a:blip r:embed="rId31" cstate="print"/>
                    <a:stretch>
                      <a:fillRect/>
                    </a:stretch>
                  </pic:blipFill>
                  <pic:spPr>
                    <a:xfrm>
                      <a:off x="0" y="0"/>
                      <a:ext cx="55304" cy="6381"/>
                    </a:xfrm>
                    <a:prstGeom prst="rect">
                      <a:avLst/>
                    </a:prstGeom>
                  </pic:spPr>
                </pic:pic>
              </a:graphicData>
            </a:graphic>
          </wp:anchor>
        </w:drawing>
      </w:r>
      <w:r>
        <w:rPr>
          <w:w w:val="110"/>
          <w:sz w:val="12"/>
        </w:rPr>
        <w:t>Index; 4 Jan. 1999 = 100</w:t>
      </w:r>
    </w:p>
    <w:p>
      <w:pPr>
        <w:pStyle w:val="BodyText"/>
        <w:spacing w:before="1"/>
        <w:rPr>
          <w:sz w:val="5"/>
        </w:rPr>
      </w:pPr>
    </w:p>
    <w:p>
      <w:pPr>
        <w:tabs>
          <w:tab w:pos="3333" w:val="left" w:leader="none"/>
        </w:tabs>
        <w:spacing w:line="20" w:lineRule="exact"/>
        <w:ind w:left="211" w:right="-44" w:firstLine="0"/>
        <w:rPr>
          <w:sz w:val="2"/>
        </w:rPr>
      </w:pPr>
      <w:r>
        <w:rPr>
          <w:sz w:val="2"/>
        </w:rPr>
        <w:drawing>
          <wp:inline distT="0" distB="0" distL="0" distR="0">
            <wp:extent cx="55317" cy="6381"/>
            <wp:effectExtent l="0" t="0" r="0" b="0"/>
            <wp:docPr id="297" name="image10.png"/>
            <wp:cNvGraphicFramePr>
              <a:graphicFrameLocks noChangeAspect="1"/>
            </wp:cNvGraphicFramePr>
            <a:graphic>
              <a:graphicData uri="http://schemas.openxmlformats.org/drawingml/2006/picture">
                <pic:pic>
                  <pic:nvPicPr>
                    <pic:cNvPr id="298" name="image10.png"/>
                    <pic:cNvPicPr/>
                  </pic:nvPicPr>
                  <pic:blipFill>
                    <a:blip r:embed="rId31" cstate="print"/>
                    <a:stretch>
                      <a:fillRect/>
                    </a:stretch>
                  </pic:blipFill>
                  <pic:spPr>
                    <a:xfrm>
                      <a:off x="0" y="0"/>
                      <a:ext cx="55317" cy="6381"/>
                    </a:xfrm>
                    <a:prstGeom prst="rect">
                      <a:avLst/>
                    </a:prstGeom>
                  </pic:spPr>
                </pic:pic>
              </a:graphicData>
            </a:graphic>
          </wp:inline>
        </w:drawing>
      </w:r>
      <w:r>
        <w:rPr>
          <w:sz w:val="2"/>
        </w:rPr>
      </w:r>
      <w:r>
        <w:rPr>
          <w:sz w:val="2"/>
        </w:rPr>
        <w:tab/>
      </w:r>
      <w:r>
        <w:rPr>
          <w:sz w:val="2"/>
        </w:rPr>
        <w:drawing>
          <wp:inline distT="0" distB="0" distL="0" distR="0">
            <wp:extent cx="54491" cy="6286"/>
            <wp:effectExtent l="0" t="0" r="0" b="0"/>
            <wp:docPr id="299" name="image12.png"/>
            <wp:cNvGraphicFramePr>
              <a:graphicFrameLocks noChangeAspect="1"/>
            </wp:cNvGraphicFramePr>
            <a:graphic>
              <a:graphicData uri="http://schemas.openxmlformats.org/drawingml/2006/picture">
                <pic:pic>
                  <pic:nvPicPr>
                    <pic:cNvPr id="300" name="image12.png"/>
                    <pic:cNvPicPr/>
                  </pic:nvPicPr>
                  <pic:blipFill>
                    <a:blip r:embed="rId33" cstate="print"/>
                    <a:stretch>
                      <a:fillRect/>
                    </a:stretch>
                  </pic:blipFill>
                  <pic:spPr>
                    <a:xfrm>
                      <a:off x="0" y="0"/>
                      <a:ext cx="54491" cy="6286"/>
                    </a:xfrm>
                    <a:prstGeom prst="rect">
                      <a:avLst/>
                    </a:prstGeom>
                  </pic:spPr>
                </pic:pic>
              </a:graphicData>
            </a:graphic>
          </wp:inline>
        </w:drawing>
      </w:r>
      <w:r>
        <w:rPr>
          <w:sz w:val="2"/>
        </w:rPr>
      </w:r>
    </w:p>
    <w:p>
      <w:pPr>
        <w:pStyle w:val="BodyText"/>
        <w:spacing w:before="11"/>
        <w:rPr>
          <w:sz w:val="23"/>
        </w:rPr>
      </w:pPr>
    </w:p>
    <w:p>
      <w:pPr>
        <w:tabs>
          <w:tab w:pos="3333" w:val="left" w:leader="none"/>
        </w:tabs>
        <w:spacing w:line="20" w:lineRule="exact"/>
        <w:ind w:left="211" w:right="-44" w:firstLine="0"/>
        <w:rPr>
          <w:sz w:val="2"/>
        </w:rPr>
      </w:pPr>
      <w:r>
        <w:rPr>
          <w:sz w:val="2"/>
        </w:rPr>
        <w:drawing>
          <wp:inline distT="0" distB="0" distL="0" distR="0">
            <wp:extent cx="54478" cy="6286"/>
            <wp:effectExtent l="0" t="0" r="0" b="0"/>
            <wp:docPr id="301" name="image12.png"/>
            <wp:cNvGraphicFramePr>
              <a:graphicFrameLocks noChangeAspect="1"/>
            </wp:cNvGraphicFramePr>
            <a:graphic>
              <a:graphicData uri="http://schemas.openxmlformats.org/drawingml/2006/picture">
                <pic:pic>
                  <pic:nvPicPr>
                    <pic:cNvPr id="302" name="image12.png"/>
                    <pic:cNvPicPr/>
                  </pic:nvPicPr>
                  <pic:blipFill>
                    <a:blip r:embed="rId33" cstate="print"/>
                    <a:stretch>
                      <a:fillRect/>
                    </a:stretch>
                  </pic:blipFill>
                  <pic:spPr>
                    <a:xfrm>
                      <a:off x="0" y="0"/>
                      <a:ext cx="54478" cy="6286"/>
                    </a:xfrm>
                    <a:prstGeom prst="rect">
                      <a:avLst/>
                    </a:prstGeom>
                  </pic:spPr>
                </pic:pic>
              </a:graphicData>
            </a:graphic>
          </wp:inline>
        </w:drawing>
      </w:r>
      <w:r>
        <w:rPr>
          <w:sz w:val="2"/>
        </w:rPr>
      </w:r>
      <w:r>
        <w:rPr>
          <w:sz w:val="2"/>
        </w:rPr>
        <w:tab/>
      </w:r>
      <w:r>
        <w:rPr>
          <w:sz w:val="2"/>
        </w:rPr>
        <w:drawing>
          <wp:inline distT="0" distB="0" distL="0" distR="0">
            <wp:extent cx="55304" cy="6381"/>
            <wp:effectExtent l="0" t="0" r="0" b="0"/>
            <wp:docPr id="303" name="image10.png"/>
            <wp:cNvGraphicFramePr>
              <a:graphicFrameLocks noChangeAspect="1"/>
            </wp:cNvGraphicFramePr>
            <a:graphic>
              <a:graphicData uri="http://schemas.openxmlformats.org/drawingml/2006/picture">
                <pic:pic>
                  <pic:nvPicPr>
                    <pic:cNvPr id="304" name="image10.png"/>
                    <pic:cNvPicPr/>
                  </pic:nvPicPr>
                  <pic:blipFill>
                    <a:blip r:embed="rId31" cstate="print"/>
                    <a:stretch>
                      <a:fillRect/>
                    </a:stretch>
                  </pic:blipFill>
                  <pic:spPr>
                    <a:xfrm>
                      <a:off x="0" y="0"/>
                      <a:ext cx="55304" cy="6381"/>
                    </a:xfrm>
                    <a:prstGeom prst="rect">
                      <a:avLst/>
                    </a:prstGeom>
                  </pic:spPr>
                </pic:pic>
              </a:graphicData>
            </a:graphic>
          </wp:inline>
        </w:drawing>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7"/>
        </w:rPr>
      </w:pPr>
    </w:p>
    <w:p>
      <w:pPr>
        <w:spacing w:before="1"/>
        <w:ind w:left="1259" w:right="1639" w:firstLine="0"/>
        <w:jc w:val="center"/>
        <w:rPr>
          <w:sz w:val="12"/>
        </w:rPr>
      </w:pPr>
      <w:r>
        <w:rPr/>
        <w:drawing>
          <wp:anchor distT="0" distB="0" distL="0" distR="0" allowOverlap="1" layoutInCell="1" locked="0" behindDoc="0" simplePos="0" relativeHeight="15889920">
            <wp:simplePos x="0" y="0"/>
            <wp:positionH relativeFrom="page">
              <wp:posOffset>640765</wp:posOffset>
            </wp:positionH>
            <wp:positionV relativeFrom="paragraph">
              <wp:posOffset>108614</wp:posOffset>
            </wp:positionV>
            <wp:extent cx="1825828" cy="67538"/>
            <wp:effectExtent l="0" t="0" r="0" b="0"/>
            <wp:wrapNone/>
            <wp:docPr id="305" name="image35.png"/>
            <wp:cNvGraphicFramePr>
              <a:graphicFrameLocks noChangeAspect="1"/>
            </wp:cNvGraphicFramePr>
            <a:graphic>
              <a:graphicData uri="http://schemas.openxmlformats.org/drawingml/2006/picture">
                <pic:pic>
                  <pic:nvPicPr>
                    <pic:cNvPr id="306" name="image35.png"/>
                    <pic:cNvPicPr/>
                  </pic:nvPicPr>
                  <pic:blipFill>
                    <a:blip r:embed="rId62" cstate="print"/>
                    <a:stretch>
                      <a:fillRect/>
                    </a:stretch>
                  </pic:blipFill>
                  <pic:spPr>
                    <a:xfrm>
                      <a:off x="0" y="0"/>
                      <a:ext cx="1825828" cy="67538"/>
                    </a:xfrm>
                    <a:prstGeom prst="rect">
                      <a:avLst/>
                    </a:prstGeom>
                  </pic:spPr>
                </pic:pic>
              </a:graphicData>
            </a:graphic>
          </wp:anchor>
        </w:drawing>
      </w:r>
      <w:r>
        <w:rPr/>
        <w:drawing>
          <wp:anchor distT="0" distB="0" distL="0" distR="0" allowOverlap="1" layoutInCell="1" locked="0" behindDoc="0" simplePos="0" relativeHeight="15892480">
            <wp:simplePos x="0" y="0"/>
            <wp:positionH relativeFrom="page">
              <wp:posOffset>2522918</wp:posOffset>
            </wp:positionH>
            <wp:positionV relativeFrom="paragraph">
              <wp:posOffset>-644431</wp:posOffset>
            </wp:positionV>
            <wp:extent cx="55304" cy="6381"/>
            <wp:effectExtent l="0" t="0" r="0" b="0"/>
            <wp:wrapNone/>
            <wp:docPr id="307" name="image10.png"/>
            <wp:cNvGraphicFramePr>
              <a:graphicFrameLocks noChangeAspect="1"/>
            </wp:cNvGraphicFramePr>
            <a:graphic>
              <a:graphicData uri="http://schemas.openxmlformats.org/drawingml/2006/picture">
                <pic:pic>
                  <pic:nvPicPr>
                    <pic:cNvPr id="308"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92992">
            <wp:simplePos x="0" y="0"/>
            <wp:positionH relativeFrom="page">
              <wp:posOffset>2522918</wp:posOffset>
            </wp:positionH>
            <wp:positionV relativeFrom="paragraph">
              <wp:posOffset>-437447</wp:posOffset>
            </wp:positionV>
            <wp:extent cx="54478" cy="6286"/>
            <wp:effectExtent l="0" t="0" r="0" b="0"/>
            <wp:wrapNone/>
            <wp:docPr id="309" name="image12.png"/>
            <wp:cNvGraphicFramePr>
              <a:graphicFrameLocks noChangeAspect="1"/>
            </wp:cNvGraphicFramePr>
            <a:graphic>
              <a:graphicData uri="http://schemas.openxmlformats.org/drawingml/2006/picture">
                <pic:pic>
                  <pic:nvPicPr>
                    <pic:cNvPr id="310" name="image12.png"/>
                    <pic:cNvPicPr/>
                  </pic:nvPicPr>
                  <pic:blipFill>
                    <a:blip r:embed="rId33"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93504">
            <wp:simplePos x="0" y="0"/>
            <wp:positionH relativeFrom="page">
              <wp:posOffset>2522918</wp:posOffset>
            </wp:positionH>
            <wp:positionV relativeFrom="paragraph">
              <wp:posOffset>-222715</wp:posOffset>
            </wp:positionV>
            <wp:extent cx="54478" cy="6286"/>
            <wp:effectExtent l="0" t="0" r="0" b="0"/>
            <wp:wrapNone/>
            <wp:docPr id="311" name="image12.png"/>
            <wp:cNvGraphicFramePr>
              <a:graphicFrameLocks noChangeAspect="1"/>
            </wp:cNvGraphicFramePr>
            <a:graphic>
              <a:graphicData uri="http://schemas.openxmlformats.org/drawingml/2006/picture">
                <pic:pic>
                  <pic:nvPicPr>
                    <pic:cNvPr id="312" name="image12.png"/>
                    <pic:cNvPicPr/>
                  </pic:nvPicPr>
                  <pic:blipFill>
                    <a:blip r:embed="rId33"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94016">
            <wp:simplePos x="0" y="0"/>
            <wp:positionH relativeFrom="page">
              <wp:posOffset>2522918</wp:posOffset>
            </wp:positionH>
            <wp:positionV relativeFrom="paragraph">
              <wp:posOffset>-22589</wp:posOffset>
            </wp:positionV>
            <wp:extent cx="55304" cy="6381"/>
            <wp:effectExtent l="0" t="0" r="0" b="0"/>
            <wp:wrapNone/>
            <wp:docPr id="313" name="image10.png"/>
            <wp:cNvGraphicFramePr>
              <a:graphicFrameLocks noChangeAspect="1"/>
            </wp:cNvGraphicFramePr>
            <a:graphic>
              <a:graphicData uri="http://schemas.openxmlformats.org/drawingml/2006/picture">
                <pic:pic>
                  <pic:nvPicPr>
                    <pic:cNvPr id="314" name="image10.png"/>
                    <pic:cNvPicPr/>
                  </pic:nvPicPr>
                  <pic:blipFill>
                    <a:blip r:embed="rId31" cstate="print"/>
                    <a:stretch>
                      <a:fillRect/>
                    </a:stretch>
                  </pic:blipFill>
                  <pic:spPr>
                    <a:xfrm>
                      <a:off x="0" y="0"/>
                      <a:ext cx="55304" cy="6381"/>
                    </a:xfrm>
                    <a:prstGeom prst="rect">
                      <a:avLst/>
                    </a:prstGeom>
                  </pic:spPr>
                </pic:pic>
              </a:graphicData>
            </a:graphic>
          </wp:anchor>
        </w:drawing>
      </w:r>
      <w:r>
        <w:rPr>
          <w:w w:val="110"/>
          <w:sz w:val="12"/>
        </w:rPr>
        <w:t>S&amp;P 500</w:t>
      </w:r>
    </w:p>
    <w:p>
      <w:pPr>
        <w:tabs>
          <w:tab w:pos="2309" w:val="left" w:leader="none"/>
          <w:tab w:pos="3277" w:val="right" w:leader="none"/>
        </w:tabs>
        <w:spacing w:line="355" w:lineRule="auto" w:before="167"/>
        <w:ind w:left="896" w:right="128" w:hanging="584"/>
        <w:jc w:val="left"/>
        <w:rPr>
          <w:sz w:val="12"/>
        </w:rPr>
      </w:pPr>
      <w:r>
        <w:rPr/>
        <w:drawing>
          <wp:anchor distT="0" distB="0" distL="0" distR="0" allowOverlap="1" layoutInCell="1" locked="0" behindDoc="0" simplePos="0" relativeHeight="15890432">
            <wp:simplePos x="0" y="0"/>
            <wp:positionH relativeFrom="page">
              <wp:posOffset>540664</wp:posOffset>
            </wp:positionH>
            <wp:positionV relativeFrom="paragraph">
              <wp:posOffset>81353</wp:posOffset>
            </wp:positionV>
            <wp:extent cx="55016" cy="6350"/>
            <wp:effectExtent l="0" t="0" r="0" b="0"/>
            <wp:wrapNone/>
            <wp:docPr id="315" name="image10.png"/>
            <wp:cNvGraphicFramePr>
              <a:graphicFrameLocks noChangeAspect="1"/>
            </wp:cNvGraphicFramePr>
            <a:graphic>
              <a:graphicData uri="http://schemas.openxmlformats.org/drawingml/2006/picture">
                <pic:pic>
                  <pic:nvPicPr>
                    <pic:cNvPr id="316" name="image10.png"/>
                    <pic:cNvPicPr/>
                  </pic:nvPicPr>
                  <pic:blipFill>
                    <a:blip r:embed="rId31"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94528">
            <wp:simplePos x="0" y="0"/>
            <wp:positionH relativeFrom="page">
              <wp:posOffset>2522931</wp:posOffset>
            </wp:positionH>
            <wp:positionV relativeFrom="paragraph">
              <wp:posOffset>83550</wp:posOffset>
            </wp:positionV>
            <wp:extent cx="55016" cy="6350"/>
            <wp:effectExtent l="0" t="0" r="0" b="0"/>
            <wp:wrapNone/>
            <wp:docPr id="317" name="image12.png"/>
            <wp:cNvGraphicFramePr>
              <a:graphicFrameLocks noChangeAspect="1"/>
            </wp:cNvGraphicFramePr>
            <a:graphic>
              <a:graphicData uri="http://schemas.openxmlformats.org/drawingml/2006/picture">
                <pic:pic>
                  <pic:nvPicPr>
                    <pic:cNvPr id="318" name="image12.png"/>
                    <pic:cNvPicPr/>
                  </pic:nvPicPr>
                  <pic:blipFill>
                    <a:blip r:embed="rId33" cstate="print"/>
                    <a:stretch>
                      <a:fillRect/>
                    </a:stretch>
                  </pic:blipFill>
                  <pic:spPr>
                    <a:xfrm>
                      <a:off x="0" y="0"/>
                      <a:ext cx="55016" cy="6350"/>
                    </a:xfrm>
                    <a:prstGeom prst="rect">
                      <a:avLst/>
                    </a:prstGeom>
                  </pic:spPr>
                </pic:pic>
              </a:graphicData>
            </a:graphic>
          </wp:anchor>
        </w:drawing>
      </w:r>
      <w:r>
        <w:rPr>
          <w:w w:val="105"/>
          <w:sz w:val="12"/>
        </w:rPr>
        <w:t>Jan.   Apr.   July   Oct.   Jan.   Apr.   July    Oct.    </w:t>
      </w:r>
      <w:r>
        <w:rPr>
          <w:spacing w:val="-4"/>
          <w:w w:val="105"/>
          <w:sz w:val="12"/>
        </w:rPr>
        <w:t>Jan. </w:t>
      </w:r>
      <w:r>
        <w:rPr>
          <w:w w:val="105"/>
          <w:sz w:val="12"/>
        </w:rPr>
        <w:t>1999</w:t>
        <w:tab/>
        <w:t>2000</w:t>
        <w:tab/>
        <w:t>01</w:t>
      </w:r>
    </w:p>
    <w:p>
      <w:pPr>
        <w:spacing w:before="12"/>
        <w:ind w:left="180" w:right="0" w:firstLine="0"/>
        <w:jc w:val="left"/>
        <w:rPr>
          <w:sz w:val="12"/>
        </w:rPr>
      </w:pPr>
      <w:r>
        <w:rPr>
          <w:w w:val="105"/>
          <w:sz w:val="12"/>
        </w:rPr>
        <w:t>Source: Thomson Financial Datastream.</w:t>
      </w:r>
    </w:p>
    <w:p>
      <w:pPr>
        <w:pStyle w:val="Heading6"/>
        <w:spacing w:before="753"/>
        <w:ind w:left="168"/>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1.17</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before="78"/>
        <w:ind w:left="15" w:right="0" w:firstLine="0"/>
        <w:jc w:val="left"/>
        <w:rPr>
          <w:sz w:val="12"/>
        </w:rPr>
      </w:pPr>
      <w:r>
        <w:rPr>
          <w:w w:val="120"/>
          <w:sz w:val="12"/>
        </w:rPr>
        <w:t>170</w:t>
      </w:r>
    </w:p>
    <w:p>
      <w:pPr>
        <w:pStyle w:val="BodyText"/>
        <w:spacing w:before="4"/>
        <w:rPr>
          <w:sz w:val="15"/>
        </w:rPr>
      </w:pPr>
    </w:p>
    <w:p>
      <w:pPr>
        <w:spacing w:before="0"/>
        <w:ind w:left="15" w:right="0" w:firstLine="0"/>
        <w:jc w:val="left"/>
        <w:rPr>
          <w:sz w:val="12"/>
        </w:rPr>
      </w:pPr>
      <w:r>
        <w:rPr>
          <w:w w:val="120"/>
          <w:sz w:val="12"/>
        </w:rPr>
        <w:t>160</w:t>
      </w:r>
    </w:p>
    <w:p>
      <w:pPr>
        <w:pStyle w:val="BodyText"/>
        <w:spacing w:before="8"/>
        <w:rPr>
          <w:sz w:val="16"/>
        </w:rPr>
      </w:pPr>
    </w:p>
    <w:p>
      <w:pPr>
        <w:spacing w:before="0"/>
        <w:ind w:left="15" w:right="0" w:firstLine="0"/>
        <w:jc w:val="left"/>
        <w:rPr>
          <w:sz w:val="12"/>
        </w:rPr>
      </w:pPr>
      <w:r>
        <w:rPr>
          <w:w w:val="120"/>
          <w:sz w:val="12"/>
        </w:rPr>
        <w:t>150</w:t>
      </w:r>
    </w:p>
    <w:p>
      <w:pPr>
        <w:pStyle w:val="BodyText"/>
        <w:spacing w:before="5"/>
        <w:rPr>
          <w:sz w:val="15"/>
        </w:rPr>
      </w:pPr>
    </w:p>
    <w:p>
      <w:pPr>
        <w:spacing w:before="0"/>
        <w:ind w:left="15" w:right="0" w:firstLine="0"/>
        <w:jc w:val="left"/>
        <w:rPr>
          <w:sz w:val="12"/>
        </w:rPr>
      </w:pPr>
      <w:r>
        <w:rPr>
          <w:w w:val="120"/>
          <w:sz w:val="12"/>
        </w:rPr>
        <w:t>140</w:t>
      </w:r>
    </w:p>
    <w:p>
      <w:pPr>
        <w:pStyle w:val="BodyText"/>
        <w:spacing w:before="2"/>
        <w:rPr>
          <w:sz w:val="15"/>
        </w:rPr>
      </w:pPr>
    </w:p>
    <w:p>
      <w:pPr>
        <w:spacing w:before="0"/>
        <w:ind w:left="15" w:right="0" w:firstLine="0"/>
        <w:jc w:val="left"/>
        <w:rPr>
          <w:sz w:val="12"/>
        </w:rPr>
      </w:pPr>
      <w:r>
        <w:rPr>
          <w:w w:val="120"/>
          <w:sz w:val="12"/>
        </w:rPr>
        <w:t>130</w:t>
      </w:r>
    </w:p>
    <w:p>
      <w:pPr>
        <w:pStyle w:val="BodyText"/>
        <w:spacing w:before="8"/>
        <w:rPr>
          <w:sz w:val="16"/>
        </w:rPr>
      </w:pPr>
    </w:p>
    <w:p>
      <w:pPr>
        <w:spacing w:before="0"/>
        <w:ind w:left="15" w:right="0" w:firstLine="0"/>
        <w:jc w:val="left"/>
        <w:rPr>
          <w:sz w:val="12"/>
        </w:rPr>
      </w:pPr>
      <w:r>
        <w:rPr>
          <w:w w:val="120"/>
          <w:sz w:val="12"/>
        </w:rPr>
        <w:t>120</w:t>
      </w:r>
    </w:p>
    <w:p>
      <w:pPr>
        <w:pStyle w:val="BodyText"/>
        <w:spacing w:before="4"/>
        <w:rPr>
          <w:sz w:val="15"/>
        </w:rPr>
      </w:pPr>
    </w:p>
    <w:p>
      <w:pPr>
        <w:spacing w:before="1"/>
        <w:ind w:left="15" w:right="0" w:firstLine="0"/>
        <w:jc w:val="left"/>
        <w:rPr>
          <w:sz w:val="12"/>
        </w:rPr>
      </w:pPr>
      <w:r>
        <w:rPr>
          <w:w w:val="120"/>
          <w:sz w:val="12"/>
        </w:rPr>
        <w:t>110</w:t>
      </w:r>
    </w:p>
    <w:p>
      <w:pPr>
        <w:pStyle w:val="BodyText"/>
        <w:spacing w:before="4"/>
        <w:rPr>
          <w:sz w:val="15"/>
        </w:rPr>
      </w:pPr>
    </w:p>
    <w:p>
      <w:pPr>
        <w:spacing w:before="0"/>
        <w:ind w:left="15" w:right="0" w:firstLine="0"/>
        <w:jc w:val="left"/>
        <w:rPr>
          <w:sz w:val="12"/>
        </w:rPr>
      </w:pPr>
      <w:r>
        <w:rPr>
          <w:w w:val="120"/>
          <w:sz w:val="12"/>
        </w:rPr>
        <w:t>100</w:t>
      </w:r>
    </w:p>
    <w:p>
      <w:pPr>
        <w:pStyle w:val="BodyText"/>
        <w:spacing w:before="8"/>
        <w:rPr>
          <w:sz w:val="16"/>
        </w:rPr>
      </w:pPr>
    </w:p>
    <w:p>
      <w:pPr>
        <w:spacing w:before="0"/>
        <w:ind w:left="88" w:right="0" w:firstLine="0"/>
        <w:jc w:val="left"/>
        <w:rPr>
          <w:sz w:val="12"/>
        </w:rPr>
      </w:pPr>
      <w:r>
        <w:rPr>
          <w:w w:val="120"/>
          <w:sz w:val="12"/>
        </w:rPr>
        <w:t>90</w:t>
      </w:r>
    </w:p>
    <w:p>
      <w:pPr>
        <w:pStyle w:val="BodyText"/>
        <w:spacing w:before="4"/>
        <w:rPr>
          <w:sz w:val="15"/>
        </w:rPr>
      </w:pPr>
    </w:p>
    <w:p>
      <w:pPr>
        <w:spacing w:before="1"/>
        <w:ind w:left="88" w:right="0" w:firstLine="0"/>
        <w:jc w:val="left"/>
        <w:rPr>
          <w:sz w:val="12"/>
        </w:rPr>
      </w:pPr>
      <w:r>
        <w:rPr>
          <w:w w:val="120"/>
          <w:sz w:val="12"/>
        </w:rPr>
        <w:t>80</w:t>
      </w:r>
    </w:p>
    <w:p>
      <w:pPr>
        <w:pStyle w:val="BodyText"/>
        <w:spacing w:before="8"/>
      </w:pPr>
      <w:r>
        <w:rPr/>
        <w:br w:type="column"/>
      </w:r>
      <w:r>
        <w:rPr/>
      </w:r>
    </w:p>
    <w:p>
      <w:pPr>
        <w:pStyle w:val="Heading6"/>
        <w:ind w:left="165"/>
      </w:pPr>
      <w:r>
        <w:rPr>
          <w:color w:val="89C6DC"/>
        </w:rPr>
        <w:t>Equity prices</w:t>
      </w:r>
    </w:p>
    <w:p>
      <w:pPr>
        <w:pStyle w:val="BodyText"/>
        <w:rPr>
          <w:rFonts w:ascii="Trebuchet MS"/>
          <w:b/>
          <w:sz w:val="18"/>
        </w:rPr>
      </w:pPr>
    </w:p>
    <w:p>
      <w:pPr>
        <w:pStyle w:val="BodyText"/>
        <w:spacing w:line="292" w:lineRule="auto"/>
        <w:ind w:left="285" w:right="229"/>
      </w:pPr>
      <w:r>
        <w:rPr>
          <w:w w:val="105"/>
        </w:rPr>
        <w:t>The FTSE All-Share index </w:t>
      </w:r>
      <w:r>
        <w:rPr>
          <w:spacing w:val="-3"/>
          <w:w w:val="105"/>
        </w:rPr>
        <w:t>averaged </w:t>
      </w:r>
      <w:r>
        <w:rPr>
          <w:spacing w:val="-21"/>
          <w:w w:val="105"/>
        </w:rPr>
        <w:t>3015 </w:t>
      </w:r>
      <w:r>
        <w:rPr>
          <w:w w:val="105"/>
        </w:rPr>
        <w:t>in the fifteen working </w:t>
      </w:r>
      <w:r>
        <w:rPr>
          <w:spacing w:val="-3"/>
          <w:w w:val="105"/>
        </w:rPr>
        <w:t>days </w:t>
      </w:r>
      <w:r>
        <w:rPr>
          <w:spacing w:val="-4"/>
          <w:w w:val="105"/>
        </w:rPr>
        <w:t>to </w:t>
      </w:r>
      <w:r>
        <w:rPr>
          <w:w w:val="105"/>
        </w:rPr>
        <w:t>7 </w:t>
      </w:r>
      <w:r>
        <w:rPr>
          <w:spacing w:val="-3"/>
          <w:w w:val="105"/>
        </w:rPr>
        <w:t>February, </w:t>
      </w:r>
      <w:r>
        <w:rPr>
          <w:w w:val="105"/>
        </w:rPr>
        <w:t>about 3% below the central projection made in November for </w:t>
      </w:r>
      <w:r>
        <w:rPr>
          <w:spacing w:val="-11"/>
          <w:w w:val="105"/>
        </w:rPr>
        <w:t>2001 </w:t>
      </w:r>
      <w:r>
        <w:rPr>
          <w:w w:val="105"/>
        </w:rPr>
        <w:t>Q1. UK fund managers’ outlook on UK </w:t>
      </w:r>
      <w:r>
        <w:rPr>
          <w:spacing w:val="-3"/>
          <w:w w:val="105"/>
        </w:rPr>
        <w:t>corporate profitability </w:t>
      </w:r>
      <w:r>
        <w:rPr>
          <w:w w:val="105"/>
        </w:rPr>
        <w:t>has become less </w:t>
      </w:r>
      <w:r>
        <w:rPr>
          <w:spacing w:val="-3"/>
          <w:w w:val="105"/>
        </w:rPr>
        <w:t>favourable, </w:t>
      </w:r>
      <w:r>
        <w:rPr>
          <w:w w:val="105"/>
        </w:rPr>
        <w:t>consistent with a </w:t>
      </w:r>
      <w:r>
        <w:rPr>
          <w:spacing w:val="-3"/>
          <w:w w:val="105"/>
        </w:rPr>
        <w:t>downward </w:t>
      </w:r>
      <w:r>
        <w:rPr>
          <w:w w:val="105"/>
        </w:rPr>
        <w:t>revision </w:t>
      </w:r>
      <w:r>
        <w:rPr>
          <w:spacing w:val="-4"/>
          <w:w w:val="105"/>
        </w:rPr>
        <w:t>to investors’ </w:t>
      </w:r>
      <w:r>
        <w:rPr>
          <w:w w:val="105"/>
        </w:rPr>
        <w:t>expectations of real dividend growth. And the number of profit warnings issued by UK quoted companies has risen. </w:t>
      </w:r>
      <w:hyperlink w:history="true" w:anchor="_bookmark13">
        <w:r>
          <w:rPr>
            <w:w w:val="105"/>
          </w:rPr>
          <w:t>The</w:t>
        </w:r>
        <w:r>
          <w:rPr>
            <w:spacing w:val="-19"/>
            <w:w w:val="105"/>
          </w:rPr>
          <w:t> </w:t>
        </w:r>
        <w:r>
          <w:rPr>
            <w:color w:val="FF0000"/>
            <w:spacing w:val="-3"/>
            <w:w w:val="105"/>
          </w:rPr>
          <w:t>box</w:t>
        </w:r>
      </w:hyperlink>
    </w:p>
    <w:p>
      <w:pPr>
        <w:pStyle w:val="BodyText"/>
        <w:spacing w:line="292" w:lineRule="auto"/>
        <w:ind w:left="285" w:right="696"/>
      </w:pPr>
      <w:r>
        <w:rPr>
          <w:w w:val="110"/>
        </w:rPr>
        <w:t>on page 12 looks at the information contained in profit warnings.</w:t>
      </w:r>
    </w:p>
    <w:p>
      <w:pPr>
        <w:pStyle w:val="BodyText"/>
        <w:spacing w:before="10"/>
        <w:rPr>
          <w:sz w:val="23"/>
        </w:rPr>
      </w:pPr>
    </w:p>
    <w:p>
      <w:pPr>
        <w:pStyle w:val="BodyText"/>
        <w:spacing w:line="292" w:lineRule="auto"/>
        <w:ind w:left="285" w:right="195"/>
      </w:pPr>
      <w:r>
        <w:rPr>
          <w:w w:val="110"/>
        </w:rPr>
        <w:t>Share</w:t>
      </w:r>
      <w:r>
        <w:rPr>
          <w:spacing w:val="-17"/>
          <w:w w:val="110"/>
        </w:rPr>
        <w:t> </w:t>
      </w:r>
      <w:r>
        <w:rPr>
          <w:w w:val="110"/>
        </w:rPr>
        <w:t>prices</w:t>
      </w:r>
      <w:r>
        <w:rPr>
          <w:spacing w:val="-17"/>
          <w:w w:val="110"/>
        </w:rPr>
        <w:t> </w:t>
      </w:r>
      <w:r>
        <w:rPr>
          <w:spacing w:val="-3"/>
          <w:w w:val="110"/>
        </w:rPr>
        <w:t>have</w:t>
      </w:r>
      <w:r>
        <w:rPr>
          <w:spacing w:val="-17"/>
          <w:w w:val="110"/>
        </w:rPr>
        <w:t> </w:t>
      </w:r>
      <w:r>
        <w:rPr>
          <w:w w:val="110"/>
        </w:rPr>
        <w:t>also</w:t>
      </w:r>
      <w:r>
        <w:rPr>
          <w:spacing w:val="-17"/>
          <w:w w:val="110"/>
        </w:rPr>
        <w:t> </w:t>
      </w:r>
      <w:r>
        <w:rPr>
          <w:w w:val="110"/>
        </w:rPr>
        <w:t>fallen</w:t>
      </w:r>
      <w:r>
        <w:rPr>
          <w:spacing w:val="-16"/>
          <w:w w:val="110"/>
        </w:rPr>
        <w:t> </w:t>
      </w:r>
      <w:r>
        <w:rPr>
          <w:w w:val="110"/>
        </w:rPr>
        <w:t>in</w:t>
      </w:r>
      <w:r>
        <w:rPr>
          <w:spacing w:val="-17"/>
          <w:w w:val="110"/>
        </w:rPr>
        <w:t> </w:t>
      </w:r>
      <w:r>
        <w:rPr>
          <w:w w:val="110"/>
        </w:rPr>
        <w:t>the</w:t>
      </w:r>
      <w:r>
        <w:rPr>
          <w:spacing w:val="-17"/>
          <w:w w:val="110"/>
        </w:rPr>
        <w:t> </w:t>
      </w:r>
      <w:r>
        <w:rPr>
          <w:w w:val="110"/>
        </w:rPr>
        <w:t>other</w:t>
      </w:r>
      <w:r>
        <w:rPr>
          <w:spacing w:val="-17"/>
          <w:w w:val="110"/>
        </w:rPr>
        <w:t> </w:t>
      </w:r>
      <w:r>
        <w:rPr>
          <w:w w:val="110"/>
        </w:rPr>
        <w:t>major</w:t>
      </w:r>
      <w:r>
        <w:rPr>
          <w:spacing w:val="-17"/>
          <w:w w:val="110"/>
        </w:rPr>
        <w:t> </w:t>
      </w:r>
      <w:r>
        <w:rPr>
          <w:w w:val="110"/>
        </w:rPr>
        <w:t>markets</w:t>
      </w:r>
      <w:r>
        <w:rPr>
          <w:spacing w:val="-16"/>
          <w:w w:val="110"/>
        </w:rPr>
        <w:t> </w:t>
      </w:r>
      <w:r>
        <w:rPr>
          <w:w w:val="110"/>
        </w:rPr>
        <w:t>since the</w:t>
      </w:r>
      <w:r>
        <w:rPr>
          <w:spacing w:val="-15"/>
          <w:w w:val="110"/>
        </w:rPr>
        <w:t> </w:t>
      </w:r>
      <w:r>
        <w:rPr>
          <w:w w:val="110"/>
        </w:rPr>
        <w:t>November</w:t>
      </w:r>
      <w:r>
        <w:rPr>
          <w:spacing w:val="-14"/>
          <w:w w:val="110"/>
        </w:rPr>
        <w:t> </w:t>
      </w:r>
      <w:r>
        <w:rPr>
          <w:i/>
          <w:w w:val="110"/>
        </w:rPr>
        <w:t>Report</w:t>
      </w:r>
      <w:r>
        <w:rPr>
          <w:i/>
          <w:spacing w:val="-14"/>
          <w:w w:val="110"/>
        </w:rPr>
        <w:t> </w:t>
      </w:r>
      <w:r>
        <w:rPr>
          <w:w w:val="110"/>
        </w:rPr>
        <w:t>(see</w:t>
      </w:r>
      <w:r>
        <w:rPr>
          <w:spacing w:val="-14"/>
          <w:w w:val="110"/>
        </w:rPr>
        <w:t> </w:t>
      </w:r>
      <w:r>
        <w:rPr>
          <w:w w:val="110"/>
        </w:rPr>
        <w:t>Chart</w:t>
      </w:r>
      <w:r>
        <w:rPr>
          <w:spacing w:val="-14"/>
          <w:w w:val="110"/>
        </w:rPr>
        <w:t> </w:t>
      </w:r>
      <w:r>
        <w:rPr>
          <w:spacing w:val="-6"/>
          <w:w w:val="110"/>
        </w:rPr>
        <w:t>1.16),</w:t>
      </w:r>
      <w:r>
        <w:rPr>
          <w:spacing w:val="-14"/>
          <w:w w:val="110"/>
        </w:rPr>
        <w:t> </w:t>
      </w:r>
      <w:r>
        <w:rPr>
          <w:w w:val="110"/>
        </w:rPr>
        <w:t>though</w:t>
      </w:r>
      <w:r>
        <w:rPr>
          <w:spacing w:val="-14"/>
          <w:w w:val="110"/>
        </w:rPr>
        <w:t> </w:t>
      </w:r>
      <w:r>
        <w:rPr>
          <w:w w:val="110"/>
        </w:rPr>
        <w:t>have</w:t>
      </w:r>
      <w:r>
        <w:rPr>
          <w:spacing w:val="-14"/>
          <w:w w:val="110"/>
        </w:rPr>
        <w:t> </w:t>
      </w:r>
      <w:r>
        <w:rPr>
          <w:spacing w:val="-3"/>
          <w:w w:val="110"/>
        </w:rPr>
        <w:t>recovered </w:t>
      </w:r>
      <w:r>
        <w:rPr>
          <w:w w:val="110"/>
        </w:rPr>
        <w:t>somewhat in the United </w:t>
      </w:r>
      <w:r>
        <w:rPr>
          <w:spacing w:val="-3"/>
          <w:w w:val="110"/>
        </w:rPr>
        <w:t>States </w:t>
      </w:r>
      <w:r>
        <w:rPr>
          <w:w w:val="110"/>
        </w:rPr>
        <w:t>following the first of the </w:t>
      </w:r>
      <w:r>
        <w:rPr>
          <w:spacing w:val="-5"/>
          <w:w w:val="110"/>
        </w:rPr>
        <w:t>two </w:t>
      </w:r>
      <w:r>
        <w:rPr>
          <w:w w:val="110"/>
        </w:rPr>
        <w:t>reductions in the US official </w:t>
      </w:r>
      <w:r>
        <w:rPr>
          <w:spacing w:val="-3"/>
          <w:w w:val="110"/>
        </w:rPr>
        <w:t>interest </w:t>
      </w:r>
      <w:r>
        <w:rPr>
          <w:spacing w:val="-4"/>
          <w:w w:val="110"/>
        </w:rPr>
        <w:t>rate. </w:t>
      </w:r>
      <w:r>
        <w:rPr>
          <w:w w:val="110"/>
        </w:rPr>
        <w:t>There </w:t>
      </w:r>
      <w:r>
        <w:rPr>
          <w:spacing w:val="-3"/>
          <w:w w:val="110"/>
        </w:rPr>
        <w:t>have </w:t>
      </w:r>
      <w:r>
        <w:rPr>
          <w:w w:val="110"/>
        </w:rPr>
        <w:t>been particularly</w:t>
      </w:r>
      <w:r>
        <w:rPr>
          <w:spacing w:val="-21"/>
          <w:w w:val="110"/>
        </w:rPr>
        <w:t> </w:t>
      </w:r>
      <w:r>
        <w:rPr>
          <w:w w:val="110"/>
        </w:rPr>
        <w:t>sharp</w:t>
      </w:r>
      <w:r>
        <w:rPr>
          <w:spacing w:val="-21"/>
          <w:w w:val="110"/>
        </w:rPr>
        <w:t> </w:t>
      </w:r>
      <w:r>
        <w:rPr>
          <w:w w:val="110"/>
        </w:rPr>
        <w:t>falls</w:t>
      </w:r>
      <w:r>
        <w:rPr>
          <w:spacing w:val="-21"/>
          <w:w w:val="110"/>
        </w:rPr>
        <w:t> </w:t>
      </w:r>
      <w:r>
        <w:rPr>
          <w:w w:val="110"/>
        </w:rPr>
        <w:t>in</w:t>
      </w:r>
      <w:r>
        <w:rPr>
          <w:spacing w:val="-21"/>
          <w:w w:val="110"/>
        </w:rPr>
        <w:t> </w:t>
      </w:r>
      <w:r>
        <w:rPr>
          <w:w w:val="110"/>
        </w:rPr>
        <w:t>share</w:t>
      </w:r>
      <w:r>
        <w:rPr>
          <w:spacing w:val="-21"/>
          <w:w w:val="110"/>
        </w:rPr>
        <w:t> </w:t>
      </w:r>
      <w:r>
        <w:rPr>
          <w:w w:val="110"/>
        </w:rPr>
        <w:t>prices</w:t>
      </w:r>
      <w:r>
        <w:rPr>
          <w:spacing w:val="-20"/>
          <w:w w:val="110"/>
        </w:rPr>
        <w:t> </w:t>
      </w:r>
      <w:r>
        <w:rPr>
          <w:w w:val="110"/>
        </w:rPr>
        <w:t>of</w:t>
      </w:r>
      <w:r>
        <w:rPr>
          <w:spacing w:val="-21"/>
          <w:w w:val="110"/>
        </w:rPr>
        <w:t> </w:t>
      </w:r>
      <w:r>
        <w:rPr>
          <w:w w:val="110"/>
        </w:rPr>
        <w:t>companies</w:t>
      </w:r>
      <w:r>
        <w:rPr>
          <w:spacing w:val="-21"/>
          <w:w w:val="110"/>
        </w:rPr>
        <w:t> </w:t>
      </w:r>
      <w:r>
        <w:rPr>
          <w:w w:val="110"/>
        </w:rPr>
        <w:t>operating in</w:t>
      </w:r>
      <w:r>
        <w:rPr>
          <w:spacing w:val="-21"/>
          <w:w w:val="110"/>
        </w:rPr>
        <w:t> </w:t>
      </w:r>
      <w:r>
        <w:rPr>
          <w:w w:val="110"/>
        </w:rPr>
        <w:t>the</w:t>
      </w:r>
      <w:r>
        <w:rPr>
          <w:spacing w:val="-20"/>
          <w:w w:val="110"/>
        </w:rPr>
        <w:t> </w:t>
      </w:r>
      <w:r>
        <w:rPr>
          <w:w w:val="110"/>
        </w:rPr>
        <w:t>high-technology</w:t>
      </w:r>
      <w:r>
        <w:rPr>
          <w:spacing w:val="-20"/>
          <w:w w:val="110"/>
        </w:rPr>
        <w:t> </w:t>
      </w:r>
      <w:r>
        <w:rPr>
          <w:w w:val="110"/>
        </w:rPr>
        <w:t>sectors.</w:t>
      </w:r>
      <w:r>
        <w:rPr>
          <w:spacing w:val="16"/>
          <w:w w:val="110"/>
        </w:rPr>
        <w:t> </w:t>
      </w:r>
      <w:r>
        <w:rPr>
          <w:w w:val="110"/>
        </w:rPr>
        <w:t>Indeed,</w:t>
      </w:r>
      <w:r>
        <w:rPr>
          <w:spacing w:val="-20"/>
          <w:w w:val="110"/>
        </w:rPr>
        <w:t> </w:t>
      </w:r>
      <w:r>
        <w:rPr>
          <w:w w:val="110"/>
        </w:rPr>
        <w:t>excluding</w:t>
      </w:r>
      <w:r>
        <w:rPr>
          <w:spacing w:val="-20"/>
          <w:w w:val="110"/>
        </w:rPr>
        <w:t> </w:t>
      </w:r>
      <w:r>
        <w:rPr>
          <w:w w:val="110"/>
        </w:rPr>
        <w:t>companies operating</w:t>
      </w:r>
      <w:r>
        <w:rPr>
          <w:spacing w:val="-10"/>
          <w:w w:val="110"/>
        </w:rPr>
        <w:t> </w:t>
      </w:r>
      <w:r>
        <w:rPr>
          <w:w w:val="110"/>
        </w:rPr>
        <w:t>in</w:t>
      </w:r>
      <w:r>
        <w:rPr>
          <w:spacing w:val="-10"/>
          <w:w w:val="110"/>
        </w:rPr>
        <w:t> </w:t>
      </w:r>
      <w:r>
        <w:rPr>
          <w:w w:val="110"/>
        </w:rPr>
        <w:t>these</w:t>
      </w:r>
      <w:r>
        <w:rPr>
          <w:spacing w:val="-10"/>
          <w:w w:val="110"/>
        </w:rPr>
        <w:t> </w:t>
      </w:r>
      <w:r>
        <w:rPr>
          <w:spacing w:val="-3"/>
          <w:w w:val="110"/>
        </w:rPr>
        <w:t>sectors,</w:t>
      </w:r>
      <w:r>
        <w:rPr>
          <w:spacing w:val="-10"/>
          <w:w w:val="110"/>
        </w:rPr>
        <w:t> </w:t>
      </w:r>
      <w:r>
        <w:rPr>
          <w:w w:val="110"/>
        </w:rPr>
        <w:t>share</w:t>
      </w:r>
      <w:r>
        <w:rPr>
          <w:spacing w:val="-10"/>
          <w:w w:val="110"/>
        </w:rPr>
        <w:t> </w:t>
      </w:r>
      <w:r>
        <w:rPr>
          <w:w w:val="110"/>
        </w:rPr>
        <w:t>prices</w:t>
      </w:r>
      <w:r>
        <w:rPr>
          <w:spacing w:val="-10"/>
          <w:w w:val="110"/>
        </w:rPr>
        <w:t> </w:t>
      </w:r>
      <w:r>
        <w:rPr>
          <w:spacing w:val="-3"/>
          <w:w w:val="110"/>
        </w:rPr>
        <w:t>have</w:t>
      </w:r>
      <w:r>
        <w:rPr>
          <w:spacing w:val="-10"/>
          <w:w w:val="110"/>
        </w:rPr>
        <w:t> </w:t>
      </w:r>
      <w:r>
        <w:rPr>
          <w:w w:val="110"/>
        </w:rPr>
        <w:t>been</w:t>
      </w:r>
      <w:r>
        <w:rPr>
          <w:spacing w:val="-10"/>
          <w:w w:val="110"/>
        </w:rPr>
        <w:t> </w:t>
      </w:r>
      <w:r>
        <w:rPr>
          <w:w w:val="110"/>
        </w:rPr>
        <w:t>broadly</w:t>
      </w:r>
    </w:p>
    <w:p>
      <w:pPr>
        <w:spacing w:after="0" w:line="292" w:lineRule="auto"/>
        <w:sectPr>
          <w:type w:val="continuous"/>
          <w:pgSz w:w="11900" w:h="16840"/>
          <w:pgMar w:top="1260" w:bottom="280" w:left="640" w:right="640"/>
          <w:cols w:num="3" w:equalWidth="0">
            <w:col w:w="3420" w:space="40"/>
            <w:col w:w="275" w:space="1075"/>
            <w:col w:w="5810"/>
          </w:cols>
        </w:sectPr>
      </w:pPr>
    </w:p>
    <w:p>
      <w:pPr>
        <w:pStyle w:val="Heading6"/>
        <w:spacing w:line="247" w:lineRule="auto"/>
        <w:ind w:left="168" w:right="37"/>
      </w:pPr>
      <w:r>
        <w:rPr>
          <w:color w:val="89C6DC"/>
          <w:w w:val="95"/>
        </w:rPr>
        <w:t>US</w:t>
      </w:r>
      <w:r>
        <w:rPr>
          <w:color w:val="89C6DC"/>
          <w:spacing w:val="-22"/>
          <w:w w:val="95"/>
        </w:rPr>
        <w:t> </w:t>
      </w:r>
      <w:r>
        <w:rPr>
          <w:color w:val="89C6DC"/>
          <w:w w:val="95"/>
        </w:rPr>
        <w:t>and</w:t>
      </w:r>
      <w:r>
        <w:rPr>
          <w:color w:val="89C6DC"/>
          <w:spacing w:val="-21"/>
          <w:w w:val="95"/>
        </w:rPr>
        <w:t> </w:t>
      </w:r>
      <w:r>
        <w:rPr>
          <w:color w:val="89C6DC"/>
          <w:w w:val="95"/>
        </w:rPr>
        <w:t>UK</w:t>
      </w:r>
      <w:r>
        <w:rPr>
          <w:color w:val="89C6DC"/>
          <w:spacing w:val="-21"/>
          <w:w w:val="95"/>
        </w:rPr>
        <w:t> </w:t>
      </w:r>
      <w:r>
        <w:rPr>
          <w:color w:val="89C6DC"/>
          <w:w w:val="95"/>
        </w:rPr>
        <w:t>equity</w:t>
      </w:r>
      <w:r>
        <w:rPr>
          <w:color w:val="89C6DC"/>
          <w:spacing w:val="-21"/>
          <w:w w:val="95"/>
        </w:rPr>
        <w:t> </w:t>
      </w:r>
      <w:r>
        <w:rPr>
          <w:color w:val="89C6DC"/>
          <w:w w:val="95"/>
        </w:rPr>
        <w:t>indices</w:t>
      </w:r>
      <w:r>
        <w:rPr>
          <w:color w:val="89C6DC"/>
          <w:spacing w:val="-21"/>
          <w:w w:val="95"/>
        </w:rPr>
        <w:t> </w:t>
      </w:r>
      <w:r>
        <w:rPr>
          <w:color w:val="89C6DC"/>
          <w:w w:val="95"/>
        </w:rPr>
        <w:t>excluding</w:t>
      </w:r>
      <w:r>
        <w:rPr>
          <w:color w:val="89C6DC"/>
          <w:spacing w:val="-21"/>
          <w:w w:val="95"/>
        </w:rPr>
        <w:t> </w:t>
      </w:r>
      <w:r>
        <w:rPr>
          <w:color w:val="89C6DC"/>
          <w:w w:val="95"/>
        </w:rPr>
        <w:t>technology, </w:t>
      </w:r>
      <w:r>
        <w:rPr>
          <w:color w:val="89C6DC"/>
        </w:rPr>
        <w:t>media and telecommunications</w:t>
      </w:r>
      <w:r>
        <w:rPr>
          <w:color w:val="89C6DC"/>
          <w:spacing w:val="-45"/>
        </w:rPr>
        <w:t> </w:t>
      </w:r>
      <w:r>
        <w:rPr>
          <w:color w:val="89C6DC"/>
        </w:rPr>
        <w:t>(TMT)</w:t>
      </w:r>
    </w:p>
    <w:p>
      <w:pPr>
        <w:spacing w:line="129" w:lineRule="exact" w:before="177"/>
        <w:ind w:left="2104" w:right="0" w:firstLine="0"/>
        <w:jc w:val="left"/>
        <w:rPr>
          <w:sz w:val="12"/>
        </w:rPr>
      </w:pPr>
      <w:r>
        <w:rPr>
          <w:w w:val="115"/>
          <w:sz w:val="12"/>
        </w:rPr>
        <w:t>Index; 4 April 2000 = 100</w:t>
      </w:r>
    </w:p>
    <w:p>
      <w:pPr>
        <w:spacing w:line="129" w:lineRule="exact" w:before="0"/>
        <w:ind w:left="3555" w:right="0" w:firstLine="0"/>
        <w:jc w:val="left"/>
        <w:rPr>
          <w:sz w:val="12"/>
        </w:rPr>
      </w:pPr>
      <w:r>
        <w:rPr/>
        <w:drawing>
          <wp:anchor distT="0" distB="0" distL="0" distR="0" allowOverlap="1" layoutInCell="1" locked="0" behindDoc="0" simplePos="0" relativeHeight="15880704">
            <wp:simplePos x="0" y="0"/>
            <wp:positionH relativeFrom="page">
              <wp:posOffset>528675</wp:posOffset>
            </wp:positionH>
            <wp:positionV relativeFrom="paragraph">
              <wp:posOffset>37605</wp:posOffset>
            </wp:positionV>
            <wp:extent cx="55029" cy="6350"/>
            <wp:effectExtent l="0" t="0" r="0" b="0"/>
            <wp:wrapNone/>
            <wp:docPr id="319" name="image13.png"/>
            <wp:cNvGraphicFramePr>
              <a:graphicFrameLocks noChangeAspect="1"/>
            </wp:cNvGraphicFramePr>
            <a:graphic>
              <a:graphicData uri="http://schemas.openxmlformats.org/drawingml/2006/picture">
                <pic:pic>
                  <pic:nvPicPr>
                    <pic:cNvPr id="320" name="image13.png"/>
                    <pic:cNvPicPr/>
                  </pic:nvPicPr>
                  <pic:blipFill>
                    <a:blip r:embed="rId34"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84288">
            <wp:simplePos x="0" y="0"/>
            <wp:positionH relativeFrom="page">
              <wp:posOffset>2550731</wp:posOffset>
            </wp:positionH>
            <wp:positionV relativeFrom="paragraph">
              <wp:posOffset>37605</wp:posOffset>
            </wp:positionV>
            <wp:extent cx="55029" cy="6350"/>
            <wp:effectExtent l="0" t="0" r="0" b="0"/>
            <wp:wrapNone/>
            <wp:docPr id="321" name="image12.png"/>
            <wp:cNvGraphicFramePr>
              <a:graphicFrameLocks noChangeAspect="1"/>
            </wp:cNvGraphicFramePr>
            <a:graphic>
              <a:graphicData uri="http://schemas.openxmlformats.org/drawingml/2006/picture">
                <pic:pic>
                  <pic:nvPicPr>
                    <pic:cNvPr id="322" name="image12.png"/>
                    <pic:cNvPicPr/>
                  </pic:nvPicPr>
                  <pic:blipFill>
                    <a:blip r:embed="rId33" cstate="print"/>
                    <a:stretch>
                      <a:fillRect/>
                    </a:stretch>
                  </pic:blipFill>
                  <pic:spPr>
                    <a:xfrm>
                      <a:off x="0" y="0"/>
                      <a:ext cx="55029" cy="6350"/>
                    </a:xfrm>
                    <a:prstGeom prst="rect">
                      <a:avLst/>
                    </a:prstGeom>
                  </pic:spPr>
                </pic:pic>
              </a:graphicData>
            </a:graphic>
          </wp:anchor>
        </w:drawing>
      </w:r>
      <w:r>
        <w:rPr>
          <w:w w:val="120"/>
          <w:sz w:val="12"/>
        </w:rPr>
        <w:t>120</w:t>
      </w:r>
    </w:p>
    <w:p>
      <w:pPr>
        <w:pStyle w:val="BodyText"/>
        <w:spacing w:line="292" w:lineRule="auto"/>
        <w:ind w:left="168" w:right="7"/>
      </w:pPr>
      <w:r>
        <w:rPr/>
        <w:br w:type="column"/>
      </w:r>
      <w:r>
        <w:rPr>
          <w:w w:val="110"/>
        </w:rPr>
        <w:t>stable</w:t>
      </w:r>
      <w:r>
        <w:rPr>
          <w:spacing w:val="-14"/>
          <w:w w:val="110"/>
        </w:rPr>
        <w:t> </w:t>
      </w:r>
      <w:r>
        <w:rPr>
          <w:w w:val="110"/>
        </w:rPr>
        <w:t>in</w:t>
      </w:r>
      <w:r>
        <w:rPr>
          <w:spacing w:val="-14"/>
          <w:w w:val="110"/>
        </w:rPr>
        <w:t> </w:t>
      </w:r>
      <w:r>
        <w:rPr>
          <w:w w:val="110"/>
        </w:rPr>
        <w:t>the</w:t>
      </w:r>
      <w:r>
        <w:rPr>
          <w:spacing w:val="-14"/>
          <w:w w:val="110"/>
        </w:rPr>
        <w:t> </w:t>
      </w:r>
      <w:r>
        <w:rPr>
          <w:w w:val="110"/>
        </w:rPr>
        <w:t>United</w:t>
      </w:r>
      <w:r>
        <w:rPr>
          <w:spacing w:val="-13"/>
          <w:w w:val="110"/>
        </w:rPr>
        <w:t> </w:t>
      </w:r>
      <w:r>
        <w:rPr>
          <w:w w:val="110"/>
        </w:rPr>
        <w:t>Kingdom</w:t>
      </w:r>
      <w:r>
        <w:rPr>
          <w:spacing w:val="-14"/>
          <w:w w:val="110"/>
        </w:rPr>
        <w:t> </w:t>
      </w:r>
      <w:r>
        <w:rPr>
          <w:w w:val="110"/>
        </w:rPr>
        <w:t>and</w:t>
      </w:r>
      <w:r>
        <w:rPr>
          <w:spacing w:val="-14"/>
          <w:w w:val="110"/>
        </w:rPr>
        <w:t> </w:t>
      </w:r>
      <w:r>
        <w:rPr>
          <w:w w:val="110"/>
        </w:rPr>
        <w:t>United</w:t>
      </w:r>
      <w:r>
        <w:rPr>
          <w:spacing w:val="-13"/>
          <w:w w:val="110"/>
        </w:rPr>
        <w:t> </w:t>
      </w:r>
      <w:r>
        <w:rPr>
          <w:spacing w:val="-3"/>
          <w:w w:val="110"/>
        </w:rPr>
        <w:t>States</w:t>
      </w:r>
      <w:r>
        <w:rPr>
          <w:spacing w:val="-14"/>
          <w:w w:val="110"/>
        </w:rPr>
        <w:t> </w:t>
      </w:r>
      <w:r>
        <w:rPr>
          <w:w w:val="110"/>
        </w:rPr>
        <w:t>(Chart</w:t>
      </w:r>
      <w:r>
        <w:rPr>
          <w:spacing w:val="-14"/>
          <w:w w:val="110"/>
        </w:rPr>
        <w:t> </w:t>
      </w:r>
      <w:r>
        <w:rPr>
          <w:spacing w:val="-6"/>
          <w:w w:val="110"/>
        </w:rPr>
        <w:t>1.17). </w:t>
      </w:r>
      <w:r>
        <w:rPr>
          <w:w w:val="110"/>
        </w:rPr>
        <w:t>This suggests that recent </w:t>
      </w:r>
      <w:r>
        <w:rPr>
          <w:spacing w:val="-3"/>
          <w:w w:val="110"/>
        </w:rPr>
        <w:t>equity </w:t>
      </w:r>
      <w:r>
        <w:rPr>
          <w:w w:val="110"/>
        </w:rPr>
        <w:t>price falls are particularly linked</w:t>
      </w:r>
      <w:r>
        <w:rPr>
          <w:spacing w:val="-14"/>
          <w:w w:val="110"/>
        </w:rPr>
        <w:t> </w:t>
      </w:r>
      <w:r>
        <w:rPr>
          <w:spacing w:val="-4"/>
          <w:w w:val="110"/>
        </w:rPr>
        <w:t>to</w:t>
      </w:r>
      <w:r>
        <w:rPr>
          <w:spacing w:val="-13"/>
          <w:w w:val="110"/>
        </w:rPr>
        <w:t> </w:t>
      </w:r>
      <w:r>
        <w:rPr>
          <w:w w:val="110"/>
        </w:rPr>
        <w:t>revisions</w:t>
      </w:r>
      <w:r>
        <w:rPr>
          <w:spacing w:val="-14"/>
          <w:w w:val="110"/>
        </w:rPr>
        <w:t> </w:t>
      </w:r>
      <w:r>
        <w:rPr>
          <w:spacing w:val="-4"/>
          <w:w w:val="110"/>
        </w:rPr>
        <w:t>to</w:t>
      </w:r>
      <w:r>
        <w:rPr>
          <w:spacing w:val="-13"/>
          <w:w w:val="110"/>
        </w:rPr>
        <w:t> </w:t>
      </w:r>
      <w:r>
        <w:rPr>
          <w:spacing w:val="-3"/>
          <w:w w:val="110"/>
        </w:rPr>
        <w:t>expected</w:t>
      </w:r>
      <w:r>
        <w:rPr>
          <w:spacing w:val="-14"/>
          <w:w w:val="110"/>
        </w:rPr>
        <w:t> </w:t>
      </w:r>
      <w:r>
        <w:rPr>
          <w:w w:val="110"/>
        </w:rPr>
        <w:t>real</w:t>
      </w:r>
      <w:r>
        <w:rPr>
          <w:spacing w:val="-13"/>
          <w:w w:val="110"/>
        </w:rPr>
        <w:t> </w:t>
      </w:r>
      <w:r>
        <w:rPr>
          <w:w w:val="110"/>
        </w:rPr>
        <w:t>returns</w:t>
      </w:r>
      <w:r>
        <w:rPr>
          <w:spacing w:val="-14"/>
          <w:w w:val="110"/>
        </w:rPr>
        <w:t> </w:t>
      </w:r>
      <w:r>
        <w:rPr>
          <w:w w:val="110"/>
        </w:rPr>
        <w:t>in</w:t>
      </w:r>
      <w:r>
        <w:rPr>
          <w:spacing w:val="-13"/>
          <w:w w:val="110"/>
        </w:rPr>
        <w:t> </w:t>
      </w:r>
      <w:r>
        <w:rPr>
          <w:w w:val="110"/>
        </w:rPr>
        <w:t>the</w:t>
      </w:r>
      <w:r>
        <w:rPr>
          <w:spacing w:val="-14"/>
          <w:w w:val="110"/>
        </w:rPr>
        <w:t> </w:t>
      </w:r>
      <w:r>
        <w:rPr>
          <w:w w:val="110"/>
        </w:rPr>
        <w:t>information and</w:t>
      </w:r>
      <w:r>
        <w:rPr>
          <w:spacing w:val="-30"/>
          <w:w w:val="110"/>
        </w:rPr>
        <w:t> </w:t>
      </w:r>
      <w:r>
        <w:rPr>
          <w:w w:val="110"/>
        </w:rPr>
        <w:t>communications</w:t>
      </w:r>
      <w:r>
        <w:rPr>
          <w:spacing w:val="-30"/>
          <w:w w:val="110"/>
        </w:rPr>
        <w:t> </w:t>
      </w:r>
      <w:r>
        <w:rPr>
          <w:w w:val="110"/>
        </w:rPr>
        <w:t>technology</w:t>
      </w:r>
      <w:r>
        <w:rPr>
          <w:spacing w:val="-30"/>
          <w:w w:val="110"/>
        </w:rPr>
        <w:t> </w:t>
      </w:r>
      <w:r>
        <w:rPr>
          <w:w w:val="110"/>
        </w:rPr>
        <w:t>(ICT)</w:t>
      </w:r>
      <w:r>
        <w:rPr>
          <w:spacing w:val="-30"/>
          <w:w w:val="110"/>
        </w:rPr>
        <w:t> </w:t>
      </w:r>
      <w:r>
        <w:rPr>
          <w:spacing w:val="-4"/>
          <w:w w:val="110"/>
        </w:rPr>
        <w:t>sector,</w:t>
      </w:r>
      <w:r>
        <w:rPr>
          <w:spacing w:val="-30"/>
          <w:w w:val="110"/>
        </w:rPr>
        <w:t> </w:t>
      </w:r>
      <w:r>
        <w:rPr>
          <w:w w:val="110"/>
        </w:rPr>
        <w:t>partly</w:t>
      </w:r>
      <w:r>
        <w:rPr>
          <w:spacing w:val="-30"/>
          <w:w w:val="110"/>
        </w:rPr>
        <w:t> </w:t>
      </w:r>
      <w:r>
        <w:rPr>
          <w:spacing w:val="-3"/>
          <w:w w:val="110"/>
        </w:rPr>
        <w:t>reversing</w:t>
      </w:r>
    </w:p>
    <w:p>
      <w:pPr>
        <w:spacing w:after="0" w:line="292" w:lineRule="auto"/>
        <w:sectPr>
          <w:type w:val="continuous"/>
          <w:pgSz w:w="11900" w:h="16840"/>
          <w:pgMar w:top="1260" w:bottom="280" w:left="640" w:right="640"/>
          <w:cols w:num="2" w:equalWidth="0">
            <w:col w:w="4326" w:space="600"/>
            <w:col w:w="5694"/>
          </w:cols>
        </w:sectPr>
      </w:pPr>
    </w:p>
    <w:p>
      <w:pPr>
        <w:spacing w:line="69" w:lineRule="exact" w:before="0"/>
        <w:ind w:left="1180" w:right="0" w:firstLine="0"/>
        <w:jc w:val="left"/>
        <w:rPr>
          <w:sz w:val="12"/>
        </w:rPr>
      </w:pPr>
      <w:r>
        <w:rPr/>
        <w:pict>
          <v:group style="position:absolute;margin-left:50.035pt;margin-top:6.907881pt;width:145pt;height:116.4pt;mso-position-horizontal-relative:page;mso-position-vertical-relative:paragraph;z-index:15880192" coordorigin="1001,138" coordsize="2900,2328">
            <v:shape style="position:absolute;left:1000;top:138;width:2900;height:2328" type="#_x0000_t75" stroked="false">
              <v:imagedata r:id="rId63" o:title=""/>
            </v:shape>
            <v:shape style="position:absolute;left:2873;top:720;width:1017;height:884" type="#_x0000_t202" filled="false" stroked="false">
              <v:textbox inset="0,0,0,0">
                <w:txbxContent>
                  <w:p>
                    <w:pPr>
                      <w:spacing w:line="116" w:lineRule="exact" w:before="0"/>
                      <w:ind w:left="0" w:right="0" w:firstLine="0"/>
                      <w:jc w:val="left"/>
                      <w:rPr>
                        <w:sz w:val="12"/>
                      </w:rPr>
                    </w:pPr>
                    <w:r>
                      <w:rPr>
                        <w:w w:val="110"/>
                        <w:sz w:val="12"/>
                      </w:rPr>
                      <w:t>S&amp;P</w:t>
                    </w:r>
                    <w:r>
                      <w:rPr>
                        <w:spacing w:val="-15"/>
                        <w:w w:val="110"/>
                        <w:sz w:val="12"/>
                      </w:rPr>
                      <w:t> </w:t>
                    </w:r>
                    <w:r>
                      <w:rPr>
                        <w:w w:val="110"/>
                        <w:sz w:val="12"/>
                      </w:rPr>
                      <w:t>500</w:t>
                    </w:r>
                    <w:r>
                      <w:rPr>
                        <w:spacing w:val="-15"/>
                        <w:w w:val="110"/>
                        <w:sz w:val="12"/>
                      </w:rPr>
                      <w:t> </w:t>
                    </w:r>
                    <w:r>
                      <w:rPr>
                        <w:w w:val="110"/>
                        <w:sz w:val="12"/>
                      </w:rPr>
                      <w:t>excluding</w:t>
                    </w:r>
                  </w:p>
                  <w:p>
                    <w:pPr>
                      <w:spacing w:before="2"/>
                      <w:ind w:left="60" w:right="0" w:firstLine="0"/>
                      <w:jc w:val="left"/>
                      <w:rPr>
                        <w:sz w:val="12"/>
                      </w:rPr>
                    </w:pPr>
                    <w:r>
                      <w:rPr>
                        <w:w w:val="105"/>
                        <w:sz w:val="12"/>
                      </w:rPr>
                      <w:t>TMT sector</w:t>
                    </w:r>
                  </w:p>
                  <w:p>
                    <w:pPr>
                      <w:spacing w:line="240" w:lineRule="auto" w:before="0"/>
                      <w:rPr>
                        <w:sz w:val="12"/>
                      </w:rPr>
                    </w:pPr>
                  </w:p>
                  <w:p>
                    <w:pPr>
                      <w:spacing w:line="240" w:lineRule="auto" w:before="0"/>
                      <w:rPr>
                        <w:sz w:val="12"/>
                      </w:rPr>
                    </w:pPr>
                  </w:p>
                  <w:p>
                    <w:pPr>
                      <w:spacing w:line="125" w:lineRule="exact" w:before="96"/>
                      <w:ind w:left="463" w:right="0" w:firstLine="0"/>
                      <w:jc w:val="left"/>
                      <w:rPr>
                        <w:sz w:val="12"/>
                      </w:rPr>
                    </w:pPr>
                    <w:r>
                      <w:rPr>
                        <w:sz w:val="12"/>
                      </w:rPr>
                      <w:t>FTSE</w:t>
                    </w:r>
                    <w:r>
                      <w:rPr>
                        <w:spacing w:val="-20"/>
                        <w:sz w:val="12"/>
                      </w:rPr>
                      <w:t> </w:t>
                    </w:r>
                    <w:r>
                      <w:rPr>
                        <w:sz w:val="12"/>
                      </w:rPr>
                      <w:t>TMT</w:t>
                    </w:r>
                  </w:p>
                  <w:p>
                    <w:pPr>
                      <w:spacing w:line="125" w:lineRule="exact" w:before="0"/>
                      <w:ind w:left="538" w:right="0" w:firstLine="0"/>
                      <w:jc w:val="left"/>
                      <w:rPr>
                        <w:sz w:val="12"/>
                      </w:rPr>
                    </w:pPr>
                    <w:r>
                      <w:rPr>
                        <w:w w:val="110"/>
                        <w:sz w:val="12"/>
                      </w:rPr>
                      <w:t>sector</w:t>
                    </w:r>
                  </w:p>
                </w:txbxContent>
              </v:textbox>
              <w10:wrap type="none"/>
            </v:shape>
            <v:shape style="position:absolute;left:2286;top:2222;width:1103;height:121" type="#_x0000_t202" filled="false" stroked="false">
              <v:textbox inset="0,0,0,0">
                <w:txbxContent>
                  <w:p>
                    <w:pPr>
                      <w:spacing w:line="116" w:lineRule="exact" w:before="0"/>
                      <w:ind w:left="0" w:right="0" w:firstLine="0"/>
                      <w:jc w:val="left"/>
                      <w:rPr>
                        <w:sz w:val="12"/>
                      </w:rPr>
                    </w:pPr>
                    <w:r>
                      <w:rPr>
                        <w:w w:val="105"/>
                        <w:sz w:val="12"/>
                      </w:rPr>
                      <w:t>S&amp;P 500 TMT sector</w:t>
                    </w:r>
                  </w:p>
                </w:txbxContent>
              </v:textbox>
              <w10:wrap type="none"/>
            </v:shape>
            <w10:wrap type="none"/>
          </v:group>
        </w:pict>
      </w:r>
      <w:r>
        <w:rPr/>
        <w:drawing>
          <wp:anchor distT="0" distB="0" distL="0" distR="0" allowOverlap="1" layoutInCell="1" locked="0" behindDoc="0" simplePos="0" relativeHeight="15881216">
            <wp:simplePos x="0" y="0"/>
            <wp:positionH relativeFrom="page">
              <wp:posOffset>528675</wp:posOffset>
            </wp:positionH>
            <wp:positionV relativeFrom="paragraph">
              <wp:posOffset>83818</wp:posOffset>
            </wp:positionV>
            <wp:extent cx="55304" cy="6381"/>
            <wp:effectExtent l="0" t="0" r="0" b="0"/>
            <wp:wrapNone/>
            <wp:docPr id="323" name="image8.png"/>
            <wp:cNvGraphicFramePr>
              <a:graphicFrameLocks noChangeAspect="1"/>
            </wp:cNvGraphicFramePr>
            <a:graphic>
              <a:graphicData uri="http://schemas.openxmlformats.org/drawingml/2006/picture">
                <pic:pic>
                  <pic:nvPicPr>
                    <pic:cNvPr id="324"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1728">
            <wp:simplePos x="0" y="0"/>
            <wp:positionH relativeFrom="page">
              <wp:posOffset>528675</wp:posOffset>
            </wp:positionH>
            <wp:positionV relativeFrom="paragraph">
              <wp:posOffset>603985</wp:posOffset>
            </wp:positionV>
            <wp:extent cx="54478" cy="6286"/>
            <wp:effectExtent l="0" t="0" r="0" b="0"/>
            <wp:wrapNone/>
            <wp:docPr id="325" name="image13.png"/>
            <wp:cNvGraphicFramePr>
              <a:graphicFrameLocks noChangeAspect="1"/>
            </wp:cNvGraphicFramePr>
            <a:graphic>
              <a:graphicData uri="http://schemas.openxmlformats.org/drawingml/2006/picture">
                <pic:pic>
                  <pic:nvPicPr>
                    <pic:cNvPr id="326"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83776">
            <wp:simplePos x="0" y="0"/>
            <wp:positionH relativeFrom="page">
              <wp:posOffset>528662</wp:posOffset>
            </wp:positionH>
            <wp:positionV relativeFrom="paragraph">
              <wp:posOffset>351521</wp:posOffset>
            </wp:positionV>
            <wp:extent cx="54491" cy="6286"/>
            <wp:effectExtent l="0" t="0" r="0" b="0"/>
            <wp:wrapNone/>
            <wp:docPr id="327" name="image13.png"/>
            <wp:cNvGraphicFramePr>
              <a:graphicFrameLocks noChangeAspect="1"/>
            </wp:cNvGraphicFramePr>
            <a:graphic>
              <a:graphicData uri="http://schemas.openxmlformats.org/drawingml/2006/picture">
                <pic:pic>
                  <pic:nvPicPr>
                    <pic:cNvPr id="328" name="image13.png"/>
                    <pic:cNvPicPr/>
                  </pic:nvPicPr>
                  <pic:blipFill>
                    <a:blip r:embed="rId34"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15884800">
            <wp:simplePos x="0" y="0"/>
            <wp:positionH relativeFrom="page">
              <wp:posOffset>2550731</wp:posOffset>
            </wp:positionH>
            <wp:positionV relativeFrom="paragraph">
              <wp:posOffset>83818</wp:posOffset>
            </wp:positionV>
            <wp:extent cx="55304" cy="6381"/>
            <wp:effectExtent l="0" t="0" r="0" b="0"/>
            <wp:wrapNone/>
            <wp:docPr id="329" name="image10.png"/>
            <wp:cNvGraphicFramePr>
              <a:graphicFrameLocks noChangeAspect="1"/>
            </wp:cNvGraphicFramePr>
            <a:graphic>
              <a:graphicData uri="http://schemas.openxmlformats.org/drawingml/2006/picture">
                <pic:pic>
                  <pic:nvPicPr>
                    <pic:cNvPr id="330"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5312">
            <wp:simplePos x="0" y="0"/>
            <wp:positionH relativeFrom="page">
              <wp:posOffset>2550731</wp:posOffset>
            </wp:positionH>
            <wp:positionV relativeFrom="paragraph">
              <wp:posOffset>603985</wp:posOffset>
            </wp:positionV>
            <wp:extent cx="54478" cy="6286"/>
            <wp:effectExtent l="0" t="0" r="0" b="0"/>
            <wp:wrapNone/>
            <wp:docPr id="331" name="image12.png"/>
            <wp:cNvGraphicFramePr>
              <a:graphicFrameLocks noChangeAspect="1"/>
            </wp:cNvGraphicFramePr>
            <a:graphic>
              <a:graphicData uri="http://schemas.openxmlformats.org/drawingml/2006/picture">
                <pic:pic>
                  <pic:nvPicPr>
                    <pic:cNvPr id="332" name="image12.png"/>
                    <pic:cNvPicPr/>
                  </pic:nvPicPr>
                  <pic:blipFill>
                    <a:blip r:embed="rId33"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87360">
            <wp:simplePos x="0" y="0"/>
            <wp:positionH relativeFrom="page">
              <wp:posOffset>2550718</wp:posOffset>
            </wp:positionH>
            <wp:positionV relativeFrom="paragraph">
              <wp:posOffset>351521</wp:posOffset>
            </wp:positionV>
            <wp:extent cx="54491" cy="6286"/>
            <wp:effectExtent l="0" t="0" r="0" b="0"/>
            <wp:wrapNone/>
            <wp:docPr id="333" name="image12.png"/>
            <wp:cNvGraphicFramePr>
              <a:graphicFrameLocks noChangeAspect="1"/>
            </wp:cNvGraphicFramePr>
            <a:graphic>
              <a:graphicData uri="http://schemas.openxmlformats.org/drawingml/2006/picture">
                <pic:pic>
                  <pic:nvPicPr>
                    <pic:cNvPr id="334" name="image12.png"/>
                    <pic:cNvPicPr/>
                  </pic:nvPicPr>
                  <pic:blipFill>
                    <a:blip r:embed="rId33" cstate="print"/>
                    <a:stretch>
                      <a:fillRect/>
                    </a:stretch>
                  </pic:blipFill>
                  <pic:spPr>
                    <a:xfrm>
                      <a:off x="0" y="0"/>
                      <a:ext cx="54491" cy="6286"/>
                    </a:xfrm>
                    <a:prstGeom prst="rect">
                      <a:avLst/>
                    </a:prstGeom>
                  </pic:spPr>
                </pic:pic>
              </a:graphicData>
            </a:graphic>
          </wp:anchor>
        </w:drawing>
      </w:r>
      <w:r>
        <w:rPr>
          <w:sz w:val="12"/>
        </w:rPr>
        <w:t>FTSE All-Share excluding TMT sector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4"/>
        </w:rPr>
      </w:pPr>
    </w:p>
    <w:p>
      <w:pPr>
        <w:spacing w:line="64" w:lineRule="exact"/>
        <w:ind w:left="192" w:right="-44" w:firstLine="0"/>
        <w:rPr>
          <w:sz w:val="2"/>
        </w:rPr>
      </w:pPr>
      <w:r>
        <w:rPr>
          <w:position w:val="0"/>
          <w:sz w:val="2"/>
        </w:rPr>
        <w:drawing>
          <wp:inline distT="0" distB="0" distL="0" distR="0">
            <wp:extent cx="55304" cy="6381"/>
            <wp:effectExtent l="0" t="0" r="0" b="0"/>
            <wp:docPr id="335" name="image8.png"/>
            <wp:cNvGraphicFramePr>
              <a:graphicFrameLocks noChangeAspect="1"/>
            </wp:cNvGraphicFramePr>
            <a:graphic>
              <a:graphicData uri="http://schemas.openxmlformats.org/drawingml/2006/picture">
                <pic:pic>
                  <pic:nvPicPr>
                    <pic:cNvPr id="336" name="image8.png"/>
                    <pic:cNvPicPr/>
                  </pic:nvPicPr>
                  <pic:blipFill>
                    <a:blip r:embed="rId29" cstate="print"/>
                    <a:stretch>
                      <a:fillRect/>
                    </a:stretch>
                  </pic:blipFill>
                  <pic:spPr>
                    <a:xfrm>
                      <a:off x="0" y="0"/>
                      <a:ext cx="55304" cy="6381"/>
                    </a:xfrm>
                    <a:prstGeom prst="rect">
                      <a:avLst/>
                    </a:prstGeom>
                  </pic:spPr>
                </pic:pic>
              </a:graphicData>
            </a:graphic>
          </wp:inline>
        </w:drawing>
      </w:r>
      <w:r>
        <w:rPr>
          <w:position w:val="0"/>
          <w:sz w:val="2"/>
        </w:rPr>
      </w:r>
      <w:r>
        <w:rPr>
          <w:spacing w:val="68"/>
          <w:position w:val="0"/>
          <w:sz w:val="6"/>
        </w:rPr>
        <w:t> </w:t>
      </w:r>
      <w:r>
        <w:rPr>
          <w:spacing w:val="68"/>
          <w:position w:val="0"/>
          <w:sz w:val="6"/>
        </w:rPr>
        <w:drawing>
          <wp:inline distT="0" distB="0" distL="0" distR="0">
            <wp:extent cx="1836614" cy="41148"/>
            <wp:effectExtent l="0" t="0" r="0" b="0"/>
            <wp:docPr id="337" name="image37.png"/>
            <wp:cNvGraphicFramePr>
              <a:graphicFrameLocks noChangeAspect="1"/>
            </wp:cNvGraphicFramePr>
            <a:graphic>
              <a:graphicData uri="http://schemas.openxmlformats.org/drawingml/2006/picture">
                <pic:pic>
                  <pic:nvPicPr>
                    <pic:cNvPr id="338" name="image37.png"/>
                    <pic:cNvPicPr/>
                  </pic:nvPicPr>
                  <pic:blipFill>
                    <a:blip r:embed="rId64" cstate="print"/>
                    <a:stretch>
                      <a:fillRect/>
                    </a:stretch>
                  </pic:blipFill>
                  <pic:spPr>
                    <a:xfrm>
                      <a:off x="0" y="0"/>
                      <a:ext cx="1836614" cy="41148"/>
                    </a:xfrm>
                    <a:prstGeom prst="rect">
                      <a:avLst/>
                    </a:prstGeom>
                  </pic:spPr>
                </pic:pic>
              </a:graphicData>
            </a:graphic>
          </wp:inline>
        </w:drawing>
      </w:r>
      <w:r>
        <w:rPr>
          <w:spacing w:val="68"/>
          <w:position w:val="0"/>
          <w:sz w:val="6"/>
        </w:rPr>
      </w:r>
      <w:r>
        <w:rPr>
          <w:spacing w:val="118"/>
          <w:position w:val="0"/>
          <w:sz w:val="2"/>
        </w:rPr>
        <w:t> </w:t>
      </w:r>
      <w:r>
        <w:rPr>
          <w:spacing w:val="118"/>
          <w:position w:val="0"/>
          <w:sz w:val="2"/>
        </w:rPr>
        <w:drawing>
          <wp:inline distT="0" distB="0" distL="0" distR="0">
            <wp:extent cx="55304" cy="6381"/>
            <wp:effectExtent l="0" t="0" r="0" b="0"/>
            <wp:docPr id="339" name="image10.png"/>
            <wp:cNvGraphicFramePr>
              <a:graphicFrameLocks noChangeAspect="1"/>
            </wp:cNvGraphicFramePr>
            <a:graphic>
              <a:graphicData uri="http://schemas.openxmlformats.org/drawingml/2006/picture">
                <pic:pic>
                  <pic:nvPicPr>
                    <pic:cNvPr id="340" name="image10.png"/>
                    <pic:cNvPicPr/>
                  </pic:nvPicPr>
                  <pic:blipFill>
                    <a:blip r:embed="rId31" cstate="print"/>
                    <a:stretch>
                      <a:fillRect/>
                    </a:stretch>
                  </pic:blipFill>
                  <pic:spPr>
                    <a:xfrm>
                      <a:off x="0" y="0"/>
                      <a:ext cx="55304" cy="6381"/>
                    </a:xfrm>
                    <a:prstGeom prst="rect">
                      <a:avLst/>
                    </a:prstGeom>
                  </pic:spPr>
                </pic:pic>
              </a:graphicData>
            </a:graphic>
          </wp:inline>
        </w:drawing>
      </w:r>
      <w:r>
        <w:rPr>
          <w:spacing w:val="118"/>
          <w:position w:val="0"/>
          <w:sz w:val="2"/>
        </w:rPr>
      </w:r>
    </w:p>
    <w:p>
      <w:pPr>
        <w:tabs>
          <w:tab w:pos="867" w:val="left" w:leader="none"/>
          <w:tab w:pos="1436" w:val="left" w:leader="none"/>
          <w:tab w:pos="1999" w:val="left" w:leader="none"/>
          <w:tab w:pos="2608" w:val="left" w:leader="none"/>
          <w:tab w:pos="3163" w:val="left" w:leader="none"/>
        </w:tabs>
        <w:spacing w:line="472" w:lineRule="auto" w:before="44"/>
        <w:ind w:left="168" w:right="87" w:firstLine="141"/>
        <w:jc w:val="left"/>
        <w:rPr>
          <w:sz w:val="12"/>
        </w:rPr>
      </w:pPr>
      <w:r>
        <w:rPr/>
        <w:drawing>
          <wp:anchor distT="0" distB="0" distL="0" distR="0" allowOverlap="1" layoutInCell="1" locked="0" behindDoc="0" simplePos="0" relativeHeight="15882240">
            <wp:simplePos x="0" y="0"/>
            <wp:positionH relativeFrom="page">
              <wp:posOffset>528675</wp:posOffset>
            </wp:positionH>
            <wp:positionV relativeFrom="paragraph">
              <wp:posOffset>-777745</wp:posOffset>
            </wp:positionV>
            <wp:extent cx="54478" cy="6286"/>
            <wp:effectExtent l="0" t="0" r="0" b="0"/>
            <wp:wrapNone/>
            <wp:docPr id="341" name="image13.png"/>
            <wp:cNvGraphicFramePr>
              <a:graphicFrameLocks noChangeAspect="1"/>
            </wp:cNvGraphicFramePr>
            <a:graphic>
              <a:graphicData uri="http://schemas.openxmlformats.org/drawingml/2006/picture">
                <pic:pic>
                  <pic:nvPicPr>
                    <pic:cNvPr id="342"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82752">
            <wp:simplePos x="0" y="0"/>
            <wp:positionH relativeFrom="page">
              <wp:posOffset>528675</wp:posOffset>
            </wp:positionH>
            <wp:positionV relativeFrom="paragraph">
              <wp:posOffset>-261223</wp:posOffset>
            </wp:positionV>
            <wp:extent cx="55304" cy="6381"/>
            <wp:effectExtent l="0" t="0" r="0" b="0"/>
            <wp:wrapNone/>
            <wp:docPr id="343" name="image8.png"/>
            <wp:cNvGraphicFramePr>
              <a:graphicFrameLocks noChangeAspect="1"/>
            </wp:cNvGraphicFramePr>
            <a:graphic>
              <a:graphicData uri="http://schemas.openxmlformats.org/drawingml/2006/picture">
                <pic:pic>
                  <pic:nvPicPr>
                    <pic:cNvPr id="344"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3264">
            <wp:simplePos x="0" y="0"/>
            <wp:positionH relativeFrom="page">
              <wp:posOffset>528662</wp:posOffset>
            </wp:positionH>
            <wp:positionV relativeFrom="paragraph">
              <wp:posOffset>-519884</wp:posOffset>
            </wp:positionV>
            <wp:extent cx="54491" cy="6286"/>
            <wp:effectExtent l="0" t="0" r="0" b="0"/>
            <wp:wrapNone/>
            <wp:docPr id="345" name="image13.png"/>
            <wp:cNvGraphicFramePr>
              <a:graphicFrameLocks noChangeAspect="1"/>
            </wp:cNvGraphicFramePr>
            <a:graphic>
              <a:graphicData uri="http://schemas.openxmlformats.org/drawingml/2006/picture">
                <pic:pic>
                  <pic:nvPicPr>
                    <pic:cNvPr id="346" name="image13.png"/>
                    <pic:cNvPicPr/>
                  </pic:nvPicPr>
                  <pic:blipFill>
                    <a:blip r:embed="rId34"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15885824">
            <wp:simplePos x="0" y="0"/>
            <wp:positionH relativeFrom="page">
              <wp:posOffset>2550731</wp:posOffset>
            </wp:positionH>
            <wp:positionV relativeFrom="paragraph">
              <wp:posOffset>-777745</wp:posOffset>
            </wp:positionV>
            <wp:extent cx="54478" cy="6286"/>
            <wp:effectExtent l="0" t="0" r="0" b="0"/>
            <wp:wrapNone/>
            <wp:docPr id="347" name="image12.png"/>
            <wp:cNvGraphicFramePr>
              <a:graphicFrameLocks noChangeAspect="1"/>
            </wp:cNvGraphicFramePr>
            <a:graphic>
              <a:graphicData uri="http://schemas.openxmlformats.org/drawingml/2006/picture">
                <pic:pic>
                  <pic:nvPicPr>
                    <pic:cNvPr id="348" name="image12.png"/>
                    <pic:cNvPicPr/>
                  </pic:nvPicPr>
                  <pic:blipFill>
                    <a:blip r:embed="rId33"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86336">
            <wp:simplePos x="0" y="0"/>
            <wp:positionH relativeFrom="page">
              <wp:posOffset>2550731</wp:posOffset>
            </wp:positionH>
            <wp:positionV relativeFrom="paragraph">
              <wp:posOffset>-261223</wp:posOffset>
            </wp:positionV>
            <wp:extent cx="55304" cy="6381"/>
            <wp:effectExtent l="0" t="0" r="0" b="0"/>
            <wp:wrapNone/>
            <wp:docPr id="349" name="image10.png"/>
            <wp:cNvGraphicFramePr>
              <a:graphicFrameLocks noChangeAspect="1"/>
            </wp:cNvGraphicFramePr>
            <a:graphic>
              <a:graphicData uri="http://schemas.openxmlformats.org/drawingml/2006/picture">
                <pic:pic>
                  <pic:nvPicPr>
                    <pic:cNvPr id="350" name="image10.png"/>
                    <pic:cNvPicPr/>
                  </pic:nvPicPr>
                  <pic:blipFill>
                    <a:blip r:embed="rId3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6848">
            <wp:simplePos x="0" y="0"/>
            <wp:positionH relativeFrom="page">
              <wp:posOffset>2550718</wp:posOffset>
            </wp:positionH>
            <wp:positionV relativeFrom="paragraph">
              <wp:posOffset>-519884</wp:posOffset>
            </wp:positionV>
            <wp:extent cx="54491" cy="6286"/>
            <wp:effectExtent l="0" t="0" r="0" b="0"/>
            <wp:wrapNone/>
            <wp:docPr id="351" name="image12.png"/>
            <wp:cNvGraphicFramePr>
              <a:graphicFrameLocks noChangeAspect="1"/>
            </wp:cNvGraphicFramePr>
            <a:graphic>
              <a:graphicData uri="http://schemas.openxmlformats.org/drawingml/2006/picture">
                <pic:pic>
                  <pic:nvPicPr>
                    <pic:cNvPr id="352" name="image12.png"/>
                    <pic:cNvPicPr/>
                  </pic:nvPicPr>
                  <pic:blipFill>
                    <a:blip r:embed="rId33" cstate="print"/>
                    <a:stretch>
                      <a:fillRect/>
                    </a:stretch>
                  </pic:blipFill>
                  <pic:spPr>
                    <a:xfrm>
                      <a:off x="0" y="0"/>
                      <a:ext cx="54491" cy="6286"/>
                    </a:xfrm>
                    <a:prstGeom prst="rect">
                      <a:avLst/>
                    </a:prstGeom>
                  </pic:spPr>
                </pic:pic>
              </a:graphicData>
            </a:graphic>
          </wp:anchor>
        </w:drawing>
      </w:r>
      <w:r>
        <w:rPr>
          <w:w w:val="105"/>
          <w:sz w:val="12"/>
        </w:rPr>
        <w:t>Apr.</w:t>
        <w:tab/>
        <w:t>June</w:t>
        <w:tab/>
        <w:t>Aug.</w:t>
        <w:tab/>
        <w:t>Oct.</w:t>
        <w:tab/>
        <w:t>Dec.</w:t>
        <w:tab/>
      </w:r>
      <w:r>
        <w:rPr>
          <w:spacing w:val="-5"/>
          <w:w w:val="105"/>
          <w:sz w:val="12"/>
        </w:rPr>
        <w:t>Feb. </w:t>
      </w:r>
      <w:r>
        <w:rPr>
          <w:w w:val="105"/>
          <w:sz w:val="12"/>
        </w:rPr>
        <w:t>Sources: Thomson Financial Datastream and Bank of</w:t>
      </w:r>
      <w:r>
        <w:rPr>
          <w:spacing w:val="-15"/>
          <w:w w:val="105"/>
          <w:sz w:val="12"/>
        </w:rPr>
        <w:t> </w:t>
      </w:r>
      <w:r>
        <w:rPr>
          <w:w w:val="105"/>
          <w:sz w:val="12"/>
        </w:rPr>
        <w:t>England.</w:t>
      </w:r>
    </w:p>
    <w:p>
      <w:pPr>
        <w:pStyle w:val="BodyText"/>
        <w:spacing w:before="8"/>
        <w:rPr>
          <w:sz w:val="17"/>
        </w:rPr>
      </w:pPr>
    </w:p>
    <w:p>
      <w:pPr>
        <w:pStyle w:val="Heading6"/>
        <w:ind w:left="170"/>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1.18</w:t>
      </w:r>
    </w:p>
    <w:p>
      <w:pPr>
        <w:spacing w:before="8"/>
        <w:ind w:left="170" w:right="0" w:firstLine="0"/>
        <w:jc w:val="left"/>
        <w:rPr>
          <w:rFonts w:ascii="Trebuchet MS"/>
          <w:b/>
          <w:sz w:val="20"/>
        </w:rPr>
      </w:pPr>
      <w:r>
        <w:rPr>
          <w:rFonts w:ascii="Trebuchet MS"/>
          <w:b/>
          <w:color w:val="89C6DC"/>
          <w:sz w:val="20"/>
        </w:rPr>
        <w:t>House price inflation</w:t>
      </w:r>
    </w:p>
    <w:p>
      <w:pPr>
        <w:spacing w:before="58"/>
        <w:ind w:left="52" w:right="0" w:firstLine="0"/>
        <w:jc w:val="left"/>
        <w:rPr>
          <w:sz w:val="12"/>
        </w:rPr>
      </w:pPr>
      <w:r>
        <w:rPr/>
        <w:br w:type="column"/>
      </w:r>
      <w:r>
        <w:rPr>
          <w:w w:val="120"/>
          <w:sz w:val="12"/>
        </w:rPr>
        <w:t>110</w:t>
      </w:r>
    </w:p>
    <w:p>
      <w:pPr>
        <w:pStyle w:val="BodyText"/>
        <w:rPr>
          <w:sz w:val="12"/>
        </w:rPr>
      </w:pPr>
    </w:p>
    <w:p>
      <w:pPr>
        <w:pStyle w:val="BodyText"/>
        <w:spacing w:before="9"/>
        <w:rPr>
          <w:sz w:val="12"/>
        </w:rPr>
      </w:pPr>
    </w:p>
    <w:p>
      <w:pPr>
        <w:spacing w:before="0"/>
        <w:ind w:left="52" w:right="0" w:firstLine="0"/>
        <w:jc w:val="left"/>
        <w:rPr>
          <w:sz w:val="12"/>
        </w:rPr>
      </w:pPr>
      <w:r>
        <w:rPr>
          <w:w w:val="120"/>
          <w:sz w:val="12"/>
        </w:rPr>
        <w:t>100</w:t>
      </w:r>
    </w:p>
    <w:p>
      <w:pPr>
        <w:pStyle w:val="BodyText"/>
        <w:rPr>
          <w:sz w:val="12"/>
        </w:rPr>
      </w:pPr>
    </w:p>
    <w:p>
      <w:pPr>
        <w:pStyle w:val="BodyText"/>
        <w:rPr>
          <w:sz w:val="11"/>
        </w:rPr>
      </w:pPr>
    </w:p>
    <w:p>
      <w:pPr>
        <w:spacing w:before="0"/>
        <w:ind w:left="124" w:right="0" w:firstLine="0"/>
        <w:jc w:val="left"/>
        <w:rPr>
          <w:sz w:val="12"/>
        </w:rPr>
      </w:pPr>
      <w:r>
        <w:rPr>
          <w:w w:val="120"/>
          <w:sz w:val="12"/>
        </w:rPr>
        <w:t>90</w:t>
      </w:r>
    </w:p>
    <w:p>
      <w:pPr>
        <w:pStyle w:val="BodyText"/>
        <w:rPr>
          <w:sz w:val="12"/>
        </w:rPr>
      </w:pPr>
    </w:p>
    <w:p>
      <w:pPr>
        <w:pStyle w:val="BodyText"/>
        <w:spacing w:before="8"/>
        <w:rPr>
          <w:sz w:val="12"/>
        </w:rPr>
      </w:pPr>
    </w:p>
    <w:p>
      <w:pPr>
        <w:spacing w:before="0"/>
        <w:ind w:left="124" w:right="0" w:firstLine="0"/>
        <w:jc w:val="left"/>
        <w:rPr>
          <w:sz w:val="12"/>
        </w:rPr>
      </w:pPr>
      <w:r>
        <w:rPr>
          <w:w w:val="120"/>
          <w:sz w:val="12"/>
        </w:rPr>
        <w:t>80</w:t>
      </w:r>
    </w:p>
    <w:p>
      <w:pPr>
        <w:pStyle w:val="BodyText"/>
        <w:rPr>
          <w:sz w:val="12"/>
        </w:rPr>
      </w:pPr>
    </w:p>
    <w:p>
      <w:pPr>
        <w:pStyle w:val="BodyText"/>
        <w:spacing w:before="3"/>
        <w:rPr>
          <w:sz w:val="11"/>
        </w:rPr>
      </w:pPr>
    </w:p>
    <w:p>
      <w:pPr>
        <w:spacing w:before="0"/>
        <w:ind w:left="124" w:right="0" w:firstLine="0"/>
        <w:jc w:val="left"/>
        <w:rPr>
          <w:sz w:val="12"/>
        </w:rPr>
      </w:pPr>
      <w:r>
        <w:rPr>
          <w:w w:val="120"/>
          <w:sz w:val="12"/>
        </w:rPr>
        <w:t>70</w:t>
      </w:r>
    </w:p>
    <w:p>
      <w:pPr>
        <w:pStyle w:val="BodyText"/>
        <w:rPr>
          <w:sz w:val="12"/>
        </w:rPr>
      </w:pPr>
    </w:p>
    <w:p>
      <w:pPr>
        <w:pStyle w:val="BodyText"/>
        <w:spacing w:before="6"/>
        <w:rPr>
          <w:sz w:val="12"/>
        </w:rPr>
      </w:pPr>
    </w:p>
    <w:p>
      <w:pPr>
        <w:spacing w:before="0"/>
        <w:ind w:left="124" w:right="0" w:firstLine="0"/>
        <w:jc w:val="left"/>
        <w:rPr>
          <w:sz w:val="12"/>
        </w:rPr>
      </w:pPr>
      <w:r>
        <w:rPr>
          <w:w w:val="120"/>
          <w:sz w:val="12"/>
        </w:rPr>
        <w:t>60</w:t>
      </w:r>
    </w:p>
    <w:p>
      <w:pPr>
        <w:pStyle w:val="BodyText"/>
        <w:rPr>
          <w:sz w:val="12"/>
        </w:rPr>
      </w:pPr>
    </w:p>
    <w:p>
      <w:pPr>
        <w:pStyle w:val="BodyText"/>
        <w:spacing w:before="2"/>
        <w:rPr>
          <w:sz w:val="11"/>
        </w:rPr>
      </w:pPr>
    </w:p>
    <w:p>
      <w:pPr>
        <w:spacing w:before="1"/>
        <w:ind w:left="124" w:right="0" w:firstLine="0"/>
        <w:jc w:val="left"/>
        <w:rPr>
          <w:sz w:val="12"/>
        </w:rPr>
      </w:pPr>
      <w:r>
        <w:rPr>
          <w:w w:val="120"/>
          <w:sz w:val="12"/>
        </w:rPr>
        <w:t>50</w:t>
      </w:r>
    </w:p>
    <w:p>
      <w:pPr>
        <w:pStyle w:val="BodyText"/>
        <w:spacing w:line="292" w:lineRule="auto"/>
        <w:ind w:left="288" w:right="164"/>
      </w:pPr>
      <w:r>
        <w:rPr/>
        <w:br w:type="column"/>
      </w:r>
      <w:r>
        <w:rPr>
          <w:w w:val="110"/>
        </w:rPr>
        <w:t>some</w:t>
      </w:r>
      <w:r>
        <w:rPr>
          <w:spacing w:val="-32"/>
          <w:w w:val="110"/>
        </w:rPr>
        <w:t> </w:t>
      </w:r>
      <w:r>
        <w:rPr>
          <w:w w:val="110"/>
        </w:rPr>
        <w:t>of</w:t>
      </w:r>
      <w:r>
        <w:rPr>
          <w:spacing w:val="-32"/>
          <w:w w:val="110"/>
        </w:rPr>
        <w:t> </w:t>
      </w:r>
      <w:r>
        <w:rPr>
          <w:w w:val="110"/>
        </w:rPr>
        <w:t>the</w:t>
      </w:r>
      <w:r>
        <w:rPr>
          <w:spacing w:val="-32"/>
          <w:w w:val="110"/>
        </w:rPr>
        <w:t> </w:t>
      </w:r>
      <w:r>
        <w:rPr>
          <w:w w:val="110"/>
        </w:rPr>
        <w:t>exceptional</w:t>
      </w:r>
      <w:r>
        <w:rPr>
          <w:spacing w:val="-31"/>
          <w:w w:val="110"/>
        </w:rPr>
        <w:t> </w:t>
      </w:r>
      <w:r>
        <w:rPr>
          <w:spacing w:val="-3"/>
          <w:w w:val="110"/>
        </w:rPr>
        <w:t>upward</w:t>
      </w:r>
      <w:r>
        <w:rPr>
          <w:spacing w:val="-32"/>
          <w:w w:val="110"/>
        </w:rPr>
        <w:t> </w:t>
      </w:r>
      <w:r>
        <w:rPr>
          <w:w w:val="110"/>
        </w:rPr>
        <w:t>movement</w:t>
      </w:r>
      <w:r>
        <w:rPr>
          <w:spacing w:val="-32"/>
          <w:w w:val="110"/>
        </w:rPr>
        <w:t> </w:t>
      </w:r>
      <w:r>
        <w:rPr>
          <w:spacing w:val="-3"/>
          <w:w w:val="110"/>
        </w:rPr>
        <w:t>over</w:t>
      </w:r>
      <w:r>
        <w:rPr>
          <w:spacing w:val="-31"/>
          <w:w w:val="110"/>
        </w:rPr>
        <w:t> </w:t>
      </w:r>
      <w:r>
        <w:rPr>
          <w:w w:val="110"/>
        </w:rPr>
        <w:t>previous</w:t>
      </w:r>
      <w:r>
        <w:rPr>
          <w:spacing w:val="-32"/>
          <w:w w:val="110"/>
        </w:rPr>
        <w:t> </w:t>
      </w:r>
      <w:r>
        <w:rPr>
          <w:w w:val="110"/>
        </w:rPr>
        <w:t>years. Rising</w:t>
      </w:r>
      <w:r>
        <w:rPr>
          <w:spacing w:val="-24"/>
          <w:w w:val="110"/>
        </w:rPr>
        <w:t> </w:t>
      </w:r>
      <w:r>
        <w:rPr>
          <w:w w:val="110"/>
        </w:rPr>
        <w:t>productivity</w:t>
      </w:r>
      <w:r>
        <w:rPr>
          <w:spacing w:val="-24"/>
          <w:w w:val="110"/>
        </w:rPr>
        <w:t> </w:t>
      </w:r>
      <w:r>
        <w:rPr>
          <w:w w:val="110"/>
        </w:rPr>
        <w:t>growth</w:t>
      </w:r>
      <w:r>
        <w:rPr>
          <w:spacing w:val="-23"/>
          <w:w w:val="110"/>
        </w:rPr>
        <w:t> </w:t>
      </w:r>
      <w:r>
        <w:rPr>
          <w:w w:val="110"/>
        </w:rPr>
        <w:t>in</w:t>
      </w:r>
      <w:r>
        <w:rPr>
          <w:spacing w:val="-24"/>
          <w:w w:val="110"/>
        </w:rPr>
        <w:t> </w:t>
      </w:r>
      <w:r>
        <w:rPr>
          <w:w w:val="110"/>
        </w:rPr>
        <w:t>the</w:t>
      </w:r>
      <w:r>
        <w:rPr>
          <w:spacing w:val="-24"/>
          <w:w w:val="110"/>
        </w:rPr>
        <w:t> </w:t>
      </w:r>
      <w:r>
        <w:rPr>
          <w:w w:val="110"/>
        </w:rPr>
        <w:t>ICT</w:t>
      </w:r>
      <w:r>
        <w:rPr>
          <w:spacing w:val="-23"/>
          <w:w w:val="110"/>
        </w:rPr>
        <w:t> </w:t>
      </w:r>
      <w:r>
        <w:rPr>
          <w:w w:val="110"/>
        </w:rPr>
        <w:t>sector</w:t>
      </w:r>
      <w:r>
        <w:rPr>
          <w:spacing w:val="-24"/>
          <w:w w:val="110"/>
        </w:rPr>
        <w:t> </w:t>
      </w:r>
      <w:r>
        <w:rPr>
          <w:w w:val="110"/>
        </w:rPr>
        <w:t>has</w:t>
      </w:r>
      <w:r>
        <w:rPr>
          <w:spacing w:val="-24"/>
          <w:w w:val="110"/>
        </w:rPr>
        <w:t> </w:t>
      </w:r>
      <w:r>
        <w:rPr>
          <w:w w:val="110"/>
        </w:rPr>
        <w:t>accounted</w:t>
      </w:r>
      <w:r>
        <w:rPr>
          <w:spacing w:val="-23"/>
          <w:w w:val="110"/>
        </w:rPr>
        <w:t> </w:t>
      </w:r>
      <w:r>
        <w:rPr>
          <w:w w:val="110"/>
        </w:rPr>
        <w:t>for a</w:t>
      </w:r>
      <w:r>
        <w:rPr>
          <w:spacing w:val="-18"/>
          <w:w w:val="110"/>
        </w:rPr>
        <w:t> </w:t>
      </w:r>
      <w:r>
        <w:rPr>
          <w:w w:val="110"/>
        </w:rPr>
        <w:t>large</w:t>
      </w:r>
      <w:r>
        <w:rPr>
          <w:spacing w:val="-17"/>
          <w:w w:val="110"/>
        </w:rPr>
        <w:t> </w:t>
      </w:r>
      <w:r>
        <w:rPr>
          <w:w w:val="110"/>
        </w:rPr>
        <w:t>proportion</w:t>
      </w:r>
      <w:r>
        <w:rPr>
          <w:spacing w:val="-17"/>
          <w:w w:val="110"/>
        </w:rPr>
        <w:t> </w:t>
      </w:r>
      <w:r>
        <w:rPr>
          <w:w w:val="110"/>
        </w:rPr>
        <w:t>of</w:t>
      </w:r>
      <w:r>
        <w:rPr>
          <w:spacing w:val="-18"/>
          <w:w w:val="110"/>
        </w:rPr>
        <w:t> </w:t>
      </w:r>
      <w:r>
        <w:rPr>
          <w:w w:val="110"/>
        </w:rPr>
        <w:t>the</w:t>
      </w:r>
      <w:r>
        <w:rPr>
          <w:spacing w:val="-17"/>
          <w:w w:val="110"/>
        </w:rPr>
        <w:t> </w:t>
      </w:r>
      <w:r>
        <w:rPr>
          <w:spacing w:val="-5"/>
          <w:w w:val="110"/>
        </w:rPr>
        <w:t>pick-up</w:t>
      </w:r>
      <w:r>
        <w:rPr>
          <w:spacing w:val="-17"/>
          <w:w w:val="110"/>
        </w:rPr>
        <w:t> </w:t>
      </w:r>
      <w:r>
        <w:rPr>
          <w:w w:val="110"/>
        </w:rPr>
        <w:t>in</w:t>
      </w:r>
      <w:r>
        <w:rPr>
          <w:spacing w:val="-18"/>
          <w:w w:val="110"/>
        </w:rPr>
        <w:t> </w:t>
      </w:r>
      <w:r>
        <w:rPr>
          <w:w w:val="110"/>
        </w:rPr>
        <w:t>US</w:t>
      </w:r>
      <w:r>
        <w:rPr>
          <w:spacing w:val="-17"/>
          <w:w w:val="110"/>
        </w:rPr>
        <w:t> </w:t>
      </w:r>
      <w:r>
        <w:rPr>
          <w:w w:val="110"/>
        </w:rPr>
        <w:t>productivity</w:t>
      </w:r>
      <w:r>
        <w:rPr>
          <w:spacing w:val="-17"/>
          <w:w w:val="110"/>
        </w:rPr>
        <w:t> </w:t>
      </w:r>
      <w:r>
        <w:rPr>
          <w:w w:val="110"/>
        </w:rPr>
        <w:t>growth</w:t>
      </w:r>
      <w:r>
        <w:rPr>
          <w:spacing w:val="-17"/>
          <w:w w:val="110"/>
        </w:rPr>
        <w:t> </w:t>
      </w:r>
      <w:r>
        <w:rPr>
          <w:w w:val="110"/>
        </w:rPr>
        <w:t>in recent</w:t>
      </w:r>
      <w:r>
        <w:rPr>
          <w:spacing w:val="-17"/>
          <w:w w:val="110"/>
        </w:rPr>
        <w:t> </w:t>
      </w:r>
      <w:r>
        <w:rPr>
          <w:w w:val="110"/>
        </w:rPr>
        <w:t>years.</w:t>
      </w:r>
      <w:r>
        <w:rPr>
          <w:spacing w:val="22"/>
          <w:w w:val="110"/>
        </w:rPr>
        <w:t> </w:t>
      </w:r>
      <w:r>
        <w:rPr>
          <w:w w:val="110"/>
        </w:rPr>
        <w:t>And</w:t>
      </w:r>
      <w:r>
        <w:rPr>
          <w:spacing w:val="-17"/>
          <w:w w:val="110"/>
        </w:rPr>
        <w:t> </w:t>
      </w:r>
      <w:r>
        <w:rPr>
          <w:w w:val="110"/>
        </w:rPr>
        <w:t>the</w:t>
      </w:r>
      <w:r>
        <w:rPr>
          <w:spacing w:val="-16"/>
          <w:w w:val="110"/>
        </w:rPr>
        <w:t> </w:t>
      </w:r>
      <w:r>
        <w:rPr>
          <w:w w:val="110"/>
        </w:rPr>
        <w:t>ICT</w:t>
      </w:r>
      <w:r>
        <w:rPr>
          <w:spacing w:val="-17"/>
          <w:w w:val="110"/>
        </w:rPr>
        <w:t> </w:t>
      </w:r>
      <w:r>
        <w:rPr>
          <w:w w:val="110"/>
        </w:rPr>
        <w:t>sector</w:t>
      </w:r>
      <w:r>
        <w:rPr>
          <w:spacing w:val="-17"/>
          <w:w w:val="110"/>
        </w:rPr>
        <w:t> </w:t>
      </w:r>
      <w:r>
        <w:rPr>
          <w:w w:val="110"/>
        </w:rPr>
        <w:t>accounts</w:t>
      </w:r>
      <w:r>
        <w:rPr>
          <w:spacing w:val="-17"/>
          <w:w w:val="110"/>
        </w:rPr>
        <w:t> </w:t>
      </w:r>
      <w:r>
        <w:rPr>
          <w:w w:val="110"/>
        </w:rPr>
        <w:t>for</w:t>
      </w:r>
      <w:r>
        <w:rPr>
          <w:spacing w:val="-16"/>
          <w:w w:val="110"/>
        </w:rPr>
        <w:t> </w:t>
      </w:r>
      <w:r>
        <w:rPr>
          <w:w w:val="110"/>
        </w:rPr>
        <w:t>a</w:t>
      </w:r>
      <w:r>
        <w:rPr>
          <w:spacing w:val="-17"/>
          <w:w w:val="110"/>
        </w:rPr>
        <w:t> </w:t>
      </w:r>
      <w:r>
        <w:rPr>
          <w:w w:val="110"/>
        </w:rPr>
        <w:t>larger</w:t>
      </w:r>
      <w:r>
        <w:rPr>
          <w:spacing w:val="-17"/>
          <w:w w:val="110"/>
        </w:rPr>
        <w:t> </w:t>
      </w:r>
      <w:r>
        <w:rPr>
          <w:w w:val="110"/>
        </w:rPr>
        <w:t>share</w:t>
      </w:r>
      <w:r>
        <w:rPr>
          <w:spacing w:val="-17"/>
          <w:w w:val="110"/>
        </w:rPr>
        <w:t> </w:t>
      </w:r>
      <w:r>
        <w:rPr>
          <w:w w:val="110"/>
        </w:rPr>
        <w:t>of both output and </w:t>
      </w:r>
      <w:r>
        <w:rPr>
          <w:spacing w:val="-3"/>
          <w:w w:val="110"/>
        </w:rPr>
        <w:t>equity </w:t>
      </w:r>
      <w:r>
        <w:rPr>
          <w:spacing w:val="-2"/>
          <w:w w:val="110"/>
        </w:rPr>
        <w:t>market </w:t>
      </w:r>
      <w:r>
        <w:rPr>
          <w:w w:val="110"/>
        </w:rPr>
        <w:t>capitalisation in the United </w:t>
      </w:r>
      <w:r>
        <w:rPr>
          <w:spacing w:val="-3"/>
          <w:w w:val="110"/>
        </w:rPr>
        <w:t>States </w:t>
      </w:r>
      <w:r>
        <w:rPr>
          <w:w w:val="110"/>
        </w:rPr>
        <w:t>than in the United Kingdom or the euro area. So weaker</w:t>
      </w:r>
      <w:r>
        <w:rPr>
          <w:spacing w:val="-20"/>
          <w:w w:val="110"/>
        </w:rPr>
        <w:t> </w:t>
      </w:r>
      <w:r>
        <w:rPr>
          <w:w w:val="110"/>
        </w:rPr>
        <w:t>prospects</w:t>
      </w:r>
      <w:r>
        <w:rPr>
          <w:spacing w:val="-19"/>
          <w:w w:val="110"/>
        </w:rPr>
        <w:t> </w:t>
      </w:r>
      <w:r>
        <w:rPr>
          <w:w w:val="110"/>
        </w:rPr>
        <w:t>for</w:t>
      </w:r>
      <w:r>
        <w:rPr>
          <w:spacing w:val="-19"/>
          <w:w w:val="110"/>
        </w:rPr>
        <w:t> </w:t>
      </w:r>
      <w:r>
        <w:rPr>
          <w:w w:val="110"/>
        </w:rPr>
        <w:t>the</w:t>
      </w:r>
      <w:r>
        <w:rPr>
          <w:spacing w:val="-20"/>
          <w:w w:val="110"/>
        </w:rPr>
        <w:t> </w:t>
      </w:r>
      <w:r>
        <w:rPr>
          <w:w w:val="110"/>
        </w:rPr>
        <w:t>ICT</w:t>
      </w:r>
      <w:r>
        <w:rPr>
          <w:spacing w:val="-19"/>
          <w:w w:val="110"/>
        </w:rPr>
        <w:t> </w:t>
      </w:r>
      <w:r>
        <w:rPr>
          <w:w w:val="110"/>
        </w:rPr>
        <w:t>sector</w:t>
      </w:r>
      <w:r>
        <w:rPr>
          <w:spacing w:val="-19"/>
          <w:w w:val="110"/>
        </w:rPr>
        <w:t> </w:t>
      </w:r>
      <w:r>
        <w:rPr>
          <w:w w:val="110"/>
        </w:rPr>
        <w:t>might</w:t>
      </w:r>
      <w:r>
        <w:rPr>
          <w:spacing w:val="-19"/>
          <w:w w:val="110"/>
        </w:rPr>
        <w:t> </w:t>
      </w:r>
      <w:r>
        <w:rPr>
          <w:w w:val="110"/>
        </w:rPr>
        <w:t>be</w:t>
      </w:r>
      <w:r>
        <w:rPr>
          <w:spacing w:val="-20"/>
          <w:w w:val="110"/>
        </w:rPr>
        <w:t> </w:t>
      </w:r>
      <w:r>
        <w:rPr>
          <w:w w:val="110"/>
        </w:rPr>
        <w:t>expected</w:t>
      </w:r>
      <w:r>
        <w:rPr>
          <w:spacing w:val="-19"/>
          <w:w w:val="110"/>
        </w:rPr>
        <w:t> </w:t>
      </w:r>
      <w:r>
        <w:rPr>
          <w:spacing w:val="-4"/>
          <w:w w:val="110"/>
        </w:rPr>
        <w:t>to</w:t>
      </w:r>
      <w:r>
        <w:rPr>
          <w:spacing w:val="-19"/>
          <w:w w:val="110"/>
        </w:rPr>
        <w:t> </w:t>
      </w:r>
      <w:r>
        <w:rPr>
          <w:w w:val="110"/>
        </w:rPr>
        <w:t>have a </w:t>
      </w:r>
      <w:r>
        <w:rPr>
          <w:spacing w:val="-3"/>
          <w:w w:val="110"/>
        </w:rPr>
        <w:t>greater </w:t>
      </w:r>
      <w:r>
        <w:rPr>
          <w:w w:val="110"/>
        </w:rPr>
        <w:t>effect on GDP growth in the United </w:t>
      </w:r>
      <w:r>
        <w:rPr>
          <w:spacing w:val="-3"/>
          <w:w w:val="110"/>
        </w:rPr>
        <w:t>States </w:t>
      </w:r>
      <w:r>
        <w:rPr>
          <w:w w:val="110"/>
        </w:rPr>
        <w:t>than in Europe.</w:t>
      </w:r>
    </w:p>
    <w:p>
      <w:pPr>
        <w:pStyle w:val="BodyText"/>
        <w:spacing w:before="9"/>
        <w:rPr>
          <w:sz w:val="19"/>
        </w:rPr>
      </w:pPr>
    </w:p>
    <w:p>
      <w:pPr>
        <w:pStyle w:val="Heading6"/>
        <w:ind w:left="168"/>
      </w:pPr>
      <w:r>
        <w:rPr>
          <w:color w:val="89C6DC"/>
        </w:rPr>
        <w:t>Property prices</w:t>
      </w:r>
    </w:p>
    <w:p>
      <w:pPr>
        <w:pStyle w:val="BodyText"/>
        <w:rPr>
          <w:rFonts w:ascii="Trebuchet MS"/>
          <w:b/>
          <w:sz w:val="18"/>
        </w:rPr>
      </w:pPr>
    </w:p>
    <w:p>
      <w:pPr>
        <w:pStyle w:val="BodyText"/>
        <w:spacing w:line="292" w:lineRule="auto"/>
        <w:ind w:left="288" w:right="246"/>
      </w:pPr>
      <w:r>
        <w:rPr>
          <w:w w:val="105"/>
        </w:rPr>
        <w:t>Measures of annual house price inflation have diverged significantly in recent months (see Chart 1.18), partly reflecting the difficulties and uncertainties of measuring</w:t>
      </w:r>
    </w:p>
    <w:p>
      <w:pPr>
        <w:spacing w:after="0" w:line="292" w:lineRule="auto"/>
        <w:sectPr>
          <w:type w:val="continuous"/>
          <w:pgSz w:w="11900" w:h="16840"/>
          <w:pgMar w:top="1260" w:bottom="280" w:left="640" w:right="640"/>
          <w:cols w:num="3" w:equalWidth="0">
            <w:col w:w="3464" w:space="40"/>
            <w:col w:w="311" w:space="990"/>
            <w:col w:w="5815"/>
          </w:cols>
        </w:sectPr>
      </w:pPr>
    </w:p>
    <w:p>
      <w:pPr>
        <w:spacing w:line="83" w:lineRule="exact" w:before="0"/>
        <w:ind w:left="1635" w:right="0" w:firstLine="0"/>
        <w:jc w:val="left"/>
        <w:rPr>
          <w:sz w:val="12"/>
        </w:rPr>
      </w:pPr>
      <w:r>
        <w:rPr>
          <w:w w:val="110"/>
          <w:sz w:val="12"/>
        </w:rPr>
        <w:t>Percentage changes on a year earlier</w:t>
      </w:r>
    </w:p>
    <w:p>
      <w:pPr>
        <w:spacing w:line="133" w:lineRule="exact" w:before="0"/>
        <w:ind w:left="3577" w:right="0" w:firstLine="0"/>
        <w:jc w:val="left"/>
        <w:rPr>
          <w:sz w:val="12"/>
        </w:rPr>
      </w:pPr>
      <w:r>
        <w:rPr/>
        <w:pict>
          <v:group style="position:absolute;margin-left:54.240002pt;margin-top:4.363756pt;width:145.65pt;height:131pt;mso-position-horizontal-relative:page;mso-position-vertical-relative:paragraph;z-index:15896064" coordorigin="1085,87" coordsize="2913,2620">
            <v:shape style="position:absolute;left:1084;top:87;width:2913;height:2620" type="#_x0000_t75" stroked="false">
              <v:imagedata r:id="rId65" o:title=""/>
            </v:shape>
            <v:shape style="position:absolute;left:1459;top:262;width:381;height:121" type="#_x0000_t202" filled="false" stroked="false">
              <v:textbox inset="0,0,0,0">
                <w:txbxContent>
                  <w:p>
                    <w:pPr>
                      <w:spacing w:line="116" w:lineRule="exact" w:before="0"/>
                      <w:ind w:left="0" w:right="0" w:firstLine="0"/>
                      <w:jc w:val="left"/>
                      <w:rPr>
                        <w:sz w:val="12"/>
                      </w:rPr>
                    </w:pPr>
                    <w:r>
                      <w:rPr>
                        <w:sz w:val="12"/>
                      </w:rPr>
                      <w:t>Halifax</w:t>
                    </w:r>
                  </w:p>
                </w:txbxContent>
              </v:textbox>
              <w10:wrap type="none"/>
            </v:shape>
            <v:shape style="position:absolute;left:1524;top:2477;width:616;height:121" type="#_x0000_t202" filled="false" stroked="false">
              <v:textbox inset="0,0,0,0">
                <w:txbxContent>
                  <w:p>
                    <w:pPr>
                      <w:spacing w:line="116" w:lineRule="exact" w:before="0"/>
                      <w:ind w:left="0" w:right="0" w:firstLine="0"/>
                      <w:jc w:val="left"/>
                      <w:rPr>
                        <w:sz w:val="12"/>
                      </w:rPr>
                    </w:pPr>
                    <w:r>
                      <w:rPr>
                        <w:w w:val="105"/>
                        <w:sz w:val="12"/>
                      </w:rPr>
                      <w:t>Nationwide</w:t>
                    </w:r>
                  </w:p>
                </w:txbxContent>
              </v:textbox>
              <w10:wrap type="none"/>
            </v:shape>
            <w10:wrap type="none"/>
          </v:group>
        </w:pict>
      </w:r>
      <w:r>
        <w:rPr/>
        <w:drawing>
          <wp:anchor distT="0" distB="0" distL="0" distR="0" allowOverlap="1" layoutInCell="1" locked="0" behindDoc="0" simplePos="0" relativeHeight="15896576">
            <wp:simplePos x="0" y="0"/>
            <wp:positionH relativeFrom="page">
              <wp:posOffset>556120</wp:posOffset>
            </wp:positionH>
            <wp:positionV relativeFrom="paragraph">
              <wp:posOffset>38808</wp:posOffset>
            </wp:positionV>
            <wp:extent cx="55041" cy="6350"/>
            <wp:effectExtent l="0" t="0" r="0" b="0"/>
            <wp:wrapNone/>
            <wp:docPr id="353" name="image10.png"/>
            <wp:cNvGraphicFramePr>
              <a:graphicFrameLocks noChangeAspect="1"/>
            </wp:cNvGraphicFramePr>
            <a:graphic>
              <a:graphicData uri="http://schemas.openxmlformats.org/drawingml/2006/picture">
                <pic:pic>
                  <pic:nvPicPr>
                    <pic:cNvPr id="354" name="image10.png"/>
                    <pic:cNvPicPr/>
                  </pic:nvPicPr>
                  <pic:blipFill>
                    <a:blip r:embed="rId31"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902720">
            <wp:simplePos x="0" y="0"/>
            <wp:positionH relativeFrom="page">
              <wp:posOffset>2592374</wp:posOffset>
            </wp:positionH>
            <wp:positionV relativeFrom="paragraph">
              <wp:posOffset>40814</wp:posOffset>
            </wp:positionV>
            <wp:extent cx="55029" cy="6350"/>
            <wp:effectExtent l="0" t="0" r="0" b="0"/>
            <wp:wrapNone/>
            <wp:docPr id="355" name="image13.png"/>
            <wp:cNvGraphicFramePr>
              <a:graphicFrameLocks noChangeAspect="1"/>
            </wp:cNvGraphicFramePr>
            <a:graphic>
              <a:graphicData uri="http://schemas.openxmlformats.org/drawingml/2006/picture">
                <pic:pic>
                  <pic:nvPicPr>
                    <pic:cNvPr id="356" name="image13.png"/>
                    <pic:cNvPicPr/>
                  </pic:nvPicPr>
                  <pic:blipFill>
                    <a:blip r:embed="rId34" cstate="print"/>
                    <a:stretch>
                      <a:fillRect/>
                    </a:stretch>
                  </pic:blipFill>
                  <pic:spPr>
                    <a:xfrm>
                      <a:off x="0" y="0"/>
                      <a:ext cx="55029" cy="6350"/>
                    </a:xfrm>
                    <a:prstGeom prst="rect">
                      <a:avLst/>
                    </a:prstGeom>
                  </pic:spPr>
                </pic:pic>
              </a:graphicData>
            </a:graphic>
          </wp:anchor>
        </w:drawing>
      </w:r>
      <w:r>
        <w:rPr>
          <w:w w:val="120"/>
          <w:sz w:val="12"/>
        </w:rPr>
        <w:t>35</w:t>
      </w:r>
    </w:p>
    <w:p>
      <w:pPr>
        <w:pStyle w:val="BodyText"/>
        <w:spacing w:before="2"/>
        <w:rPr>
          <w:sz w:val="13"/>
        </w:rPr>
      </w:pPr>
    </w:p>
    <w:p>
      <w:pPr>
        <w:spacing w:before="0"/>
        <w:ind w:left="3577" w:right="0" w:firstLine="0"/>
        <w:jc w:val="left"/>
        <w:rPr>
          <w:sz w:val="12"/>
        </w:rPr>
      </w:pPr>
      <w:r>
        <w:rPr/>
        <w:drawing>
          <wp:anchor distT="0" distB="0" distL="0" distR="0" allowOverlap="1" layoutInCell="1" locked="0" behindDoc="0" simplePos="0" relativeHeight="15900160">
            <wp:simplePos x="0" y="0"/>
            <wp:positionH relativeFrom="page">
              <wp:posOffset>556133</wp:posOffset>
            </wp:positionH>
            <wp:positionV relativeFrom="paragraph">
              <wp:posOffset>46446</wp:posOffset>
            </wp:positionV>
            <wp:extent cx="55029" cy="6350"/>
            <wp:effectExtent l="0" t="0" r="0" b="0"/>
            <wp:wrapNone/>
            <wp:docPr id="357" name="image12.png"/>
            <wp:cNvGraphicFramePr>
              <a:graphicFrameLocks noChangeAspect="1"/>
            </wp:cNvGraphicFramePr>
            <a:graphic>
              <a:graphicData uri="http://schemas.openxmlformats.org/drawingml/2006/picture">
                <pic:pic>
                  <pic:nvPicPr>
                    <pic:cNvPr id="358" name="image12.png"/>
                    <pic:cNvPicPr/>
                  </pic:nvPicPr>
                  <pic:blipFill>
                    <a:blip r:embed="rId33"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905792">
            <wp:simplePos x="0" y="0"/>
            <wp:positionH relativeFrom="page">
              <wp:posOffset>2592374</wp:posOffset>
            </wp:positionH>
            <wp:positionV relativeFrom="paragraph">
              <wp:posOffset>48439</wp:posOffset>
            </wp:positionV>
            <wp:extent cx="55029" cy="6350"/>
            <wp:effectExtent l="0" t="0" r="0" b="0"/>
            <wp:wrapNone/>
            <wp:docPr id="359" name="image8.png"/>
            <wp:cNvGraphicFramePr>
              <a:graphicFrameLocks noChangeAspect="1"/>
            </wp:cNvGraphicFramePr>
            <a:graphic>
              <a:graphicData uri="http://schemas.openxmlformats.org/drawingml/2006/picture">
                <pic:pic>
                  <pic:nvPicPr>
                    <pic:cNvPr id="360"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20"/>
          <w:sz w:val="12"/>
        </w:rPr>
        <w:t>30</w:t>
      </w:r>
    </w:p>
    <w:p>
      <w:pPr>
        <w:pStyle w:val="BodyText"/>
        <w:rPr>
          <w:sz w:val="13"/>
        </w:rPr>
      </w:pPr>
    </w:p>
    <w:p>
      <w:pPr>
        <w:spacing w:before="0"/>
        <w:ind w:left="3577" w:right="0" w:firstLine="0"/>
        <w:jc w:val="left"/>
        <w:rPr>
          <w:sz w:val="12"/>
        </w:rPr>
      </w:pPr>
      <w:r>
        <w:rPr/>
        <w:drawing>
          <wp:anchor distT="0" distB="0" distL="0" distR="0" allowOverlap="1" layoutInCell="1" locked="0" behindDoc="0" simplePos="0" relativeHeight="15897088">
            <wp:simplePos x="0" y="0"/>
            <wp:positionH relativeFrom="page">
              <wp:posOffset>556120</wp:posOffset>
            </wp:positionH>
            <wp:positionV relativeFrom="paragraph">
              <wp:posOffset>47312</wp:posOffset>
            </wp:positionV>
            <wp:extent cx="55041" cy="6350"/>
            <wp:effectExtent l="0" t="0" r="0" b="0"/>
            <wp:wrapNone/>
            <wp:docPr id="361" name="image10.png"/>
            <wp:cNvGraphicFramePr>
              <a:graphicFrameLocks noChangeAspect="1"/>
            </wp:cNvGraphicFramePr>
            <a:graphic>
              <a:graphicData uri="http://schemas.openxmlformats.org/drawingml/2006/picture">
                <pic:pic>
                  <pic:nvPicPr>
                    <pic:cNvPr id="362" name="image10.png"/>
                    <pic:cNvPicPr/>
                  </pic:nvPicPr>
                  <pic:blipFill>
                    <a:blip r:embed="rId31"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903232">
            <wp:simplePos x="0" y="0"/>
            <wp:positionH relativeFrom="page">
              <wp:posOffset>2592374</wp:posOffset>
            </wp:positionH>
            <wp:positionV relativeFrom="paragraph">
              <wp:posOffset>49318</wp:posOffset>
            </wp:positionV>
            <wp:extent cx="55029" cy="6350"/>
            <wp:effectExtent l="0" t="0" r="0" b="0"/>
            <wp:wrapNone/>
            <wp:docPr id="363" name="image13.png"/>
            <wp:cNvGraphicFramePr>
              <a:graphicFrameLocks noChangeAspect="1"/>
            </wp:cNvGraphicFramePr>
            <a:graphic>
              <a:graphicData uri="http://schemas.openxmlformats.org/drawingml/2006/picture">
                <pic:pic>
                  <pic:nvPicPr>
                    <pic:cNvPr id="364" name="image13.png"/>
                    <pic:cNvPicPr/>
                  </pic:nvPicPr>
                  <pic:blipFill>
                    <a:blip r:embed="rId34" cstate="print"/>
                    <a:stretch>
                      <a:fillRect/>
                    </a:stretch>
                  </pic:blipFill>
                  <pic:spPr>
                    <a:xfrm>
                      <a:off x="0" y="0"/>
                      <a:ext cx="55029" cy="6350"/>
                    </a:xfrm>
                    <a:prstGeom prst="rect">
                      <a:avLst/>
                    </a:prstGeom>
                  </pic:spPr>
                </pic:pic>
              </a:graphicData>
            </a:graphic>
          </wp:anchor>
        </w:drawing>
      </w:r>
      <w:r>
        <w:rPr>
          <w:w w:val="120"/>
          <w:sz w:val="12"/>
        </w:rPr>
        <w:t>25</w:t>
      </w:r>
    </w:p>
    <w:p>
      <w:pPr>
        <w:pStyle w:val="BodyText"/>
        <w:spacing w:before="3"/>
        <w:rPr>
          <w:sz w:val="13"/>
        </w:rPr>
      </w:pPr>
    </w:p>
    <w:p>
      <w:pPr>
        <w:spacing w:before="0"/>
        <w:ind w:left="3577" w:right="0" w:firstLine="0"/>
        <w:jc w:val="left"/>
        <w:rPr>
          <w:sz w:val="12"/>
        </w:rPr>
      </w:pPr>
      <w:r>
        <w:rPr/>
        <w:drawing>
          <wp:anchor distT="0" distB="0" distL="0" distR="0" allowOverlap="1" layoutInCell="1" locked="0" behindDoc="0" simplePos="0" relativeHeight="15900672">
            <wp:simplePos x="0" y="0"/>
            <wp:positionH relativeFrom="page">
              <wp:posOffset>556120</wp:posOffset>
            </wp:positionH>
            <wp:positionV relativeFrom="paragraph">
              <wp:posOffset>42420</wp:posOffset>
            </wp:positionV>
            <wp:extent cx="55041" cy="6350"/>
            <wp:effectExtent l="0" t="0" r="0" b="0"/>
            <wp:wrapNone/>
            <wp:docPr id="365" name="image10.png"/>
            <wp:cNvGraphicFramePr>
              <a:graphicFrameLocks noChangeAspect="1"/>
            </wp:cNvGraphicFramePr>
            <a:graphic>
              <a:graphicData uri="http://schemas.openxmlformats.org/drawingml/2006/picture">
                <pic:pic>
                  <pic:nvPicPr>
                    <pic:cNvPr id="366" name="image10.png"/>
                    <pic:cNvPicPr/>
                  </pic:nvPicPr>
                  <pic:blipFill>
                    <a:blip r:embed="rId31"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906304">
            <wp:simplePos x="0" y="0"/>
            <wp:positionH relativeFrom="page">
              <wp:posOffset>2592362</wp:posOffset>
            </wp:positionH>
            <wp:positionV relativeFrom="paragraph">
              <wp:posOffset>44414</wp:posOffset>
            </wp:positionV>
            <wp:extent cx="55041" cy="6350"/>
            <wp:effectExtent l="0" t="0" r="0" b="0"/>
            <wp:wrapNone/>
            <wp:docPr id="367" name="image8.png"/>
            <wp:cNvGraphicFramePr>
              <a:graphicFrameLocks noChangeAspect="1"/>
            </wp:cNvGraphicFramePr>
            <a:graphic>
              <a:graphicData uri="http://schemas.openxmlformats.org/drawingml/2006/picture">
                <pic:pic>
                  <pic:nvPicPr>
                    <pic:cNvPr id="368"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0"/>
          <w:sz w:val="12"/>
        </w:rPr>
        <w:t>20</w:t>
      </w:r>
    </w:p>
    <w:p>
      <w:pPr>
        <w:pStyle w:val="BodyText"/>
        <w:rPr>
          <w:sz w:val="13"/>
        </w:rPr>
      </w:pPr>
    </w:p>
    <w:p>
      <w:pPr>
        <w:spacing w:before="0"/>
        <w:ind w:left="3577" w:right="0" w:firstLine="0"/>
        <w:jc w:val="left"/>
        <w:rPr>
          <w:sz w:val="12"/>
        </w:rPr>
      </w:pPr>
      <w:r>
        <w:rPr/>
        <w:drawing>
          <wp:anchor distT="0" distB="0" distL="0" distR="0" allowOverlap="1" layoutInCell="1" locked="0" behindDoc="0" simplePos="0" relativeHeight="15897600">
            <wp:simplePos x="0" y="0"/>
            <wp:positionH relativeFrom="page">
              <wp:posOffset>556120</wp:posOffset>
            </wp:positionH>
            <wp:positionV relativeFrom="paragraph">
              <wp:posOffset>43298</wp:posOffset>
            </wp:positionV>
            <wp:extent cx="55041" cy="6350"/>
            <wp:effectExtent l="0" t="0" r="0" b="0"/>
            <wp:wrapNone/>
            <wp:docPr id="369" name="image10.png"/>
            <wp:cNvGraphicFramePr>
              <a:graphicFrameLocks noChangeAspect="1"/>
            </wp:cNvGraphicFramePr>
            <a:graphic>
              <a:graphicData uri="http://schemas.openxmlformats.org/drawingml/2006/picture">
                <pic:pic>
                  <pic:nvPicPr>
                    <pic:cNvPr id="370" name="image10.png"/>
                    <pic:cNvPicPr/>
                  </pic:nvPicPr>
                  <pic:blipFill>
                    <a:blip r:embed="rId31"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903744">
            <wp:simplePos x="0" y="0"/>
            <wp:positionH relativeFrom="page">
              <wp:posOffset>2592374</wp:posOffset>
            </wp:positionH>
            <wp:positionV relativeFrom="paragraph">
              <wp:posOffset>45292</wp:posOffset>
            </wp:positionV>
            <wp:extent cx="55029" cy="6350"/>
            <wp:effectExtent l="0" t="0" r="0" b="0"/>
            <wp:wrapNone/>
            <wp:docPr id="371" name="image8.png"/>
            <wp:cNvGraphicFramePr>
              <a:graphicFrameLocks noChangeAspect="1"/>
            </wp:cNvGraphicFramePr>
            <a:graphic>
              <a:graphicData uri="http://schemas.openxmlformats.org/drawingml/2006/picture">
                <pic:pic>
                  <pic:nvPicPr>
                    <pic:cNvPr id="372"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20"/>
          <w:sz w:val="12"/>
        </w:rPr>
        <w:t>15</w:t>
      </w:r>
    </w:p>
    <w:p>
      <w:pPr>
        <w:pStyle w:val="BodyText"/>
        <w:spacing w:before="10"/>
        <w:rPr>
          <w:sz w:val="11"/>
        </w:rPr>
      </w:pPr>
    </w:p>
    <w:p>
      <w:pPr>
        <w:spacing w:before="0"/>
        <w:ind w:left="3577" w:right="0" w:firstLine="0"/>
        <w:jc w:val="left"/>
        <w:rPr>
          <w:sz w:val="12"/>
        </w:rPr>
      </w:pPr>
      <w:r>
        <w:rPr/>
        <w:drawing>
          <wp:anchor distT="0" distB="0" distL="0" distR="0" allowOverlap="1" layoutInCell="1" locked="0" behindDoc="0" simplePos="0" relativeHeight="15901184">
            <wp:simplePos x="0" y="0"/>
            <wp:positionH relativeFrom="page">
              <wp:posOffset>556133</wp:posOffset>
            </wp:positionH>
            <wp:positionV relativeFrom="paragraph">
              <wp:posOffset>47284</wp:posOffset>
            </wp:positionV>
            <wp:extent cx="55029" cy="6350"/>
            <wp:effectExtent l="0" t="0" r="0" b="0"/>
            <wp:wrapNone/>
            <wp:docPr id="373" name="image10.png"/>
            <wp:cNvGraphicFramePr>
              <a:graphicFrameLocks noChangeAspect="1"/>
            </wp:cNvGraphicFramePr>
            <a:graphic>
              <a:graphicData uri="http://schemas.openxmlformats.org/drawingml/2006/picture">
                <pic:pic>
                  <pic:nvPicPr>
                    <pic:cNvPr id="374" name="image10.png"/>
                    <pic:cNvPicPr/>
                  </pic:nvPicPr>
                  <pic:blipFill>
                    <a:blip r:embed="rId3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906816">
            <wp:simplePos x="0" y="0"/>
            <wp:positionH relativeFrom="page">
              <wp:posOffset>2592374</wp:posOffset>
            </wp:positionH>
            <wp:positionV relativeFrom="paragraph">
              <wp:posOffset>49278</wp:posOffset>
            </wp:positionV>
            <wp:extent cx="55029" cy="6350"/>
            <wp:effectExtent l="0" t="0" r="0" b="0"/>
            <wp:wrapNone/>
            <wp:docPr id="375" name="image8.png"/>
            <wp:cNvGraphicFramePr>
              <a:graphicFrameLocks noChangeAspect="1"/>
            </wp:cNvGraphicFramePr>
            <a:graphic>
              <a:graphicData uri="http://schemas.openxmlformats.org/drawingml/2006/picture">
                <pic:pic>
                  <pic:nvPicPr>
                    <pic:cNvPr id="376"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20"/>
          <w:sz w:val="12"/>
        </w:rPr>
        <w:t>10</w:t>
      </w:r>
    </w:p>
    <w:p>
      <w:pPr>
        <w:pStyle w:val="BodyText"/>
        <w:rPr>
          <w:sz w:val="13"/>
        </w:rPr>
      </w:pPr>
    </w:p>
    <w:p>
      <w:pPr>
        <w:spacing w:line="125" w:lineRule="exact" w:before="0"/>
        <w:ind w:left="3650" w:right="0" w:firstLine="0"/>
        <w:jc w:val="left"/>
        <w:rPr>
          <w:sz w:val="12"/>
        </w:rPr>
      </w:pPr>
      <w:r>
        <w:rPr/>
        <w:drawing>
          <wp:anchor distT="0" distB="0" distL="0" distR="0" allowOverlap="1" layoutInCell="1" locked="0" behindDoc="0" simplePos="0" relativeHeight="15898112">
            <wp:simplePos x="0" y="0"/>
            <wp:positionH relativeFrom="page">
              <wp:posOffset>556120</wp:posOffset>
            </wp:positionH>
            <wp:positionV relativeFrom="paragraph">
              <wp:posOffset>48144</wp:posOffset>
            </wp:positionV>
            <wp:extent cx="55041" cy="6350"/>
            <wp:effectExtent l="0" t="0" r="0" b="0"/>
            <wp:wrapNone/>
            <wp:docPr id="377" name="image10.png"/>
            <wp:cNvGraphicFramePr>
              <a:graphicFrameLocks noChangeAspect="1"/>
            </wp:cNvGraphicFramePr>
            <a:graphic>
              <a:graphicData uri="http://schemas.openxmlformats.org/drawingml/2006/picture">
                <pic:pic>
                  <pic:nvPicPr>
                    <pic:cNvPr id="378" name="image10.png"/>
                    <pic:cNvPicPr/>
                  </pic:nvPicPr>
                  <pic:blipFill>
                    <a:blip r:embed="rId31"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904256">
            <wp:simplePos x="0" y="0"/>
            <wp:positionH relativeFrom="page">
              <wp:posOffset>2592374</wp:posOffset>
            </wp:positionH>
            <wp:positionV relativeFrom="paragraph">
              <wp:posOffset>50150</wp:posOffset>
            </wp:positionV>
            <wp:extent cx="55029" cy="6350"/>
            <wp:effectExtent l="0" t="0" r="0" b="0"/>
            <wp:wrapNone/>
            <wp:docPr id="379" name="image8.png"/>
            <wp:cNvGraphicFramePr>
              <a:graphicFrameLocks noChangeAspect="1"/>
            </wp:cNvGraphicFramePr>
            <a:graphic>
              <a:graphicData uri="http://schemas.openxmlformats.org/drawingml/2006/picture">
                <pic:pic>
                  <pic:nvPicPr>
                    <pic:cNvPr id="380"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21"/>
          <w:sz w:val="12"/>
        </w:rPr>
        <w:t>5</w:t>
      </w:r>
    </w:p>
    <w:p>
      <w:pPr>
        <w:spacing w:line="168" w:lineRule="exact" w:before="0"/>
        <w:ind w:left="3482" w:right="0" w:firstLine="0"/>
        <w:jc w:val="left"/>
        <w:rPr>
          <w:sz w:val="16"/>
        </w:rPr>
      </w:pPr>
      <w:r>
        <w:rPr>
          <w:w w:val="107"/>
          <w:sz w:val="16"/>
        </w:rPr>
        <w:t>+</w:t>
      </w:r>
    </w:p>
    <w:p>
      <w:pPr>
        <w:spacing w:line="113" w:lineRule="exact" w:before="0"/>
        <w:ind w:left="3650" w:right="0" w:firstLine="0"/>
        <w:jc w:val="left"/>
        <w:rPr>
          <w:sz w:val="12"/>
        </w:rPr>
      </w:pPr>
      <w:r>
        <w:rPr/>
        <w:drawing>
          <wp:anchor distT="0" distB="0" distL="0" distR="0" allowOverlap="1" layoutInCell="1" locked="0" behindDoc="0" simplePos="0" relativeHeight="15901696">
            <wp:simplePos x="0" y="0"/>
            <wp:positionH relativeFrom="page">
              <wp:posOffset>556133</wp:posOffset>
            </wp:positionH>
            <wp:positionV relativeFrom="paragraph">
              <wp:posOffset>37669</wp:posOffset>
            </wp:positionV>
            <wp:extent cx="55029" cy="6350"/>
            <wp:effectExtent l="0" t="0" r="0" b="0"/>
            <wp:wrapNone/>
            <wp:docPr id="381" name="image10.png"/>
            <wp:cNvGraphicFramePr>
              <a:graphicFrameLocks noChangeAspect="1"/>
            </wp:cNvGraphicFramePr>
            <a:graphic>
              <a:graphicData uri="http://schemas.openxmlformats.org/drawingml/2006/picture">
                <pic:pic>
                  <pic:nvPicPr>
                    <pic:cNvPr id="382" name="image10.png"/>
                    <pic:cNvPicPr/>
                  </pic:nvPicPr>
                  <pic:blipFill>
                    <a:blip r:embed="rId3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907328">
            <wp:simplePos x="0" y="0"/>
            <wp:positionH relativeFrom="page">
              <wp:posOffset>2592374</wp:posOffset>
            </wp:positionH>
            <wp:positionV relativeFrom="paragraph">
              <wp:posOffset>39676</wp:posOffset>
            </wp:positionV>
            <wp:extent cx="55029" cy="6350"/>
            <wp:effectExtent l="0" t="0" r="0" b="0"/>
            <wp:wrapNone/>
            <wp:docPr id="383" name="image13.png"/>
            <wp:cNvGraphicFramePr>
              <a:graphicFrameLocks noChangeAspect="1"/>
            </wp:cNvGraphicFramePr>
            <a:graphic>
              <a:graphicData uri="http://schemas.openxmlformats.org/drawingml/2006/picture">
                <pic:pic>
                  <pic:nvPicPr>
                    <pic:cNvPr id="384" name="image13.png"/>
                    <pic:cNvPicPr/>
                  </pic:nvPicPr>
                  <pic:blipFill>
                    <a:blip r:embed="rId34" cstate="print"/>
                    <a:stretch>
                      <a:fillRect/>
                    </a:stretch>
                  </pic:blipFill>
                  <pic:spPr>
                    <a:xfrm>
                      <a:off x="0" y="0"/>
                      <a:ext cx="55029" cy="6350"/>
                    </a:xfrm>
                    <a:prstGeom prst="rect">
                      <a:avLst/>
                    </a:prstGeom>
                  </pic:spPr>
                </pic:pic>
              </a:graphicData>
            </a:graphic>
          </wp:anchor>
        </w:drawing>
      </w:r>
      <w:r>
        <w:rPr>
          <w:w w:val="121"/>
          <w:sz w:val="12"/>
        </w:rPr>
        <w:t>0</w:t>
      </w:r>
    </w:p>
    <w:p>
      <w:pPr>
        <w:spacing w:line="162" w:lineRule="exact" w:before="0"/>
        <w:ind w:left="3486" w:right="0" w:firstLine="0"/>
        <w:jc w:val="left"/>
        <w:rPr>
          <w:sz w:val="16"/>
        </w:rPr>
      </w:pPr>
      <w:r>
        <w:rPr>
          <w:w w:val="117"/>
          <w:sz w:val="16"/>
        </w:rPr>
        <w:t>–</w:t>
      </w:r>
    </w:p>
    <w:p>
      <w:pPr>
        <w:spacing w:before="9"/>
        <w:ind w:left="3650" w:right="0" w:firstLine="0"/>
        <w:jc w:val="left"/>
        <w:rPr>
          <w:sz w:val="12"/>
        </w:rPr>
      </w:pPr>
      <w:r>
        <w:rPr/>
        <w:drawing>
          <wp:anchor distT="0" distB="0" distL="0" distR="0" allowOverlap="1" layoutInCell="1" locked="0" behindDoc="0" simplePos="0" relativeHeight="15898624">
            <wp:simplePos x="0" y="0"/>
            <wp:positionH relativeFrom="page">
              <wp:posOffset>556120</wp:posOffset>
            </wp:positionH>
            <wp:positionV relativeFrom="paragraph">
              <wp:posOffset>46201</wp:posOffset>
            </wp:positionV>
            <wp:extent cx="55041" cy="6350"/>
            <wp:effectExtent l="0" t="0" r="0" b="0"/>
            <wp:wrapNone/>
            <wp:docPr id="385" name="image10.png"/>
            <wp:cNvGraphicFramePr>
              <a:graphicFrameLocks noChangeAspect="1"/>
            </wp:cNvGraphicFramePr>
            <a:graphic>
              <a:graphicData uri="http://schemas.openxmlformats.org/drawingml/2006/picture">
                <pic:pic>
                  <pic:nvPicPr>
                    <pic:cNvPr id="386" name="image10.png"/>
                    <pic:cNvPicPr/>
                  </pic:nvPicPr>
                  <pic:blipFill>
                    <a:blip r:embed="rId31"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904768">
            <wp:simplePos x="0" y="0"/>
            <wp:positionH relativeFrom="page">
              <wp:posOffset>2592374</wp:posOffset>
            </wp:positionH>
            <wp:positionV relativeFrom="paragraph">
              <wp:posOffset>48195</wp:posOffset>
            </wp:positionV>
            <wp:extent cx="55029" cy="6350"/>
            <wp:effectExtent l="0" t="0" r="0" b="0"/>
            <wp:wrapNone/>
            <wp:docPr id="387" name="image8.png"/>
            <wp:cNvGraphicFramePr>
              <a:graphicFrameLocks noChangeAspect="1"/>
            </wp:cNvGraphicFramePr>
            <a:graphic>
              <a:graphicData uri="http://schemas.openxmlformats.org/drawingml/2006/picture">
                <pic:pic>
                  <pic:nvPicPr>
                    <pic:cNvPr id="388"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21"/>
          <w:sz w:val="12"/>
        </w:rPr>
        <w:t>5</w:t>
      </w:r>
    </w:p>
    <w:p>
      <w:pPr>
        <w:pStyle w:val="BodyText"/>
        <w:spacing w:before="3"/>
        <w:rPr>
          <w:sz w:val="13"/>
        </w:rPr>
      </w:pPr>
    </w:p>
    <w:p>
      <w:pPr>
        <w:spacing w:before="0"/>
        <w:ind w:left="3577" w:right="0" w:firstLine="0"/>
        <w:jc w:val="left"/>
        <w:rPr>
          <w:sz w:val="12"/>
        </w:rPr>
      </w:pPr>
      <w:r>
        <w:rPr/>
        <w:drawing>
          <wp:anchor distT="0" distB="0" distL="0" distR="0" allowOverlap="1" layoutInCell="1" locked="0" behindDoc="0" simplePos="0" relativeHeight="15902208">
            <wp:simplePos x="0" y="0"/>
            <wp:positionH relativeFrom="page">
              <wp:posOffset>556133</wp:posOffset>
            </wp:positionH>
            <wp:positionV relativeFrom="paragraph">
              <wp:posOffset>40032</wp:posOffset>
            </wp:positionV>
            <wp:extent cx="55029" cy="6350"/>
            <wp:effectExtent l="0" t="0" r="0" b="0"/>
            <wp:wrapNone/>
            <wp:docPr id="389" name="image10.png"/>
            <wp:cNvGraphicFramePr>
              <a:graphicFrameLocks noChangeAspect="1"/>
            </wp:cNvGraphicFramePr>
            <a:graphic>
              <a:graphicData uri="http://schemas.openxmlformats.org/drawingml/2006/picture">
                <pic:pic>
                  <pic:nvPicPr>
                    <pic:cNvPr id="390" name="image10.png"/>
                    <pic:cNvPicPr/>
                  </pic:nvPicPr>
                  <pic:blipFill>
                    <a:blip r:embed="rId3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907840">
            <wp:simplePos x="0" y="0"/>
            <wp:positionH relativeFrom="page">
              <wp:posOffset>2592374</wp:posOffset>
            </wp:positionH>
            <wp:positionV relativeFrom="paragraph">
              <wp:posOffset>42026</wp:posOffset>
            </wp:positionV>
            <wp:extent cx="55029" cy="6350"/>
            <wp:effectExtent l="0" t="0" r="0" b="0"/>
            <wp:wrapNone/>
            <wp:docPr id="391" name="image8.png"/>
            <wp:cNvGraphicFramePr>
              <a:graphicFrameLocks noChangeAspect="1"/>
            </wp:cNvGraphicFramePr>
            <a:graphic>
              <a:graphicData uri="http://schemas.openxmlformats.org/drawingml/2006/picture">
                <pic:pic>
                  <pic:nvPicPr>
                    <pic:cNvPr id="392"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20"/>
          <w:sz w:val="12"/>
        </w:rPr>
        <w:t>10</w:t>
      </w:r>
    </w:p>
    <w:p>
      <w:pPr>
        <w:pStyle w:val="BodyText"/>
        <w:spacing w:before="2"/>
        <w:rPr>
          <w:sz w:val="13"/>
        </w:rPr>
      </w:pPr>
    </w:p>
    <w:p>
      <w:pPr>
        <w:spacing w:before="0"/>
        <w:ind w:left="3577" w:right="0" w:firstLine="0"/>
        <w:jc w:val="left"/>
        <w:rPr>
          <w:sz w:val="12"/>
        </w:rPr>
      </w:pPr>
      <w:r>
        <w:rPr/>
        <w:drawing>
          <wp:anchor distT="0" distB="0" distL="0" distR="0" allowOverlap="1" layoutInCell="1" locked="0" behindDoc="0" simplePos="0" relativeHeight="15899136">
            <wp:simplePos x="0" y="0"/>
            <wp:positionH relativeFrom="page">
              <wp:posOffset>556120</wp:posOffset>
            </wp:positionH>
            <wp:positionV relativeFrom="paragraph">
              <wp:posOffset>39306</wp:posOffset>
            </wp:positionV>
            <wp:extent cx="55041" cy="6350"/>
            <wp:effectExtent l="0" t="0" r="0" b="0"/>
            <wp:wrapNone/>
            <wp:docPr id="393" name="image10.png"/>
            <wp:cNvGraphicFramePr>
              <a:graphicFrameLocks noChangeAspect="1"/>
            </wp:cNvGraphicFramePr>
            <a:graphic>
              <a:graphicData uri="http://schemas.openxmlformats.org/drawingml/2006/picture">
                <pic:pic>
                  <pic:nvPicPr>
                    <pic:cNvPr id="394" name="image10.png"/>
                    <pic:cNvPicPr/>
                  </pic:nvPicPr>
                  <pic:blipFill>
                    <a:blip r:embed="rId31"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899648">
            <wp:simplePos x="0" y="0"/>
            <wp:positionH relativeFrom="page">
              <wp:posOffset>694359</wp:posOffset>
            </wp:positionH>
            <wp:positionV relativeFrom="paragraph">
              <wp:posOffset>10045</wp:posOffset>
            </wp:positionV>
            <wp:extent cx="1846783" cy="35610"/>
            <wp:effectExtent l="0" t="0" r="0" b="0"/>
            <wp:wrapNone/>
            <wp:docPr id="395" name="image39.png"/>
            <wp:cNvGraphicFramePr>
              <a:graphicFrameLocks noChangeAspect="1"/>
            </wp:cNvGraphicFramePr>
            <a:graphic>
              <a:graphicData uri="http://schemas.openxmlformats.org/drawingml/2006/picture">
                <pic:pic>
                  <pic:nvPicPr>
                    <pic:cNvPr id="396" name="image39.png"/>
                    <pic:cNvPicPr/>
                  </pic:nvPicPr>
                  <pic:blipFill>
                    <a:blip r:embed="rId66" cstate="print"/>
                    <a:stretch>
                      <a:fillRect/>
                    </a:stretch>
                  </pic:blipFill>
                  <pic:spPr>
                    <a:xfrm>
                      <a:off x="0" y="0"/>
                      <a:ext cx="1846783" cy="35610"/>
                    </a:xfrm>
                    <a:prstGeom prst="rect">
                      <a:avLst/>
                    </a:prstGeom>
                  </pic:spPr>
                </pic:pic>
              </a:graphicData>
            </a:graphic>
          </wp:anchor>
        </w:drawing>
      </w:r>
      <w:r>
        <w:rPr/>
        <w:drawing>
          <wp:anchor distT="0" distB="0" distL="0" distR="0" allowOverlap="1" layoutInCell="1" locked="0" behindDoc="0" simplePos="0" relativeHeight="15905280">
            <wp:simplePos x="0" y="0"/>
            <wp:positionH relativeFrom="page">
              <wp:posOffset>2592374</wp:posOffset>
            </wp:positionH>
            <wp:positionV relativeFrom="paragraph">
              <wp:posOffset>41299</wp:posOffset>
            </wp:positionV>
            <wp:extent cx="55029" cy="6350"/>
            <wp:effectExtent l="0" t="0" r="0" b="0"/>
            <wp:wrapNone/>
            <wp:docPr id="397" name="image8.png"/>
            <wp:cNvGraphicFramePr>
              <a:graphicFrameLocks noChangeAspect="1"/>
            </wp:cNvGraphicFramePr>
            <a:graphic>
              <a:graphicData uri="http://schemas.openxmlformats.org/drawingml/2006/picture">
                <pic:pic>
                  <pic:nvPicPr>
                    <pic:cNvPr id="398"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20"/>
          <w:sz w:val="12"/>
        </w:rPr>
        <w:t>15</w:t>
      </w:r>
    </w:p>
    <w:p>
      <w:pPr>
        <w:tabs>
          <w:tab w:pos="1162" w:val="left" w:leader="none"/>
          <w:tab w:pos="2532" w:val="left" w:leader="none"/>
        </w:tabs>
        <w:spacing w:before="15"/>
        <w:ind w:left="417" w:right="0" w:firstLine="0"/>
        <w:jc w:val="left"/>
        <w:rPr>
          <w:sz w:val="12"/>
        </w:rPr>
      </w:pPr>
      <w:r>
        <w:rPr>
          <w:w w:val="120"/>
          <w:sz w:val="12"/>
        </w:rPr>
        <w:t>1984 </w:t>
      </w:r>
      <w:r>
        <w:rPr>
          <w:spacing w:val="34"/>
          <w:w w:val="120"/>
          <w:sz w:val="12"/>
        </w:rPr>
        <w:t> </w:t>
      </w:r>
      <w:r>
        <w:rPr>
          <w:w w:val="120"/>
          <w:sz w:val="12"/>
        </w:rPr>
        <w:t>86</w:t>
        <w:tab/>
        <w:t>88      90   </w:t>
      </w:r>
      <w:r>
        <w:rPr>
          <w:spacing w:val="32"/>
          <w:w w:val="120"/>
          <w:sz w:val="12"/>
        </w:rPr>
        <w:t> </w:t>
      </w:r>
      <w:r>
        <w:rPr>
          <w:w w:val="120"/>
          <w:sz w:val="12"/>
        </w:rPr>
        <w:t>92    </w:t>
      </w:r>
      <w:r>
        <w:rPr>
          <w:spacing w:val="13"/>
          <w:w w:val="120"/>
          <w:sz w:val="12"/>
        </w:rPr>
        <w:t> </w:t>
      </w:r>
      <w:r>
        <w:rPr>
          <w:w w:val="120"/>
          <w:sz w:val="12"/>
        </w:rPr>
        <w:t>94</w:t>
        <w:tab/>
        <w:t>96 98</w:t>
      </w:r>
      <w:r>
        <w:rPr>
          <w:spacing w:val="27"/>
          <w:w w:val="120"/>
          <w:sz w:val="12"/>
        </w:rPr>
        <w:t> </w:t>
      </w:r>
      <w:r>
        <w:rPr>
          <w:w w:val="120"/>
          <w:sz w:val="12"/>
        </w:rPr>
        <w:t>2000</w:t>
      </w:r>
    </w:p>
    <w:p>
      <w:pPr>
        <w:pStyle w:val="BodyText"/>
        <w:spacing w:before="4"/>
        <w:rPr>
          <w:sz w:val="16"/>
        </w:rPr>
      </w:pPr>
    </w:p>
    <w:p>
      <w:pPr>
        <w:spacing w:before="0"/>
        <w:ind w:left="173" w:right="0" w:firstLine="0"/>
        <w:jc w:val="left"/>
        <w:rPr>
          <w:sz w:val="12"/>
        </w:rPr>
      </w:pPr>
      <w:r>
        <w:rPr>
          <w:w w:val="105"/>
          <w:sz w:val="12"/>
        </w:rPr>
        <w:t>Sources: Nationwide Building Society and Halifax plc.</w:t>
      </w:r>
    </w:p>
    <w:p>
      <w:pPr>
        <w:pStyle w:val="BodyText"/>
        <w:spacing w:line="292" w:lineRule="auto"/>
        <w:ind w:left="173" w:right="147"/>
      </w:pPr>
      <w:r>
        <w:rPr/>
        <w:br w:type="column"/>
      </w:r>
      <w:r>
        <w:rPr>
          <w:spacing w:val="-3"/>
          <w:w w:val="110"/>
        </w:rPr>
        <w:t>average </w:t>
      </w:r>
      <w:r>
        <w:rPr>
          <w:w w:val="110"/>
        </w:rPr>
        <w:t>house price changes </w:t>
      </w:r>
      <w:r>
        <w:rPr>
          <w:spacing w:val="-3"/>
          <w:w w:val="110"/>
        </w:rPr>
        <w:t>over </w:t>
      </w:r>
      <w:r>
        <w:rPr>
          <w:w w:val="110"/>
        </w:rPr>
        <w:t>time, given variation in the mix of houses purchased and their location. The </w:t>
      </w:r>
      <w:r>
        <w:rPr>
          <w:spacing w:val="-4"/>
          <w:w w:val="110"/>
        </w:rPr>
        <w:t>rate </w:t>
      </w:r>
      <w:r>
        <w:rPr>
          <w:w w:val="110"/>
        </w:rPr>
        <w:t>of increase</w:t>
      </w:r>
      <w:r>
        <w:rPr>
          <w:spacing w:val="-21"/>
          <w:w w:val="110"/>
        </w:rPr>
        <w:t> </w:t>
      </w:r>
      <w:r>
        <w:rPr>
          <w:w w:val="110"/>
        </w:rPr>
        <w:t>for</w:t>
      </w:r>
      <w:r>
        <w:rPr>
          <w:spacing w:val="-20"/>
          <w:w w:val="110"/>
        </w:rPr>
        <w:t> </w:t>
      </w:r>
      <w:r>
        <w:rPr>
          <w:w w:val="110"/>
        </w:rPr>
        <w:t>the</w:t>
      </w:r>
      <w:r>
        <w:rPr>
          <w:spacing w:val="-20"/>
          <w:w w:val="110"/>
        </w:rPr>
        <w:t> </w:t>
      </w:r>
      <w:r>
        <w:rPr>
          <w:w w:val="110"/>
        </w:rPr>
        <w:t>year</w:t>
      </w:r>
      <w:r>
        <w:rPr>
          <w:spacing w:val="-20"/>
          <w:w w:val="110"/>
        </w:rPr>
        <w:t> </w:t>
      </w:r>
      <w:r>
        <w:rPr>
          <w:spacing w:val="-4"/>
          <w:w w:val="110"/>
        </w:rPr>
        <w:t>to</w:t>
      </w:r>
      <w:r>
        <w:rPr>
          <w:spacing w:val="-20"/>
          <w:w w:val="110"/>
        </w:rPr>
        <w:t> </w:t>
      </w:r>
      <w:r>
        <w:rPr>
          <w:w w:val="110"/>
        </w:rPr>
        <w:t>January</w:t>
      </w:r>
      <w:r>
        <w:rPr>
          <w:spacing w:val="-20"/>
          <w:w w:val="110"/>
        </w:rPr>
        <w:t> </w:t>
      </w:r>
      <w:r>
        <w:rPr>
          <w:spacing w:val="-3"/>
          <w:w w:val="110"/>
        </w:rPr>
        <w:t>was</w:t>
      </w:r>
      <w:r>
        <w:rPr>
          <w:spacing w:val="-20"/>
          <w:w w:val="110"/>
        </w:rPr>
        <w:t> </w:t>
      </w:r>
      <w:r>
        <w:rPr>
          <w:w w:val="110"/>
        </w:rPr>
        <w:t>0.9%</w:t>
      </w:r>
      <w:r>
        <w:rPr>
          <w:spacing w:val="-20"/>
          <w:w w:val="110"/>
        </w:rPr>
        <w:t> </w:t>
      </w:r>
      <w:r>
        <w:rPr>
          <w:w w:val="110"/>
        </w:rPr>
        <w:t>on</w:t>
      </w:r>
      <w:r>
        <w:rPr>
          <w:spacing w:val="-20"/>
          <w:w w:val="110"/>
        </w:rPr>
        <w:t> </w:t>
      </w:r>
      <w:r>
        <w:rPr>
          <w:w w:val="110"/>
        </w:rPr>
        <w:t>the</w:t>
      </w:r>
      <w:r>
        <w:rPr>
          <w:spacing w:val="-20"/>
          <w:w w:val="110"/>
        </w:rPr>
        <w:t> </w:t>
      </w:r>
      <w:r>
        <w:rPr>
          <w:w w:val="110"/>
        </w:rPr>
        <w:t>Halifax</w:t>
      </w:r>
      <w:r>
        <w:rPr>
          <w:spacing w:val="-20"/>
          <w:w w:val="110"/>
        </w:rPr>
        <w:t> </w:t>
      </w:r>
      <w:r>
        <w:rPr>
          <w:w w:val="110"/>
        </w:rPr>
        <w:t>index and </w:t>
      </w:r>
      <w:r>
        <w:rPr>
          <w:spacing w:val="-10"/>
          <w:w w:val="110"/>
        </w:rPr>
        <w:t>11.2% </w:t>
      </w:r>
      <w:r>
        <w:rPr>
          <w:w w:val="110"/>
        </w:rPr>
        <w:t>on the Nationwide index, the widest divergence in the growth </w:t>
      </w:r>
      <w:r>
        <w:rPr>
          <w:spacing w:val="-4"/>
          <w:w w:val="110"/>
        </w:rPr>
        <w:t>rates </w:t>
      </w:r>
      <w:r>
        <w:rPr>
          <w:w w:val="110"/>
        </w:rPr>
        <w:t>of the </w:t>
      </w:r>
      <w:r>
        <w:rPr>
          <w:spacing w:val="-5"/>
          <w:w w:val="110"/>
        </w:rPr>
        <w:t>two </w:t>
      </w:r>
      <w:r>
        <w:rPr>
          <w:w w:val="110"/>
        </w:rPr>
        <w:t>series since the monthly Nationwide index began in </w:t>
      </w:r>
      <w:r>
        <w:rPr>
          <w:spacing w:val="-16"/>
          <w:w w:val="110"/>
        </w:rPr>
        <w:t>1991. </w:t>
      </w:r>
      <w:r>
        <w:rPr>
          <w:w w:val="110"/>
        </w:rPr>
        <w:t>Combining the information from these indices with recent trends in the </w:t>
      </w:r>
      <w:r>
        <w:rPr>
          <w:spacing w:val="-3"/>
          <w:w w:val="110"/>
        </w:rPr>
        <w:t>Royal </w:t>
      </w:r>
      <w:r>
        <w:rPr>
          <w:w w:val="110"/>
        </w:rPr>
        <w:t>Institution of</w:t>
      </w:r>
      <w:r>
        <w:rPr>
          <w:spacing w:val="-21"/>
          <w:w w:val="110"/>
        </w:rPr>
        <w:t> </w:t>
      </w:r>
      <w:r>
        <w:rPr>
          <w:w w:val="110"/>
        </w:rPr>
        <w:t>Chartered</w:t>
      </w:r>
      <w:r>
        <w:rPr>
          <w:spacing w:val="-21"/>
          <w:w w:val="110"/>
        </w:rPr>
        <w:t> </w:t>
      </w:r>
      <w:r>
        <w:rPr>
          <w:spacing w:val="-3"/>
          <w:w w:val="110"/>
        </w:rPr>
        <w:t>Surveyors’</w:t>
      </w:r>
      <w:r>
        <w:rPr>
          <w:spacing w:val="-21"/>
          <w:w w:val="110"/>
        </w:rPr>
        <w:t> </w:t>
      </w:r>
      <w:r>
        <w:rPr>
          <w:spacing w:val="-3"/>
          <w:w w:val="110"/>
        </w:rPr>
        <w:t>survey</w:t>
      </w:r>
      <w:r>
        <w:rPr>
          <w:spacing w:val="-21"/>
          <w:w w:val="110"/>
        </w:rPr>
        <w:t> </w:t>
      </w:r>
      <w:r>
        <w:rPr>
          <w:w w:val="110"/>
        </w:rPr>
        <w:t>suggests</w:t>
      </w:r>
      <w:r>
        <w:rPr>
          <w:spacing w:val="-21"/>
          <w:w w:val="110"/>
        </w:rPr>
        <w:t> </w:t>
      </w:r>
      <w:r>
        <w:rPr>
          <w:w w:val="110"/>
        </w:rPr>
        <w:t>that</w:t>
      </w:r>
      <w:r>
        <w:rPr>
          <w:spacing w:val="-21"/>
          <w:w w:val="110"/>
        </w:rPr>
        <w:t> </w:t>
      </w:r>
      <w:r>
        <w:rPr>
          <w:w w:val="110"/>
        </w:rPr>
        <w:t>house</w:t>
      </w:r>
      <w:r>
        <w:rPr>
          <w:spacing w:val="-20"/>
          <w:w w:val="110"/>
        </w:rPr>
        <w:t> </w:t>
      </w:r>
      <w:r>
        <w:rPr>
          <w:w w:val="110"/>
        </w:rPr>
        <w:t>price</w:t>
      </w:r>
      <w:r>
        <w:rPr>
          <w:spacing w:val="-21"/>
          <w:w w:val="110"/>
        </w:rPr>
        <w:t> </w:t>
      </w:r>
      <w:r>
        <w:rPr>
          <w:w w:val="110"/>
        </w:rPr>
        <w:t>rises </w:t>
      </w:r>
      <w:r>
        <w:rPr>
          <w:spacing w:val="-3"/>
          <w:w w:val="110"/>
        </w:rPr>
        <w:t>have slowed over </w:t>
      </w:r>
      <w:r>
        <w:rPr>
          <w:w w:val="110"/>
        </w:rPr>
        <w:t>the past year </w:t>
      </w:r>
      <w:r>
        <w:rPr>
          <w:spacing w:val="-4"/>
          <w:w w:val="110"/>
        </w:rPr>
        <w:t>to </w:t>
      </w:r>
      <w:r>
        <w:rPr>
          <w:w w:val="110"/>
        </w:rPr>
        <w:t>a steadier pace. Particulars delivered,</w:t>
      </w:r>
      <w:r>
        <w:rPr>
          <w:spacing w:val="-27"/>
          <w:w w:val="110"/>
        </w:rPr>
        <w:t> </w:t>
      </w:r>
      <w:r>
        <w:rPr>
          <w:w w:val="110"/>
        </w:rPr>
        <w:t>a</w:t>
      </w:r>
      <w:r>
        <w:rPr>
          <w:spacing w:val="-27"/>
          <w:w w:val="110"/>
        </w:rPr>
        <w:t> </w:t>
      </w:r>
      <w:r>
        <w:rPr>
          <w:w w:val="110"/>
        </w:rPr>
        <w:t>measure</w:t>
      </w:r>
      <w:r>
        <w:rPr>
          <w:spacing w:val="-27"/>
          <w:w w:val="110"/>
        </w:rPr>
        <w:t> </w:t>
      </w:r>
      <w:r>
        <w:rPr>
          <w:w w:val="110"/>
        </w:rPr>
        <w:t>of</w:t>
      </w:r>
      <w:r>
        <w:rPr>
          <w:spacing w:val="-27"/>
          <w:w w:val="110"/>
        </w:rPr>
        <w:t> </w:t>
      </w:r>
      <w:r>
        <w:rPr>
          <w:w w:val="110"/>
        </w:rPr>
        <w:t>completed</w:t>
      </w:r>
      <w:r>
        <w:rPr>
          <w:spacing w:val="-27"/>
          <w:w w:val="110"/>
        </w:rPr>
        <w:t> </w:t>
      </w:r>
      <w:r>
        <w:rPr>
          <w:w w:val="110"/>
        </w:rPr>
        <w:t>home</w:t>
      </w:r>
      <w:r>
        <w:rPr>
          <w:spacing w:val="-26"/>
          <w:w w:val="110"/>
        </w:rPr>
        <w:t> </w:t>
      </w:r>
      <w:r>
        <w:rPr>
          <w:w w:val="110"/>
        </w:rPr>
        <w:t>sales,</w:t>
      </w:r>
      <w:r>
        <w:rPr>
          <w:spacing w:val="-27"/>
          <w:w w:val="110"/>
        </w:rPr>
        <w:t> </w:t>
      </w:r>
      <w:r>
        <w:rPr>
          <w:w w:val="110"/>
        </w:rPr>
        <w:t>have</w:t>
      </w:r>
      <w:r>
        <w:rPr>
          <w:spacing w:val="-27"/>
          <w:w w:val="110"/>
        </w:rPr>
        <w:t> </w:t>
      </w:r>
      <w:r>
        <w:rPr>
          <w:w w:val="110"/>
        </w:rPr>
        <w:t>weakened further: in the three months </w:t>
      </w:r>
      <w:r>
        <w:rPr>
          <w:spacing w:val="-4"/>
          <w:w w:val="110"/>
        </w:rPr>
        <w:t>to </w:t>
      </w:r>
      <w:r>
        <w:rPr>
          <w:w w:val="110"/>
        </w:rPr>
        <w:t>December they dropped </w:t>
      </w:r>
      <w:r>
        <w:rPr>
          <w:spacing w:val="-4"/>
          <w:w w:val="110"/>
        </w:rPr>
        <w:t>to </w:t>
      </w:r>
      <w:r>
        <w:rPr>
          <w:w w:val="110"/>
        </w:rPr>
        <w:t>the </w:t>
      </w:r>
      <w:r>
        <w:rPr>
          <w:spacing w:val="-3"/>
          <w:w w:val="110"/>
        </w:rPr>
        <w:t>lowest level </w:t>
      </w:r>
      <w:r>
        <w:rPr>
          <w:w w:val="110"/>
        </w:rPr>
        <w:t>for </w:t>
      </w:r>
      <w:r>
        <w:rPr>
          <w:spacing w:val="-5"/>
          <w:w w:val="110"/>
        </w:rPr>
        <w:t>two </w:t>
      </w:r>
      <w:r>
        <w:rPr>
          <w:spacing w:val="-3"/>
          <w:w w:val="110"/>
        </w:rPr>
        <w:t>years. </w:t>
      </w:r>
      <w:r>
        <w:rPr>
          <w:w w:val="110"/>
        </w:rPr>
        <w:t>But the balance of housebuilders reporting</w:t>
      </w:r>
      <w:r>
        <w:rPr>
          <w:spacing w:val="-20"/>
          <w:w w:val="110"/>
        </w:rPr>
        <w:t> </w:t>
      </w:r>
      <w:r>
        <w:rPr>
          <w:w w:val="110"/>
        </w:rPr>
        <w:t>an</w:t>
      </w:r>
      <w:r>
        <w:rPr>
          <w:spacing w:val="-20"/>
          <w:w w:val="110"/>
        </w:rPr>
        <w:t> </w:t>
      </w:r>
      <w:r>
        <w:rPr>
          <w:w w:val="110"/>
        </w:rPr>
        <w:t>increase</w:t>
      </w:r>
      <w:r>
        <w:rPr>
          <w:spacing w:val="-20"/>
          <w:w w:val="110"/>
        </w:rPr>
        <w:t> </w:t>
      </w:r>
      <w:r>
        <w:rPr>
          <w:w w:val="110"/>
        </w:rPr>
        <w:t>in</w:t>
      </w:r>
      <w:r>
        <w:rPr>
          <w:spacing w:val="-19"/>
          <w:w w:val="110"/>
        </w:rPr>
        <w:t> </w:t>
      </w:r>
      <w:r>
        <w:rPr>
          <w:w w:val="110"/>
        </w:rPr>
        <w:t>net</w:t>
      </w:r>
      <w:r>
        <w:rPr>
          <w:spacing w:val="-20"/>
          <w:w w:val="110"/>
        </w:rPr>
        <w:t> </w:t>
      </w:r>
      <w:r>
        <w:rPr>
          <w:w w:val="110"/>
        </w:rPr>
        <w:t>reservations</w:t>
      </w:r>
      <w:r>
        <w:rPr>
          <w:spacing w:val="-20"/>
          <w:w w:val="110"/>
        </w:rPr>
        <w:t> </w:t>
      </w:r>
      <w:r>
        <w:rPr>
          <w:w w:val="110"/>
        </w:rPr>
        <w:t>of</w:t>
      </w:r>
      <w:r>
        <w:rPr>
          <w:spacing w:val="-19"/>
          <w:w w:val="110"/>
        </w:rPr>
        <w:t> </w:t>
      </w:r>
      <w:r>
        <w:rPr>
          <w:w w:val="110"/>
        </w:rPr>
        <w:t>new</w:t>
      </w:r>
      <w:r>
        <w:rPr>
          <w:spacing w:val="-20"/>
          <w:w w:val="110"/>
        </w:rPr>
        <w:t> </w:t>
      </w:r>
      <w:r>
        <w:rPr>
          <w:w w:val="110"/>
        </w:rPr>
        <w:t>homes</w:t>
      </w:r>
      <w:r>
        <w:rPr>
          <w:spacing w:val="-20"/>
          <w:w w:val="110"/>
        </w:rPr>
        <w:t> </w:t>
      </w:r>
      <w:r>
        <w:rPr>
          <w:w w:val="110"/>
        </w:rPr>
        <w:t>relative </w:t>
      </w:r>
      <w:r>
        <w:rPr>
          <w:spacing w:val="-4"/>
          <w:w w:val="110"/>
        </w:rPr>
        <w:t>to</w:t>
      </w:r>
      <w:r>
        <w:rPr>
          <w:spacing w:val="-20"/>
          <w:w w:val="110"/>
        </w:rPr>
        <w:t> </w:t>
      </w:r>
      <w:r>
        <w:rPr>
          <w:spacing w:val="-4"/>
          <w:w w:val="110"/>
        </w:rPr>
        <w:t>twelve</w:t>
      </w:r>
      <w:r>
        <w:rPr>
          <w:spacing w:val="-19"/>
          <w:w w:val="110"/>
        </w:rPr>
        <w:t> </w:t>
      </w:r>
      <w:r>
        <w:rPr>
          <w:w w:val="110"/>
        </w:rPr>
        <w:t>months</w:t>
      </w:r>
      <w:r>
        <w:rPr>
          <w:spacing w:val="-19"/>
          <w:w w:val="110"/>
        </w:rPr>
        <w:t> </w:t>
      </w:r>
      <w:r>
        <w:rPr>
          <w:w w:val="110"/>
        </w:rPr>
        <w:t>previously</w:t>
      </w:r>
      <w:r>
        <w:rPr>
          <w:spacing w:val="-19"/>
          <w:w w:val="110"/>
        </w:rPr>
        <w:t> </w:t>
      </w:r>
      <w:r>
        <w:rPr>
          <w:w w:val="110"/>
        </w:rPr>
        <w:t>rose</w:t>
      </w:r>
      <w:r>
        <w:rPr>
          <w:spacing w:val="-19"/>
          <w:w w:val="110"/>
        </w:rPr>
        <w:t> </w:t>
      </w:r>
      <w:r>
        <w:rPr>
          <w:spacing w:val="-4"/>
          <w:w w:val="110"/>
        </w:rPr>
        <w:t>to</w:t>
      </w:r>
      <w:r>
        <w:rPr>
          <w:spacing w:val="-19"/>
          <w:w w:val="110"/>
        </w:rPr>
        <w:t> </w:t>
      </w:r>
      <w:r>
        <w:rPr>
          <w:w w:val="110"/>
        </w:rPr>
        <w:t>around</w:t>
      </w:r>
      <w:r>
        <w:rPr>
          <w:spacing w:val="-19"/>
          <w:w w:val="110"/>
        </w:rPr>
        <w:t> </w:t>
      </w:r>
      <w:r>
        <w:rPr>
          <w:w w:val="110"/>
        </w:rPr>
        <w:t>zero</w:t>
      </w:r>
      <w:r>
        <w:rPr>
          <w:spacing w:val="-19"/>
          <w:w w:val="110"/>
        </w:rPr>
        <w:t> </w:t>
      </w:r>
      <w:r>
        <w:rPr>
          <w:w w:val="110"/>
        </w:rPr>
        <w:t>in</w:t>
      </w:r>
      <w:r>
        <w:rPr>
          <w:spacing w:val="-19"/>
          <w:w w:val="110"/>
        </w:rPr>
        <w:t> </w:t>
      </w:r>
      <w:r>
        <w:rPr>
          <w:w w:val="110"/>
        </w:rPr>
        <w:t>November</w:t>
      </w:r>
    </w:p>
    <w:p>
      <w:pPr>
        <w:spacing w:after="0" w:line="292" w:lineRule="auto"/>
        <w:sectPr>
          <w:type w:val="continuous"/>
          <w:pgSz w:w="11900" w:h="16840"/>
          <w:pgMar w:top="1260" w:bottom="280" w:left="640" w:right="640"/>
          <w:cols w:num="2" w:equalWidth="0">
            <w:col w:w="3763" w:space="1157"/>
            <w:col w:w="5700"/>
          </w:cols>
        </w:sectPr>
      </w:pPr>
    </w:p>
    <w:p>
      <w:pPr>
        <w:pStyle w:val="BodyText"/>
        <w:spacing w:before="6"/>
        <w:rPr>
          <w:sz w:val="17"/>
        </w:rPr>
      </w:pPr>
    </w:p>
    <w:p>
      <w:pPr>
        <w:pStyle w:val="Heading3"/>
        <w:spacing w:before="96"/>
        <w:ind w:left="0" w:firstLine="0"/>
        <w:jc w:val="center"/>
        <w:rPr>
          <w:u w:val="none"/>
        </w:rPr>
      </w:pPr>
      <w:bookmarkStart w:name="Analysing UK profit warnings" w:id="29"/>
      <w:bookmarkEnd w:id="29"/>
      <w:r>
        <w:rPr>
          <w:b w:val="0"/>
          <w:u w:val="none"/>
        </w:rPr>
      </w:r>
      <w:bookmarkStart w:name="_bookmark12" w:id="30"/>
      <w:bookmarkEnd w:id="30"/>
      <w:r>
        <w:rPr>
          <w:b w:val="0"/>
          <w:u w:val="none"/>
        </w:rPr>
      </w:r>
      <w:bookmarkStart w:name="_bookmark13" w:id="31"/>
      <w:bookmarkEnd w:id="31"/>
      <w:r>
        <w:rPr>
          <w:b w:val="0"/>
          <w:u w:val="none"/>
        </w:rPr>
      </w:r>
      <w:bookmarkStart w:name="_bookmark14" w:id="32"/>
      <w:bookmarkEnd w:id="32"/>
      <w:r>
        <w:rPr>
          <w:b w:val="0"/>
          <w:u w:val="none"/>
        </w:rPr>
      </w:r>
      <w:r>
        <w:rPr>
          <w:color w:val="89C6DC"/>
          <w:u w:val="none"/>
        </w:rPr>
        <w:t>Analysing UK profit warnings</w:t>
      </w:r>
    </w:p>
    <w:p>
      <w:pPr>
        <w:pStyle w:val="BodyText"/>
        <w:spacing w:before="8"/>
        <w:rPr>
          <w:rFonts w:ascii="Trebuchet MS"/>
          <w:b/>
          <w:sz w:val="26"/>
        </w:rPr>
      </w:pPr>
    </w:p>
    <w:p>
      <w:pPr>
        <w:spacing w:after="0"/>
        <w:rPr>
          <w:rFonts w:ascii="Trebuchet MS"/>
          <w:sz w:val="26"/>
        </w:rPr>
        <w:sectPr>
          <w:headerReference w:type="even" r:id="rId67"/>
          <w:headerReference w:type="default" r:id="rId68"/>
          <w:footerReference w:type="even" r:id="rId69"/>
          <w:footerReference w:type="default" r:id="rId70"/>
          <w:pgSz w:w="11900" w:h="16840"/>
          <w:pgMar w:header="579" w:footer="575" w:top="760" w:bottom="760" w:left="640" w:right="640"/>
          <w:pgNumType w:start="12"/>
        </w:sectPr>
      </w:pPr>
    </w:p>
    <w:p>
      <w:pPr>
        <w:pStyle w:val="Heading5"/>
        <w:spacing w:line="249" w:lineRule="auto" w:before="82"/>
      </w:pPr>
      <w:r>
        <w:rPr>
          <w:w w:val="110"/>
        </w:rPr>
        <w:t>There</w:t>
      </w:r>
      <w:r>
        <w:rPr>
          <w:spacing w:val="-20"/>
          <w:w w:val="110"/>
        </w:rPr>
        <w:t> </w:t>
      </w:r>
      <w:r>
        <w:rPr>
          <w:w w:val="110"/>
        </w:rPr>
        <w:t>has</w:t>
      </w:r>
      <w:r>
        <w:rPr>
          <w:spacing w:val="-19"/>
          <w:w w:val="110"/>
        </w:rPr>
        <w:t> </w:t>
      </w:r>
      <w:r>
        <w:rPr>
          <w:w w:val="110"/>
        </w:rPr>
        <w:t>been</w:t>
      </w:r>
      <w:r>
        <w:rPr>
          <w:spacing w:val="-19"/>
          <w:w w:val="110"/>
        </w:rPr>
        <w:t> </w:t>
      </w:r>
      <w:r>
        <w:rPr>
          <w:w w:val="110"/>
        </w:rPr>
        <w:t>an</w:t>
      </w:r>
      <w:r>
        <w:rPr>
          <w:spacing w:val="-19"/>
          <w:w w:val="110"/>
        </w:rPr>
        <w:t> </w:t>
      </w:r>
      <w:r>
        <w:rPr>
          <w:w w:val="110"/>
        </w:rPr>
        <w:t>increase</w:t>
      </w:r>
      <w:r>
        <w:rPr>
          <w:spacing w:val="-19"/>
          <w:w w:val="110"/>
        </w:rPr>
        <w:t> </w:t>
      </w:r>
      <w:r>
        <w:rPr>
          <w:w w:val="110"/>
        </w:rPr>
        <w:t>in</w:t>
      </w:r>
      <w:r>
        <w:rPr>
          <w:spacing w:val="-20"/>
          <w:w w:val="110"/>
        </w:rPr>
        <w:t> </w:t>
      </w:r>
      <w:r>
        <w:rPr>
          <w:w w:val="110"/>
        </w:rPr>
        <w:t>‘profit</w:t>
      </w:r>
      <w:r>
        <w:rPr>
          <w:spacing w:val="-19"/>
          <w:w w:val="110"/>
        </w:rPr>
        <w:t> </w:t>
      </w:r>
      <w:r>
        <w:rPr>
          <w:w w:val="110"/>
        </w:rPr>
        <w:t>warnings’</w:t>
      </w:r>
      <w:r>
        <w:rPr>
          <w:spacing w:val="-19"/>
          <w:w w:val="110"/>
        </w:rPr>
        <w:t> </w:t>
      </w:r>
      <w:r>
        <w:rPr>
          <w:w w:val="110"/>
        </w:rPr>
        <w:t>in both</w:t>
      </w:r>
      <w:r>
        <w:rPr>
          <w:spacing w:val="-16"/>
          <w:w w:val="110"/>
        </w:rPr>
        <w:t> </w:t>
      </w:r>
      <w:r>
        <w:rPr>
          <w:w w:val="110"/>
        </w:rPr>
        <w:t>the</w:t>
      </w:r>
      <w:r>
        <w:rPr>
          <w:spacing w:val="-15"/>
          <w:w w:val="110"/>
        </w:rPr>
        <w:t> </w:t>
      </w:r>
      <w:r>
        <w:rPr>
          <w:w w:val="110"/>
        </w:rPr>
        <w:t>United</w:t>
      </w:r>
      <w:r>
        <w:rPr>
          <w:spacing w:val="-15"/>
          <w:w w:val="110"/>
        </w:rPr>
        <w:t> </w:t>
      </w:r>
      <w:r>
        <w:rPr>
          <w:w w:val="110"/>
        </w:rPr>
        <w:t>Kingdom</w:t>
      </w:r>
      <w:r>
        <w:rPr>
          <w:spacing w:val="-15"/>
          <w:w w:val="110"/>
        </w:rPr>
        <w:t> </w:t>
      </w:r>
      <w:r>
        <w:rPr>
          <w:w w:val="110"/>
        </w:rPr>
        <w:t>and</w:t>
      </w:r>
      <w:r>
        <w:rPr>
          <w:spacing w:val="-15"/>
          <w:w w:val="110"/>
        </w:rPr>
        <w:t> </w:t>
      </w:r>
      <w:r>
        <w:rPr>
          <w:w w:val="110"/>
        </w:rPr>
        <w:t>the</w:t>
      </w:r>
      <w:r>
        <w:rPr>
          <w:spacing w:val="-15"/>
          <w:w w:val="110"/>
        </w:rPr>
        <w:t> </w:t>
      </w:r>
      <w:r>
        <w:rPr>
          <w:w w:val="110"/>
        </w:rPr>
        <w:t>United</w:t>
      </w:r>
      <w:r>
        <w:rPr>
          <w:spacing w:val="-16"/>
          <w:w w:val="110"/>
        </w:rPr>
        <w:t> </w:t>
      </w:r>
      <w:r>
        <w:rPr>
          <w:spacing w:val="-3"/>
          <w:w w:val="110"/>
        </w:rPr>
        <w:t>States,</w:t>
      </w:r>
      <w:r>
        <w:rPr>
          <w:spacing w:val="-15"/>
          <w:w w:val="110"/>
        </w:rPr>
        <w:t> </w:t>
      </w:r>
      <w:r>
        <w:rPr>
          <w:w w:val="110"/>
        </w:rPr>
        <w:t>as companies alert shareholders that current profits are</w:t>
      </w:r>
      <w:r>
        <w:rPr>
          <w:spacing w:val="-23"/>
          <w:w w:val="110"/>
        </w:rPr>
        <w:t> </w:t>
      </w:r>
      <w:r>
        <w:rPr>
          <w:w w:val="110"/>
        </w:rPr>
        <w:t>falling</w:t>
      </w:r>
      <w:r>
        <w:rPr>
          <w:spacing w:val="-22"/>
          <w:w w:val="110"/>
        </w:rPr>
        <w:t> </w:t>
      </w:r>
      <w:r>
        <w:rPr>
          <w:w w:val="110"/>
        </w:rPr>
        <w:t>short</w:t>
      </w:r>
      <w:r>
        <w:rPr>
          <w:spacing w:val="-22"/>
          <w:w w:val="110"/>
        </w:rPr>
        <w:t> </w:t>
      </w:r>
      <w:r>
        <w:rPr>
          <w:w w:val="110"/>
        </w:rPr>
        <w:t>of</w:t>
      </w:r>
      <w:r>
        <w:rPr>
          <w:spacing w:val="-22"/>
          <w:w w:val="110"/>
        </w:rPr>
        <w:t> </w:t>
      </w:r>
      <w:r>
        <w:rPr>
          <w:w w:val="110"/>
        </w:rPr>
        <w:t>earlier</w:t>
      </w:r>
      <w:r>
        <w:rPr>
          <w:spacing w:val="-22"/>
          <w:w w:val="110"/>
        </w:rPr>
        <w:t> </w:t>
      </w:r>
      <w:r>
        <w:rPr>
          <w:w w:val="110"/>
        </w:rPr>
        <w:t>expectations.</w:t>
      </w:r>
      <w:r>
        <w:rPr>
          <w:spacing w:val="15"/>
          <w:w w:val="110"/>
        </w:rPr>
        <w:t> </w:t>
      </w:r>
      <w:r>
        <w:rPr>
          <w:w w:val="110"/>
        </w:rPr>
        <w:t>In</w:t>
      </w:r>
      <w:r>
        <w:rPr>
          <w:spacing w:val="-23"/>
          <w:w w:val="110"/>
        </w:rPr>
        <w:t> </w:t>
      </w:r>
      <w:r>
        <w:rPr>
          <w:w w:val="110"/>
        </w:rPr>
        <w:t>January </w:t>
      </w:r>
      <w:r>
        <w:rPr>
          <w:spacing w:val="-11"/>
          <w:w w:val="110"/>
        </w:rPr>
        <w:t>2001 </w:t>
      </w:r>
      <w:r>
        <w:rPr>
          <w:w w:val="110"/>
        </w:rPr>
        <w:t>there </w:t>
      </w:r>
      <w:r>
        <w:rPr>
          <w:spacing w:val="-3"/>
          <w:w w:val="110"/>
        </w:rPr>
        <w:t>were </w:t>
      </w:r>
      <w:r>
        <w:rPr>
          <w:spacing w:val="-9"/>
          <w:w w:val="110"/>
        </w:rPr>
        <w:t>48 </w:t>
      </w:r>
      <w:r>
        <w:rPr>
          <w:w w:val="110"/>
        </w:rPr>
        <w:t>warnings in the United Kingdom,</w:t>
      </w:r>
      <w:r>
        <w:rPr>
          <w:spacing w:val="-22"/>
          <w:w w:val="110"/>
        </w:rPr>
        <w:t> </w:t>
      </w:r>
      <w:r>
        <w:rPr>
          <w:w w:val="110"/>
        </w:rPr>
        <w:t>the</w:t>
      </w:r>
      <w:r>
        <w:rPr>
          <w:spacing w:val="-21"/>
          <w:w w:val="110"/>
        </w:rPr>
        <w:t> </w:t>
      </w:r>
      <w:r>
        <w:rPr>
          <w:w w:val="110"/>
        </w:rPr>
        <w:t>highest</w:t>
      </w:r>
      <w:r>
        <w:rPr>
          <w:spacing w:val="-21"/>
          <w:w w:val="110"/>
        </w:rPr>
        <w:t> </w:t>
      </w:r>
      <w:r>
        <w:rPr>
          <w:w w:val="110"/>
        </w:rPr>
        <w:t>monthly</w:t>
      </w:r>
      <w:r>
        <w:rPr>
          <w:spacing w:val="-21"/>
          <w:w w:val="110"/>
        </w:rPr>
        <w:t> </w:t>
      </w:r>
      <w:r>
        <w:rPr>
          <w:spacing w:val="-3"/>
          <w:w w:val="110"/>
        </w:rPr>
        <w:t>total</w:t>
      </w:r>
      <w:r>
        <w:rPr>
          <w:spacing w:val="-21"/>
          <w:w w:val="110"/>
        </w:rPr>
        <w:t> </w:t>
      </w:r>
      <w:r>
        <w:rPr>
          <w:w w:val="110"/>
        </w:rPr>
        <w:t>since</w:t>
      </w:r>
      <w:r>
        <w:rPr>
          <w:spacing w:val="-22"/>
          <w:w w:val="110"/>
        </w:rPr>
        <w:t> </w:t>
      </w:r>
      <w:r>
        <w:rPr>
          <w:w w:val="110"/>
        </w:rPr>
        <w:t>the</w:t>
      </w:r>
      <w:r>
        <w:rPr>
          <w:spacing w:val="-21"/>
          <w:w w:val="110"/>
        </w:rPr>
        <w:t> </w:t>
      </w:r>
      <w:r>
        <w:rPr>
          <w:w w:val="110"/>
        </w:rPr>
        <w:t>Bank started recording information </w:t>
      </w:r>
      <w:r>
        <w:rPr>
          <w:spacing w:val="-3"/>
          <w:w w:val="110"/>
        </w:rPr>
        <w:t>systematically </w:t>
      </w:r>
      <w:r>
        <w:rPr>
          <w:w w:val="110"/>
        </w:rPr>
        <w:t>in </w:t>
      </w:r>
      <w:r>
        <w:rPr>
          <w:spacing w:val="-21"/>
          <w:w w:val="110"/>
        </w:rPr>
        <w:t>1997. </w:t>
      </w:r>
      <w:r>
        <w:rPr>
          <w:w w:val="110"/>
        </w:rPr>
        <w:t>This </w:t>
      </w:r>
      <w:r>
        <w:rPr>
          <w:spacing w:val="-3"/>
          <w:w w:val="110"/>
        </w:rPr>
        <w:t>box </w:t>
      </w:r>
      <w:r>
        <w:rPr>
          <w:w w:val="110"/>
        </w:rPr>
        <w:t>describes how information on UK company profit warnings is</w:t>
      </w:r>
      <w:r>
        <w:rPr>
          <w:spacing w:val="-41"/>
          <w:w w:val="110"/>
        </w:rPr>
        <w:t> </w:t>
      </w:r>
      <w:r>
        <w:rPr>
          <w:w w:val="110"/>
        </w:rPr>
        <w:t>monitored.</w:t>
      </w:r>
    </w:p>
    <w:p>
      <w:pPr>
        <w:pStyle w:val="Heading6"/>
        <w:spacing w:before="97"/>
        <w:ind w:left="414"/>
      </w:pPr>
      <w:r>
        <w:rPr>
          <w:b w:val="0"/>
        </w:rPr>
        <w:br w:type="column"/>
      </w:r>
      <w:r>
        <w:rPr>
          <w:color w:val="89C6DC"/>
          <w:spacing w:val="-1"/>
          <w:w w:val="88"/>
        </w:rPr>
        <w:t>Cha</w:t>
      </w:r>
      <w:r>
        <w:rPr>
          <w:color w:val="89C6DC"/>
          <w:spacing w:val="4"/>
          <w:w w:val="88"/>
        </w:rPr>
        <w:t>r</w:t>
      </w:r>
      <w:r>
        <w:rPr>
          <w:color w:val="89C6DC"/>
          <w:w w:val="76"/>
        </w:rPr>
        <w:t>t</w:t>
      </w:r>
      <w:r>
        <w:rPr>
          <w:color w:val="89C6DC"/>
          <w:spacing w:val="6"/>
        </w:rPr>
        <w:t> </w:t>
      </w:r>
      <w:r>
        <w:rPr>
          <w:smallCaps/>
          <w:color w:val="89C6DC"/>
          <w:w w:val="76"/>
        </w:rPr>
        <w:t>1</w:t>
      </w:r>
    </w:p>
    <w:p>
      <w:pPr>
        <w:spacing w:before="8"/>
        <w:ind w:left="414" w:right="0" w:firstLine="0"/>
        <w:jc w:val="left"/>
        <w:rPr>
          <w:rFonts w:ascii="Trebuchet MS"/>
          <w:b/>
          <w:sz w:val="20"/>
        </w:rPr>
      </w:pPr>
      <w:r>
        <w:rPr>
          <w:rFonts w:ascii="Trebuchet MS"/>
          <w:b/>
          <w:color w:val="89C6DC"/>
          <w:w w:val="95"/>
          <w:sz w:val="20"/>
        </w:rPr>
        <w:t>Number</w:t>
      </w:r>
      <w:r>
        <w:rPr>
          <w:rFonts w:ascii="Trebuchet MS"/>
          <w:b/>
          <w:color w:val="89C6DC"/>
          <w:spacing w:val="-28"/>
          <w:w w:val="95"/>
          <w:sz w:val="20"/>
        </w:rPr>
        <w:t> </w:t>
      </w:r>
      <w:r>
        <w:rPr>
          <w:rFonts w:ascii="Trebuchet MS"/>
          <w:b/>
          <w:color w:val="89C6DC"/>
          <w:w w:val="95"/>
          <w:sz w:val="20"/>
        </w:rPr>
        <w:t>of</w:t>
      </w:r>
      <w:r>
        <w:rPr>
          <w:rFonts w:ascii="Trebuchet MS"/>
          <w:b/>
          <w:color w:val="89C6DC"/>
          <w:spacing w:val="-28"/>
          <w:w w:val="95"/>
          <w:sz w:val="20"/>
        </w:rPr>
        <w:t> </w:t>
      </w:r>
      <w:r>
        <w:rPr>
          <w:rFonts w:ascii="Trebuchet MS"/>
          <w:b/>
          <w:color w:val="89C6DC"/>
          <w:w w:val="95"/>
          <w:sz w:val="20"/>
        </w:rPr>
        <w:t>profit</w:t>
      </w:r>
      <w:r>
        <w:rPr>
          <w:rFonts w:ascii="Trebuchet MS"/>
          <w:b/>
          <w:color w:val="89C6DC"/>
          <w:spacing w:val="-28"/>
          <w:w w:val="95"/>
          <w:sz w:val="20"/>
        </w:rPr>
        <w:t> </w:t>
      </w:r>
      <w:r>
        <w:rPr>
          <w:rFonts w:ascii="Trebuchet MS"/>
          <w:b/>
          <w:color w:val="89C6DC"/>
          <w:w w:val="95"/>
          <w:sz w:val="20"/>
        </w:rPr>
        <w:t>warnings</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line="128" w:lineRule="exact" w:before="91"/>
        <w:ind w:left="197" w:right="892" w:firstLine="0"/>
        <w:jc w:val="center"/>
        <w:rPr>
          <w:sz w:val="12"/>
        </w:rPr>
      </w:pPr>
      <w:r>
        <w:rPr>
          <w:w w:val="110"/>
          <w:sz w:val="12"/>
        </w:rPr>
        <w:t>Number</w:t>
      </w:r>
    </w:p>
    <w:p>
      <w:pPr>
        <w:spacing w:line="128" w:lineRule="exact" w:before="0"/>
        <w:ind w:left="391" w:right="409" w:firstLine="0"/>
        <w:jc w:val="center"/>
        <w:rPr>
          <w:sz w:val="12"/>
        </w:rPr>
      </w:pPr>
      <w:r>
        <w:rPr>
          <w:w w:val="120"/>
          <w:sz w:val="12"/>
        </w:rPr>
        <w:t>60</w:t>
      </w:r>
    </w:p>
    <w:p>
      <w:pPr>
        <w:pStyle w:val="BodyText"/>
        <w:rPr>
          <w:sz w:val="12"/>
        </w:rPr>
      </w:pPr>
    </w:p>
    <w:p>
      <w:pPr>
        <w:pStyle w:val="BodyText"/>
        <w:spacing w:before="11"/>
        <w:rPr>
          <w:sz w:val="17"/>
        </w:rPr>
      </w:pPr>
    </w:p>
    <w:p>
      <w:pPr>
        <w:spacing w:before="0"/>
        <w:ind w:left="391" w:right="409" w:firstLine="0"/>
        <w:jc w:val="center"/>
        <w:rPr>
          <w:sz w:val="12"/>
        </w:rPr>
      </w:pPr>
      <w:r>
        <w:rPr>
          <w:w w:val="120"/>
          <w:sz w:val="12"/>
        </w:rPr>
        <w:t>50</w:t>
      </w:r>
    </w:p>
    <w:p>
      <w:pPr>
        <w:pStyle w:val="BodyText"/>
        <w:rPr>
          <w:sz w:val="12"/>
        </w:rPr>
      </w:pPr>
    </w:p>
    <w:p>
      <w:pPr>
        <w:pStyle w:val="BodyText"/>
        <w:spacing w:before="11"/>
        <w:rPr>
          <w:sz w:val="17"/>
        </w:rPr>
      </w:pPr>
    </w:p>
    <w:p>
      <w:pPr>
        <w:spacing w:before="0"/>
        <w:ind w:left="391" w:right="409" w:firstLine="0"/>
        <w:jc w:val="center"/>
        <w:rPr>
          <w:sz w:val="12"/>
        </w:rPr>
      </w:pPr>
      <w:r>
        <w:rPr>
          <w:w w:val="120"/>
          <w:sz w:val="12"/>
        </w:rPr>
        <w:t>40</w:t>
      </w:r>
    </w:p>
    <w:p>
      <w:pPr>
        <w:pStyle w:val="BodyText"/>
        <w:rPr>
          <w:sz w:val="12"/>
        </w:rPr>
      </w:pPr>
    </w:p>
    <w:p>
      <w:pPr>
        <w:pStyle w:val="BodyText"/>
        <w:spacing w:before="11"/>
        <w:rPr>
          <w:sz w:val="17"/>
        </w:rPr>
      </w:pPr>
    </w:p>
    <w:p>
      <w:pPr>
        <w:spacing w:before="0"/>
        <w:ind w:left="391" w:right="409" w:firstLine="0"/>
        <w:jc w:val="center"/>
        <w:rPr>
          <w:sz w:val="12"/>
        </w:rPr>
      </w:pPr>
      <w:r>
        <w:rPr>
          <w:w w:val="120"/>
          <w:sz w:val="12"/>
        </w:rPr>
        <w:t>30</w:t>
      </w:r>
    </w:p>
    <w:p>
      <w:pPr>
        <w:spacing w:after="0"/>
        <w:jc w:val="center"/>
        <w:rPr>
          <w:sz w:val="12"/>
        </w:rPr>
        <w:sectPr>
          <w:type w:val="continuous"/>
          <w:pgSz w:w="11900" w:h="16840"/>
          <w:pgMar w:top="1260" w:bottom="280" w:left="640" w:right="640"/>
          <w:cols w:num="3" w:equalWidth="0">
            <w:col w:w="5041" w:space="85"/>
            <w:col w:w="2700" w:space="844"/>
            <w:col w:w="1950"/>
          </w:cols>
        </w:sectPr>
      </w:pPr>
    </w:p>
    <w:p>
      <w:pPr>
        <w:pStyle w:val="BodyText"/>
        <w:spacing w:before="5"/>
        <w:rPr>
          <w:sz w:val="16"/>
        </w:rPr>
      </w:pPr>
    </w:p>
    <w:p>
      <w:pPr>
        <w:spacing w:after="0"/>
        <w:rPr>
          <w:sz w:val="16"/>
        </w:rPr>
        <w:sectPr>
          <w:type w:val="continuous"/>
          <w:pgSz w:w="11900" w:h="16840"/>
          <w:pgMar w:top="1260" w:bottom="280" w:left="640" w:right="640"/>
        </w:sectPr>
      </w:pPr>
    </w:p>
    <w:p>
      <w:pPr>
        <w:pStyle w:val="Heading5"/>
        <w:spacing w:line="249" w:lineRule="auto" w:before="62"/>
      </w:pPr>
      <w:r>
        <w:rPr>
          <w:w w:val="110"/>
        </w:rPr>
        <w:t>The Bank has constructed a database containing information on UK profit warnings since July </w:t>
      </w:r>
      <w:r>
        <w:rPr>
          <w:spacing w:val="-14"/>
          <w:w w:val="110"/>
        </w:rPr>
        <w:t>1997.</w:t>
      </w:r>
      <w:r>
        <w:rPr>
          <w:spacing w:val="-14"/>
          <w:w w:val="110"/>
          <w:position w:val="5"/>
          <w:sz w:val="14"/>
        </w:rPr>
        <w:t>(1)</w:t>
      </w:r>
      <w:r>
        <w:rPr>
          <w:spacing w:val="-10"/>
          <w:w w:val="110"/>
          <w:position w:val="5"/>
          <w:sz w:val="14"/>
        </w:rPr>
        <w:t> </w:t>
      </w:r>
      <w:r>
        <w:rPr>
          <w:w w:val="110"/>
        </w:rPr>
        <w:t>These</w:t>
      </w:r>
      <w:r>
        <w:rPr>
          <w:spacing w:val="-19"/>
          <w:w w:val="110"/>
        </w:rPr>
        <w:t> </w:t>
      </w:r>
      <w:r>
        <w:rPr>
          <w:w w:val="110"/>
        </w:rPr>
        <w:t>‘warnings’</w:t>
      </w:r>
      <w:r>
        <w:rPr>
          <w:spacing w:val="-19"/>
          <w:w w:val="110"/>
        </w:rPr>
        <w:t> </w:t>
      </w:r>
      <w:r>
        <w:rPr>
          <w:spacing w:val="-3"/>
          <w:w w:val="110"/>
        </w:rPr>
        <w:t>relate</w:t>
      </w:r>
      <w:r>
        <w:rPr>
          <w:spacing w:val="-20"/>
          <w:w w:val="110"/>
        </w:rPr>
        <w:t> </w:t>
      </w:r>
      <w:r>
        <w:rPr>
          <w:spacing w:val="-4"/>
          <w:w w:val="110"/>
        </w:rPr>
        <w:t>to</w:t>
      </w:r>
      <w:r>
        <w:rPr>
          <w:spacing w:val="-19"/>
          <w:w w:val="110"/>
        </w:rPr>
        <w:t> </w:t>
      </w:r>
      <w:r>
        <w:rPr>
          <w:w w:val="110"/>
        </w:rPr>
        <w:t>negative</w:t>
      </w:r>
      <w:r>
        <w:rPr>
          <w:spacing w:val="-19"/>
          <w:w w:val="110"/>
        </w:rPr>
        <w:t> </w:t>
      </w:r>
      <w:r>
        <w:rPr>
          <w:w w:val="110"/>
        </w:rPr>
        <w:t>trading statements,</w:t>
      </w:r>
      <w:r>
        <w:rPr>
          <w:spacing w:val="-17"/>
          <w:w w:val="110"/>
        </w:rPr>
        <w:t> </w:t>
      </w:r>
      <w:r>
        <w:rPr>
          <w:w w:val="110"/>
        </w:rPr>
        <w:t>which</w:t>
      </w:r>
      <w:r>
        <w:rPr>
          <w:spacing w:val="-17"/>
          <w:w w:val="110"/>
        </w:rPr>
        <w:t> </w:t>
      </w:r>
      <w:r>
        <w:rPr>
          <w:w w:val="110"/>
        </w:rPr>
        <w:t>are</w:t>
      </w:r>
      <w:r>
        <w:rPr>
          <w:spacing w:val="-17"/>
          <w:w w:val="110"/>
        </w:rPr>
        <w:t> </w:t>
      </w:r>
      <w:r>
        <w:rPr>
          <w:w w:val="110"/>
        </w:rPr>
        <w:t>subsequently</w:t>
      </w:r>
      <w:r>
        <w:rPr>
          <w:spacing w:val="-17"/>
          <w:w w:val="110"/>
        </w:rPr>
        <w:t> </w:t>
      </w:r>
      <w:r>
        <w:rPr>
          <w:w w:val="110"/>
        </w:rPr>
        <w:t>reported</w:t>
      </w:r>
      <w:r>
        <w:rPr>
          <w:spacing w:val="-16"/>
          <w:w w:val="110"/>
        </w:rPr>
        <w:t> </w:t>
      </w:r>
      <w:r>
        <w:rPr>
          <w:w w:val="110"/>
        </w:rPr>
        <w:t>in</w:t>
      </w:r>
      <w:r>
        <w:rPr>
          <w:spacing w:val="-17"/>
          <w:w w:val="110"/>
        </w:rPr>
        <w:t> </w:t>
      </w:r>
      <w:r>
        <w:rPr>
          <w:w w:val="110"/>
        </w:rPr>
        <w:t>the press as profits warnings. Each press report is categorised </w:t>
      </w:r>
      <w:r>
        <w:rPr>
          <w:spacing w:val="-4"/>
          <w:w w:val="110"/>
        </w:rPr>
        <w:t>to </w:t>
      </w:r>
      <w:r>
        <w:rPr>
          <w:w w:val="110"/>
        </w:rPr>
        <w:t>obtain quantitative information on the</w:t>
      </w:r>
      <w:r>
        <w:rPr>
          <w:spacing w:val="-11"/>
          <w:w w:val="110"/>
        </w:rPr>
        <w:t> </w:t>
      </w:r>
      <w:r>
        <w:rPr>
          <w:w w:val="110"/>
        </w:rPr>
        <w:t>sources</w:t>
      </w:r>
      <w:r>
        <w:rPr>
          <w:spacing w:val="-11"/>
          <w:w w:val="110"/>
        </w:rPr>
        <w:t> </w:t>
      </w:r>
      <w:r>
        <w:rPr>
          <w:w w:val="110"/>
        </w:rPr>
        <w:t>and</w:t>
      </w:r>
      <w:r>
        <w:rPr>
          <w:spacing w:val="-10"/>
          <w:w w:val="110"/>
        </w:rPr>
        <w:t> </w:t>
      </w:r>
      <w:r>
        <w:rPr>
          <w:w w:val="110"/>
        </w:rPr>
        <w:t>causes</w:t>
      </w:r>
      <w:r>
        <w:rPr>
          <w:spacing w:val="-11"/>
          <w:w w:val="110"/>
        </w:rPr>
        <w:t> </w:t>
      </w:r>
      <w:r>
        <w:rPr>
          <w:w w:val="110"/>
        </w:rPr>
        <w:t>of</w:t>
      </w:r>
      <w:r>
        <w:rPr>
          <w:spacing w:val="-10"/>
          <w:w w:val="110"/>
        </w:rPr>
        <w:t> </w:t>
      </w:r>
      <w:r>
        <w:rPr>
          <w:w w:val="110"/>
        </w:rPr>
        <w:t>profit</w:t>
      </w:r>
      <w:r>
        <w:rPr>
          <w:spacing w:val="-11"/>
          <w:w w:val="110"/>
        </w:rPr>
        <w:t> </w:t>
      </w:r>
      <w:r>
        <w:rPr>
          <w:w w:val="110"/>
        </w:rPr>
        <w:t>warnings.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360" w:lineRule="auto" w:before="104"/>
        <w:ind w:left="532" w:right="213" w:hanging="37"/>
        <w:jc w:val="center"/>
        <w:rPr>
          <w:sz w:val="12"/>
        </w:rPr>
      </w:pPr>
      <w:r>
        <w:rPr>
          <w:w w:val="110"/>
          <w:sz w:val="12"/>
        </w:rPr>
        <w:t>July 1997</w:t>
      </w:r>
    </w:p>
    <w:p>
      <w:pPr>
        <w:pStyle w:val="BodyText"/>
        <w:spacing w:before="2"/>
        <w:rPr>
          <w:sz w:val="15"/>
        </w:rPr>
      </w:pPr>
    </w:p>
    <w:p>
      <w:pPr>
        <w:pStyle w:val="Heading6"/>
        <w:ind w:left="414"/>
        <w:jc w:val="center"/>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7"/>
          <w:w w:val="91"/>
        </w:rPr>
        <w:t>2</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before="93"/>
        <w:ind w:left="-24" w:right="0" w:firstLine="0"/>
        <w:jc w:val="left"/>
        <w:rPr>
          <w:sz w:val="12"/>
        </w:rPr>
      </w:pPr>
      <w:r>
        <w:rPr>
          <w:sz w:val="12"/>
        </w:rPr>
        <w:t>Jan.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360" w:lineRule="auto" w:before="104"/>
        <w:ind w:left="232" w:right="-15" w:firstLine="41"/>
        <w:jc w:val="left"/>
        <w:rPr>
          <w:sz w:val="12"/>
        </w:rPr>
      </w:pPr>
      <w:r>
        <w:rPr>
          <w:w w:val="95"/>
          <w:sz w:val="12"/>
        </w:rPr>
        <w:t>July </w:t>
      </w:r>
      <w:r>
        <w:rPr>
          <w:w w:val="110"/>
          <w:sz w:val="12"/>
        </w:rPr>
        <w:t>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4"/>
        <w:ind w:left="257" w:right="0" w:firstLine="0"/>
        <w:jc w:val="left"/>
        <w:rPr>
          <w:sz w:val="12"/>
        </w:rPr>
      </w:pPr>
      <w:r>
        <w:rPr>
          <w:sz w:val="12"/>
        </w:rPr>
        <w:t>Jan.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360" w:lineRule="auto" w:before="104"/>
        <w:ind w:left="160" w:right="-14" w:firstLine="127"/>
        <w:jc w:val="left"/>
        <w:rPr>
          <w:sz w:val="12"/>
        </w:rPr>
      </w:pPr>
      <w:r>
        <w:rPr>
          <w:w w:val="95"/>
          <w:sz w:val="12"/>
        </w:rPr>
        <w:t>July </w:t>
      </w:r>
      <w:r>
        <w:rPr>
          <w:w w:val="110"/>
          <w:sz w:val="12"/>
        </w:rPr>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764" w:val="left" w:leader="none"/>
        </w:tabs>
        <w:spacing w:line="360" w:lineRule="auto" w:before="104"/>
        <w:ind w:left="533" w:right="0" w:hanging="277"/>
        <w:jc w:val="left"/>
        <w:rPr>
          <w:sz w:val="12"/>
        </w:rPr>
      </w:pPr>
      <w:r>
        <w:rPr>
          <w:w w:val="105"/>
          <w:sz w:val="12"/>
        </w:rPr>
        <w:t>Jan.</w:t>
        <w:tab/>
        <w:tab/>
      </w:r>
      <w:r>
        <w:rPr>
          <w:spacing w:val="-5"/>
          <w:sz w:val="12"/>
        </w:rPr>
        <w:t>July </w:t>
      </w:r>
      <w:r>
        <w:rPr>
          <w:w w:val="105"/>
          <w:sz w:val="12"/>
        </w:rPr>
        <w:t>2000</w:t>
      </w:r>
    </w:p>
    <w:p>
      <w:pPr>
        <w:pStyle w:val="BodyText"/>
        <w:spacing w:before="9"/>
        <w:rPr>
          <w:sz w:val="11"/>
        </w:rPr>
      </w:pPr>
      <w:r>
        <w:rPr/>
        <w:br w:type="column"/>
      </w:r>
      <w:r>
        <w:rPr>
          <w:sz w:val="11"/>
        </w:rPr>
      </w:r>
    </w:p>
    <w:p>
      <w:pPr>
        <w:spacing w:before="0"/>
        <w:ind w:left="601" w:right="891" w:firstLine="0"/>
        <w:jc w:val="center"/>
        <w:rPr>
          <w:sz w:val="12"/>
        </w:rPr>
      </w:pPr>
      <w:r>
        <w:rPr>
          <w:w w:val="120"/>
          <w:sz w:val="12"/>
        </w:rPr>
        <w:t>20</w:t>
      </w:r>
    </w:p>
    <w:p>
      <w:pPr>
        <w:pStyle w:val="BodyText"/>
        <w:rPr>
          <w:sz w:val="12"/>
        </w:rPr>
      </w:pPr>
    </w:p>
    <w:p>
      <w:pPr>
        <w:pStyle w:val="BodyText"/>
        <w:spacing w:before="11"/>
        <w:rPr>
          <w:sz w:val="17"/>
        </w:rPr>
      </w:pPr>
    </w:p>
    <w:p>
      <w:pPr>
        <w:spacing w:before="0"/>
        <w:ind w:left="601" w:right="891" w:firstLine="0"/>
        <w:jc w:val="center"/>
        <w:rPr>
          <w:sz w:val="12"/>
        </w:rPr>
      </w:pPr>
      <w:r>
        <w:rPr>
          <w:w w:val="120"/>
          <w:sz w:val="12"/>
        </w:rPr>
        <w:t>10</w:t>
      </w:r>
    </w:p>
    <w:p>
      <w:pPr>
        <w:pStyle w:val="BodyText"/>
        <w:rPr>
          <w:sz w:val="12"/>
        </w:rPr>
      </w:pPr>
    </w:p>
    <w:p>
      <w:pPr>
        <w:pStyle w:val="BodyText"/>
        <w:spacing w:before="8"/>
        <w:rPr>
          <w:sz w:val="17"/>
        </w:rPr>
      </w:pPr>
    </w:p>
    <w:p>
      <w:pPr>
        <w:spacing w:line="124" w:lineRule="exact" w:before="0"/>
        <w:ind w:left="0" w:right="217" w:firstLine="0"/>
        <w:jc w:val="center"/>
        <w:rPr>
          <w:sz w:val="12"/>
        </w:rPr>
      </w:pPr>
      <w:r>
        <w:rPr>
          <w:w w:val="121"/>
          <w:sz w:val="12"/>
        </w:rPr>
        <w:t>0</w:t>
      </w:r>
    </w:p>
    <w:p>
      <w:pPr>
        <w:spacing w:line="124" w:lineRule="exact" w:before="0"/>
        <w:ind w:left="257" w:right="0" w:firstLine="0"/>
        <w:jc w:val="left"/>
        <w:rPr>
          <w:sz w:val="12"/>
        </w:rPr>
      </w:pPr>
      <w:r>
        <w:rPr>
          <w:sz w:val="12"/>
        </w:rPr>
        <w:t>Jan.</w:t>
      </w:r>
    </w:p>
    <w:p>
      <w:pPr>
        <w:spacing w:before="70"/>
        <w:ind w:left="297" w:right="0" w:firstLine="0"/>
        <w:jc w:val="left"/>
        <w:rPr>
          <w:sz w:val="12"/>
        </w:rPr>
      </w:pPr>
      <w:r>
        <w:rPr>
          <w:w w:val="120"/>
          <w:sz w:val="12"/>
        </w:rPr>
        <w:t>01</w:t>
      </w:r>
    </w:p>
    <w:p>
      <w:pPr>
        <w:spacing w:after="0"/>
        <w:jc w:val="left"/>
        <w:rPr>
          <w:sz w:val="12"/>
        </w:rPr>
        <w:sectPr>
          <w:type w:val="continuous"/>
          <w:pgSz w:w="11900" w:h="16840"/>
          <w:pgMar w:top="1260" w:bottom="280" w:left="640" w:right="640"/>
          <w:cols w:num="8" w:equalWidth="0">
            <w:col w:w="5045" w:space="91"/>
            <w:col w:w="1039" w:space="39"/>
            <w:col w:w="168" w:space="39"/>
            <w:col w:w="469" w:space="40"/>
            <w:col w:w="449" w:space="40"/>
            <w:col w:w="484" w:space="40"/>
            <w:col w:w="961" w:space="39"/>
            <w:col w:w="1677"/>
          </w:cols>
        </w:sectPr>
      </w:pPr>
    </w:p>
    <w:p>
      <w:pPr>
        <w:pStyle w:val="Heading5"/>
        <w:spacing w:line="249" w:lineRule="auto" w:before="49"/>
      </w:pPr>
      <w:r>
        <w:rPr>
          <w:w w:val="110"/>
        </w:rPr>
        <w:t>Profit</w:t>
      </w:r>
      <w:r>
        <w:rPr>
          <w:spacing w:val="-33"/>
          <w:w w:val="110"/>
        </w:rPr>
        <w:t> </w:t>
      </w:r>
      <w:r>
        <w:rPr>
          <w:w w:val="110"/>
        </w:rPr>
        <w:t>warnings</w:t>
      </w:r>
      <w:r>
        <w:rPr>
          <w:spacing w:val="-32"/>
          <w:w w:val="110"/>
        </w:rPr>
        <w:t> </w:t>
      </w:r>
      <w:r>
        <w:rPr>
          <w:w w:val="110"/>
        </w:rPr>
        <w:t>might</w:t>
      </w:r>
      <w:r>
        <w:rPr>
          <w:spacing w:val="-32"/>
          <w:w w:val="110"/>
        </w:rPr>
        <w:t> </w:t>
      </w:r>
      <w:r>
        <w:rPr>
          <w:w w:val="110"/>
        </w:rPr>
        <w:t>provide</w:t>
      </w:r>
      <w:r>
        <w:rPr>
          <w:spacing w:val="-32"/>
          <w:w w:val="110"/>
        </w:rPr>
        <w:t> </w:t>
      </w:r>
      <w:r>
        <w:rPr>
          <w:w w:val="110"/>
        </w:rPr>
        <w:t>advance</w:t>
      </w:r>
      <w:r>
        <w:rPr>
          <w:spacing w:val="-32"/>
          <w:w w:val="110"/>
        </w:rPr>
        <w:t> </w:t>
      </w:r>
      <w:r>
        <w:rPr>
          <w:w w:val="110"/>
        </w:rPr>
        <w:t>information on movements in important macroeconomic variables. But with less than four </w:t>
      </w:r>
      <w:r>
        <w:rPr>
          <w:spacing w:val="-3"/>
          <w:w w:val="110"/>
        </w:rPr>
        <w:t>years </w:t>
      </w:r>
      <w:r>
        <w:rPr>
          <w:w w:val="110"/>
        </w:rPr>
        <w:t>of data, during</w:t>
      </w:r>
      <w:r>
        <w:rPr>
          <w:spacing w:val="-17"/>
          <w:w w:val="110"/>
        </w:rPr>
        <w:t> </w:t>
      </w:r>
      <w:r>
        <w:rPr>
          <w:w w:val="110"/>
        </w:rPr>
        <w:t>which</w:t>
      </w:r>
      <w:r>
        <w:rPr>
          <w:spacing w:val="-16"/>
          <w:w w:val="110"/>
        </w:rPr>
        <w:t> </w:t>
      </w:r>
      <w:r>
        <w:rPr>
          <w:w w:val="110"/>
        </w:rPr>
        <w:t>there</w:t>
      </w:r>
      <w:r>
        <w:rPr>
          <w:spacing w:val="-16"/>
          <w:w w:val="110"/>
        </w:rPr>
        <w:t> </w:t>
      </w:r>
      <w:r>
        <w:rPr>
          <w:spacing w:val="-3"/>
          <w:w w:val="110"/>
        </w:rPr>
        <w:t>were</w:t>
      </w:r>
      <w:r>
        <w:rPr>
          <w:spacing w:val="-16"/>
          <w:w w:val="110"/>
        </w:rPr>
        <w:t> </w:t>
      </w:r>
      <w:r>
        <w:rPr>
          <w:w w:val="110"/>
        </w:rPr>
        <w:t>no</w:t>
      </w:r>
      <w:r>
        <w:rPr>
          <w:spacing w:val="-16"/>
          <w:w w:val="110"/>
        </w:rPr>
        <w:t> </w:t>
      </w:r>
      <w:r>
        <w:rPr>
          <w:w w:val="110"/>
        </w:rPr>
        <w:t>major</w:t>
      </w:r>
      <w:r>
        <w:rPr>
          <w:spacing w:val="-16"/>
          <w:w w:val="110"/>
        </w:rPr>
        <w:t> </w:t>
      </w:r>
      <w:r>
        <w:rPr>
          <w:w w:val="110"/>
        </w:rPr>
        <w:t>turning-points</w:t>
      </w:r>
      <w:r>
        <w:rPr>
          <w:spacing w:val="-16"/>
          <w:w w:val="110"/>
        </w:rPr>
        <w:t> </w:t>
      </w:r>
      <w:r>
        <w:rPr>
          <w:w w:val="110"/>
        </w:rPr>
        <w:t>in the business </w:t>
      </w:r>
      <w:r>
        <w:rPr>
          <w:spacing w:val="-3"/>
          <w:w w:val="110"/>
        </w:rPr>
        <w:t>cycle, </w:t>
      </w:r>
      <w:r>
        <w:rPr>
          <w:w w:val="110"/>
        </w:rPr>
        <w:t>it is </w:t>
      </w:r>
      <w:r>
        <w:rPr>
          <w:spacing w:val="-3"/>
          <w:w w:val="110"/>
        </w:rPr>
        <w:t>too </w:t>
      </w:r>
      <w:r>
        <w:rPr>
          <w:w w:val="110"/>
        </w:rPr>
        <w:t>early </w:t>
      </w:r>
      <w:r>
        <w:rPr>
          <w:spacing w:val="-4"/>
          <w:w w:val="110"/>
        </w:rPr>
        <w:t>to </w:t>
      </w:r>
      <w:r>
        <w:rPr>
          <w:spacing w:val="-3"/>
          <w:w w:val="110"/>
        </w:rPr>
        <w:t>draw </w:t>
      </w:r>
      <w:r>
        <w:rPr>
          <w:w w:val="110"/>
        </w:rPr>
        <w:t>firm conclusions. Nonetheless, the reaction of share prices</w:t>
      </w:r>
      <w:r>
        <w:rPr>
          <w:spacing w:val="-25"/>
          <w:w w:val="110"/>
        </w:rPr>
        <w:t> </w:t>
      </w:r>
      <w:r>
        <w:rPr>
          <w:w w:val="110"/>
        </w:rPr>
        <w:t>suggests</w:t>
      </w:r>
      <w:r>
        <w:rPr>
          <w:spacing w:val="-24"/>
          <w:w w:val="110"/>
        </w:rPr>
        <w:t> </w:t>
      </w:r>
      <w:r>
        <w:rPr>
          <w:w w:val="110"/>
        </w:rPr>
        <w:t>that</w:t>
      </w:r>
      <w:r>
        <w:rPr>
          <w:spacing w:val="-24"/>
          <w:w w:val="110"/>
        </w:rPr>
        <w:t> </w:t>
      </w:r>
      <w:r>
        <w:rPr>
          <w:w w:val="110"/>
        </w:rPr>
        <w:t>profit</w:t>
      </w:r>
      <w:r>
        <w:rPr>
          <w:spacing w:val="-25"/>
          <w:w w:val="110"/>
        </w:rPr>
        <w:t> </w:t>
      </w:r>
      <w:r>
        <w:rPr>
          <w:w w:val="110"/>
        </w:rPr>
        <w:t>warnings</w:t>
      </w:r>
      <w:r>
        <w:rPr>
          <w:spacing w:val="-24"/>
          <w:w w:val="110"/>
        </w:rPr>
        <w:t> </w:t>
      </w:r>
      <w:r>
        <w:rPr>
          <w:w w:val="110"/>
        </w:rPr>
        <w:t>do</w:t>
      </w:r>
      <w:r>
        <w:rPr>
          <w:spacing w:val="-24"/>
          <w:w w:val="110"/>
        </w:rPr>
        <w:t> </w:t>
      </w:r>
      <w:r>
        <w:rPr>
          <w:w w:val="110"/>
        </w:rPr>
        <w:t>provide</w:t>
      </w:r>
      <w:r>
        <w:rPr>
          <w:spacing w:val="-24"/>
          <w:w w:val="110"/>
        </w:rPr>
        <w:t> </w:t>
      </w:r>
      <w:r>
        <w:rPr>
          <w:w w:val="110"/>
        </w:rPr>
        <w:t>new information </w:t>
      </w:r>
      <w:r>
        <w:rPr>
          <w:spacing w:val="-4"/>
          <w:w w:val="110"/>
        </w:rPr>
        <w:t>to </w:t>
      </w:r>
      <w:r>
        <w:rPr>
          <w:spacing w:val="-3"/>
          <w:w w:val="110"/>
        </w:rPr>
        <w:t>equity </w:t>
      </w:r>
      <w:r>
        <w:rPr>
          <w:spacing w:val="-2"/>
          <w:w w:val="110"/>
        </w:rPr>
        <w:t>market </w:t>
      </w:r>
      <w:r>
        <w:rPr>
          <w:spacing w:val="-4"/>
          <w:w w:val="110"/>
        </w:rPr>
        <w:t>investors. </w:t>
      </w:r>
      <w:r>
        <w:rPr>
          <w:w w:val="110"/>
        </w:rPr>
        <w:t>Company share prices fell on </w:t>
      </w:r>
      <w:r>
        <w:rPr>
          <w:spacing w:val="-3"/>
          <w:w w:val="110"/>
        </w:rPr>
        <w:t>average by </w:t>
      </w:r>
      <w:r>
        <w:rPr>
          <w:spacing w:val="-12"/>
          <w:w w:val="110"/>
        </w:rPr>
        <w:t>14% </w:t>
      </w:r>
      <w:r>
        <w:rPr>
          <w:w w:val="110"/>
        </w:rPr>
        <w:t>in the </w:t>
      </w:r>
      <w:r>
        <w:rPr>
          <w:spacing w:val="-3"/>
          <w:w w:val="110"/>
        </w:rPr>
        <w:t>day </w:t>
      </w:r>
      <w:r>
        <w:rPr>
          <w:w w:val="110"/>
        </w:rPr>
        <w:t>following an announcement.</w:t>
      </w:r>
      <w:r>
        <w:rPr>
          <w:w w:val="110"/>
          <w:position w:val="5"/>
          <w:sz w:val="14"/>
        </w:rPr>
        <w:t>(2)</w:t>
      </w:r>
      <w:r>
        <w:rPr>
          <w:spacing w:val="38"/>
          <w:w w:val="110"/>
          <w:position w:val="5"/>
          <w:sz w:val="14"/>
        </w:rPr>
        <w:t> </w:t>
      </w:r>
      <w:r>
        <w:rPr>
          <w:w w:val="110"/>
        </w:rPr>
        <w:t>In </w:t>
      </w:r>
      <w:r>
        <w:rPr>
          <w:spacing w:val="-4"/>
          <w:w w:val="110"/>
        </w:rPr>
        <w:t>2000 </w:t>
      </w:r>
      <w:r>
        <w:rPr>
          <w:w w:val="110"/>
        </w:rPr>
        <w:t>Q4 share prices of companies in the information and communications technology sectors (ICT) fell </w:t>
      </w:r>
      <w:r>
        <w:rPr>
          <w:spacing w:val="-3"/>
          <w:w w:val="110"/>
        </w:rPr>
        <w:t>by </w:t>
      </w:r>
      <w:r>
        <w:rPr>
          <w:spacing w:val="-4"/>
          <w:w w:val="110"/>
        </w:rPr>
        <w:t>40%</w:t>
      </w:r>
      <w:r>
        <w:rPr>
          <w:spacing w:val="-19"/>
          <w:w w:val="110"/>
        </w:rPr>
        <w:t> </w:t>
      </w:r>
      <w:r>
        <w:rPr>
          <w:w w:val="110"/>
        </w:rPr>
        <w:t>after</w:t>
      </w:r>
      <w:r>
        <w:rPr>
          <w:spacing w:val="-19"/>
          <w:w w:val="110"/>
        </w:rPr>
        <w:t> </w:t>
      </w:r>
      <w:r>
        <w:rPr>
          <w:w w:val="110"/>
        </w:rPr>
        <w:t>issuing</w:t>
      </w:r>
      <w:r>
        <w:rPr>
          <w:spacing w:val="-19"/>
          <w:w w:val="110"/>
        </w:rPr>
        <w:t> </w:t>
      </w:r>
      <w:r>
        <w:rPr>
          <w:w w:val="110"/>
        </w:rPr>
        <w:t>a</w:t>
      </w:r>
      <w:r>
        <w:rPr>
          <w:spacing w:val="-19"/>
          <w:w w:val="110"/>
        </w:rPr>
        <w:t> </w:t>
      </w:r>
      <w:r>
        <w:rPr>
          <w:w w:val="110"/>
        </w:rPr>
        <w:t>warning.</w:t>
      </w:r>
      <w:r>
        <w:rPr>
          <w:spacing w:val="20"/>
          <w:w w:val="110"/>
        </w:rPr>
        <w:t> </w:t>
      </w:r>
      <w:r>
        <w:rPr>
          <w:w w:val="110"/>
        </w:rPr>
        <w:t>Over</w:t>
      </w:r>
      <w:r>
        <w:rPr>
          <w:spacing w:val="-19"/>
          <w:w w:val="110"/>
        </w:rPr>
        <w:t> </w:t>
      </w:r>
      <w:r>
        <w:rPr>
          <w:w w:val="110"/>
        </w:rPr>
        <w:t>the</w:t>
      </w:r>
      <w:r>
        <w:rPr>
          <w:spacing w:val="-19"/>
          <w:w w:val="110"/>
        </w:rPr>
        <w:t> </w:t>
      </w:r>
      <w:r>
        <w:rPr>
          <w:w w:val="110"/>
        </w:rPr>
        <w:t>same</w:t>
      </w:r>
      <w:r>
        <w:rPr>
          <w:spacing w:val="-19"/>
          <w:w w:val="110"/>
        </w:rPr>
        <w:t> </w:t>
      </w:r>
      <w:r>
        <w:rPr>
          <w:w w:val="110"/>
        </w:rPr>
        <w:t>period other</w:t>
      </w:r>
      <w:r>
        <w:rPr>
          <w:spacing w:val="-12"/>
          <w:w w:val="110"/>
        </w:rPr>
        <w:t> </w:t>
      </w:r>
      <w:r>
        <w:rPr>
          <w:w w:val="110"/>
        </w:rPr>
        <w:t>firms’</w:t>
      </w:r>
      <w:r>
        <w:rPr>
          <w:spacing w:val="-12"/>
          <w:w w:val="110"/>
        </w:rPr>
        <w:t> </w:t>
      </w:r>
      <w:r>
        <w:rPr>
          <w:w w:val="110"/>
        </w:rPr>
        <w:t>share</w:t>
      </w:r>
      <w:r>
        <w:rPr>
          <w:spacing w:val="-12"/>
          <w:w w:val="110"/>
        </w:rPr>
        <w:t> </w:t>
      </w:r>
      <w:r>
        <w:rPr>
          <w:w w:val="110"/>
        </w:rPr>
        <w:t>prices</w:t>
      </w:r>
      <w:r>
        <w:rPr>
          <w:spacing w:val="-12"/>
          <w:w w:val="110"/>
        </w:rPr>
        <w:t> </w:t>
      </w:r>
      <w:r>
        <w:rPr>
          <w:w w:val="110"/>
        </w:rPr>
        <w:t>fell</w:t>
      </w:r>
      <w:r>
        <w:rPr>
          <w:spacing w:val="-12"/>
          <w:w w:val="110"/>
        </w:rPr>
        <w:t> </w:t>
      </w:r>
      <w:r>
        <w:rPr>
          <w:spacing w:val="-3"/>
          <w:w w:val="110"/>
        </w:rPr>
        <w:t>by</w:t>
      </w:r>
      <w:r>
        <w:rPr>
          <w:spacing w:val="-12"/>
          <w:w w:val="110"/>
        </w:rPr>
        <w:t> </w:t>
      </w:r>
      <w:r>
        <w:rPr>
          <w:w w:val="110"/>
        </w:rPr>
        <w:t>8%</w:t>
      </w:r>
      <w:r>
        <w:rPr>
          <w:spacing w:val="-11"/>
          <w:w w:val="110"/>
        </w:rPr>
        <w:t> </w:t>
      </w:r>
      <w:r>
        <w:rPr>
          <w:w w:val="110"/>
        </w:rPr>
        <w:t>after</w:t>
      </w:r>
      <w:r>
        <w:rPr>
          <w:spacing w:val="-12"/>
          <w:w w:val="110"/>
        </w:rPr>
        <w:t> </w:t>
      </w:r>
      <w:r>
        <w:rPr>
          <w:w w:val="110"/>
        </w:rPr>
        <w:t>an</w:t>
      </w:r>
    </w:p>
    <w:p>
      <w:pPr>
        <w:pStyle w:val="Heading6"/>
        <w:spacing w:before="8"/>
        <w:ind w:left="414"/>
      </w:pPr>
      <w:r>
        <w:rPr>
          <w:b w:val="0"/>
        </w:rPr>
        <w:br w:type="column"/>
      </w:r>
      <w:r>
        <w:rPr>
          <w:color w:val="89C6DC"/>
          <w:w w:val="95"/>
        </w:rPr>
        <w:t>Profit</w:t>
      </w:r>
      <w:r>
        <w:rPr>
          <w:color w:val="89C6DC"/>
          <w:spacing w:val="-25"/>
          <w:w w:val="95"/>
        </w:rPr>
        <w:t> </w:t>
      </w:r>
      <w:r>
        <w:rPr>
          <w:color w:val="89C6DC"/>
          <w:w w:val="95"/>
        </w:rPr>
        <w:t>warnings</w:t>
      </w:r>
      <w:r>
        <w:rPr>
          <w:color w:val="89C6DC"/>
          <w:spacing w:val="-25"/>
          <w:w w:val="95"/>
        </w:rPr>
        <w:t> </w:t>
      </w:r>
      <w:r>
        <w:rPr>
          <w:color w:val="89C6DC"/>
          <w:w w:val="95"/>
        </w:rPr>
        <w:t>by</w:t>
      </w:r>
      <w:r>
        <w:rPr>
          <w:color w:val="89C6DC"/>
          <w:spacing w:val="-24"/>
          <w:w w:val="95"/>
        </w:rPr>
        <w:t> </w:t>
      </w:r>
      <w:r>
        <w:rPr>
          <w:color w:val="89C6DC"/>
          <w:w w:val="95"/>
        </w:rPr>
        <w:t>sector</w:t>
      </w:r>
    </w:p>
    <w:p>
      <w:pPr>
        <w:pStyle w:val="BodyText"/>
        <w:rPr>
          <w:rFonts w:ascii="Trebuchet MS"/>
          <w:b/>
          <w:sz w:val="22"/>
        </w:rPr>
      </w:pPr>
    </w:p>
    <w:p>
      <w:pPr>
        <w:spacing w:line="266" w:lineRule="auto" w:before="186"/>
        <w:ind w:left="890" w:right="1169" w:firstLine="0"/>
        <w:jc w:val="left"/>
        <w:rPr>
          <w:sz w:val="12"/>
        </w:rPr>
      </w:pPr>
      <w:r>
        <w:rPr>
          <w:w w:val="105"/>
          <w:sz w:val="12"/>
        </w:rPr>
        <w:t>Financials Utilities</w:t>
      </w:r>
    </w:p>
    <w:p>
      <w:pPr>
        <w:spacing w:line="114" w:lineRule="exact" w:before="0"/>
        <w:ind w:left="890" w:right="0" w:firstLine="0"/>
        <w:jc w:val="left"/>
        <w:rPr>
          <w:sz w:val="12"/>
        </w:rPr>
      </w:pPr>
      <w:r>
        <w:rPr>
          <w:w w:val="105"/>
          <w:sz w:val="12"/>
        </w:rPr>
        <w:t>Non-cyclical services</w:t>
      </w:r>
    </w:p>
    <w:p>
      <w:pPr>
        <w:spacing w:before="12"/>
        <w:ind w:left="890" w:right="0" w:firstLine="0"/>
        <w:jc w:val="left"/>
        <w:rPr>
          <w:sz w:val="12"/>
        </w:rPr>
      </w:pPr>
      <w:r>
        <w:rPr>
          <w:w w:val="105"/>
          <w:sz w:val="12"/>
        </w:rPr>
        <w:t>Cyclical services</w:t>
      </w:r>
    </w:p>
    <w:p>
      <w:pPr>
        <w:spacing w:line="259" w:lineRule="auto" w:before="12"/>
        <w:ind w:left="890" w:right="54" w:firstLine="0"/>
        <w:jc w:val="left"/>
        <w:rPr>
          <w:sz w:val="12"/>
        </w:rPr>
      </w:pPr>
      <w:r>
        <w:rPr>
          <w:w w:val="105"/>
          <w:sz w:val="12"/>
        </w:rPr>
        <w:t>Non-cyclical consumer goods Cyclical consumer goods General industrials</w:t>
      </w:r>
    </w:p>
    <w:p>
      <w:pPr>
        <w:spacing w:line="256" w:lineRule="auto" w:before="3"/>
        <w:ind w:left="890" w:right="850" w:firstLine="0"/>
        <w:jc w:val="left"/>
        <w:rPr>
          <w:sz w:val="12"/>
        </w:rPr>
      </w:pPr>
      <w:r>
        <w:rPr>
          <w:sz w:val="12"/>
        </w:rPr>
        <w:t>Basic industries IT</w:t>
      </w:r>
    </w:p>
    <w:p>
      <w:pPr>
        <w:pStyle w:val="BodyText"/>
        <w:rPr>
          <w:sz w:val="12"/>
        </w:rPr>
      </w:pPr>
      <w:r>
        <w:rPr/>
        <w:br w:type="column"/>
      </w:r>
      <w:r>
        <w:rPr>
          <w:sz w:val="12"/>
        </w:rPr>
      </w:r>
    </w:p>
    <w:p>
      <w:pPr>
        <w:pStyle w:val="BodyText"/>
        <w:rPr>
          <w:sz w:val="12"/>
        </w:rPr>
      </w:pPr>
    </w:p>
    <w:p>
      <w:pPr>
        <w:pStyle w:val="BodyText"/>
        <w:spacing w:before="2"/>
        <w:rPr>
          <w:sz w:val="12"/>
        </w:rPr>
      </w:pPr>
    </w:p>
    <w:p>
      <w:pPr>
        <w:spacing w:before="1"/>
        <w:ind w:left="189" w:right="881" w:firstLine="0"/>
        <w:jc w:val="center"/>
        <w:rPr>
          <w:sz w:val="12"/>
        </w:rPr>
      </w:pPr>
      <w:r>
        <w:rPr>
          <w:w w:val="110"/>
          <w:sz w:val="12"/>
        </w:rPr>
        <w:t>Number</w:t>
      </w:r>
    </w:p>
    <w:p>
      <w:pPr>
        <w:spacing w:before="2"/>
        <w:ind w:left="390" w:right="392" w:firstLine="0"/>
        <w:jc w:val="center"/>
        <w:rPr>
          <w:sz w:val="12"/>
        </w:rPr>
      </w:pPr>
      <w:r>
        <w:rPr>
          <w:w w:val="120"/>
          <w:sz w:val="12"/>
        </w:rPr>
        <w:t>60</w:t>
      </w:r>
    </w:p>
    <w:p>
      <w:pPr>
        <w:pStyle w:val="BodyText"/>
        <w:rPr>
          <w:sz w:val="12"/>
        </w:rPr>
      </w:pPr>
    </w:p>
    <w:p>
      <w:pPr>
        <w:pStyle w:val="BodyText"/>
        <w:spacing w:before="5"/>
        <w:rPr>
          <w:sz w:val="17"/>
        </w:rPr>
      </w:pPr>
    </w:p>
    <w:p>
      <w:pPr>
        <w:spacing w:before="1"/>
        <w:ind w:left="390" w:right="392" w:firstLine="0"/>
        <w:jc w:val="center"/>
        <w:rPr>
          <w:sz w:val="12"/>
        </w:rPr>
      </w:pPr>
      <w:r>
        <w:rPr>
          <w:w w:val="120"/>
          <w:sz w:val="12"/>
        </w:rPr>
        <w:t>50</w:t>
      </w:r>
    </w:p>
    <w:p>
      <w:pPr>
        <w:pStyle w:val="BodyText"/>
        <w:rPr>
          <w:sz w:val="12"/>
        </w:rPr>
      </w:pPr>
    </w:p>
    <w:p>
      <w:pPr>
        <w:pStyle w:val="BodyText"/>
        <w:spacing w:before="5"/>
        <w:rPr>
          <w:sz w:val="17"/>
        </w:rPr>
      </w:pPr>
    </w:p>
    <w:p>
      <w:pPr>
        <w:spacing w:before="1"/>
        <w:ind w:left="390" w:right="392" w:firstLine="0"/>
        <w:jc w:val="center"/>
        <w:rPr>
          <w:sz w:val="12"/>
        </w:rPr>
      </w:pPr>
      <w:r>
        <w:rPr>
          <w:w w:val="120"/>
          <w:sz w:val="12"/>
        </w:rPr>
        <w:t>40</w:t>
      </w:r>
    </w:p>
    <w:p>
      <w:pPr>
        <w:pStyle w:val="BodyText"/>
        <w:rPr>
          <w:sz w:val="12"/>
        </w:rPr>
      </w:pPr>
    </w:p>
    <w:p>
      <w:pPr>
        <w:pStyle w:val="BodyText"/>
        <w:rPr>
          <w:sz w:val="12"/>
        </w:rPr>
      </w:pPr>
    </w:p>
    <w:p>
      <w:pPr>
        <w:spacing w:before="81"/>
        <w:ind w:left="390" w:right="392" w:firstLine="0"/>
        <w:jc w:val="center"/>
        <w:rPr>
          <w:sz w:val="12"/>
        </w:rPr>
      </w:pPr>
      <w:r>
        <w:rPr>
          <w:w w:val="120"/>
          <w:sz w:val="12"/>
        </w:rPr>
        <w:t>30</w:t>
      </w:r>
    </w:p>
    <w:p>
      <w:pPr>
        <w:pStyle w:val="BodyText"/>
        <w:rPr>
          <w:sz w:val="12"/>
        </w:rPr>
      </w:pPr>
    </w:p>
    <w:p>
      <w:pPr>
        <w:pStyle w:val="BodyText"/>
        <w:spacing w:before="6"/>
        <w:rPr>
          <w:sz w:val="17"/>
        </w:rPr>
      </w:pPr>
    </w:p>
    <w:p>
      <w:pPr>
        <w:spacing w:before="0"/>
        <w:ind w:left="390" w:right="392" w:firstLine="0"/>
        <w:jc w:val="center"/>
        <w:rPr>
          <w:sz w:val="12"/>
        </w:rPr>
      </w:pPr>
      <w:r>
        <w:rPr>
          <w:w w:val="120"/>
          <w:sz w:val="12"/>
        </w:rPr>
        <w:t>20</w:t>
      </w:r>
    </w:p>
    <w:p>
      <w:pPr>
        <w:pStyle w:val="BodyText"/>
        <w:rPr>
          <w:sz w:val="12"/>
        </w:rPr>
      </w:pPr>
    </w:p>
    <w:p>
      <w:pPr>
        <w:pStyle w:val="BodyText"/>
        <w:spacing w:before="6"/>
        <w:rPr>
          <w:sz w:val="17"/>
        </w:rPr>
      </w:pPr>
    </w:p>
    <w:p>
      <w:pPr>
        <w:spacing w:before="0"/>
        <w:ind w:left="390" w:right="392" w:firstLine="0"/>
        <w:jc w:val="center"/>
        <w:rPr>
          <w:sz w:val="12"/>
        </w:rPr>
      </w:pPr>
      <w:r>
        <w:rPr>
          <w:w w:val="120"/>
          <w:sz w:val="12"/>
        </w:rPr>
        <w:t>10</w:t>
      </w:r>
    </w:p>
    <w:p>
      <w:pPr>
        <w:pStyle w:val="BodyText"/>
        <w:rPr>
          <w:sz w:val="12"/>
        </w:rPr>
      </w:pPr>
    </w:p>
    <w:p>
      <w:pPr>
        <w:pStyle w:val="BodyText"/>
        <w:spacing w:before="6"/>
        <w:rPr>
          <w:sz w:val="17"/>
        </w:rPr>
      </w:pPr>
    </w:p>
    <w:p>
      <w:pPr>
        <w:spacing w:before="0"/>
        <w:ind w:left="68" w:right="0" w:firstLine="0"/>
        <w:jc w:val="center"/>
        <w:rPr>
          <w:sz w:val="12"/>
        </w:rPr>
      </w:pPr>
      <w:r>
        <w:rPr>
          <w:w w:val="121"/>
          <w:sz w:val="12"/>
        </w:rPr>
        <w:t>0</w:t>
      </w:r>
    </w:p>
    <w:p>
      <w:pPr>
        <w:spacing w:after="0"/>
        <w:jc w:val="center"/>
        <w:rPr>
          <w:sz w:val="12"/>
        </w:rPr>
        <w:sectPr>
          <w:type w:val="continuous"/>
          <w:pgSz w:w="11900" w:h="16840"/>
          <w:pgMar w:top="1260" w:bottom="280" w:left="640" w:right="640"/>
          <w:cols w:num="3" w:equalWidth="0">
            <w:col w:w="5059" w:space="77"/>
            <w:col w:w="2597" w:space="942"/>
            <w:col w:w="1945"/>
          </w:cols>
        </w:sectPr>
      </w:pPr>
    </w:p>
    <w:p>
      <w:pPr>
        <w:pStyle w:val="Heading5"/>
      </w:pPr>
      <w:r>
        <w:rPr>
          <w:w w:val="105"/>
        </w:rPr>
        <w:t>associated warning.</w:t>
      </w:r>
    </w:p>
    <w:p>
      <w:pPr>
        <w:pStyle w:val="BodyText"/>
        <w:spacing w:before="9"/>
        <w:rPr>
          <w:sz w:val="22"/>
        </w:rPr>
      </w:pPr>
    </w:p>
    <w:p>
      <w:pPr>
        <w:spacing w:line="249" w:lineRule="auto" w:before="0"/>
        <w:ind w:left="414" w:right="46" w:firstLine="0"/>
        <w:jc w:val="left"/>
        <w:rPr>
          <w:sz w:val="21"/>
        </w:rPr>
      </w:pPr>
      <w:r>
        <w:rPr>
          <w:w w:val="110"/>
          <w:sz w:val="21"/>
        </w:rPr>
        <w:t>Chart 1 shows that the number of warnings rose throughout the </w:t>
      </w:r>
      <w:r>
        <w:rPr>
          <w:spacing w:val="-3"/>
          <w:w w:val="110"/>
          <w:sz w:val="21"/>
        </w:rPr>
        <w:t>latter </w:t>
      </w:r>
      <w:r>
        <w:rPr>
          <w:w w:val="110"/>
          <w:sz w:val="21"/>
        </w:rPr>
        <w:t>half of </w:t>
      </w:r>
      <w:r>
        <w:rPr>
          <w:spacing w:val="-4"/>
          <w:w w:val="110"/>
          <w:sz w:val="21"/>
        </w:rPr>
        <w:t>2000, </w:t>
      </w:r>
      <w:r>
        <w:rPr>
          <w:w w:val="110"/>
          <w:sz w:val="21"/>
        </w:rPr>
        <w:t>though until January </w:t>
      </w:r>
      <w:r>
        <w:rPr>
          <w:spacing w:val="-11"/>
          <w:w w:val="110"/>
          <w:sz w:val="21"/>
        </w:rPr>
        <w:t>2001 </w:t>
      </w:r>
      <w:r>
        <w:rPr>
          <w:w w:val="110"/>
          <w:sz w:val="21"/>
        </w:rPr>
        <w:t>remained below those seen in </w:t>
      </w:r>
      <w:r>
        <w:rPr>
          <w:spacing w:val="-15"/>
          <w:w w:val="110"/>
          <w:sz w:val="21"/>
        </w:rPr>
        <w:t>1998. </w:t>
      </w:r>
      <w:r>
        <w:rPr>
          <w:w w:val="110"/>
          <w:sz w:val="21"/>
        </w:rPr>
        <w:t>Chart 2 shows information on the source of the shocks. </w:t>
      </w:r>
      <w:r>
        <w:rPr>
          <w:spacing w:val="-4"/>
          <w:w w:val="110"/>
          <w:sz w:val="21"/>
        </w:rPr>
        <w:t>Warnings </w:t>
      </w:r>
      <w:r>
        <w:rPr>
          <w:w w:val="110"/>
          <w:sz w:val="21"/>
        </w:rPr>
        <w:t>in the IT sector </w:t>
      </w:r>
      <w:r>
        <w:rPr>
          <w:spacing w:val="-3"/>
          <w:w w:val="110"/>
          <w:sz w:val="21"/>
        </w:rPr>
        <w:t>have </w:t>
      </w:r>
      <w:r>
        <w:rPr>
          <w:w w:val="110"/>
          <w:sz w:val="21"/>
        </w:rPr>
        <w:t>been increasing. In </w:t>
      </w:r>
      <w:r>
        <w:rPr>
          <w:spacing w:val="-4"/>
          <w:w w:val="110"/>
          <w:sz w:val="21"/>
        </w:rPr>
        <w:t>2000 </w:t>
      </w:r>
      <w:r>
        <w:rPr>
          <w:w w:val="110"/>
          <w:sz w:val="21"/>
        </w:rPr>
        <w:t>Q4, this sector accounted for </w:t>
      </w:r>
      <w:r>
        <w:rPr>
          <w:spacing w:val="-7"/>
          <w:w w:val="110"/>
          <w:sz w:val="21"/>
        </w:rPr>
        <w:t>26% </w:t>
      </w:r>
      <w:r>
        <w:rPr>
          <w:w w:val="110"/>
          <w:sz w:val="21"/>
        </w:rPr>
        <w:t>of the </w:t>
      </w:r>
      <w:r>
        <w:rPr>
          <w:spacing w:val="-3"/>
          <w:w w:val="110"/>
          <w:sz w:val="21"/>
        </w:rPr>
        <w:t>total, </w:t>
      </w:r>
      <w:r>
        <w:rPr>
          <w:w w:val="110"/>
          <w:sz w:val="21"/>
        </w:rPr>
        <w:t>despite the fact that these companies</w:t>
      </w:r>
      <w:r>
        <w:rPr>
          <w:spacing w:val="-23"/>
          <w:w w:val="110"/>
          <w:sz w:val="21"/>
        </w:rPr>
        <w:t> </w:t>
      </w:r>
      <w:r>
        <w:rPr>
          <w:w w:val="110"/>
          <w:sz w:val="21"/>
        </w:rPr>
        <w:t>make</w:t>
      </w:r>
      <w:r>
        <w:rPr>
          <w:spacing w:val="-23"/>
          <w:w w:val="110"/>
          <w:sz w:val="21"/>
        </w:rPr>
        <w:t> </w:t>
      </w:r>
      <w:r>
        <w:rPr>
          <w:w w:val="110"/>
          <w:sz w:val="21"/>
        </w:rPr>
        <w:t>up</w:t>
      </w:r>
      <w:r>
        <w:rPr>
          <w:spacing w:val="-23"/>
          <w:w w:val="110"/>
          <w:sz w:val="21"/>
        </w:rPr>
        <w:t> </w:t>
      </w:r>
      <w:r>
        <w:rPr>
          <w:w w:val="110"/>
          <w:sz w:val="21"/>
        </w:rPr>
        <w:t>just</w:t>
      </w:r>
      <w:r>
        <w:rPr>
          <w:spacing w:val="-22"/>
          <w:w w:val="110"/>
          <w:sz w:val="21"/>
        </w:rPr>
        <w:t> </w:t>
      </w:r>
      <w:r>
        <w:rPr>
          <w:spacing w:val="-9"/>
          <w:w w:val="110"/>
          <w:sz w:val="21"/>
        </w:rPr>
        <w:t>10%</w:t>
      </w:r>
      <w:r>
        <w:rPr>
          <w:spacing w:val="-23"/>
          <w:w w:val="110"/>
          <w:sz w:val="21"/>
        </w:rPr>
        <w:t> </w:t>
      </w:r>
      <w:r>
        <w:rPr>
          <w:w w:val="110"/>
          <w:sz w:val="21"/>
        </w:rPr>
        <w:t>of</w:t>
      </w:r>
      <w:r>
        <w:rPr>
          <w:spacing w:val="-23"/>
          <w:w w:val="110"/>
          <w:sz w:val="21"/>
        </w:rPr>
        <w:t> </w:t>
      </w:r>
      <w:r>
        <w:rPr>
          <w:w w:val="110"/>
          <w:sz w:val="21"/>
        </w:rPr>
        <w:t>firms</w:t>
      </w:r>
      <w:r>
        <w:rPr>
          <w:spacing w:val="-23"/>
          <w:w w:val="110"/>
          <w:sz w:val="21"/>
        </w:rPr>
        <w:t> </w:t>
      </w:r>
      <w:r>
        <w:rPr>
          <w:w w:val="110"/>
          <w:sz w:val="21"/>
        </w:rPr>
        <w:t>in</w:t>
      </w:r>
      <w:r>
        <w:rPr>
          <w:spacing w:val="-22"/>
          <w:w w:val="110"/>
          <w:sz w:val="21"/>
        </w:rPr>
        <w:t> </w:t>
      </w:r>
      <w:r>
        <w:rPr>
          <w:w w:val="110"/>
          <w:sz w:val="21"/>
        </w:rPr>
        <w:t>the</w:t>
      </w:r>
      <w:r>
        <w:rPr>
          <w:spacing w:val="-23"/>
          <w:w w:val="110"/>
          <w:sz w:val="21"/>
        </w:rPr>
        <w:t> </w:t>
      </w:r>
      <w:r>
        <w:rPr>
          <w:w w:val="110"/>
          <w:sz w:val="21"/>
        </w:rPr>
        <w:t>FTSE All-Share</w:t>
      </w:r>
      <w:r>
        <w:rPr>
          <w:spacing w:val="-8"/>
          <w:w w:val="110"/>
          <w:sz w:val="21"/>
        </w:rPr>
        <w:t> </w:t>
      </w:r>
      <w:r>
        <w:rPr>
          <w:w w:val="110"/>
          <w:sz w:val="21"/>
        </w:rPr>
        <w:t>index.</w:t>
      </w:r>
    </w:p>
    <w:p>
      <w:pPr>
        <w:pStyle w:val="BodyText"/>
        <w:spacing w:before="7"/>
        <w:rPr>
          <w:sz w:val="22"/>
        </w:rPr>
      </w:pPr>
    </w:p>
    <w:p>
      <w:pPr>
        <w:spacing w:line="249" w:lineRule="auto" w:before="0"/>
        <w:ind w:left="414" w:right="0" w:firstLine="0"/>
        <w:jc w:val="left"/>
        <w:rPr>
          <w:sz w:val="21"/>
        </w:rPr>
      </w:pPr>
      <w:r>
        <w:rPr>
          <w:w w:val="110"/>
          <w:sz w:val="21"/>
        </w:rPr>
        <w:t>The</w:t>
      </w:r>
      <w:r>
        <w:rPr>
          <w:spacing w:val="-23"/>
          <w:w w:val="110"/>
          <w:sz w:val="21"/>
        </w:rPr>
        <w:t> </w:t>
      </w:r>
      <w:r>
        <w:rPr>
          <w:w w:val="110"/>
          <w:sz w:val="21"/>
        </w:rPr>
        <w:t>causes</w:t>
      </w:r>
      <w:r>
        <w:rPr>
          <w:spacing w:val="-22"/>
          <w:w w:val="110"/>
          <w:sz w:val="21"/>
        </w:rPr>
        <w:t> </w:t>
      </w:r>
      <w:r>
        <w:rPr>
          <w:w w:val="110"/>
          <w:sz w:val="21"/>
        </w:rPr>
        <w:t>of</w:t>
      </w:r>
      <w:r>
        <w:rPr>
          <w:spacing w:val="-22"/>
          <w:w w:val="110"/>
          <w:sz w:val="21"/>
        </w:rPr>
        <w:t> </w:t>
      </w:r>
      <w:r>
        <w:rPr>
          <w:spacing w:val="-4"/>
          <w:w w:val="110"/>
          <w:sz w:val="21"/>
        </w:rPr>
        <w:t>lower-than-expected</w:t>
      </w:r>
      <w:r>
        <w:rPr>
          <w:spacing w:val="-22"/>
          <w:w w:val="110"/>
          <w:sz w:val="21"/>
        </w:rPr>
        <w:t> </w:t>
      </w:r>
      <w:r>
        <w:rPr>
          <w:w w:val="110"/>
          <w:sz w:val="21"/>
        </w:rPr>
        <w:t>profits</w:t>
      </w:r>
      <w:r>
        <w:rPr>
          <w:spacing w:val="-22"/>
          <w:w w:val="110"/>
          <w:sz w:val="21"/>
        </w:rPr>
        <w:t> </w:t>
      </w:r>
      <w:r>
        <w:rPr>
          <w:w w:val="110"/>
          <w:sz w:val="21"/>
        </w:rPr>
        <w:t>are</w:t>
      </w:r>
      <w:r>
        <w:rPr>
          <w:spacing w:val="-22"/>
          <w:w w:val="110"/>
          <w:sz w:val="21"/>
        </w:rPr>
        <w:t> </w:t>
      </w:r>
      <w:r>
        <w:rPr>
          <w:w w:val="110"/>
          <w:sz w:val="21"/>
        </w:rPr>
        <w:t>also collated.</w:t>
      </w:r>
      <w:r>
        <w:rPr>
          <w:spacing w:val="-19"/>
          <w:w w:val="110"/>
          <w:sz w:val="21"/>
        </w:rPr>
        <w:t> </w:t>
      </w:r>
      <w:r>
        <w:rPr>
          <w:w w:val="110"/>
          <w:sz w:val="21"/>
        </w:rPr>
        <w:t>There</w:t>
      </w:r>
      <w:r>
        <w:rPr>
          <w:spacing w:val="-18"/>
          <w:w w:val="110"/>
          <w:sz w:val="21"/>
        </w:rPr>
        <w:t> </w:t>
      </w:r>
      <w:r>
        <w:rPr>
          <w:spacing w:val="-3"/>
          <w:w w:val="110"/>
          <w:sz w:val="21"/>
        </w:rPr>
        <w:t>was</w:t>
      </w:r>
      <w:r>
        <w:rPr>
          <w:spacing w:val="-18"/>
          <w:w w:val="110"/>
          <w:sz w:val="21"/>
        </w:rPr>
        <w:t> </w:t>
      </w:r>
      <w:r>
        <w:rPr>
          <w:w w:val="110"/>
          <w:sz w:val="21"/>
        </w:rPr>
        <w:t>a</w:t>
      </w:r>
      <w:r>
        <w:rPr>
          <w:spacing w:val="-19"/>
          <w:w w:val="110"/>
          <w:sz w:val="21"/>
        </w:rPr>
        <w:t> </w:t>
      </w:r>
      <w:r>
        <w:rPr>
          <w:spacing w:val="-3"/>
          <w:w w:val="110"/>
          <w:sz w:val="21"/>
        </w:rPr>
        <w:t>large</w:t>
      </w:r>
      <w:r>
        <w:rPr>
          <w:spacing w:val="-18"/>
          <w:w w:val="110"/>
          <w:sz w:val="21"/>
        </w:rPr>
        <w:t> </w:t>
      </w:r>
      <w:r>
        <w:rPr>
          <w:w w:val="110"/>
          <w:sz w:val="21"/>
        </w:rPr>
        <w:t>increase</w:t>
      </w:r>
      <w:r>
        <w:rPr>
          <w:spacing w:val="-18"/>
          <w:w w:val="110"/>
          <w:sz w:val="21"/>
        </w:rPr>
        <w:t> </w:t>
      </w:r>
      <w:r>
        <w:rPr>
          <w:w w:val="110"/>
          <w:sz w:val="21"/>
        </w:rPr>
        <w:t>in</w:t>
      </w:r>
      <w:r>
        <w:rPr>
          <w:spacing w:val="-18"/>
          <w:w w:val="110"/>
          <w:sz w:val="21"/>
        </w:rPr>
        <w:t> </w:t>
      </w:r>
      <w:r>
        <w:rPr>
          <w:w w:val="110"/>
          <w:sz w:val="21"/>
        </w:rPr>
        <w:t>the</w:t>
      </w:r>
      <w:r>
        <w:rPr>
          <w:spacing w:val="-19"/>
          <w:w w:val="110"/>
          <w:sz w:val="21"/>
        </w:rPr>
        <w:t> </w:t>
      </w:r>
      <w:r>
        <w:rPr>
          <w:w w:val="110"/>
          <w:sz w:val="21"/>
        </w:rPr>
        <w:t>number of</w:t>
      </w:r>
      <w:r>
        <w:rPr>
          <w:spacing w:val="-25"/>
          <w:w w:val="110"/>
          <w:sz w:val="21"/>
        </w:rPr>
        <w:t> </w:t>
      </w:r>
      <w:r>
        <w:rPr>
          <w:w w:val="110"/>
          <w:sz w:val="21"/>
        </w:rPr>
        <w:t>firms</w:t>
      </w:r>
      <w:r>
        <w:rPr>
          <w:spacing w:val="-25"/>
          <w:w w:val="110"/>
          <w:sz w:val="21"/>
        </w:rPr>
        <w:t> </w:t>
      </w:r>
      <w:r>
        <w:rPr>
          <w:w w:val="110"/>
          <w:sz w:val="21"/>
        </w:rPr>
        <w:t>mentioning</w:t>
      </w:r>
      <w:r>
        <w:rPr>
          <w:spacing w:val="-25"/>
          <w:w w:val="110"/>
          <w:sz w:val="21"/>
        </w:rPr>
        <w:t> </w:t>
      </w:r>
      <w:r>
        <w:rPr>
          <w:w w:val="110"/>
          <w:sz w:val="21"/>
        </w:rPr>
        <w:t>Russia</w:t>
      </w:r>
      <w:r>
        <w:rPr>
          <w:spacing w:val="-25"/>
          <w:w w:val="110"/>
          <w:sz w:val="21"/>
        </w:rPr>
        <w:t> </w:t>
      </w:r>
      <w:r>
        <w:rPr>
          <w:w w:val="110"/>
          <w:sz w:val="21"/>
        </w:rPr>
        <w:t>and</w:t>
      </w:r>
      <w:r>
        <w:rPr>
          <w:spacing w:val="-25"/>
          <w:w w:val="110"/>
          <w:sz w:val="21"/>
        </w:rPr>
        <w:t> </w:t>
      </w:r>
      <w:r>
        <w:rPr>
          <w:w w:val="110"/>
          <w:sz w:val="21"/>
        </w:rPr>
        <w:t>the</w:t>
      </w:r>
      <w:r>
        <w:rPr>
          <w:spacing w:val="-25"/>
          <w:w w:val="110"/>
          <w:sz w:val="21"/>
        </w:rPr>
        <w:t> </w:t>
      </w:r>
      <w:r>
        <w:rPr>
          <w:w w:val="110"/>
          <w:sz w:val="21"/>
        </w:rPr>
        <w:t>Asian</w:t>
      </w:r>
      <w:r>
        <w:rPr>
          <w:spacing w:val="-25"/>
          <w:w w:val="110"/>
          <w:sz w:val="21"/>
        </w:rPr>
        <w:t> </w:t>
      </w:r>
      <w:r>
        <w:rPr>
          <w:w w:val="110"/>
          <w:sz w:val="21"/>
        </w:rPr>
        <w:t>crisis</w:t>
      </w:r>
      <w:r>
        <w:rPr>
          <w:spacing w:val="-25"/>
          <w:w w:val="110"/>
          <w:sz w:val="21"/>
        </w:rPr>
        <w:t> </w:t>
      </w:r>
      <w:r>
        <w:rPr>
          <w:w w:val="110"/>
          <w:sz w:val="21"/>
        </w:rPr>
        <w:t>as sources</w:t>
      </w:r>
      <w:r>
        <w:rPr>
          <w:spacing w:val="-16"/>
          <w:w w:val="110"/>
          <w:sz w:val="21"/>
        </w:rPr>
        <w:t> </w:t>
      </w:r>
      <w:r>
        <w:rPr>
          <w:w w:val="110"/>
          <w:sz w:val="21"/>
        </w:rPr>
        <w:t>of</w:t>
      </w:r>
      <w:r>
        <w:rPr>
          <w:spacing w:val="-16"/>
          <w:w w:val="110"/>
          <w:sz w:val="21"/>
        </w:rPr>
        <w:t> </w:t>
      </w:r>
      <w:r>
        <w:rPr>
          <w:w w:val="110"/>
          <w:sz w:val="21"/>
        </w:rPr>
        <w:t>profit</w:t>
      </w:r>
      <w:r>
        <w:rPr>
          <w:spacing w:val="-16"/>
          <w:w w:val="110"/>
          <w:sz w:val="21"/>
        </w:rPr>
        <w:t> </w:t>
      </w:r>
      <w:r>
        <w:rPr>
          <w:w w:val="110"/>
          <w:sz w:val="21"/>
        </w:rPr>
        <w:t>shortfalls</w:t>
      </w:r>
      <w:r>
        <w:rPr>
          <w:spacing w:val="-16"/>
          <w:w w:val="110"/>
          <w:sz w:val="21"/>
        </w:rPr>
        <w:t> </w:t>
      </w:r>
      <w:r>
        <w:rPr>
          <w:w w:val="110"/>
          <w:sz w:val="21"/>
        </w:rPr>
        <w:t>in</w:t>
      </w:r>
      <w:r>
        <w:rPr>
          <w:spacing w:val="-16"/>
          <w:w w:val="110"/>
          <w:sz w:val="21"/>
        </w:rPr>
        <w:t> </w:t>
      </w:r>
      <w:r>
        <w:rPr>
          <w:spacing w:val="-15"/>
          <w:w w:val="110"/>
          <w:sz w:val="21"/>
        </w:rPr>
        <w:t>1998.</w:t>
      </w:r>
      <w:r>
        <w:rPr>
          <w:spacing w:val="27"/>
          <w:w w:val="110"/>
          <w:sz w:val="21"/>
        </w:rPr>
        <w:t> </w:t>
      </w:r>
      <w:r>
        <w:rPr>
          <w:w w:val="110"/>
          <w:sz w:val="21"/>
        </w:rPr>
        <w:t>More</w:t>
      </w:r>
      <w:r>
        <w:rPr>
          <w:spacing w:val="-16"/>
          <w:w w:val="110"/>
          <w:sz w:val="21"/>
        </w:rPr>
        <w:t> </w:t>
      </w:r>
      <w:r>
        <w:rPr>
          <w:spacing w:val="-4"/>
          <w:w w:val="110"/>
          <w:sz w:val="21"/>
        </w:rPr>
        <w:t>recently, </w:t>
      </w:r>
      <w:r>
        <w:rPr>
          <w:w w:val="110"/>
          <w:sz w:val="21"/>
        </w:rPr>
        <w:t>a</w:t>
      </w:r>
      <w:r>
        <w:rPr>
          <w:spacing w:val="-22"/>
          <w:w w:val="110"/>
          <w:sz w:val="21"/>
        </w:rPr>
        <w:t> </w:t>
      </w:r>
      <w:r>
        <w:rPr>
          <w:w w:val="110"/>
          <w:sz w:val="21"/>
        </w:rPr>
        <w:t>relatively</w:t>
      </w:r>
      <w:r>
        <w:rPr>
          <w:spacing w:val="-21"/>
          <w:w w:val="110"/>
          <w:sz w:val="21"/>
        </w:rPr>
        <w:t> </w:t>
      </w:r>
      <w:r>
        <w:rPr>
          <w:spacing w:val="-3"/>
          <w:w w:val="110"/>
          <w:sz w:val="21"/>
        </w:rPr>
        <w:t>large</w:t>
      </w:r>
      <w:r>
        <w:rPr>
          <w:spacing w:val="-22"/>
          <w:w w:val="110"/>
          <w:sz w:val="21"/>
        </w:rPr>
        <w:t> </w:t>
      </w:r>
      <w:r>
        <w:rPr>
          <w:w w:val="110"/>
          <w:sz w:val="21"/>
        </w:rPr>
        <w:t>number</w:t>
      </w:r>
      <w:r>
        <w:rPr>
          <w:spacing w:val="-21"/>
          <w:w w:val="110"/>
          <w:sz w:val="21"/>
        </w:rPr>
        <w:t> </w:t>
      </w:r>
      <w:r>
        <w:rPr>
          <w:w w:val="110"/>
          <w:sz w:val="21"/>
        </w:rPr>
        <w:t>of</w:t>
      </w:r>
      <w:r>
        <w:rPr>
          <w:spacing w:val="-22"/>
          <w:w w:val="110"/>
          <w:sz w:val="21"/>
        </w:rPr>
        <w:t> </w:t>
      </w:r>
      <w:r>
        <w:rPr>
          <w:w w:val="110"/>
          <w:sz w:val="21"/>
        </w:rPr>
        <w:t>firms</w:t>
      </w:r>
      <w:r>
        <w:rPr>
          <w:spacing w:val="-21"/>
          <w:w w:val="110"/>
          <w:sz w:val="21"/>
        </w:rPr>
        <w:t> </w:t>
      </w:r>
      <w:r>
        <w:rPr>
          <w:spacing w:val="-3"/>
          <w:w w:val="110"/>
          <w:sz w:val="21"/>
        </w:rPr>
        <w:t>have</w:t>
      </w:r>
      <w:r>
        <w:rPr>
          <w:spacing w:val="-22"/>
          <w:w w:val="110"/>
          <w:sz w:val="21"/>
        </w:rPr>
        <w:t> </w:t>
      </w:r>
      <w:r>
        <w:rPr>
          <w:w w:val="110"/>
          <w:sz w:val="21"/>
        </w:rPr>
        <w:t>cited</w:t>
      </w:r>
      <w:r>
        <w:rPr>
          <w:spacing w:val="-21"/>
          <w:w w:val="110"/>
          <w:sz w:val="21"/>
        </w:rPr>
        <w:t> </w:t>
      </w:r>
      <w:r>
        <w:rPr>
          <w:w w:val="110"/>
          <w:sz w:val="21"/>
        </w:rPr>
        <w:t>firm and</w:t>
      </w:r>
      <w:r>
        <w:rPr>
          <w:spacing w:val="-22"/>
          <w:w w:val="110"/>
          <w:sz w:val="21"/>
        </w:rPr>
        <w:t> </w:t>
      </w:r>
      <w:r>
        <w:rPr>
          <w:w w:val="110"/>
          <w:sz w:val="21"/>
        </w:rPr>
        <w:t>industry-specific</w:t>
      </w:r>
      <w:r>
        <w:rPr>
          <w:spacing w:val="-22"/>
          <w:w w:val="110"/>
          <w:sz w:val="21"/>
        </w:rPr>
        <w:t> </w:t>
      </w:r>
      <w:r>
        <w:rPr>
          <w:spacing w:val="-3"/>
          <w:w w:val="110"/>
          <w:sz w:val="21"/>
        </w:rPr>
        <w:t>factors,</w:t>
      </w:r>
      <w:r>
        <w:rPr>
          <w:spacing w:val="-22"/>
          <w:w w:val="110"/>
          <w:sz w:val="21"/>
        </w:rPr>
        <w:t> </w:t>
      </w:r>
      <w:r>
        <w:rPr>
          <w:w w:val="110"/>
          <w:sz w:val="21"/>
        </w:rPr>
        <w:t>and</w:t>
      </w:r>
      <w:r>
        <w:rPr>
          <w:spacing w:val="-22"/>
          <w:w w:val="110"/>
          <w:sz w:val="21"/>
        </w:rPr>
        <w:t> </w:t>
      </w:r>
      <w:r>
        <w:rPr>
          <w:spacing w:val="-3"/>
          <w:w w:val="110"/>
          <w:sz w:val="21"/>
        </w:rPr>
        <w:t>fewer</w:t>
      </w:r>
      <w:r>
        <w:rPr>
          <w:spacing w:val="-22"/>
          <w:w w:val="110"/>
          <w:sz w:val="21"/>
        </w:rPr>
        <w:t> </w:t>
      </w:r>
      <w:r>
        <w:rPr>
          <w:spacing w:val="-3"/>
          <w:w w:val="110"/>
          <w:sz w:val="21"/>
        </w:rPr>
        <w:t>have</w:t>
      </w:r>
      <w:r>
        <w:rPr>
          <w:spacing w:val="-22"/>
          <w:w w:val="110"/>
          <w:sz w:val="21"/>
        </w:rPr>
        <w:t> </w:t>
      </w:r>
      <w:r>
        <w:rPr>
          <w:spacing w:val="-3"/>
          <w:w w:val="110"/>
          <w:sz w:val="21"/>
        </w:rPr>
        <w:t>cited</w:t>
      </w:r>
    </w:p>
    <w:p>
      <w:pPr>
        <w:tabs>
          <w:tab w:pos="1218" w:val="left" w:leader="none"/>
          <w:tab w:pos="1753" w:val="left" w:leader="none"/>
          <w:tab w:pos="2366" w:val="left" w:leader="none"/>
          <w:tab w:pos="2886" w:val="left" w:leader="none"/>
          <w:tab w:pos="3408" w:val="left" w:leader="none"/>
          <w:tab w:pos="4008" w:val="left" w:leader="none"/>
        </w:tabs>
        <w:spacing w:line="123" w:lineRule="exact" w:before="0"/>
        <w:ind w:left="684" w:right="0" w:firstLine="0"/>
        <w:jc w:val="left"/>
        <w:rPr>
          <w:sz w:val="12"/>
        </w:rPr>
      </w:pPr>
      <w:r>
        <w:rPr/>
        <w:br w:type="column"/>
      </w:r>
      <w:r>
        <w:rPr>
          <w:sz w:val="12"/>
        </w:rPr>
        <w:t>Jan.</w:t>
        <w:tab/>
        <w:t>Mar.</w:t>
        <w:tab/>
        <w:t>May</w:t>
        <w:tab/>
        <w:t>July</w:t>
        <w:tab/>
        <w:t>Sept.</w:t>
        <w:tab/>
        <w:t>Nov.</w:t>
        <w:tab/>
        <w:t>Jan.</w:t>
      </w:r>
    </w:p>
    <w:p>
      <w:pPr>
        <w:tabs>
          <w:tab w:pos="4061" w:val="left" w:leader="none"/>
        </w:tabs>
        <w:spacing w:before="78"/>
        <w:ind w:left="2037" w:right="0" w:firstLine="0"/>
        <w:jc w:val="left"/>
        <w:rPr>
          <w:sz w:val="12"/>
        </w:rPr>
      </w:pPr>
      <w:r>
        <w:rPr>
          <w:w w:val="120"/>
          <w:sz w:val="12"/>
        </w:rPr>
        <w:t>2000</w:t>
        <w:tab/>
        <w:t>01</w:t>
      </w:r>
    </w:p>
    <w:p>
      <w:pPr>
        <w:pStyle w:val="BodyText"/>
        <w:spacing w:before="8"/>
        <w:rPr>
          <w:sz w:val="13"/>
        </w:rPr>
      </w:pPr>
    </w:p>
    <w:p>
      <w:pPr>
        <w:pStyle w:val="Heading5"/>
        <w:spacing w:line="249" w:lineRule="auto"/>
        <w:ind w:right="523"/>
      </w:pPr>
      <w:r>
        <w:rPr>
          <w:w w:val="105"/>
        </w:rPr>
        <w:t>‘domestic </w:t>
      </w:r>
      <w:r>
        <w:rPr>
          <w:spacing w:val="-4"/>
          <w:w w:val="105"/>
        </w:rPr>
        <w:t>demand’. </w:t>
      </w:r>
      <w:r>
        <w:rPr>
          <w:w w:val="105"/>
        </w:rPr>
        <w:t>The </w:t>
      </w:r>
      <w:r>
        <w:rPr>
          <w:spacing w:val="-3"/>
          <w:w w:val="105"/>
        </w:rPr>
        <w:t>diversity </w:t>
      </w:r>
      <w:r>
        <w:rPr>
          <w:w w:val="105"/>
        </w:rPr>
        <w:t>of reasons being offered is consistent with an economy undergoing structural change, so the implications for aggregate macroeconomic prospects are unclear. A new (but temporary) reason emerged in </w:t>
      </w:r>
      <w:r>
        <w:rPr>
          <w:spacing w:val="-4"/>
          <w:w w:val="105"/>
        </w:rPr>
        <w:t>2000 </w:t>
      </w:r>
      <w:r>
        <w:rPr>
          <w:w w:val="105"/>
        </w:rPr>
        <w:t>Q4.  </w:t>
      </w:r>
      <w:r>
        <w:rPr>
          <w:spacing w:val="-25"/>
          <w:w w:val="105"/>
        </w:rPr>
        <w:t>11  </w:t>
      </w:r>
      <w:r>
        <w:rPr>
          <w:w w:val="105"/>
        </w:rPr>
        <w:t>of the  </w:t>
      </w:r>
      <w:r>
        <w:rPr>
          <w:spacing w:val="-14"/>
          <w:w w:val="105"/>
        </w:rPr>
        <w:t>76 </w:t>
      </w:r>
      <w:r>
        <w:rPr>
          <w:w w:val="105"/>
        </w:rPr>
        <w:t>firms that provided explanations for their warnings cited ‘the petrol </w:t>
      </w:r>
      <w:r>
        <w:rPr>
          <w:spacing w:val="-5"/>
          <w:w w:val="105"/>
        </w:rPr>
        <w:t>crisis’, </w:t>
      </w:r>
      <w:r>
        <w:rPr>
          <w:w w:val="105"/>
        </w:rPr>
        <w:t>and </w:t>
      </w:r>
      <w:r>
        <w:rPr>
          <w:spacing w:val="-3"/>
          <w:w w:val="105"/>
        </w:rPr>
        <w:t>several </w:t>
      </w:r>
      <w:r>
        <w:rPr>
          <w:w w:val="105"/>
        </w:rPr>
        <w:t>of these also blamed the</w:t>
      </w:r>
      <w:r>
        <w:rPr>
          <w:spacing w:val="-5"/>
          <w:w w:val="105"/>
        </w:rPr>
        <w:t> </w:t>
      </w:r>
      <w:r>
        <w:rPr>
          <w:spacing w:val="-3"/>
          <w:w w:val="105"/>
        </w:rPr>
        <w:t>weather.</w:t>
      </w:r>
    </w:p>
    <w:p>
      <w:pPr>
        <w:pStyle w:val="BodyText"/>
        <w:spacing w:before="6"/>
        <w:rPr>
          <w:sz w:val="22"/>
        </w:rPr>
      </w:pPr>
    </w:p>
    <w:p>
      <w:pPr>
        <w:spacing w:line="249" w:lineRule="auto" w:before="0"/>
        <w:ind w:left="414" w:right="588" w:firstLine="0"/>
        <w:jc w:val="left"/>
        <w:rPr>
          <w:sz w:val="21"/>
        </w:rPr>
      </w:pPr>
      <w:r>
        <w:rPr>
          <w:w w:val="110"/>
          <w:sz w:val="21"/>
        </w:rPr>
        <w:t>The</w:t>
      </w:r>
      <w:r>
        <w:rPr>
          <w:spacing w:val="-19"/>
          <w:w w:val="110"/>
          <w:sz w:val="21"/>
        </w:rPr>
        <w:t> </w:t>
      </w:r>
      <w:r>
        <w:rPr>
          <w:w w:val="110"/>
          <w:sz w:val="21"/>
        </w:rPr>
        <w:t>Bank</w:t>
      </w:r>
      <w:r>
        <w:rPr>
          <w:spacing w:val="-18"/>
          <w:w w:val="110"/>
          <w:sz w:val="21"/>
        </w:rPr>
        <w:t> </w:t>
      </w:r>
      <w:r>
        <w:rPr>
          <w:w w:val="110"/>
          <w:sz w:val="21"/>
        </w:rPr>
        <w:t>will</w:t>
      </w:r>
      <w:r>
        <w:rPr>
          <w:spacing w:val="-18"/>
          <w:w w:val="110"/>
          <w:sz w:val="21"/>
        </w:rPr>
        <w:t> </w:t>
      </w:r>
      <w:r>
        <w:rPr>
          <w:w w:val="110"/>
          <w:sz w:val="21"/>
        </w:rPr>
        <w:t>continue</w:t>
      </w:r>
      <w:r>
        <w:rPr>
          <w:spacing w:val="-18"/>
          <w:w w:val="110"/>
          <w:sz w:val="21"/>
        </w:rPr>
        <w:t> </w:t>
      </w:r>
      <w:r>
        <w:rPr>
          <w:spacing w:val="-4"/>
          <w:w w:val="110"/>
          <w:sz w:val="21"/>
        </w:rPr>
        <w:t>to</w:t>
      </w:r>
      <w:r>
        <w:rPr>
          <w:spacing w:val="-18"/>
          <w:w w:val="110"/>
          <w:sz w:val="21"/>
        </w:rPr>
        <w:t> </w:t>
      </w:r>
      <w:r>
        <w:rPr>
          <w:w w:val="110"/>
          <w:sz w:val="21"/>
        </w:rPr>
        <w:t>monitor</w:t>
      </w:r>
      <w:r>
        <w:rPr>
          <w:spacing w:val="-18"/>
          <w:w w:val="110"/>
          <w:sz w:val="21"/>
        </w:rPr>
        <w:t> </w:t>
      </w:r>
      <w:r>
        <w:rPr>
          <w:w w:val="110"/>
          <w:sz w:val="21"/>
        </w:rPr>
        <w:t>this</w:t>
      </w:r>
      <w:r>
        <w:rPr>
          <w:spacing w:val="-18"/>
          <w:w w:val="110"/>
          <w:sz w:val="21"/>
        </w:rPr>
        <w:t> </w:t>
      </w:r>
      <w:r>
        <w:rPr>
          <w:w w:val="110"/>
          <w:sz w:val="21"/>
        </w:rPr>
        <w:t>source</w:t>
      </w:r>
      <w:r>
        <w:rPr>
          <w:spacing w:val="-18"/>
          <w:w w:val="110"/>
          <w:sz w:val="21"/>
        </w:rPr>
        <w:t> </w:t>
      </w:r>
      <w:r>
        <w:rPr>
          <w:w w:val="110"/>
          <w:sz w:val="21"/>
        </w:rPr>
        <w:t>of information on the health of the UK corporate </w:t>
      </w:r>
      <w:r>
        <w:rPr>
          <w:spacing w:val="-4"/>
          <w:w w:val="110"/>
          <w:sz w:val="21"/>
        </w:rPr>
        <w:t>sector.</w:t>
      </w:r>
      <w:r>
        <w:rPr>
          <w:spacing w:val="23"/>
          <w:w w:val="110"/>
          <w:sz w:val="21"/>
        </w:rPr>
        <w:t> </w:t>
      </w:r>
      <w:r>
        <w:rPr>
          <w:w w:val="110"/>
          <w:sz w:val="21"/>
        </w:rPr>
        <w:t>Its</w:t>
      </w:r>
      <w:r>
        <w:rPr>
          <w:spacing w:val="-17"/>
          <w:w w:val="110"/>
          <w:sz w:val="21"/>
        </w:rPr>
        <w:t> </w:t>
      </w:r>
      <w:r>
        <w:rPr>
          <w:w w:val="110"/>
          <w:sz w:val="21"/>
        </w:rPr>
        <w:t>value</w:t>
      </w:r>
      <w:r>
        <w:rPr>
          <w:spacing w:val="-17"/>
          <w:w w:val="110"/>
          <w:sz w:val="21"/>
        </w:rPr>
        <w:t> </w:t>
      </w:r>
      <w:r>
        <w:rPr>
          <w:w w:val="110"/>
          <w:sz w:val="21"/>
        </w:rPr>
        <w:t>as</w:t>
      </w:r>
      <w:r>
        <w:rPr>
          <w:spacing w:val="-18"/>
          <w:w w:val="110"/>
          <w:sz w:val="21"/>
        </w:rPr>
        <w:t> </w:t>
      </w:r>
      <w:r>
        <w:rPr>
          <w:w w:val="110"/>
          <w:sz w:val="21"/>
        </w:rPr>
        <w:t>a</w:t>
      </w:r>
      <w:r>
        <w:rPr>
          <w:spacing w:val="-17"/>
          <w:w w:val="110"/>
          <w:sz w:val="21"/>
        </w:rPr>
        <w:t> </w:t>
      </w:r>
      <w:r>
        <w:rPr>
          <w:w w:val="110"/>
          <w:sz w:val="21"/>
        </w:rPr>
        <w:t>leading</w:t>
      </w:r>
      <w:r>
        <w:rPr>
          <w:spacing w:val="-17"/>
          <w:w w:val="110"/>
          <w:sz w:val="21"/>
        </w:rPr>
        <w:t> </w:t>
      </w:r>
      <w:r>
        <w:rPr>
          <w:w w:val="110"/>
          <w:sz w:val="21"/>
        </w:rPr>
        <w:t>indicator</w:t>
      </w:r>
      <w:r>
        <w:rPr>
          <w:spacing w:val="-18"/>
          <w:w w:val="110"/>
          <w:sz w:val="21"/>
        </w:rPr>
        <w:t> </w:t>
      </w:r>
      <w:r>
        <w:rPr>
          <w:w w:val="110"/>
          <w:sz w:val="21"/>
        </w:rPr>
        <w:t>for</w:t>
      </w:r>
      <w:r>
        <w:rPr>
          <w:spacing w:val="-17"/>
          <w:w w:val="110"/>
          <w:sz w:val="21"/>
        </w:rPr>
        <w:t> </w:t>
      </w:r>
      <w:r>
        <w:rPr>
          <w:w w:val="110"/>
          <w:sz w:val="21"/>
        </w:rPr>
        <w:t>general macroeconomic</w:t>
      </w:r>
      <w:r>
        <w:rPr>
          <w:spacing w:val="-20"/>
          <w:w w:val="110"/>
          <w:sz w:val="21"/>
        </w:rPr>
        <w:t> </w:t>
      </w:r>
      <w:r>
        <w:rPr>
          <w:w w:val="110"/>
          <w:sz w:val="21"/>
        </w:rPr>
        <w:t>prospects</w:t>
      </w:r>
      <w:r>
        <w:rPr>
          <w:spacing w:val="-20"/>
          <w:w w:val="110"/>
          <w:sz w:val="21"/>
        </w:rPr>
        <w:t> </w:t>
      </w:r>
      <w:r>
        <w:rPr>
          <w:w w:val="110"/>
          <w:sz w:val="21"/>
        </w:rPr>
        <w:t>cannot</w:t>
      </w:r>
      <w:r>
        <w:rPr>
          <w:spacing w:val="-19"/>
          <w:w w:val="110"/>
          <w:sz w:val="21"/>
        </w:rPr>
        <w:t> </w:t>
      </w:r>
      <w:r>
        <w:rPr>
          <w:w w:val="110"/>
          <w:sz w:val="21"/>
        </w:rPr>
        <w:t>yet</w:t>
      </w:r>
      <w:r>
        <w:rPr>
          <w:spacing w:val="-20"/>
          <w:w w:val="110"/>
          <w:sz w:val="21"/>
        </w:rPr>
        <w:t> </w:t>
      </w:r>
      <w:r>
        <w:rPr>
          <w:w w:val="110"/>
          <w:sz w:val="21"/>
        </w:rPr>
        <w:t>be</w:t>
      </w:r>
      <w:r>
        <w:rPr>
          <w:spacing w:val="-19"/>
          <w:w w:val="110"/>
          <w:sz w:val="21"/>
        </w:rPr>
        <w:t> </w:t>
      </w:r>
      <w:r>
        <w:rPr>
          <w:spacing w:val="-3"/>
          <w:w w:val="110"/>
          <w:sz w:val="21"/>
        </w:rPr>
        <w:t>assessed. </w:t>
      </w:r>
      <w:r>
        <w:rPr>
          <w:w w:val="110"/>
          <w:sz w:val="21"/>
        </w:rPr>
        <w:t>But</w:t>
      </w:r>
      <w:r>
        <w:rPr>
          <w:spacing w:val="-20"/>
          <w:w w:val="110"/>
          <w:sz w:val="21"/>
        </w:rPr>
        <w:t> </w:t>
      </w:r>
      <w:r>
        <w:rPr>
          <w:w w:val="110"/>
          <w:sz w:val="21"/>
        </w:rPr>
        <w:t>it</w:t>
      </w:r>
      <w:r>
        <w:rPr>
          <w:spacing w:val="-20"/>
          <w:w w:val="110"/>
          <w:sz w:val="21"/>
        </w:rPr>
        <w:t> </w:t>
      </w:r>
      <w:r>
        <w:rPr>
          <w:w w:val="110"/>
          <w:sz w:val="21"/>
        </w:rPr>
        <w:t>undoubtedly</w:t>
      </w:r>
      <w:r>
        <w:rPr>
          <w:spacing w:val="-20"/>
          <w:w w:val="110"/>
          <w:sz w:val="21"/>
        </w:rPr>
        <w:t> </w:t>
      </w:r>
      <w:r>
        <w:rPr>
          <w:w w:val="110"/>
          <w:sz w:val="21"/>
        </w:rPr>
        <w:t>offers</w:t>
      </w:r>
      <w:r>
        <w:rPr>
          <w:spacing w:val="-20"/>
          <w:w w:val="110"/>
          <w:sz w:val="21"/>
        </w:rPr>
        <w:t> </w:t>
      </w:r>
      <w:r>
        <w:rPr>
          <w:w w:val="110"/>
          <w:sz w:val="21"/>
        </w:rPr>
        <w:t>a</w:t>
      </w:r>
      <w:r>
        <w:rPr>
          <w:spacing w:val="-20"/>
          <w:w w:val="110"/>
          <w:sz w:val="21"/>
        </w:rPr>
        <w:t> </w:t>
      </w:r>
      <w:r>
        <w:rPr>
          <w:w w:val="110"/>
          <w:sz w:val="21"/>
        </w:rPr>
        <w:t>rich</w:t>
      </w:r>
      <w:r>
        <w:rPr>
          <w:spacing w:val="-20"/>
          <w:w w:val="110"/>
          <w:sz w:val="21"/>
        </w:rPr>
        <w:t> </w:t>
      </w:r>
      <w:r>
        <w:rPr>
          <w:w w:val="110"/>
          <w:sz w:val="21"/>
        </w:rPr>
        <w:t>and</w:t>
      </w:r>
      <w:r>
        <w:rPr>
          <w:spacing w:val="-20"/>
          <w:w w:val="110"/>
          <w:sz w:val="21"/>
        </w:rPr>
        <w:t> </w:t>
      </w:r>
      <w:r>
        <w:rPr>
          <w:w w:val="110"/>
          <w:sz w:val="21"/>
        </w:rPr>
        <w:t>timely</w:t>
      </w:r>
      <w:r>
        <w:rPr>
          <w:spacing w:val="-19"/>
          <w:w w:val="110"/>
          <w:sz w:val="21"/>
        </w:rPr>
        <w:t> </w:t>
      </w:r>
      <w:r>
        <w:rPr>
          <w:w w:val="110"/>
          <w:sz w:val="21"/>
        </w:rPr>
        <w:t>source of information on past and current changes affecting the corporate</w:t>
      </w:r>
      <w:r>
        <w:rPr>
          <w:spacing w:val="-18"/>
          <w:w w:val="110"/>
          <w:sz w:val="21"/>
        </w:rPr>
        <w:t> </w:t>
      </w:r>
      <w:r>
        <w:rPr>
          <w:spacing w:val="-3"/>
          <w:w w:val="110"/>
          <w:sz w:val="21"/>
        </w:rPr>
        <w:t>sector.</w:t>
      </w:r>
    </w:p>
    <w:p>
      <w:pPr>
        <w:spacing w:after="0" w:line="249" w:lineRule="auto"/>
        <w:jc w:val="left"/>
        <w:rPr>
          <w:sz w:val="21"/>
        </w:rPr>
        <w:sectPr>
          <w:type w:val="continuous"/>
          <w:pgSz w:w="11900" w:h="16840"/>
          <w:pgMar w:top="1260" w:bottom="280" w:left="640" w:right="640"/>
          <w:cols w:num="2" w:equalWidth="0">
            <w:col w:w="4964" w:space="166"/>
            <w:col w:w="5490"/>
          </w:cols>
        </w:sectPr>
      </w:pPr>
    </w:p>
    <w:p>
      <w:pPr>
        <w:pStyle w:val="BodyText"/>
        <w:spacing w:before="6"/>
      </w:pPr>
      <w:r>
        <w:rPr/>
        <w:pict>
          <v:group style="position:absolute;margin-left:39pt;margin-top:40pt;width:517.3pt;height:740pt;mso-position-horizontal-relative:page;mso-position-vertical-relative:page;z-index:-23421440" coordorigin="780,800" coordsize="10346,14800">
            <v:rect style="position:absolute;left:790;top:810;width:10326;height:14780" filled="true" fillcolor="#eff7f8" stroked="false">
              <v:fill type="solid"/>
            </v:rect>
            <v:rect style="position:absolute;left:790;top:810;width:10326;height:14780" filled="false" stroked="true" strokeweight="1pt" strokecolor="#006cb4">
              <v:stroke dashstyle="solid"/>
            </v:rect>
            <v:rect style="position:absolute;left:6392;top:4552;width:45;height:870" filled="true" fillcolor="#00a2a0" stroked="false">
              <v:fill type="solid"/>
            </v:rect>
            <v:rect style="position:absolute;left:6392;top:4552;width:45;height:870" filled="false" stroked="true" strokeweight=".5pt" strokecolor="#000000">
              <v:stroke dashstyle="solid"/>
            </v:rect>
            <v:rect style="position:absolute;left:6477;top:4745;width:45;height:678" filled="true" fillcolor="#00a2a0" stroked="false">
              <v:fill type="solid"/>
            </v:rect>
            <v:rect style="position:absolute;left:6477;top:4745;width:45;height:678" filled="false" stroked="true" strokeweight=".5pt" strokecolor="#000000">
              <v:stroke dashstyle="solid"/>
            </v:rect>
            <v:rect style="position:absolute;left:6562;top:4167;width:45;height:1255" filled="true" fillcolor="#00a2a0" stroked="false">
              <v:fill type="solid"/>
            </v:rect>
            <v:rect style="position:absolute;left:6562;top:4167;width:45;height:1255" filled="false" stroked="true" strokeweight=".5pt" strokecolor="#000000">
              <v:stroke dashstyle="solid"/>
            </v:rect>
            <v:rect style="position:absolute;left:6645;top:5092;width:45;height:330" filled="true" fillcolor="#00a2a0" stroked="false">
              <v:fill type="solid"/>
            </v:rect>
            <v:rect style="position:absolute;left:6645;top:5092;width:45;height:330" filled="false" stroked="true" strokeweight=".5pt" strokecolor="#000000">
              <v:stroke dashstyle="solid"/>
            </v:rect>
            <v:rect style="position:absolute;left:6730;top:4322;width:45;height:1100" filled="true" fillcolor="#00a2a0" stroked="false">
              <v:fill type="solid"/>
            </v:rect>
            <v:rect style="position:absolute;left:6730;top:4322;width:45;height:1100" filled="false" stroked="true" strokeweight=".5pt" strokecolor="#000000">
              <v:stroke dashstyle="solid"/>
            </v:rect>
            <v:rect style="position:absolute;left:6815;top:4360;width:45;height:1063" filled="true" fillcolor="#00a2a0" stroked="false">
              <v:fill type="solid"/>
            </v:rect>
            <v:rect style="position:absolute;left:6815;top:4360;width:45;height:1063" filled="false" stroked="true" strokeweight=".5pt" strokecolor="#000000">
              <v:stroke dashstyle="solid"/>
            </v:rect>
            <v:rect style="position:absolute;left:6900;top:4322;width:45;height:1100" filled="true" fillcolor="#00a2a0" stroked="false">
              <v:fill type="solid"/>
            </v:rect>
            <v:rect style="position:absolute;left:6900;top:4322;width:45;height:1100" filled="false" stroked="true" strokeweight=".5pt" strokecolor="#000000">
              <v:stroke dashstyle="solid"/>
            </v:rect>
            <v:rect style="position:absolute;left:6982;top:4322;width:45;height:1100" filled="true" fillcolor="#00a2a0" stroked="false">
              <v:fill type="solid"/>
            </v:rect>
            <v:rect style="position:absolute;left:6982;top:4322;width:45;height:1100" filled="false" stroked="true" strokeweight=".5pt" strokecolor="#000000">
              <v:stroke dashstyle="solid"/>
            </v:rect>
            <v:rect style="position:absolute;left:7067;top:4072;width:45;height:1350" filled="true" fillcolor="#00a2a0" stroked="false">
              <v:fill type="solid"/>
            </v:rect>
            <v:rect style="position:absolute;left:7067;top:4072;width:45;height:1350" filled="false" stroked="true" strokeweight=".5pt" strokecolor="#000000">
              <v:stroke dashstyle="solid"/>
            </v:rect>
            <v:rect style="position:absolute;left:7152;top:4997;width:45;height:425" filled="true" fillcolor="#00a2a0" stroked="false">
              <v:fill type="solid"/>
            </v:rect>
            <v:rect style="position:absolute;left:7152;top:4997;width:45;height:425" filled="false" stroked="true" strokeweight=".5pt" strokecolor="#000000">
              <v:stroke dashstyle="solid"/>
            </v:rect>
            <v:rect style="position:absolute;left:7237;top:4552;width:30;height:870" filled="true" fillcolor="#00a2a0" stroked="false">
              <v:fill type="solid"/>
            </v:rect>
            <v:rect style="position:absolute;left:7237;top:4552;width:30;height:870" filled="false" stroked="true" strokeweight=".5pt" strokecolor="#000000">
              <v:stroke dashstyle="solid"/>
            </v:rect>
            <v:rect style="position:absolute;left:7234;top:4552;width:36;height:870" filled="true" fillcolor="#00a2a0" stroked="false">
              <v:fill type="solid"/>
            </v:rect>
            <v:rect style="position:absolute;left:7234;top:4552;width:36;height:870" filled="false" stroked="true" strokeweight=".5pt" strokecolor="#000000">
              <v:stroke dashstyle="solid"/>
            </v:rect>
            <v:rect style="position:absolute;left:7307;top:4032;width:45;height:1390" filled="true" fillcolor="#00a2a0" stroked="false">
              <v:fill type="solid"/>
            </v:rect>
            <v:rect style="position:absolute;left:7307;top:4032;width:45;height:1390" filled="false" stroked="true" strokeweight=".5pt" strokecolor="#000000">
              <v:stroke dashstyle="solid"/>
            </v:rect>
            <v:rect style="position:absolute;left:7392;top:3415;width:43;height:2008" filled="true" fillcolor="#00a2a0" stroked="false">
              <v:fill type="solid"/>
            </v:rect>
            <v:rect style="position:absolute;left:7392;top:3415;width:43;height:2008" filled="false" stroked="true" strokeweight=".5pt" strokecolor="#000000">
              <v:stroke dashstyle="solid"/>
            </v:rect>
            <v:rect style="position:absolute;left:7475;top:4805;width:45;height:618" filled="true" fillcolor="#00a2a0" stroked="false">
              <v:fill type="solid"/>
            </v:rect>
            <v:rect style="position:absolute;left:7475;top:4805;width:45;height:618" filled="false" stroked="true" strokeweight=".5pt" strokecolor="#000000">
              <v:stroke dashstyle="solid"/>
            </v:rect>
            <v:rect style="position:absolute;left:7560;top:3742;width:45;height:1680" filled="true" fillcolor="#00a2a0" stroked="false">
              <v:fill type="solid"/>
            </v:rect>
            <v:rect style="position:absolute;left:7560;top:3742;width:45;height:1680" filled="false" stroked="true" strokeweight=".5pt" strokecolor="#000000">
              <v:stroke dashstyle="solid"/>
            </v:rect>
            <v:rect style="position:absolute;left:7645;top:4322;width:45;height:1100" filled="true" fillcolor="#00a2a0" stroked="false">
              <v:fill type="solid"/>
            </v:rect>
            <v:rect style="position:absolute;left:7645;top:4322;width:45;height:1100" filled="false" stroked="true" strokeweight=".5pt" strokecolor="#000000">
              <v:stroke dashstyle="solid"/>
            </v:rect>
            <v:rect style="position:absolute;left:7730;top:3415;width:45;height:2008" filled="true" fillcolor="#00a2a0" stroked="false">
              <v:fill type="solid"/>
            </v:rect>
            <v:rect style="position:absolute;left:7730;top:3415;width:45;height:2008" filled="false" stroked="true" strokeweight=".5pt" strokecolor="#000000">
              <v:stroke dashstyle="solid"/>
            </v:rect>
            <v:rect style="position:absolute;left:7812;top:3742;width:45;height:1680" filled="true" fillcolor="#00a2a0" stroked="false">
              <v:fill type="solid"/>
            </v:rect>
            <v:rect style="position:absolute;left:7812;top:3742;width:45;height:1680" filled="false" stroked="true" strokeweight=".5pt" strokecolor="#000000">
              <v:stroke dashstyle="solid"/>
            </v:rect>
            <v:rect style="position:absolute;left:7897;top:3262;width:45;height:2160" filled="true" fillcolor="#00a2a0" stroked="false">
              <v:fill type="solid"/>
            </v:rect>
            <v:rect style="position:absolute;left:7897;top:3262;width:45;height:2160" filled="false" stroked="true" strokeweight=".5pt" strokecolor="#000000">
              <v:stroke dashstyle="solid"/>
            </v:rect>
            <v:rect style="position:absolute;left:7982;top:4225;width:45;height:1198" filled="true" fillcolor="#00a2a0" stroked="false">
              <v:fill type="solid"/>
            </v:rect>
            <v:rect style="position:absolute;left:7982;top:4225;width:45;height:1198" filled="false" stroked="true" strokeweight=".5pt" strokecolor="#000000">
              <v:stroke dashstyle="solid"/>
            </v:rect>
            <v:rect style="position:absolute;left:8067;top:3455;width:45;height:1968" filled="true" fillcolor="#00a2a0" stroked="false">
              <v:fill type="solid"/>
            </v:rect>
            <v:rect style="position:absolute;left:8067;top:3455;width:45;height:1968" filled="false" stroked="true" strokeweight=".5pt" strokecolor="#000000">
              <v:stroke dashstyle="solid"/>
            </v:rect>
            <v:rect style="position:absolute;left:8150;top:4650;width:45;height:773" filled="true" fillcolor="#00a2a0" stroked="false">
              <v:fill type="solid"/>
            </v:rect>
            <v:rect style="position:absolute;left:8150;top:4650;width:45;height:773" filled="false" stroked="true" strokeweight=".5pt" strokecolor="#000000">
              <v:stroke dashstyle="solid"/>
            </v:rect>
            <v:rect style="position:absolute;left:8235;top:4072;width:45;height:1350" filled="true" fillcolor="#00a2a0" stroked="false">
              <v:fill type="solid"/>
            </v:rect>
            <v:rect style="position:absolute;left:8235;top:4072;width:45;height:1350" filled="false" stroked="true" strokeweight=".5pt" strokecolor="#000000">
              <v:stroke dashstyle="solid"/>
            </v:rect>
            <v:rect style="position:absolute;left:8320;top:4130;width:45;height:1293" filled="true" fillcolor="#00a2a0" stroked="false">
              <v:fill type="solid"/>
            </v:rect>
            <v:rect style="position:absolute;left:8320;top:4130;width:45;height:1293" filled="false" stroked="true" strokeweight=".5pt" strokecolor="#000000">
              <v:stroke dashstyle="solid"/>
            </v:rect>
            <v:rect style="position:absolute;left:8405;top:4265;width:45;height:1158" filled="true" fillcolor="#00a2a0" stroked="false">
              <v:fill type="solid"/>
            </v:rect>
            <v:rect style="position:absolute;left:8405;top:4265;width:45;height:1158" filled="false" stroked="true" strokeweight=".5pt" strokecolor="#000000">
              <v:stroke dashstyle="solid"/>
            </v:rect>
            <v:rect style="position:absolute;left:8487;top:4707;width:45;height:715" filled="true" fillcolor="#00a2a0" stroked="false">
              <v:fill type="solid"/>
            </v:rect>
            <v:rect style="position:absolute;left:8487;top:4707;width:45;height:715" filled="false" stroked="true" strokeweight=".5pt" strokecolor="#000000">
              <v:stroke dashstyle="solid"/>
            </v:rect>
            <v:rect style="position:absolute;left:8572;top:4225;width:45;height:1198" filled="true" fillcolor="#00a2a0" stroked="false">
              <v:fill type="solid"/>
            </v:rect>
            <v:rect style="position:absolute;left:8572;top:4225;width:45;height:1198" filled="false" stroked="true" strokeweight=".5pt" strokecolor="#000000">
              <v:stroke dashstyle="solid"/>
            </v:rect>
            <v:rect style="position:absolute;left:8657;top:4417;width:45;height:1005" filled="true" fillcolor="#00a2a0" stroked="false">
              <v:fill type="solid"/>
            </v:rect>
            <v:rect style="position:absolute;left:8657;top:4417;width:45;height:1005" filled="false" stroked="true" strokeweight=".5pt" strokecolor="#000000">
              <v:stroke dashstyle="solid"/>
            </v:rect>
            <v:rect style="position:absolute;left:8742;top:4552;width:45;height:870" filled="true" fillcolor="#00a2a0" stroked="false">
              <v:fill type="solid"/>
            </v:rect>
            <v:rect style="position:absolute;left:8742;top:4552;width:45;height:870" filled="false" stroked="true" strokeweight=".5pt" strokecolor="#000000">
              <v:stroke dashstyle="solid"/>
            </v:rect>
            <v:rect style="position:absolute;left:8825;top:4552;width:45;height:870" filled="true" fillcolor="#00a2a0" stroked="false">
              <v:fill type="solid"/>
            </v:rect>
            <v:rect style="position:absolute;left:8825;top:4552;width:45;height:870" filled="false" stroked="true" strokeweight=".5pt" strokecolor="#000000">
              <v:stroke dashstyle="solid"/>
            </v:rect>
            <v:rect style="position:absolute;left:8910;top:4515;width:45;height:908" filled="true" fillcolor="#00a2a0" stroked="false">
              <v:fill type="solid"/>
            </v:rect>
            <v:rect style="position:absolute;left:8910;top:4515;width:45;height:908" filled="false" stroked="true" strokeweight=".5pt" strokecolor="#000000">
              <v:stroke dashstyle="solid"/>
            </v:rect>
            <v:rect style="position:absolute;left:8995;top:4900;width:45;height:523" filled="true" fillcolor="#00a2a0" stroked="false">
              <v:fill type="solid"/>
            </v:rect>
            <v:rect style="position:absolute;left:8995;top:4900;width:45;height:523" filled="false" stroked="true" strokeweight=".5pt" strokecolor="#000000">
              <v:stroke dashstyle="solid"/>
            </v:rect>
            <v:rect style="position:absolute;left:9077;top:4842;width:36;height:580" filled="true" fillcolor="#00a2a0" stroked="false">
              <v:fill type="solid"/>
            </v:rect>
            <v:rect style="position:absolute;left:9077;top:4842;width:36;height:580" filled="false" stroked="true" strokeweight=".5pt" strokecolor="#000000">
              <v:stroke dashstyle="solid"/>
            </v:rect>
            <v:rect style="position:absolute;left:9150;top:5035;width:45;height:388" filled="true" fillcolor="#00a2a0" stroked="false">
              <v:fill type="solid"/>
            </v:rect>
            <v:rect style="position:absolute;left:9150;top:5035;width:45;height:388" filled="false" stroked="true" strokeweight=".5pt" strokecolor="#000000">
              <v:stroke dashstyle="solid"/>
            </v:rect>
            <v:rect style="position:absolute;left:9235;top:4650;width:45;height:773" filled="true" fillcolor="#00a2a0" stroked="false">
              <v:fill type="solid"/>
            </v:rect>
            <v:rect style="position:absolute;left:9235;top:4650;width:45;height:773" filled="false" stroked="true" strokeweight=".5pt" strokecolor="#000000">
              <v:stroke dashstyle="solid"/>
            </v:rect>
            <v:rect style="position:absolute;left:9317;top:4650;width:45;height:773" filled="true" fillcolor="#00a2a0" stroked="false">
              <v:fill type="solid"/>
            </v:rect>
            <v:rect style="position:absolute;left:9317;top:4650;width:45;height:773" filled="false" stroked="true" strokeweight=".5pt" strokecolor="#000000">
              <v:stroke dashstyle="solid"/>
            </v:rect>
            <v:rect style="position:absolute;left:9402;top:4360;width:45;height:1063" filled="true" fillcolor="#00a2a0" stroked="false">
              <v:fill type="solid"/>
            </v:rect>
            <v:rect style="position:absolute;left:9402;top:4360;width:45;height:1063" filled="false" stroked="true" strokeweight=".5pt" strokecolor="#000000">
              <v:stroke dashstyle="solid"/>
            </v:rect>
            <v:rect style="position:absolute;left:9487;top:4265;width:45;height:1158" filled="true" fillcolor="#00a2a0" stroked="false">
              <v:fill type="solid"/>
            </v:rect>
            <v:rect style="position:absolute;left:9487;top:4265;width:45;height:1158" filled="false" stroked="true" strokeweight=".5pt" strokecolor="#000000">
              <v:stroke dashstyle="solid"/>
            </v:rect>
            <v:rect style="position:absolute;left:9572;top:3995;width:45;height:1428" filled="true" fillcolor="#00a2a0" stroked="false">
              <v:fill type="solid"/>
            </v:rect>
            <v:rect style="position:absolute;left:9572;top:3995;width:45;height:1428" filled="false" stroked="true" strokeweight=".5pt" strokecolor="#000000">
              <v:stroke dashstyle="solid"/>
            </v:rect>
            <v:rect style="position:absolute;left:9655;top:4360;width:45;height:1063" filled="true" fillcolor="#00a2a0" stroked="false">
              <v:fill type="solid"/>
            </v:rect>
            <v:rect style="position:absolute;left:9655;top:4360;width:45;height:1063" filled="false" stroked="true" strokeweight=".5pt" strokecolor="#000000">
              <v:stroke dashstyle="solid"/>
            </v:rect>
            <v:rect style="position:absolute;left:9740;top:3512;width:45;height:1910" filled="true" fillcolor="#00a2a0" stroked="false">
              <v:fill type="solid"/>
            </v:rect>
            <v:rect style="position:absolute;left:9740;top:3512;width:45;height:1910" filled="false" stroked="true" strokeweight=".5pt" strokecolor="#000000">
              <v:stroke dashstyle="solid"/>
            </v:rect>
            <v:rect style="position:absolute;left:9825;top:4072;width:45;height:1350" filled="true" fillcolor="#00a2a0" stroked="false">
              <v:fill type="solid"/>
            </v:rect>
            <v:rect style="position:absolute;left:9825;top:4072;width:45;height:1350" filled="false" stroked="true" strokeweight=".5pt" strokecolor="#000000">
              <v:stroke dashstyle="solid"/>
            </v:rect>
            <v:rect style="position:absolute;left:9910;top:3127;width:45;height:2295" filled="true" fillcolor="#00a2a0" stroked="false">
              <v:fill type="solid"/>
            </v:rect>
            <v:shape style="position:absolute;left:6200;top:2559;width:3942;height:2867" coordorigin="6200,2559" coordsize="3942,2867" path="m9910,3128l9955,3128,9955,5423,9910,5423,9910,3128xm6287,2559l6200,2559m6287,3034l6200,3034m6287,3997l6200,3997m6287,4455l6200,4455m6287,4940l6200,4940m6287,5422l6200,5422m6891,5317l6891,5417m6375,5363l6375,5417m7387,5363l7387,5417m8403,5363l8403,5417m7901,5317l7901,5417m6287,3514l6200,3514m10141,2562l10055,2562m10141,3037l10055,3037m10141,4000l10055,4000m10141,4458l10055,4458m10141,4943l10055,4943m10141,5426l10055,5426m10141,3517l10055,3517m9405,5363l9405,5417m8903,5317l8903,5417m9895,5317l9895,5417m6366,5418l9958,5418e" filled="false" stroked="true" strokeweight=".5pt" strokecolor="#000000">
              <v:path arrowok="t"/>
              <v:stroke dashstyle="solid"/>
            </v:shape>
            <v:rect style="position:absolute;left:6494;top:9647;width:125;height:140" filled="true" fillcolor="#c0a2c7" stroked="false">
              <v:fill type="solid"/>
            </v:rect>
            <v:rect style="position:absolute;left:6494;top:9647;width:125;height:140" filled="false" stroked="true" strokeweight=".625pt" strokecolor="#000000">
              <v:stroke dashstyle="solid"/>
            </v:rect>
            <v:rect style="position:absolute;left:6776;top:9647;width:108;height:140" filled="true" fillcolor="#c0a2c7" stroked="false">
              <v:fill type="solid"/>
            </v:rect>
            <v:rect style="position:absolute;left:6776;top:9647;width:108;height:140" filled="false" stroked="true" strokeweight=".625pt" strokecolor="#000000">
              <v:stroke dashstyle="solid"/>
            </v:rect>
            <v:rect style="position:absolute;left:7324;top:9732;width:123;height:55" filled="true" fillcolor="#c0a2c7" stroked="false">
              <v:fill type="solid"/>
            </v:rect>
            <v:rect style="position:absolute;left:7324;top:9732;width:123;height:55" filled="false" stroked="true" strokeweight=".625pt" strokecolor="#000000">
              <v:stroke dashstyle="solid"/>
            </v:rect>
            <v:rect style="position:absolute;left:7604;top:9649;width:108;height:138" filled="true" fillcolor="#c0a2c7" stroked="false">
              <v:fill type="solid"/>
            </v:rect>
            <v:rect style="position:absolute;left:7604;top:9647;width:108;height:140" filled="false" stroked="true" strokeweight=".625pt" strokecolor="#000000">
              <v:stroke dashstyle="solid"/>
            </v:rect>
            <v:rect style="position:absolute;left:7869;top:9494;width:123;height:293" filled="true" fillcolor="#c0a2c7" stroked="false">
              <v:fill type="solid"/>
            </v:rect>
            <v:rect style="position:absolute;left:7869;top:9494;width:123;height:293" filled="false" stroked="true" strokeweight=".625pt" strokecolor="#000000">
              <v:stroke dashstyle="solid"/>
            </v:rect>
            <v:rect style="position:absolute;left:8151;top:9599;width:123;height:188" filled="true" fillcolor="#c0a2c7" stroked="false">
              <v:fill type="solid"/>
            </v:rect>
            <v:rect style="position:absolute;left:8151;top:9597;width:123;height:190" filled="false" stroked="true" strokeweight=".625pt" strokecolor="#000000">
              <v:stroke dashstyle="solid"/>
            </v:rect>
            <v:rect style="position:absolute;left:8431;top:9649;width:123;height:138" filled="true" fillcolor="#c0a2c7" stroked="false">
              <v:fill type="solid"/>
            </v:rect>
            <v:rect style="position:absolute;left:8431;top:9647;width:123;height:140" filled="false" stroked="true" strokeweight=".625pt" strokecolor="#000000">
              <v:stroke dashstyle="solid"/>
            </v:rect>
            <v:rect style="position:absolute;left:8711;top:9684;width:110;height:103" filled="true" fillcolor="#c0a2c7" stroked="false">
              <v:fill type="solid"/>
            </v:rect>
            <v:rect style="position:absolute;left:8711;top:9682;width:110;height:105" filled="false" stroked="true" strokeweight=".625pt" strokecolor="#000000">
              <v:stroke dashstyle="solid"/>
            </v:rect>
            <v:rect style="position:absolute;left:8979;top:9597;width:123;height:190" filled="true" fillcolor="#c0a2c7" stroked="false">
              <v:fill type="solid"/>
            </v:rect>
            <v:rect style="position:absolute;left:8979;top:9597;width:123;height:190" filled="false" stroked="true" strokeweight=".625pt" strokecolor="#000000">
              <v:stroke dashstyle="solid"/>
            </v:rect>
            <v:rect style="position:absolute;left:9259;top:9204;width:123;height:583" filled="true" fillcolor="#c0a2c7" stroked="false">
              <v:fill type="solid"/>
            </v:rect>
            <v:rect style="position:absolute;left:9259;top:9204;width:123;height:583" filled="false" stroked="true" strokeweight=".625pt" strokecolor="#000000">
              <v:stroke dashstyle="solid"/>
            </v:rect>
            <v:rect style="position:absolute;left:9539;top:9442;width:110;height:345" filled="true" fillcolor="#c0a2c7" stroked="false">
              <v:fill type="solid"/>
            </v:rect>
            <v:rect style="position:absolute;left:9539;top:9442;width:110;height:345" filled="false" stroked="true" strokeweight=".625pt" strokecolor="#000000">
              <v:stroke dashstyle="solid"/>
            </v:rect>
            <v:rect style="position:absolute;left:9806;top:9307;width:123;height:480" filled="true" fillcolor="#c0a2c7" stroked="false">
              <v:fill type="solid"/>
            </v:rect>
            <v:rect style="position:absolute;left:9806;top:9307;width:123;height:480" filled="false" stroked="true" strokeweight=".625pt" strokecolor="#000000">
              <v:stroke dashstyle="solid"/>
            </v:rect>
            <v:rect style="position:absolute;left:6494;top:9597;width:125;height:53" filled="true" fillcolor="#fdeecc" stroked="false">
              <v:fill type="solid"/>
            </v:rect>
            <v:rect style="position:absolute;left:6494;top:9597;width:125;height:53" filled="false" stroked="true" strokeweight=".625pt" strokecolor="#000000">
              <v:stroke dashstyle="solid"/>
            </v:rect>
            <v:rect style="position:absolute;left:6776;top:9597;width:108;height:53" filled="true" fillcolor="#fdeecc" stroked="false">
              <v:fill type="solid"/>
            </v:rect>
            <v:rect style="position:absolute;left:6776;top:9597;width:108;height:53" filled="false" stroked="true" strokeweight=".625pt" strokecolor="#000000">
              <v:stroke dashstyle="solid"/>
            </v:rect>
            <v:rect style="position:absolute;left:7869;top:9394;width:123;height:103" filled="true" fillcolor="#fdeecc" stroked="false">
              <v:fill type="solid"/>
            </v:rect>
            <v:rect style="position:absolute;left:7869;top:9392;width:123;height:105" filled="false" stroked="true" strokeweight=".625pt" strokecolor="#000000">
              <v:stroke dashstyle="solid"/>
            </v:rect>
            <v:rect style="position:absolute;left:8151;top:9497;width:123;height:103" filled="true" fillcolor="#fdeecc" stroked="false">
              <v:fill type="solid"/>
            </v:rect>
            <v:rect style="position:absolute;left:8151;top:9494;width:123;height:105" filled="false" stroked="true" strokeweight=".625pt" strokecolor="#000000">
              <v:stroke dashstyle="solid"/>
            </v:rect>
            <v:rect style="position:absolute;left:8431;top:9547;width:123;height:103" filled="true" fillcolor="#fdeecc" stroked="false">
              <v:fill type="solid"/>
            </v:rect>
            <v:rect style="position:absolute;left:8431;top:9544;width:123;height:105" filled="false" stroked="true" strokeweight=".625pt" strokecolor="#000000">
              <v:stroke dashstyle="solid"/>
            </v:rect>
            <v:rect style="position:absolute;left:8711;top:9547;width:110;height:138" filled="true" fillcolor="#fdeecc" stroked="false">
              <v:fill type="solid"/>
            </v:rect>
            <v:rect style="position:absolute;left:8711;top:9544;width:110;height:140" filled="false" stroked="true" strokeweight=".625pt" strokecolor="#000000">
              <v:stroke dashstyle="solid"/>
            </v:rect>
            <v:rect style="position:absolute;left:8979;top:9547;width:123;height:53" filled="true" fillcolor="#fdeecc" stroked="false">
              <v:fill type="solid"/>
            </v:rect>
            <v:rect style="position:absolute;left:8979;top:9544;width:123;height:55" filled="false" stroked="true" strokeweight=".625pt" strokecolor="#000000">
              <v:stroke dashstyle="solid"/>
            </v:rect>
            <v:rect style="position:absolute;left:9259;top:8864;width:123;height:343" filled="true" fillcolor="#fdeecc" stroked="false">
              <v:fill type="solid"/>
            </v:rect>
            <v:rect style="position:absolute;left:9259;top:8864;width:123;height:343" filled="false" stroked="true" strokeweight=".625pt" strokecolor="#000000">
              <v:stroke dashstyle="solid"/>
            </v:rect>
            <v:rect style="position:absolute;left:9539;top:9357;width:110;height:88" filled="true" fillcolor="#fdeecc" stroked="false">
              <v:fill type="solid"/>
            </v:rect>
            <v:rect style="position:absolute;left:9539;top:9357;width:110;height:88" filled="false" stroked="true" strokeweight=".625pt" strokecolor="#000000">
              <v:stroke dashstyle="solid"/>
            </v:rect>
            <v:rect style="position:absolute;left:9806;top:9207;width:123;height:103" filled="true" fillcolor="#fdeecc" stroked="false">
              <v:fill type="solid"/>
            </v:rect>
            <v:rect style="position:absolute;left:9806;top:9204;width:123;height:105" filled="false" stroked="true" strokeweight=".625pt" strokecolor="#000000">
              <v:stroke dashstyle="solid"/>
            </v:rect>
            <v:rect style="position:absolute;left:6776;top:9547;width:108;height:53" filled="true" fillcolor="#cee7e8" stroked="false">
              <v:fill type="solid"/>
            </v:rect>
            <v:rect style="position:absolute;left:6776;top:9544;width:108;height:55" filled="false" stroked="true" strokeweight=".625pt" strokecolor="#000000">
              <v:stroke dashstyle="solid"/>
            </v:rect>
            <v:rect style="position:absolute;left:7041;top:9732;width:123;height:55" filled="true" fillcolor="#cee7e8" stroked="false">
              <v:fill type="solid"/>
            </v:rect>
            <v:rect style="position:absolute;left:7041;top:9732;width:123;height:55" filled="false" stroked="true" strokeweight=".625pt" strokecolor="#000000">
              <v:stroke dashstyle="solid"/>
            </v:rect>
            <v:rect style="position:absolute;left:7604;top:9497;width:108;height:153" filled="true" fillcolor="#cee7e8" stroked="false">
              <v:fill type="solid"/>
            </v:rect>
            <v:rect style="position:absolute;left:7604;top:9494;width:108;height:155" filled="false" stroked="true" strokeweight=".625pt" strokecolor="#000000">
              <v:stroke dashstyle="solid"/>
            </v:rect>
            <v:rect style="position:absolute;left:7869;top:9307;width:123;height:88" filled="true" fillcolor="#cee7e8" stroked="false">
              <v:fill type="solid"/>
            </v:rect>
            <v:rect style="position:absolute;left:7869;top:9307;width:123;height:88" filled="false" stroked="true" strokeweight=".625pt" strokecolor="#000000">
              <v:stroke dashstyle="solid"/>
            </v:rect>
            <v:rect style="position:absolute;left:8151;top:9394;width:123;height:103" filled="true" fillcolor="#cee7e8" stroked="false">
              <v:fill type="solid"/>
            </v:rect>
            <v:rect style="position:absolute;left:8151;top:9392;width:123;height:105" filled="false" stroked="true" strokeweight=".625pt" strokecolor="#000000">
              <v:stroke dashstyle="solid"/>
            </v:rect>
            <v:rect style="position:absolute;left:8431;top:9394;width:123;height:153" filled="true" fillcolor="#cee7e8" stroked="false">
              <v:fill type="solid"/>
            </v:rect>
            <v:rect style="position:absolute;left:8431;top:9392;width:123;height:155" filled="false" stroked="true" strokeweight=".625pt" strokecolor="#000000">
              <v:stroke dashstyle="solid"/>
            </v:rect>
            <v:rect style="position:absolute;left:8711;top:9254;width:110;height:293" filled="true" fillcolor="#cee7e8" stroked="false">
              <v:fill type="solid"/>
            </v:rect>
            <v:rect style="position:absolute;left:8711;top:9254;width:110;height:293" filled="false" stroked="true" strokeweight=".625pt" strokecolor="#000000">
              <v:stroke dashstyle="solid"/>
            </v:rect>
            <v:rect style="position:absolute;left:8979;top:9394;width:123;height:153" filled="true" fillcolor="#cee7e8" stroked="false">
              <v:fill type="solid"/>
            </v:rect>
            <v:rect style="position:absolute;left:8979;top:9392;width:123;height:155" filled="false" stroked="true" strokeweight=".625pt" strokecolor="#000000">
              <v:stroke dashstyle="solid"/>
            </v:rect>
            <v:rect style="position:absolute;left:9259;top:8729;width:123;height:138" filled="true" fillcolor="#cee7e8" stroked="false">
              <v:fill type="solid"/>
            </v:rect>
            <v:rect style="position:absolute;left:9259;top:8727;width:123;height:140" filled="false" stroked="true" strokeweight=".625pt" strokecolor="#000000">
              <v:stroke dashstyle="solid"/>
            </v:rect>
            <v:rect style="position:absolute;left:9806;top:8967;width:123;height:240" filled="true" fillcolor="#cee7e8" stroked="false">
              <v:fill type="solid"/>
            </v:rect>
            <v:rect style="position:absolute;left:9806;top:8967;width:123;height:240" filled="false" stroked="true" strokeweight=".625pt" strokecolor="#000000">
              <v:stroke dashstyle="solid"/>
            </v:rect>
            <v:rect style="position:absolute;left:6494;top:9547;width:125;height:53" filled="true" fillcolor="#be869b" stroked="false">
              <v:fill type="solid"/>
            </v:rect>
            <v:rect style="position:absolute;left:6494;top:9544;width:125;height:55" filled="false" stroked="true" strokeweight=".625pt" strokecolor="#000000">
              <v:stroke dashstyle="solid"/>
            </v:rect>
            <v:rect style="position:absolute;left:7041;top:9684;width:123;height:50" filled="true" fillcolor="#be869b" stroked="false">
              <v:fill type="solid"/>
            </v:rect>
            <v:rect style="position:absolute;left:7041;top:9682;width:123;height:53" filled="false" stroked="true" strokeweight=".625pt" strokecolor="#000000">
              <v:stroke dashstyle="solid"/>
            </v:rect>
            <v:rect style="position:absolute;left:7869;top:9257;width:123;height:53" filled="true" fillcolor="#be869b" stroked="false">
              <v:fill type="solid"/>
            </v:rect>
            <v:rect style="position:absolute;left:7869;top:9254;width:123;height:55" filled="false" stroked="true" strokeweight=".625pt" strokecolor="#000000">
              <v:stroke dashstyle="solid"/>
            </v:rect>
            <v:rect style="position:absolute;left:8431;top:9254;width:123;height:140" filled="true" fillcolor="#be869b" stroked="false">
              <v:fill type="solid"/>
            </v:rect>
            <v:rect style="position:absolute;left:8431;top:9254;width:123;height:140" filled="false" stroked="true" strokeweight=".625pt" strokecolor="#000000">
              <v:stroke dashstyle="solid"/>
            </v:rect>
            <v:rect style="position:absolute;left:8711;top:9019;width:110;height:238" filled="true" fillcolor="#be869b" stroked="false">
              <v:fill type="solid"/>
            </v:rect>
            <v:rect style="position:absolute;left:8711;top:9017;width:110;height:240" filled="false" stroked="true" strokeweight=".625pt" strokecolor="#000000">
              <v:stroke dashstyle="solid"/>
            </v:rect>
            <v:rect style="position:absolute;left:8979;top:9257;width:123;height:138" filled="true" fillcolor="#be869b" stroked="false">
              <v:fill type="solid"/>
            </v:rect>
            <v:rect style="position:absolute;left:8979;top:9254;width:123;height:140" filled="false" stroked="true" strokeweight=".625pt" strokecolor="#000000">
              <v:stroke dashstyle="solid"/>
            </v:rect>
            <v:rect style="position:absolute;left:9259;top:8592;width:123;height:138" filled="true" fillcolor="#be869b" stroked="false">
              <v:fill type="solid"/>
            </v:rect>
            <v:rect style="position:absolute;left:9259;top:8589;width:123;height:140" filled="false" stroked="true" strokeweight=".625pt" strokecolor="#000000">
              <v:stroke dashstyle="solid"/>
            </v:rect>
            <v:rect style="position:absolute;left:9539;top:9309;width:110;height:50" filled="true" fillcolor="#be869b" stroked="false">
              <v:fill type="solid"/>
            </v:rect>
            <v:rect style="position:absolute;left:9539;top:9307;width:110;height:53" filled="false" stroked="true" strokeweight=".625pt" strokecolor="#000000">
              <v:stroke dashstyle="solid"/>
            </v:rect>
            <v:rect style="position:absolute;left:9806;top:8917;width:123;height:53" filled="true" fillcolor="#be869b" stroked="false">
              <v:fill type="solid"/>
            </v:rect>
            <v:rect style="position:absolute;left:9806;top:8914;width:123;height:55" filled="false" stroked="true" strokeweight=".625pt" strokecolor="#000000">
              <v:stroke dashstyle="solid"/>
            </v:rect>
            <v:rect style="position:absolute;left:6494;top:9444;width:125;height:103" filled="true" fillcolor="#f08e87" stroked="false">
              <v:fill type="solid"/>
            </v:rect>
            <v:rect style="position:absolute;left:6494;top:9442;width:125;height:105" filled="false" stroked="true" strokeweight=".625pt" strokecolor="#000000">
              <v:stroke dashstyle="solid"/>
            </v:rect>
            <v:rect style="position:absolute;left:7041;top:9599;width:123;height:85" filled="true" fillcolor="#f08e87" stroked="false">
              <v:fill type="solid"/>
            </v:rect>
            <v:rect style="position:absolute;left:7041;top:9597;width:123;height:88" filled="false" stroked="true" strokeweight=".625pt" strokecolor="#000000">
              <v:stroke dashstyle="solid"/>
            </v:rect>
            <v:rect style="position:absolute;left:7324;top:9684;width:123;height:50" filled="true" fillcolor="#f08e87" stroked="false">
              <v:fill type="solid"/>
            </v:rect>
            <v:rect style="position:absolute;left:7324;top:9682;width:123;height:53" filled="false" stroked="true" strokeweight=".625pt" strokecolor="#000000">
              <v:stroke dashstyle="solid"/>
            </v:rect>
            <v:rect style="position:absolute;left:7604;top:9359;width:108;height:138" filled="true" fillcolor="#f08e87" stroked="false">
              <v:fill type="solid"/>
            </v:rect>
            <v:rect style="position:absolute;left:7604;top:9357;width:108;height:140" filled="false" stroked="true" strokeweight=".625pt" strokecolor="#000000">
              <v:stroke dashstyle="solid"/>
            </v:rect>
            <v:rect style="position:absolute;left:7869;top:9157;width:123;height:100" filled="true" fillcolor="#f08e87" stroked="false">
              <v:fill type="solid"/>
            </v:rect>
            <v:rect style="position:absolute;left:7869;top:9154;width:123;height:103" filled="false" stroked="true" strokeweight=".625pt" strokecolor="#000000">
              <v:stroke dashstyle="solid"/>
            </v:rect>
            <v:rect style="position:absolute;left:8151;top:9309;width:123;height:85" filled="true" fillcolor="#f08e87" stroked="false">
              <v:fill type="solid"/>
            </v:rect>
            <v:rect style="position:absolute;left:8151;top:9307;width:123;height:88" filled="false" stroked="true" strokeweight=".625pt" strokecolor="#000000">
              <v:stroke dashstyle="solid"/>
            </v:rect>
            <v:rect style="position:absolute;left:8431;top:9207;width:123;height:50" filled="true" fillcolor="#f08e87" stroked="false">
              <v:fill type="solid"/>
            </v:rect>
            <v:rect style="position:absolute;left:8431;top:9204;width:123;height:53" filled="false" stroked="true" strokeweight=".625pt" strokecolor="#000000">
              <v:stroke dashstyle="solid"/>
            </v:rect>
            <v:rect style="position:absolute;left:8979;top:9157;width:123;height:100" filled="true" fillcolor="#f08e87" stroked="false">
              <v:fill type="solid"/>
            </v:rect>
            <v:rect style="position:absolute;left:8979;top:9154;width:123;height:103" filled="false" stroked="true" strokeweight=".625pt" strokecolor="#000000">
              <v:stroke dashstyle="solid"/>
            </v:rect>
            <v:rect style="position:absolute;left:9259;top:8389;width:123;height:203" filled="true" fillcolor="#f08e87" stroked="false">
              <v:fill type="solid"/>
            </v:rect>
            <v:rect style="position:absolute;left:9259;top:8387;width:123;height:205" filled="false" stroked="true" strokeweight=".625pt" strokecolor="#000000">
              <v:stroke dashstyle="solid"/>
            </v:rect>
            <v:rect style="position:absolute;left:9539;top:9207;width:110;height:103" filled="true" fillcolor="#f08e87" stroked="false">
              <v:fill type="solid"/>
            </v:rect>
            <v:rect style="position:absolute;left:9539;top:9204;width:110;height:105" filled="false" stroked="true" strokeweight=".625pt" strokecolor="#000000">
              <v:stroke dashstyle="solid"/>
            </v:rect>
            <v:rect style="position:absolute;left:9806;top:8832;width:123;height:85" filled="true" fillcolor="#f08e87" stroked="false">
              <v:fill type="solid"/>
            </v:rect>
            <v:rect style="position:absolute;left:9806;top:8829;width:123;height:88" filled="false" stroked="true" strokeweight=".625pt" strokecolor="#000000">
              <v:stroke dashstyle="solid"/>
            </v:rect>
            <v:rect style="position:absolute;left:6494;top:8967;width:125;height:478" filled="true" fillcolor="#0099d9" stroked="false">
              <v:fill type="solid"/>
            </v:rect>
            <v:rect style="position:absolute;left:6494;top:8967;width:125;height:478" filled="false" stroked="true" strokeweight=".625pt" strokecolor="#000000">
              <v:stroke dashstyle="solid"/>
            </v:rect>
            <v:rect style="position:absolute;left:6776;top:9359;width:108;height:188" filled="true" fillcolor="#0099d9" stroked="false">
              <v:fill type="solid"/>
            </v:rect>
            <v:rect style="position:absolute;left:6776;top:9357;width:108;height:190" filled="false" stroked="true" strokeweight=".625pt" strokecolor="#000000">
              <v:stroke dashstyle="solid"/>
            </v:rect>
            <v:rect style="position:absolute;left:7041;top:9357;width:123;height:243" filled="true" fillcolor="#0099d9" stroked="false">
              <v:fill type="solid"/>
            </v:rect>
            <v:rect style="position:absolute;left:7041;top:9357;width:123;height:243" filled="false" stroked="true" strokeweight=".625pt" strokecolor="#000000">
              <v:stroke dashstyle="solid"/>
            </v:rect>
            <v:rect style="position:absolute;left:7324;top:9442;width:123;height:243" filled="true" fillcolor="#0099d9" stroked="false">
              <v:fill type="solid"/>
            </v:rect>
            <v:rect style="position:absolute;left:7324;top:9442;width:123;height:243" filled="false" stroked="true" strokeweight=".625pt" strokecolor="#000000">
              <v:stroke dashstyle="solid"/>
            </v:rect>
            <v:rect style="position:absolute;left:7604;top:9154;width:108;height:205" filled="true" fillcolor="#0099d9" stroked="false">
              <v:fill type="solid"/>
            </v:rect>
            <v:rect style="position:absolute;left:7604;top:9154;width:108;height:205" filled="false" stroked="true" strokeweight=".625pt" strokecolor="#000000">
              <v:stroke dashstyle="solid"/>
            </v:rect>
            <v:rect style="position:absolute;left:7869;top:9017;width:123;height:140" filled="true" fillcolor="#0099d9" stroked="false">
              <v:fill type="solid"/>
            </v:rect>
            <v:rect style="position:absolute;left:7869;top:9017;width:123;height:140" filled="false" stroked="true" strokeweight=".625pt" strokecolor="#000000">
              <v:stroke dashstyle="solid"/>
            </v:rect>
            <v:rect style="position:absolute;left:8151;top:8864;width:123;height:445" filled="true" fillcolor="#0099d9" stroked="false">
              <v:fill type="solid"/>
            </v:rect>
            <v:rect style="position:absolute;left:8151;top:8864;width:123;height:445" filled="false" stroked="true" strokeweight=".625pt" strokecolor="#000000">
              <v:stroke dashstyle="solid"/>
            </v:rect>
            <v:rect style="position:absolute;left:8431;top:8914;width:123;height:293" filled="true" fillcolor="#0099d9" stroked="false">
              <v:fill type="solid"/>
            </v:rect>
            <v:rect style="position:absolute;left:8431;top:8914;width:123;height:293" filled="false" stroked="true" strokeweight=".625pt" strokecolor="#000000">
              <v:stroke dashstyle="solid"/>
            </v:rect>
            <v:rect style="position:absolute;left:8711;top:8489;width:110;height:530" filled="true" fillcolor="#0099d9" stroked="false">
              <v:fill type="solid"/>
            </v:rect>
            <v:rect style="position:absolute;left:8711;top:8489;width:110;height:530" filled="false" stroked="true" strokeweight=".625pt" strokecolor="#000000">
              <v:stroke dashstyle="solid"/>
            </v:rect>
            <v:rect style="position:absolute;left:8979;top:8777;width:123;height:380" filled="true" fillcolor="#0099d9" stroked="false">
              <v:fill type="solid"/>
            </v:rect>
            <v:rect style="position:absolute;left:8979;top:8777;width:123;height:380" filled="false" stroked="true" strokeweight=".625pt" strokecolor="#000000">
              <v:stroke dashstyle="solid"/>
            </v:rect>
            <v:rect style="position:absolute;left:9259;top:7959;width:123;height:430" filled="true" fillcolor="#0099d9" stroked="false">
              <v:fill type="solid"/>
            </v:rect>
            <v:rect style="position:absolute;left:9259;top:7959;width:123;height:430" filled="false" stroked="true" strokeweight=".625pt" strokecolor="#000000">
              <v:stroke dashstyle="solid"/>
            </v:rect>
            <v:rect style="position:absolute;left:9539;top:8677;width:110;height:530" filled="true" fillcolor="#0099d9" stroked="false">
              <v:fill type="solid"/>
            </v:rect>
            <v:rect style="position:absolute;left:9539;top:8677;width:110;height:530" filled="false" stroked="true" strokeweight=".625pt" strokecolor="#000000">
              <v:stroke dashstyle="solid"/>
            </v:rect>
            <v:rect style="position:absolute;left:9806;top:7567;width:123;height:1265" filled="true" fillcolor="#0099d9" stroked="false">
              <v:fill type="solid"/>
            </v:rect>
            <v:rect style="position:absolute;left:9806;top:7567;width:123;height:1265" filled="false" stroked="true" strokeweight=".625pt" strokecolor="#000000">
              <v:stroke dashstyle="solid"/>
            </v:rect>
            <v:rect style="position:absolute;left:6494;top:8914;width:125;height:55" filled="true" fillcolor="#f5d4e1" stroked="false">
              <v:fill type="solid"/>
            </v:rect>
            <v:rect style="position:absolute;left:6494;top:8914;width:125;height:55" filled="false" stroked="true" strokeweight=".625pt" strokecolor="#000000">
              <v:stroke dashstyle="solid"/>
            </v:rect>
            <v:rect style="position:absolute;left:6776;top:9254;width:108;height:105" filled="true" fillcolor="#f5d4e1" stroked="false">
              <v:fill type="solid"/>
            </v:rect>
            <v:rect style="position:absolute;left:6776;top:9254;width:108;height:105" filled="false" stroked="true" strokeweight=".625pt" strokecolor="#000000">
              <v:stroke dashstyle="solid"/>
            </v:rect>
            <v:rect style="position:absolute;left:7604;top:9119;width:108;height:38" filled="true" fillcolor="#f5d4e1" stroked="false">
              <v:fill type="solid"/>
            </v:rect>
            <v:rect style="position:absolute;left:7604;top:9119;width:108;height:38" filled="false" stroked="true" strokeweight=".625pt" strokecolor="#000000">
              <v:stroke dashstyle="solid"/>
            </v:rect>
            <v:rect style="position:absolute;left:8151;top:8829;width:123;height:38" filled="true" fillcolor="#f5d4e1" stroked="false">
              <v:fill type="solid"/>
            </v:rect>
            <v:rect style="position:absolute;left:8151;top:8829;width:123;height:38" filled="false" stroked="true" strokeweight=".625pt" strokecolor="#000000">
              <v:stroke dashstyle="solid"/>
            </v:rect>
            <v:rect style="position:absolute;left:8431;top:8864;width:123;height:53" filled="true" fillcolor="#f5d4e1" stroked="false">
              <v:fill type="solid"/>
            </v:rect>
            <v:rect style="position:absolute;left:8431;top:8864;width:123;height:53" filled="false" stroked="true" strokeweight=".625pt" strokecolor="#000000">
              <v:stroke dashstyle="solid"/>
            </v:rect>
            <v:rect style="position:absolute;left:9539;top:8627;width:110;height:53" filled="true" fillcolor="#f5d4e1" stroked="false">
              <v:fill type="solid"/>
            </v:rect>
            <v:rect style="position:absolute;left:9539;top:8624;width:110;height:55" filled="false" stroked="true" strokeweight=".625pt" strokecolor="#000000">
              <v:stroke dashstyle="solid"/>
            </v:rect>
            <v:rect style="position:absolute;left:9806;top:7482;width:123;height:88" filled="true" fillcolor="#f5d4e1" stroked="false">
              <v:fill type="solid"/>
            </v:rect>
            <v:rect style="position:absolute;left:9806;top:7482;width:123;height:88" filled="false" stroked="true" strokeweight=".625pt" strokecolor="#000000">
              <v:stroke dashstyle="solid"/>
            </v:rect>
            <v:rect style="position:absolute;left:7041;top:9309;width:123;height:50" filled="true" fillcolor="#610e7a" stroked="false">
              <v:fill type="solid"/>
            </v:rect>
            <v:rect style="position:absolute;left:7041;top:9307;width:123;height:53" filled="false" stroked="true" strokeweight=".625pt" strokecolor="#000000">
              <v:stroke dashstyle="solid"/>
            </v:rect>
            <v:rect style="position:absolute;left:7604;top:9067;width:108;height:55" filled="true" fillcolor="#610e7a" stroked="false">
              <v:fill type="solid"/>
            </v:rect>
            <v:rect style="position:absolute;left:7604;top:9067;width:108;height:55" filled="false" stroked="true" strokeweight=".625pt" strokecolor="#000000">
              <v:stroke dashstyle="solid"/>
            </v:rect>
            <v:rect style="position:absolute;left:8431;top:8832;width:123;height:35" filled="true" fillcolor="#610e7a" stroked="false">
              <v:fill type="solid"/>
            </v:rect>
            <v:rect style="position:absolute;left:8431;top:8829;width:123;height:38" filled="false" stroked="true" strokeweight=".625pt" strokecolor="#000000">
              <v:stroke dashstyle="solid"/>
            </v:rect>
            <v:rect style="position:absolute;left:8711;top:8437;width:110;height:55" filled="true" fillcolor="#610e7a" stroked="false">
              <v:fill type="solid"/>
            </v:rect>
            <v:rect style="position:absolute;left:8711;top:8437;width:110;height:55" filled="false" stroked="true" strokeweight=".625pt" strokecolor="#000000">
              <v:stroke dashstyle="solid"/>
            </v:rect>
            <v:rect style="position:absolute;left:8979;top:8727;width:123;height:53" filled="true" fillcolor="#610e7a" stroked="false">
              <v:fill type="solid"/>
            </v:rect>
            <v:rect style="position:absolute;left:8979;top:8727;width:123;height:53" filled="false" stroked="true" strokeweight=".625pt" strokecolor="#000000">
              <v:stroke dashstyle="solid"/>
            </v:rect>
            <v:rect style="position:absolute;left:6494;top:8864;width:125;height:53" filled="true" fillcolor="#efa900" stroked="false">
              <v:fill type="solid"/>
            </v:rect>
            <v:rect style="position:absolute;left:6494;top:8864;width:125;height:53" filled="false" stroked="true" strokeweight=".625pt" strokecolor="#000000">
              <v:stroke dashstyle="solid"/>
            </v:rect>
            <v:rect style="position:absolute;left:7041;top:9204;width:123;height:105" filled="true" fillcolor="#efa900" stroked="false">
              <v:fill type="solid"/>
            </v:rect>
            <v:rect style="position:absolute;left:7041;top:9204;width:123;height:105" filled="false" stroked="true" strokeweight=".625pt" strokecolor="#000000">
              <v:stroke dashstyle="solid"/>
            </v:rect>
            <v:rect style="position:absolute;left:7324;top:9392;width:123;height:53" filled="true" fillcolor="#efa900" stroked="false">
              <v:fill type="solid"/>
            </v:rect>
            <v:rect style="position:absolute;left:7324;top:9392;width:123;height:53" filled="false" stroked="true" strokeweight=".625pt" strokecolor="#000000">
              <v:stroke dashstyle="solid"/>
            </v:rect>
            <v:rect style="position:absolute;left:8151;top:8777;width:123;height:55" filled="true" fillcolor="#efa900" stroked="false">
              <v:fill type="solid"/>
            </v:rect>
            <v:rect style="position:absolute;left:8151;top:8777;width:123;height:55" filled="false" stroked="true" strokeweight=".625pt" strokecolor="#000000">
              <v:stroke dashstyle="solid"/>
            </v:rect>
            <v:rect style="position:absolute;left:8431;top:8727;width:123;height:105" filled="true" fillcolor="#efa900" stroked="false">
              <v:fill type="solid"/>
            </v:rect>
            <v:rect style="position:absolute;left:8431;top:8727;width:123;height:105" filled="false" stroked="true" strokeweight=".625pt" strokecolor="#000000">
              <v:stroke dashstyle="solid"/>
            </v:rect>
            <v:rect style="position:absolute;left:9259;top:7857;width:123;height:105" filled="true" fillcolor="#efa900" stroked="false">
              <v:fill type="solid"/>
            </v:rect>
            <v:rect style="position:absolute;left:9259;top:7857;width:123;height:105" filled="false" stroked="true" strokeweight=".625pt" strokecolor="#000000">
              <v:stroke dashstyle="solid"/>
            </v:rect>
            <v:rect style="position:absolute;left:9539;top:8539;width:110;height:88" filled="true" fillcolor="#efa900" stroked="false">
              <v:fill type="solid"/>
            </v:rect>
            <v:rect style="position:absolute;left:9539;top:8539;width:110;height:88" filled="false" stroked="true" strokeweight=".625pt" strokecolor="#000000">
              <v:stroke dashstyle="solid"/>
            </v:rect>
            <v:rect style="position:absolute;left:9806;top:7432;width:123;height:53" filled="true" fillcolor="#efa900" stroked="false">
              <v:fill type="solid"/>
            </v:rect>
            <v:rect style="position:absolute;left:9806;top:7432;width:123;height:53" filled="false" stroked="true" strokeweight=".625pt" strokecolor="#000000">
              <v:stroke dashstyle="solid"/>
            </v:rect>
            <v:shape style="position:absolute;left:6246;top:6902;width:3914;height:2888" coordorigin="6246,6902" coordsize="3914,2888" path="m6333,6903l6246,6903m6333,7385l6246,7385m6333,7860l6246,7860m6333,8359l6246,8359m6333,9300l6246,9300m6333,9790l6246,9790m6421,9676l6421,9776m6705,9723l6705,9776m7533,9723l7533,9776m7245,9723l7245,9776m9736,9676l9736,9776m7786,9723l7786,9776m6333,8826l6246,8826m10160,6902l10073,6902m10160,7384l10073,7384m10160,7860l10073,7860m10160,8358l10073,8358m10160,9299l10073,9299m10160,9789l10073,9789m10160,8825l10073,8825m8366,9723l8366,9776m8078,9723l8078,9776m8619,9723l8619,9776m9206,9723l9206,9776m8918,9723l8918,9776m9459,9723l9459,9776m6966,9723l6966,9776m9998,9723l9998,9776m6416,9786l10008,9786e" filled="false" stroked="true" strokeweight=".5pt" strokecolor="#000000">
              <v:path arrowok="t"/>
              <v:stroke dashstyle="solid"/>
            </v:shape>
            <v:rect style="position:absolute;left:6460;top:6973;width:144;height:140" filled="true" fillcolor="#efa900" stroked="false">
              <v:fill type="solid"/>
            </v:rect>
            <v:rect style="position:absolute;left:6460;top:6973;width:144;height:144" filled="false" stroked="true" strokeweight=".625pt" strokecolor="#000000">
              <v:stroke dashstyle="solid"/>
            </v:rect>
            <v:rect style="position:absolute;left:6460;top:7113;width:144;height:140" filled="true" fillcolor="#610e7a" stroked="false">
              <v:fill type="solid"/>
            </v:rect>
            <v:rect style="position:absolute;left:6460;top:7113;width:144;height:145" filled="false" stroked="true" strokeweight=".625pt" strokecolor="#000000">
              <v:stroke dashstyle="solid"/>
            </v:rect>
            <v:rect style="position:absolute;left:6460;top:7253;width:144;height:145" filled="true" fillcolor="#f5d4e1" stroked="false">
              <v:fill type="solid"/>
            </v:rect>
            <v:rect style="position:absolute;left:6460;top:7253;width:144;height:145" filled="false" stroked="true" strokeweight=".625pt" strokecolor="#000000">
              <v:stroke dashstyle="solid"/>
            </v:rect>
            <v:rect style="position:absolute;left:6460;top:7397;width:144;height:145" filled="true" fillcolor="#0099d9" stroked="false">
              <v:fill type="solid"/>
            </v:rect>
            <v:rect style="position:absolute;left:6460;top:7397;width:144;height:145" filled="false" stroked="true" strokeweight=".625pt" strokecolor="#000000">
              <v:stroke dashstyle="solid"/>
            </v:rect>
            <v:rect style="position:absolute;left:6460;top:7541;width:144;height:145" filled="true" fillcolor="#f08e87" stroked="false">
              <v:fill type="solid"/>
            </v:rect>
            <v:rect style="position:absolute;left:6460;top:7541;width:144;height:145" filled="false" stroked="true" strokeweight=".625pt" strokecolor="#000000">
              <v:stroke dashstyle="solid"/>
            </v:rect>
            <v:rect style="position:absolute;left:6460;top:7689;width:144;height:145" filled="true" fillcolor="#be869b" stroked="false">
              <v:fill type="solid"/>
            </v:rect>
            <v:rect style="position:absolute;left:6460;top:7689;width:144;height:145" filled="false" stroked="true" strokeweight=".625pt" strokecolor="#000000">
              <v:stroke dashstyle="solid"/>
            </v:rect>
            <v:rect style="position:absolute;left:6460;top:7837;width:144;height:145" filled="true" fillcolor="#cee7e8" stroked="false">
              <v:fill type="solid"/>
            </v:rect>
            <v:rect style="position:absolute;left:6460;top:7837;width:144;height:145" filled="false" stroked="true" strokeweight=".625pt" strokecolor="#000000">
              <v:stroke dashstyle="solid"/>
            </v:rect>
            <v:rect style="position:absolute;left:6460;top:7981;width:144;height:136" filled="true" fillcolor="#fdeecc" stroked="false">
              <v:fill type="solid"/>
            </v:rect>
            <v:rect style="position:absolute;left:6460;top:7981;width:144;height:145" filled="false" stroked="true" strokeweight=".625pt" strokecolor="#000000">
              <v:stroke dashstyle="solid"/>
            </v:rect>
            <v:rect style="position:absolute;left:6460;top:8117;width:144;height:145" filled="true" fillcolor="#c0a2c7" stroked="false">
              <v:fill type="solid"/>
            </v:rect>
            <v:rect style="position:absolute;left:6460;top:8117;width:144;height:145" filled="false" stroked="true" strokeweight=".625pt" strokecolor="#000000">
              <v:stroke dashstyle="solid"/>
            </v:rect>
            <v:line style="position:absolute" from="1060,14680" to="10860,14680" stroked="true" strokeweight=".125pt" strokecolor="#006cb4">
              <v:stroke dashstyle="solid"/>
            </v:line>
            <w10:wrap type="none"/>
          </v:group>
        </w:pict>
      </w:r>
    </w:p>
    <w:p>
      <w:pPr>
        <w:pStyle w:val="ListParagraph"/>
        <w:numPr>
          <w:ilvl w:val="0"/>
          <w:numId w:val="7"/>
        </w:numPr>
        <w:tabs>
          <w:tab w:pos="660" w:val="left" w:leader="none"/>
        </w:tabs>
        <w:spacing w:line="240" w:lineRule="auto" w:before="75" w:after="0"/>
        <w:ind w:left="660" w:right="988" w:hanging="240"/>
        <w:jc w:val="left"/>
        <w:rPr>
          <w:sz w:val="14"/>
        </w:rPr>
      </w:pPr>
      <w:r>
        <w:rPr>
          <w:w w:val="110"/>
          <w:sz w:val="14"/>
        </w:rPr>
        <w:t>The</w:t>
      </w:r>
      <w:r>
        <w:rPr>
          <w:spacing w:val="-15"/>
          <w:w w:val="110"/>
          <w:sz w:val="14"/>
        </w:rPr>
        <w:t> </w:t>
      </w:r>
      <w:r>
        <w:rPr>
          <w:w w:val="110"/>
          <w:sz w:val="14"/>
        </w:rPr>
        <w:t>primary</w:t>
      </w:r>
      <w:r>
        <w:rPr>
          <w:spacing w:val="-15"/>
          <w:w w:val="110"/>
          <w:sz w:val="14"/>
        </w:rPr>
        <w:t> </w:t>
      </w:r>
      <w:r>
        <w:rPr>
          <w:w w:val="110"/>
          <w:sz w:val="14"/>
        </w:rPr>
        <w:t>source</w:t>
      </w:r>
      <w:r>
        <w:rPr>
          <w:spacing w:val="-15"/>
          <w:w w:val="110"/>
          <w:sz w:val="14"/>
        </w:rPr>
        <w:t> </w:t>
      </w:r>
      <w:r>
        <w:rPr>
          <w:w w:val="110"/>
          <w:sz w:val="14"/>
        </w:rPr>
        <w:t>of</w:t>
      </w:r>
      <w:r>
        <w:rPr>
          <w:spacing w:val="-14"/>
          <w:w w:val="110"/>
          <w:sz w:val="14"/>
        </w:rPr>
        <w:t> </w:t>
      </w:r>
      <w:r>
        <w:rPr>
          <w:w w:val="110"/>
          <w:sz w:val="14"/>
        </w:rPr>
        <w:t>data</w:t>
      </w:r>
      <w:r>
        <w:rPr>
          <w:spacing w:val="-15"/>
          <w:w w:val="110"/>
          <w:sz w:val="14"/>
        </w:rPr>
        <w:t> </w:t>
      </w:r>
      <w:r>
        <w:rPr>
          <w:w w:val="110"/>
          <w:sz w:val="14"/>
        </w:rPr>
        <w:t>is</w:t>
      </w:r>
      <w:r>
        <w:rPr>
          <w:spacing w:val="-15"/>
          <w:w w:val="110"/>
          <w:sz w:val="14"/>
        </w:rPr>
        <w:t> </w:t>
      </w:r>
      <w:r>
        <w:rPr>
          <w:spacing w:val="-3"/>
          <w:w w:val="110"/>
          <w:sz w:val="14"/>
        </w:rPr>
        <w:t>Reuters</w:t>
      </w:r>
      <w:r>
        <w:rPr>
          <w:spacing w:val="-15"/>
          <w:w w:val="110"/>
          <w:sz w:val="14"/>
        </w:rPr>
        <w:t> </w:t>
      </w:r>
      <w:r>
        <w:rPr>
          <w:w w:val="110"/>
          <w:sz w:val="14"/>
        </w:rPr>
        <w:t>Business</w:t>
      </w:r>
      <w:r>
        <w:rPr>
          <w:spacing w:val="-14"/>
          <w:w w:val="110"/>
          <w:sz w:val="14"/>
        </w:rPr>
        <w:t> </w:t>
      </w:r>
      <w:r>
        <w:rPr>
          <w:w w:val="110"/>
          <w:sz w:val="14"/>
        </w:rPr>
        <w:t>Briefing.</w:t>
      </w:r>
      <w:r>
        <w:rPr>
          <w:spacing w:val="9"/>
          <w:w w:val="110"/>
          <w:sz w:val="14"/>
        </w:rPr>
        <w:t> </w:t>
      </w:r>
      <w:r>
        <w:rPr>
          <w:spacing w:val="-6"/>
          <w:w w:val="110"/>
          <w:sz w:val="14"/>
        </w:rPr>
        <w:t>To</w:t>
      </w:r>
      <w:r>
        <w:rPr>
          <w:spacing w:val="-15"/>
          <w:w w:val="110"/>
          <w:sz w:val="14"/>
        </w:rPr>
        <w:t> </w:t>
      </w:r>
      <w:r>
        <w:rPr>
          <w:w w:val="110"/>
          <w:sz w:val="14"/>
        </w:rPr>
        <w:t>our</w:t>
      </w:r>
      <w:r>
        <w:rPr>
          <w:spacing w:val="-15"/>
          <w:w w:val="110"/>
          <w:sz w:val="14"/>
        </w:rPr>
        <w:t> </w:t>
      </w:r>
      <w:r>
        <w:rPr>
          <w:w w:val="110"/>
          <w:sz w:val="14"/>
        </w:rPr>
        <w:t>knowledge,</w:t>
      </w:r>
      <w:r>
        <w:rPr>
          <w:spacing w:val="-14"/>
          <w:w w:val="110"/>
          <w:sz w:val="14"/>
        </w:rPr>
        <w:t> </w:t>
      </w:r>
      <w:r>
        <w:rPr>
          <w:w w:val="110"/>
          <w:sz w:val="14"/>
        </w:rPr>
        <w:t>there</w:t>
      </w:r>
      <w:r>
        <w:rPr>
          <w:spacing w:val="-15"/>
          <w:w w:val="110"/>
          <w:sz w:val="14"/>
        </w:rPr>
        <w:t> </w:t>
      </w:r>
      <w:r>
        <w:rPr>
          <w:w w:val="110"/>
          <w:sz w:val="14"/>
        </w:rPr>
        <w:t>is</w:t>
      </w:r>
      <w:r>
        <w:rPr>
          <w:spacing w:val="-15"/>
          <w:w w:val="110"/>
          <w:sz w:val="14"/>
        </w:rPr>
        <w:t> </w:t>
      </w:r>
      <w:r>
        <w:rPr>
          <w:w w:val="110"/>
          <w:sz w:val="14"/>
        </w:rPr>
        <w:t>not</w:t>
      </w:r>
      <w:r>
        <w:rPr>
          <w:spacing w:val="-15"/>
          <w:w w:val="110"/>
          <w:sz w:val="14"/>
        </w:rPr>
        <w:t> </w:t>
      </w:r>
      <w:r>
        <w:rPr>
          <w:w w:val="110"/>
          <w:sz w:val="14"/>
        </w:rPr>
        <w:t>a</w:t>
      </w:r>
      <w:r>
        <w:rPr>
          <w:spacing w:val="-14"/>
          <w:w w:val="110"/>
          <w:sz w:val="14"/>
        </w:rPr>
        <w:t> </w:t>
      </w:r>
      <w:r>
        <w:rPr>
          <w:w w:val="110"/>
          <w:sz w:val="14"/>
        </w:rPr>
        <w:t>database</w:t>
      </w:r>
      <w:r>
        <w:rPr>
          <w:spacing w:val="-15"/>
          <w:w w:val="110"/>
          <w:sz w:val="14"/>
        </w:rPr>
        <w:t> </w:t>
      </w:r>
      <w:r>
        <w:rPr>
          <w:w w:val="110"/>
          <w:sz w:val="14"/>
        </w:rPr>
        <w:t>on</w:t>
      </w:r>
      <w:r>
        <w:rPr>
          <w:spacing w:val="-15"/>
          <w:w w:val="110"/>
          <w:sz w:val="14"/>
        </w:rPr>
        <w:t> </w:t>
      </w:r>
      <w:r>
        <w:rPr>
          <w:w w:val="110"/>
          <w:sz w:val="14"/>
        </w:rPr>
        <w:t>US</w:t>
      </w:r>
      <w:r>
        <w:rPr>
          <w:spacing w:val="-14"/>
          <w:w w:val="110"/>
          <w:sz w:val="14"/>
        </w:rPr>
        <w:t> </w:t>
      </w:r>
      <w:r>
        <w:rPr>
          <w:w w:val="110"/>
          <w:sz w:val="14"/>
        </w:rPr>
        <w:t>profit</w:t>
      </w:r>
      <w:r>
        <w:rPr>
          <w:spacing w:val="-15"/>
          <w:w w:val="110"/>
          <w:sz w:val="14"/>
        </w:rPr>
        <w:t> </w:t>
      </w:r>
      <w:r>
        <w:rPr>
          <w:w w:val="110"/>
          <w:sz w:val="14"/>
        </w:rPr>
        <w:t>warnings</w:t>
      </w:r>
      <w:r>
        <w:rPr>
          <w:spacing w:val="-15"/>
          <w:w w:val="110"/>
          <w:sz w:val="14"/>
        </w:rPr>
        <w:t> </w:t>
      </w:r>
      <w:r>
        <w:rPr>
          <w:w w:val="110"/>
          <w:sz w:val="14"/>
        </w:rPr>
        <w:t>that</w:t>
      </w:r>
      <w:r>
        <w:rPr>
          <w:spacing w:val="-15"/>
          <w:w w:val="110"/>
          <w:sz w:val="14"/>
        </w:rPr>
        <w:t> </w:t>
      </w:r>
      <w:r>
        <w:rPr>
          <w:w w:val="110"/>
          <w:sz w:val="14"/>
        </w:rPr>
        <w:t>offers</w:t>
      </w:r>
      <w:r>
        <w:rPr>
          <w:spacing w:val="-14"/>
          <w:w w:val="110"/>
          <w:sz w:val="14"/>
        </w:rPr>
        <w:t> </w:t>
      </w:r>
      <w:r>
        <w:rPr>
          <w:w w:val="110"/>
          <w:sz w:val="14"/>
        </w:rPr>
        <w:t>the</w:t>
      </w:r>
      <w:r>
        <w:rPr>
          <w:spacing w:val="-15"/>
          <w:w w:val="110"/>
          <w:sz w:val="14"/>
        </w:rPr>
        <w:t> </w:t>
      </w:r>
      <w:r>
        <w:rPr>
          <w:w w:val="110"/>
          <w:sz w:val="14"/>
        </w:rPr>
        <w:t>same</w:t>
      </w:r>
      <w:r>
        <w:rPr>
          <w:spacing w:val="-15"/>
          <w:w w:val="110"/>
          <w:sz w:val="14"/>
        </w:rPr>
        <w:t> </w:t>
      </w:r>
      <w:r>
        <w:rPr>
          <w:w w:val="110"/>
          <w:sz w:val="14"/>
        </w:rPr>
        <w:t>depth</w:t>
      </w:r>
      <w:r>
        <w:rPr>
          <w:spacing w:val="-14"/>
          <w:w w:val="110"/>
          <w:sz w:val="14"/>
        </w:rPr>
        <w:t> </w:t>
      </w:r>
      <w:r>
        <w:rPr>
          <w:w w:val="110"/>
          <w:sz w:val="14"/>
        </w:rPr>
        <w:t>of information</w:t>
      </w:r>
      <w:r>
        <w:rPr>
          <w:spacing w:val="-14"/>
          <w:w w:val="110"/>
          <w:sz w:val="14"/>
        </w:rPr>
        <w:t> </w:t>
      </w:r>
      <w:r>
        <w:rPr>
          <w:w w:val="110"/>
          <w:sz w:val="14"/>
        </w:rPr>
        <w:t>as</w:t>
      </w:r>
      <w:r>
        <w:rPr>
          <w:spacing w:val="-14"/>
          <w:w w:val="110"/>
          <w:sz w:val="14"/>
        </w:rPr>
        <w:t> </w:t>
      </w:r>
      <w:r>
        <w:rPr>
          <w:w w:val="110"/>
          <w:sz w:val="14"/>
        </w:rPr>
        <w:t>the</w:t>
      </w:r>
      <w:r>
        <w:rPr>
          <w:spacing w:val="-14"/>
          <w:w w:val="110"/>
          <w:sz w:val="14"/>
        </w:rPr>
        <w:t> </w:t>
      </w:r>
      <w:r>
        <w:rPr>
          <w:spacing w:val="-3"/>
          <w:w w:val="110"/>
          <w:sz w:val="14"/>
        </w:rPr>
        <w:t>Bank’s</w:t>
      </w:r>
      <w:r>
        <w:rPr>
          <w:spacing w:val="-14"/>
          <w:w w:val="110"/>
          <w:sz w:val="14"/>
        </w:rPr>
        <w:t> </w:t>
      </w:r>
      <w:r>
        <w:rPr>
          <w:w w:val="110"/>
          <w:sz w:val="14"/>
        </w:rPr>
        <w:t>database</w:t>
      </w:r>
      <w:r>
        <w:rPr>
          <w:spacing w:val="-14"/>
          <w:w w:val="110"/>
          <w:sz w:val="14"/>
        </w:rPr>
        <w:t> </w:t>
      </w:r>
      <w:r>
        <w:rPr>
          <w:w w:val="110"/>
          <w:sz w:val="14"/>
        </w:rPr>
        <w:t>for</w:t>
      </w:r>
      <w:r>
        <w:rPr>
          <w:spacing w:val="-13"/>
          <w:w w:val="110"/>
          <w:sz w:val="14"/>
        </w:rPr>
        <w:t> </w:t>
      </w:r>
      <w:r>
        <w:rPr>
          <w:w w:val="110"/>
          <w:sz w:val="14"/>
        </w:rPr>
        <w:t>the</w:t>
      </w:r>
      <w:r>
        <w:rPr>
          <w:spacing w:val="-14"/>
          <w:w w:val="110"/>
          <w:sz w:val="14"/>
        </w:rPr>
        <w:t> </w:t>
      </w:r>
      <w:r>
        <w:rPr>
          <w:w w:val="110"/>
          <w:sz w:val="14"/>
        </w:rPr>
        <w:t>United</w:t>
      </w:r>
      <w:r>
        <w:rPr>
          <w:spacing w:val="-14"/>
          <w:w w:val="110"/>
          <w:sz w:val="14"/>
        </w:rPr>
        <w:t> </w:t>
      </w:r>
      <w:r>
        <w:rPr>
          <w:w w:val="110"/>
          <w:sz w:val="14"/>
        </w:rPr>
        <w:t>Kingdom.</w:t>
      </w:r>
      <w:r>
        <w:rPr>
          <w:spacing w:val="11"/>
          <w:w w:val="110"/>
          <w:sz w:val="14"/>
        </w:rPr>
        <w:t> </w:t>
      </w:r>
      <w:r>
        <w:rPr>
          <w:w w:val="110"/>
          <w:sz w:val="14"/>
        </w:rPr>
        <w:t>There</w:t>
      </w:r>
      <w:r>
        <w:rPr>
          <w:spacing w:val="-14"/>
          <w:w w:val="110"/>
          <w:sz w:val="14"/>
        </w:rPr>
        <w:t> </w:t>
      </w:r>
      <w:r>
        <w:rPr>
          <w:w w:val="110"/>
          <w:sz w:val="14"/>
        </w:rPr>
        <w:t>are</w:t>
      </w:r>
      <w:r>
        <w:rPr>
          <w:spacing w:val="-14"/>
          <w:w w:val="110"/>
          <w:sz w:val="14"/>
        </w:rPr>
        <w:t> </w:t>
      </w:r>
      <w:r>
        <w:rPr>
          <w:w w:val="110"/>
          <w:sz w:val="14"/>
        </w:rPr>
        <w:t>headline</w:t>
      </w:r>
      <w:r>
        <w:rPr>
          <w:spacing w:val="-14"/>
          <w:w w:val="110"/>
          <w:sz w:val="14"/>
        </w:rPr>
        <w:t> </w:t>
      </w:r>
      <w:r>
        <w:rPr>
          <w:w w:val="110"/>
          <w:sz w:val="14"/>
        </w:rPr>
        <w:t>figures</w:t>
      </w:r>
      <w:r>
        <w:rPr>
          <w:spacing w:val="-14"/>
          <w:w w:val="110"/>
          <w:sz w:val="14"/>
        </w:rPr>
        <w:t> </w:t>
      </w:r>
      <w:r>
        <w:rPr>
          <w:w w:val="110"/>
          <w:sz w:val="14"/>
        </w:rPr>
        <w:t>reported</w:t>
      </w:r>
      <w:r>
        <w:rPr>
          <w:spacing w:val="-13"/>
          <w:w w:val="110"/>
          <w:sz w:val="14"/>
        </w:rPr>
        <w:t> </w:t>
      </w:r>
      <w:r>
        <w:rPr>
          <w:w w:val="110"/>
          <w:sz w:val="14"/>
        </w:rPr>
        <w:t>in</w:t>
      </w:r>
      <w:r>
        <w:rPr>
          <w:spacing w:val="-14"/>
          <w:w w:val="110"/>
          <w:sz w:val="14"/>
        </w:rPr>
        <w:t> </w:t>
      </w:r>
      <w:r>
        <w:rPr>
          <w:w w:val="110"/>
          <w:sz w:val="14"/>
        </w:rPr>
        <w:t>the</w:t>
      </w:r>
      <w:r>
        <w:rPr>
          <w:spacing w:val="-14"/>
          <w:w w:val="110"/>
          <w:sz w:val="14"/>
        </w:rPr>
        <w:t> </w:t>
      </w:r>
      <w:r>
        <w:rPr>
          <w:w w:val="110"/>
          <w:sz w:val="14"/>
        </w:rPr>
        <w:t>press.</w:t>
      </w:r>
      <w:r>
        <w:rPr>
          <w:spacing w:val="11"/>
          <w:w w:val="110"/>
          <w:sz w:val="14"/>
        </w:rPr>
        <w:t> </w:t>
      </w:r>
      <w:r>
        <w:rPr>
          <w:w w:val="110"/>
          <w:sz w:val="14"/>
        </w:rPr>
        <w:t>These</w:t>
      </w:r>
      <w:r>
        <w:rPr>
          <w:spacing w:val="-14"/>
          <w:w w:val="110"/>
          <w:sz w:val="14"/>
        </w:rPr>
        <w:t> </w:t>
      </w:r>
      <w:r>
        <w:rPr>
          <w:w w:val="110"/>
          <w:sz w:val="14"/>
        </w:rPr>
        <w:t>are</w:t>
      </w:r>
      <w:r>
        <w:rPr>
          <w:spacing w:val="-14"/>
          <w:w w:val="110"/>
          <w:sz w:val="14"/>
        </w:rPr>
        <w:t> </w:t>
      </w:r>
      <w:r>
        <w:rPr>
          <w:w w:val="110"/>
          <w:sz w:val="14"/>
        </w:rPr>
        <w:t>usually</w:t>
      </w:r>
      <w:r>
        <w:rPr>
          <w:spacing w:val="-14"/>
          <w:w w:val="110"/>
          <w:sz w:val="14"/>
        </w:rPr>
        <w:t> </w:t>
      </w:r>
      <w:r>
        <w:rPr>
          <w:w w:val="110"/>
          <w:sz w:val="14"/>
        </w:rPr>
        <w:t>based</w:t>
      </w:r>
      <w:r>
        <w:rPr>
          <w:spacing w:val="-14"/>
          <w:w w:val="110"/>
          <w:sz w:val="14"/>
        </w:rPr>
        <w:t> </w:t>
      </w:r>
      <w:r>
        <w:rPr>
          <w:w w:val="110"/>
          <w:sz w:val="14"/>
        </w:rPr>
        <w:t>on</w:t>
      </w:r>
      <w:r>
        <w:rPr>
          <w:spacing w:val="-13"/>
          <w:w w:val="110"/>
          <w:sz w:val="14"/>
        </w:rPr>
        <w:t> </w:t>
      </w:r>
      <w:r>
        <w:rPr>
          <w:w w:val="110"/>
          <w:sz w:val="14"/>
        </w:rPr>
        <w:t>revisions</w:t>
      </w:r>
      <w:r>
        <w:rPr>
          <w:spacing w:val="-14"/>
          <w:w w:val="110"/>
          <w:sz w:val="14"/>
        </w:rPr>
        <w:t> </w:t>
      </w:r>
      <w:r>
        <w:rPr>
          <w:spacing w:val="-3"/>
          <w:w w:val="110"/>
          <w:sz w:val="14"/>
        </w:rPr>
        <w:t>to </w:t>
      </w:r>
      <w:r>
        <w:rPr>
          <w:w w:val="110"/>
          <w:sz w:val="14"/>
        </w:rPr>
        <w:t>analysts’</w:t>
      </w:r>
      <w:r>
        <w:rPr>
          <w:spacing w:val="-6"/>
          <w:w w:val="110"/>
          <w:sz w:val="14"/>
        </w:rPr>
        <w:t> </w:t>
      </w:r>
      <w:r>
        <w:rPr>
          <w:w w:val="110"/>
          <w:sz w:val="14"/>
        </w:rPr>
        <w:t>earnings</w:t>
      </w:r>
      <w:r>
        <w:rPr>
          <w:spacing w:val="-5"/>
          <w:w w:val="110"/>
          <w:sz w:val="14"/>
        </w:rPr>
        <w:t> </w:t>
      </w:r>
      <w:r>
        <w:rPr>
          <w:w w:val="110"/>
          <w:sz w:val="14"/>
        </w:rPr>
        <w:t>expectations</w:t>
      </w:r>
      <w:r>
        <w:rPr>
          <w:spacing w:val="-5"/>
          <w:w w:val="110"/>
          <w:sz w:val="14"/>
        </w:rPr>
        <w:t> </w:t>
      </w:r>
      <w:r>
        <w:rPr>
          <w:w w:val="110"/>
          <w:sz w:val="14"/>
        </w:rPr>
        <w:t>rather</w:t>
      </w:r>
      <w:r>
        <w:rPr>
          <w:spacing w:val="-5"/>
          <w:w w:val="110"/>
          <w:sz w:val="14"/>
        </w:rPr>
        <w:t> </w:t>
      </w:r>
      <w:r>
        <w:rPr>
          <w:w w:val="110"/>
          <w:sz w:val="14"/>
        </w:rPr>
        <w:t>than</w:t>
      </w:r>
      <w:r>
        <w:rPr>
          <w:spacing w:val="-5"/>
          <w:w w:val="110"/>
          <w:sz w:val="14"/>
        </w:rPr>
        <w:t> </w:t>
      </w:r>
      <w:r>
        <w:rPr>
          <w:w w:val="110"/>
          <w:sz w:val="14"/>
        </w:rPr>
        <w:t>‘profit</w:t>
      </w:r>
      <w:r>
        <w:rPr>
          <w:spacing w:val="-5"/>
          <w:w w:val="110"/>
          <w:sz w:val="14"/>
        </w:rPr>
        <w:t> </w:t>
      </w:r>
      <w:r>
        <w:rPr>
          <w:w w:val="110"/>
          <w:sz w:val="14"/>
        </w:rPr>
        <w:t>warnings’</w:t>
      </w:r>
      <w:r>
        <w:rPr>
          <w:spacing w:val="-6"/>
          <w:w w:val="110"/>
          <w:sz w:val="14"/>
        </w:rPr>
        <w:t> </w:t>
      </w:r>
      <w:r>
        <w:rPr>
          <w:w w:val="110"/>
          <w:sz w:val="14"/>
        </w:rPr>
        <w:t>as</w:t>
      </w:r>
      <w:r>
        <w:rPr>
          <w:spacing w:val="-5"/>
          <w:w w:val="110"/>
          <w:sz w:val="14"/>
        </w:rPr>
        <w:t> </w:t>
      </w:r>
      <w:r>
        <w:rPr>
          <w:w w:val="110"/>
          <w:sz w:val="14"/>
        </w:rPr>
        <w:t>we</w:t>
      </w:r>
      <w:r>
        <w:rPr>
          <w:spacing w:val="-5"/>
          <w:w w:val="110"/>
          <w:sz w:val="14"/>
        </w:rPr>
        <w:t> </w:t>
      </w:r>
      <w:r>
        <w:rPr>
          <w:w w:val="110"/>
          <w:sz w:val="14"/>
        </w:rPr>
        <w:t>define</w:t>
      </w:r>
      <w:r>
        <w:rPr>
          <w:spacing w:val="-5"/>
          <w:w w:val="110"/>
          <w:sz w:val="14"/>
        </w:rPr>
        <w:t> </w:t>
      </w:r>
      <w:r>
        <w:rPr>
          <w:w w:val="110"/>
          <w:sz w:val="14"/>
        </w:rPr>
        <w:t>them.</w:t>
      </w:r>
    </w:p>
    <w:p>
      <w:pPr>
        <w:pStyle w:val="ListParagraph"/>
        <w:numPr>
          <w:ilvl w:val="0"/>
          <w:numId w:val="7"/>
        </w:numPr>
        <w:tabs>
          <w:tab w:pos="660" w:val="left" w:leader="none"/>
        </w:tabs>
        <w:spacing w:line="158" w:lineRule="exact" w:before="0" w:after="0"/>
        <w:ind w:left="659" w:right="0" w:hanging="240"/>
        <w:jc w:val="left"/>
        <w:rPr>
          <w:sz w:val="14"/>
        </w:rPr>
      </w:pPr>
      <w:r>
        <w:rPr>
          <w:w w:val="110"/>
          <w:sz w:val="14"/>
        </w:rPr>
        <w:t>Over the sample period July </w:t>
      </w:r>
      <w:r>
        <w:rPr>
          <w:spacing w:val="-12"/>
          <w:w w:val="110"/>
          <w:sz w:val="14"/>
        </w:rPr>
        <w:t>1997 </w:t>
      </w:r>
      <w:r>
        <w:rPr>
          <w:spacing w:val="-3"/>
          <w:w w:val="110"/>
          <w:sz w:val="14"/>
        </w:rPr>
        <w:t>to </w:t>
      </w:r>
      <w:r>
        <w:rPr>
          <w:w w:val="110"/>
          <w:sz w:val="14"/>
        </w:rPr>
        <w:t>January</w:t>
      </w:r>
      <w:r>
        <w:rPr>
          <w:spacing w:val="-15"/>
          <w:w w:val="110"/>
          <w:sz w:val="14"/>
        </w:rPr>
        <w:t> </w:t>
      </w:r>
      <w:r>
        <w:rPr>
          <w:spacing w:val="-3"/>
          <w:w w:val="110"/>
          <w:sz w:val="14"/>
        </w:rPr>
        <w:t>2000.</w:t>
      </w:r>
    </w:p>
    <w:p>
      <w:pPr>
        <w:spacing w:after="0" w:line="158" w:lineRule="exact"/>
        <w:jc w:val="left"/>
        <w:rPr>
          <w:sz w:val="14"/>
        </w:rPr>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ind w:left="190"/>
      </w:pPr>
      <w:bookmarkStart w:name="Exchange rates" w:id="33"/>
      <w:bookmarkEnd w:id="33"/>
      <w:r>
        <w:rPr>
          <w:b w:val="0"/>
        </w:rPr>
      </w:r>
      <w:bookmarkStart w:name="_bookmark15" w:id="34"/>
      <w:bookmarkEnd w:id="34"/>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1.19</w:t>
      </w:r>
    </w:p>
    <w:p>
      <w:pPr>
        <w:spacing w:before="8"/>
        <w:ind w:left="190" w:right="0" w:firstLine="0"/>
        <w:jc w:val="left"/>
        <w:rPr>
          <w:rFonts w:ascii="Trebuchet MS"/>
          <w:b/>
          <w:sz w:val="20"/>
        </w:rPr>
      </w:pPr>
      <w:r>
        <w:rPr>
          <w:rFonts w:ascii="Trebuchet MS"/>
          <w:b/>
          <w:color w:val="89C6DC"/>
          <w:w w:val="90"/>
          <w:sz w:val="20"/>
        </w:rPr>
        <w:t>Selected sterling exchange rates</w:t>
      </w:r>
    </w:p>
    <w:p>
      <w:pPr>
        <w:pStyle w:val="BodyText"/>
        <w:spacing w:before="9"/>
        <w:rPr>
          <w:rFonts w:ascii="Trebuchet MS"/>
          <w:b/>
        </w:rPr>
      </w:pPr>
    </w:p>
    <w:p>
      <w:pPr>
        <w:spacing w:line="115" w:lineRule="exact" w:before="0"/>
        <w:ind w:left="187" w:right="0" w:firstLine="0"/>
        <w:jc w:val="left"/>
        <w:rPr>
          <w:sz w:val="12"/>
        </w:rPr>
      </w:pPr>
      <w:r>
        <w:rPr/>
        <w:drawing>
          <wp:anchor distT="0" distB="0" distL="0" distR="0" allowOverlap="1" layoutInCell="1" locked="0" behindDoc="0" simplePos="0" relativeHeight="15909376">
            <wp:simplePos x="0" y="0"/>
            <wp:positionH relativeFrom="page">
              <wp:posOffset>724750</wp:posOffset>
            </wp:positionH>
            <wp:positionV relativeFrom="paragraph">
              <wp:posOffset>54210</wp:posOffset>
            </wp:positionV>
            <wp:extent cx="55041" cy="6350"/>
            <wp:effectExtent l="0" t="0" r="0" b="0"/>
            <wp:wrapNone/>
            <wp:docPr id="399" name="image8.png"/>
            <wp:cNvGraphicFramePr>
              <a:graphicFrameLocks noChangeAspect="1"/>
            </wp:cNvGraphicFramePr>
            <a:graphic>
              <a:graphicData uri="http://schemas.openxmlformats.org/drawingml/2006/picture">
                <pic:pic>
                  <pic:nvPicPr>
                    <pic:cNvPr id="400"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15"/>
          <w:sz w:val="12"/>
        </w:rPr>
        <w:t>1.80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18" w:right="0" w:firstLine="0"/>
        <w:jc w:val="left"/>
        <w:rPr>
          <w:sz w:val="12"/>
        </w:rPr>
      </w:pPr>
      <w:r>
        <w:rPr>
          <w:w w:val="120"/>
          <w:sz w:val="12"/>
        </w:rPr>
        <w:t>1990 = 100</w:t>
      </w:r>
    </w:p>
    <w:p>
      <w:pPr>
        <w:pStyle w:val="BodyText"/>
        <w:spacing w:before="2"/>
        <w:rPr>
          <w:sz w:val="4"/>
        </w:rPr>
      </w:pPr>
    </w:p>
    <w:p>
      <w:pPr>
        <w:pStyle w:val="BodyText"/>
        <w:spacing w:line="20" w:lineRule="exact"/>
        <w:ind w:left="588" w:right="-44"/>
        <w:rPr>
          <w:sz w:val="2"/>
        </w:rPr>
      </w:pPr>
      <w:r>
        <w:rPr>
          <w:sz w:val="2"/>
        </w:rPr>
        <w:drawing>
          <wp:inline distT="0" distB="0" distL="0" distR="0">
            <wp:extent cx="55317" cy="6381"/>
            <wp:effectExtent l="0" t="0" r="0" b="0"/>
            <wp:docPr id="401" name="image10.png"/>
            <wp:cNvGraphicFramePr>
              <a:graphicFrameLocks noChangeAspect="1"/>
            </wp:cNvGraphicFramePr>
            <a:graphic>
              <a:graphicData uri="http://schemas.openxmlformats.org/drawingml/2006/picture">
                <pic:pic>
                  <pic:nvPicPr>
                    <pic:cNvPr id="402" name="image10.png"/>
                    <pic:cNvPicPr/>
                  </pic:nvPicPr>
                  <pic:blipFill>
                    <a:blip r:embed="rId31" cstate="print"/>
                    <a:stretch>
                      <a:fillRect/>
                    </a:stretch>
                  </pic:blipFill>
                  <pic:spPr>
                    <a:xfrm>
                      <a:off x="0" y="0"/>
                      <a:ext cx="55317" cy="6381"/>
                    </a:xfrm>
                    <a:prstGeom prst="rect">
                      <a:avLst/>
                    </a:prstGeom>
                  </pic:spPr>
                </pic:pic>
              </a:graphicData>
            </a:graphic>
          </wp:inline>
        </w:drawing>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1"/>
        </w:rPr>
      </w:pPr>
    </w:p>
    <w:p>
      <w:pPr>
        <w:spacing w:line="115" w:lineRule="exact" w:before="0"/>
        <w:ind w:left="-9" w:right="0" w:firstLine="0"/>
        <w:jc w:val="left"/>
        <w:rPr>
          <w:sz w:val="12"/>
        </w:rPr>
      </w:pPr>
      <w:r>
        <w:rPr>
          <w:w w:val="120"/>
          <w:sz w:val="12"/>
        </w:rPr>
        <w:t>120</w:t>
      </w:r>
    </w:p>
    <w:p>
      <w:pPr>
        <w:pStyle w:val="BodyText"/>
        <w:spacing w:before="6"/>
        <w:rPr>
          <w:sz w:val="19"/>
        </w:rPr>
      </w:pPr>
      <w:r>
        <w:rPr/>
        <w:br w:type="column"/>
      </w:r>
      <w:r>
        <w:rPr>
          <w:sz w:val="19"/>
        </w:rPr>
      </w:r>
    </w:p>
    <w:p>
      <w:pPr>
        <w:pStyle w:val="BodyText"/>
        <w:spacing w:line="292" w:lineRule="auto" w:before="1"/>
        <w:ind w:left="187" w:right="275"/>
      </w:pPr>
      <w:r>
        <w:rPr>
          <w:w w:val="105"/>
        </w:rPr>
        <w:t>and </w:t>
      </w:r>
      <w:r>
        <w:rPr>
          <w:spacing w:val="-2"/>
          <w:w w:val="105"/>
        </w:rPr>
        <w:t>December, </w:t>
      </w:r>
      <w:r>
        <w:rPr>
          <w:w w:val="105"/>
        </w:rPr>
        <w:t>having been negative since April </w:t>
      </w:r>
      <w:r>
        <w:rPr>
          <w:spacing w:val="-4"/>
          <w:w w:val="105"/>
        </w:rPr>
        <w:t>2000 </w:t>
      </w:r>
      <w:r>
        <w:rPr>
          <w:w w:val="105"/>
        </w:rPr>
        <w:t>and as low as </w:t>
      </w:r>
      <w:r>
        <w:rPr>
          <w:spacing w:val="-7"/>
          <w:w w:val="105"/>
        </w:rPr>
        <w:t>-28 </w:t>
      </w:r>
      <w:r>
        <w:rPr>
          <w:w w:val="105"/>
        </w:rPr>
        <w:t>in </w:t>
      </w:r>
      <w:r>
        <w:rPr>
          <w:spacing w:val="-5"/>
          <w:w w:val="105"/>
        </w:rPr>
        <w:t>July. </w:t>
      </w:r>
      <w:r>
        <w:rPr>
          <w:w w:val="105"/>
        </w:rPr>
        <w:t>And, as discussed </w:t>
      </w:r>
      <w:r>
        <w:rPr>
          <w:spacing w:val="-3"/>
          <w:w w:val="105"/>
        </w:rPr>
        <w:t>earlier, </w:t>
      </w:r>
      <w:r>
        <w:rPr>
          <w:w w:val="105"/>
        </w:rPr>
        <w:t>the number of loan approvals has risen. That would be consistent with</w:t>
      </w:r>
      <w:r>
        <w:rPr>
          <w:spacing w:val="3"/>
          <w:w w:val="105"/>
        </w:rPr>
        <w:t> </w:t>
      </w:r>
      <w:r>
        <w:rPr>
          <w:w w:val="105"/>
        </w:rPr>
        <w:t>some</w:t>
      </w:r>
    </w:p>
    <w:p>
      <w:pPr>
        <w:spacing w:after="0" w:line="292" w:lineRule="auto"/>
        <w:sectPr>
          <w:type w:val="continuous"/>
          <w:pgSz w:w="11900" w:h="16840"/>
          <w:pgMar w:top="1260" w:bottom="280" w:left="640" w:right="640"/>
          <w:cols w:num="4" w:equalWidth="0">
            <w:col w:w="2984" w:space="40"/>
            <w:col w:w="676" w:space="39"/>
            <w:col w:w="250" w:space="923"/>
            <w:col w:w="5708"/>
          </w:cols>
        </w:sectPr>
      </w:pPr>
    </w:p>
    <w:p>
      <w:pPr>
        <w:pStyle w:val="BodyText"/>
        <w:rPr>
          <w:sz w:val="12"/>
        </w:rPr>
      </w:pPr>
    </w:p>
    <w:p>
      <w:pPr>
        <w:pStyle w:val="BodyText"/>
        <w:rPr>
          <w:sz w:val="12"/>
        </w:rPr>
      </w:pPr>
    </w:p>
    <w:p>
      <w:pPr>
        <w:pStyle w:val="BodyText"/>
        <w:spacing w:before="3"/>
        <w:rPr>
          <w:sz w:val="16"/>
        </w:rPr>
      </w:pPr>
    </w:p>
    <w:p>
      <w:pPr>
        <w:spacing w:before="0"/>
        <w:ind w:left="187" w:right="0" w:firstLine="0"/>
        <w:jc w:val="left"/>
        <w:rPr>
          <w:sz w:val="12"/>
        </w:rPr>
      </w:pPr>
      <w:r>
        <w:rPr>
          <w:w w:val="115"/>
          <w:sz w:val="12"/>
        </w:rPr>
        <w:t>1.70</w:t>
      </w:r>
    </w:p>
    <w:p>
      <w:pPr>
        <w:pStyle w:val="BodyText"/>
        <w:rPr>
          <w:sz w:val="12"/>
        </w:rPr>
      </w:pPr>
    </w:p>
    <w:p>
      <w:pPr>
        <w:pStyle w:val="BodyText"/>
        <w:rPr>
          <w:sz w:val="12"/>
        </w:rPr>
      </w:pPr>
    </w:p>
    <w:p>
      <w:pPr>
        <w:pStyle w:val="BodyText"/>
        <w:spacing w:before="2"/>
        <w:rPr>
          <w:sz w:val="14"/>
        </w:rPr>
      </w:pPr>
    </w:p>
    <w:p>
      <w:pPr>
        <w:spacing w:before="0"/>
        <w:ind w:left="187" w:right="0" w:firstLine="0"/>
        <w:jc w:val="left"/>
        <w:rPr>
          <w:sz w:val="12"/>
        </w:rPr>
      </w:pPr>
      <w:r>
        <w:rPr>
          <w:w w:val="115"/>
          <w:sz w:val="12"/>
        </w:rPr>
        <w:t>1.60</w:t>
      </w:r>
    </w:p>
    <w:p>
      <w:pPr>
        <w:pStyle w:val="BodyText"/>
        <w:rPr>
          <w:sz w:val="12"/>
        </w:rPr>
      </w:pPr>
    </w:p>
    <w:p>
      <w:pPr>
        <w:pStyle w:val="BodyText"/>
        <w:rPr>
          <w:sz w:val="12"/>
        </w:rPr>
      </w:pPr>
    </w:p>
    <w:p>
      <w:pPr>
        <w:pStyle w:val="BodyText"/>
        <w:spacing w:before="3"/>
        <w:rPr>
          <w:sz w:val="14"/>
        </w:rPr>
      </w:pPr>
    </w:p>
    <w:p>
      <w:pPr>
        <w:spacing w:before="0"/>
        <w:ind w:left="187" w:right="0" w:firstLine="0"/>
        <w:jc w:val="left"/>
        <w:rPr>
          <w:sz w:val="12"/>
        </w:rPr>
      </w:pPr>
      <w:r>
        <w:rPr>
          <w:w w:val="115"/>
          <w:sz w:val="12"/>
        </w:rPr>
        <w:t>1.50</w:t>
      </w:r>
    </w:p>
    <w:p>
      <w:pPr>
        <w:pStyle w:val="BodyText"/>
        <w:rPr>
          <w:sz w:val="12"/>
        </w:rPr>
      </w:pPr>
    </w:p>
    <w:p>
      <w:pPr>
        <w:pStyle w:val="BodyText"/>
        <w:rPr>
          <w:sz w:val="12"/>
        </w:rPr>
      </w:pPr>
    </w:p>
    <w:p>
      <w:pPr>
        <w:pStyle w:val="BodyText"/>
        <w:spacing w:before="2"/>
        <w:rPr>
          <w:sz w:val="14"/>
        </w:rPr>
      </w:pPr>
    </w:p>
    <w:p>
      <w:pPr>
        <w:spacing w:before="0"/>
        <w:ind w:left="187" w:right="0" w:firstLine="0"/>
        <w:jc w:val="left"/>
        <w:rPr>
          <w:sz w:val="12"/>
        </w:rPr>
      </w:pPr>
      <w:r>
        <w:rPr>
          <w:w w:val="115"/>
          <w:sz w:val="12"/>
        </w:rPr>
        <w:t>1.40</w:t>
      </w:r>
    </w:p>
    <w:p>
      <w:pPr>
        <w:pStyle w:val="BodyText"/>
        <w:rPr>
          <w:sz w:val="17"/>
        </w:rPr>
      </w:pPr>
      <w:r>
        <w:rPr/>
        <w:br w:type="column"/>
      </w:r>
      <w:r>
        <w:rPr>
          <w:sz w:val="17"/>
        </w:rPr>
      </w:r>
    </w:p>
    <w:p>
      <w:pPr>
        <w:spacing w:line="220" w:lineRule="auto" w:before="1"/>
        <w:ind w:left="256" w:right="36" w:hanging="70"/>
        <w:jc w:val="left"/>
        <w:rPr>
          <w:sz w:val="12"/>
        </w:rPr>
      </w:pPr>
      <w:r>
        <w:rPr>
          <w:w w:val="110"/>
          <w:sz w:val="12"/>
        </w:rPr>
        <w:t>US dollars per pound (left-hand scale)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27" w:lineRule="exact" w:before="100"/>
        <w:ind w:left="437" w:right="0" w:firstLine="0"/>
        <w:jc w:val="left"/>
        <w:rPr>
          <w:sz w:val="12"/>
        </w:rPr>
      </w:pPr>
      <w:r>
        <w:rPr>
          <w:sz w:val="12"/>
        </w:rPr>
        <w:t>ERI</w:t>
      </w:r>
    </w:p>
    <w:p>
      <w:pPr>
        <w:spacing w:line="127" w:lineRule="exact" w:before="0"/>
        <w:ind w:left="451" w:right="0" w:firstLine="0"/>
        <w:jc w:val="left"/>
        <w:rPr>
          <w:sz w:val="12"/>
        </w:rPr>
      </w:pPr>
      <w:r>
        <w:rPr>
          <w:w w:val="110"/>
          <w:sz w:val="12"/>
        </w:rPr>
        <w:t>(right-hand </w:t>
      </w:r>
      <w:r>
        <w:rPr>
          <w:spacing w:val="-4"/>
          <w:w w:val="110"/>
          <w:sz w:val="12"/>
        </w:rPr>
        <w:t>scale)</w:t>
      </w:r>
    </w:p>
    <w:p>
      <w:pPr>
        <w:spacing w:line="109" w:lineRule="exact" w:before="0"/>
        <w:ind w:left="65" w:right="0" w:firstLine="0"/>
        <w:jc w:val="left"/>
        <w:rPr>
          <w:sz w:val="12"/>
        </w:rPr>
      </w:pPr>
      <w:r>
        <w:rPr/>
        <w:br w:type="column"/>
      </w:r>
      <w:r>
        <w:rPr>
          <w:w w:val="110"/>
          <w:sz w:val="12"/>
        </w:rPr>
        <w:t>Euro per pound</w:t>
      </w:r>
    </w:p>
    <w:p>
      <w:pPr>
        <w:spacing w:line="130" w:lineRule="exact" w:before="0"/>
        <w:ind w:left="155" w:right="0" w:firstLine="0"/>
        <w:jc w:val="left"/>
        <w:rPr>
          <w:sz w:val="12"/>
        </w:rPr>
      </w:pPr>
      <w:r>
        <w:rPr/>
        <w:drawing>
          <wp:anchor distT="0" distB="0" distL="0" distR="0" allowOverlap="1" layoutInCell="1" locked="0" behindDoc="1" simplePos="0" relativeHeight="479895552">
            <wp:simplePos x="0" y="0"/>
            <wp:positionH relativeFrom="page">
              <wp:posOffset>724750</wp:posOffset>
            </wp:positionH>
            <wp:positionV relativeFrom="paragraph">
              <wp:posOffset>83230</wp:posOffset>
            </wp:positionV>
            <wp:extent cx="2030323" cy="1409700"/>
            <wp:effectExtent l="0" t="0" r="0" b="0"/>
            <wp:wrapNone/>
            <wp:docPr id="403" name="image40.png"/>
            <wp:cNvGraphicFramePr>
              <a:graphicFrameLocks noChangeAspect="1"/>
            </wp:cNvGraphicFramePr>
            <a:graphic>
              <a:graphicData uri="http://schemas.openxmlformats.org/drawingml/2006/picture">
                <pic:pic>
                  <pic:nvPicPr>
                    <pic:cNvPr id="404" name="image40.png"/>
                    <pic:cNvPicPr/>
                  </pic:nvPicPr>
                  <pic:blipFill>
                    <a:blip r:embed="rId71" cstate="print"/>
                    <a:stretch>
                      <a:fillRect/>
                    </a:stretch>
                  </pic:blipFill>
                  <pic:spPr>
                    <a:xfrm>
                      <a:off x="0" y="0"/>
                      <a:ext cx="2030323" cy="1409700"/>
                    </a:xfrm>
                    <a:prstGeom prst="rect">
                      <a:avLst/>
                    </a:prstGeom>
                  </pic:spPr>
                </pic:pic>
              </a:graphicData>
            </a:graphic>
          </wp:anchor>
        </w:drawing>
      </w:r>
      <w:r>
        <w:rPr>
          <w:w w:val="105"/>
          <w:sz w:val="12"/>
        </w:rPr>
        <w:t>(left-hand scale)</w:t>
      </w:r>
    </w:p>
    <w:p>
      <w:pPr>
        <w:pStyle w:val="BodyText"/>
        <w:rPr>
          <w:sz w:val="12"/>
        </w:rPr>
      </w:pPr>
      <w:r>
        <w:rPr/>
        <w:br w:type="column"/>
      </w:r>
      <w:r>
        <w:rPr>
          <w:sz w:val="12"/>
        </w:rPr>
      </w:r>
    </w:p>
    <w:p>
      <w:pPr>
        <w:pStyle w:val="BodyText"/>
        <w:rPr>
          <w:sz w:val="12"/>
        </w:rPr>
      </w:pPr>
    </w:p>
    <w:p>
      <w:pPr>
        <w:pStyle w:val="BodyText"/>
        <w:spacing w:before="3"/>
        <w:rPr>
          <w:sz w:val="16"/>
        </w:rPr>
      </w:pPr>
    </w:p>
    <w:p>
      <w:pPr>
        <w:spacing w:before="0"/>
        <w:ind w:left="187" w:right="0" w:firstLine="0"/>
        <w:jc w:val="left"/>
        <w:rPr>
          <w:sz w:val="12"/>
        </w:rPr>
      </w:pPr>
      <w:r>
        <w:rPr>
          <w:w w:val="120"/>
          <w:sz w:val="12"/>
        </w:rPr>
        <w:t>115</w:t>
      </w:r>
    </w:p>
    <w:p>
      <w:pPr>
        <w:pStyle w:val="BodyText"/>
        <w:rPr>
          <w:sz w:val="12"/>
        </w:rPr>
      </w:pPr>
    </w:p>
    <w:p>
      <w:pPr>
        <w:pStyle w:val="BodyText"/>
        <w:rPr>
          <w:sz w:val="12"/>
        </w:rPr>
      </w:pPr>
    </w:p>
    <w:p>
      <w:pPr>
        <w:pStyle w:val="BodyText"/>
        <w:spacing w:before="2"/>
        <w:rPr>
          <w:sz w:val="14"/>
        </w:rPr>
      </w:pPr>
    </w:p>
    <w:p>
      <w:pPr>
        <w:spacing w:before="0"/>
        <w:ind w:left="187" w:right="0" w:firstLine="0"/>
        <w:jc w:val="left"/>
        <w:rPr>
          <w:sz w:val="12"/>
        </w:rPr>
      </w:pPr>
      <w:r>
        <w:rPr>
          <w:w w:val="120"/>
          <w:sz w:val="12"/>
        </w:rPr>
        <w:t>110</w:t>
      </w:r>
    </w:p>
    <w:p>
      <w:pPr>
        <w:pStyle w:val="BodyText"/>
        <w:rPr>
          <w:sz w:val="12"/>
        </w:rPr>
      </w:pPr>
    </w:p>
    <w:p>
      <w:pPr>
        <w:pStyle w:val="BodyText"/>
        <w:rPr>
          <w:sz w:val="12"/>
        </w:rPr>
      </w:pPr>
    </w:p>
    <w:p>
      <w:pPr>
        <w:pStyle w:val="BodyText"/>
        <w:spacing w:before="3"/>
        <w:rPr>
          <w:sz w:val="14"/>
        </w:rPr>
      </w:pPr>
    </w:p>
    <w:p>
      <w:pPr>
        <w:spacing w:before="0"/>
        <w:ind w:left="187" w:right="0" w:firstLine="0"/>
        <w:jc w:val="left"/>
        <w:rPr>
          <w:sz w:val="12"/>
        </w:rPr>
      </w:pPr>
      <w:r>
        <w:rPr>
          <w:w w:val="120"/>
          <w:sz w:val="12"/>
        </w:rPr>
        <w:t>105</w:t>
      </w:r>
    </w:p>
    <w:p>
      <w:pPr>
        <w:pStyle w:val="BodyText"/>
        <w:rPr>
          <w:sz w:val="12"/>
        </w:rPr>
      </w:pPr>
    </w:p>
    <w:p>
      <w:pPr>
        <w:pStyle w:val="BodyText"/>
        <w:rPr>
          <w:sz w:val="12"/>
        </w:rPr>
      </w:pPr>
    </w:p>
    <w:p>
      <w:pPr>
        <w:pStyle w:val="BodyText"/>
        <w:spacing w:before="2"/>
        <w:rPr>
          <w:sz w:val="14"/>
        </w:rPr>
      </w:pPr>
    </w:p>
    <w:p>
      <w:pPr>
        <w:spacing w:before="0"/>
        <w:ind w:left="187" w:right="0" w:firstLine="0"/>
        <w:jc w:val="left"/>
        <w:rPr>
          <w:sz w:val="12"/>
        </w:rPr>
      </w:pPr>
      <w:r>
        <w:rPr>
          <w:w w:val="120"/>
          <w:sz w:val="12"/>
        </w:rPr>
        <w:t>100</w:t>
      </w:r>
    </w:p>
    <w:p>
      <w:pPr>
        <w:pStyle w:val="BodyText"/>
        <w:spacing w:line="219" w:lineRule="exact"/>
        <w:ind w:left="307"/>
      </w:pPr>
      <w:r>
        <w:rPr/>
        <w:br w:type="column"/>
      </w:r>
      <w:r>
        <w:rPr>
          <w:w w:val="110"/>
        </w:rPr>
        <w:t>increase in housing market activity in the months ahead.</w:t>
      </w:r>
    </w:p>
    <w:p>
      <w:pPr>
        <w:pStyle w:val="BodyText"/>
        <w:spacing w:before="1"/>
        <w:rPr>
          <w:sz w:val="25"/>
        </w:rPr>
      </w:pPr>
    </w:p>
    <w:p>
      <w:pPr>
        <w:pStyle w:val="Heading6"/>
        <w:ind w:left="187"/>
      </w:pPr>
      <w:r>
        <w:rPr>
          <w:color w:val="89C6DC"/>
        </w:rPr>
        <w:t>Exchange rates</w:t>
      </w:r>
    </w:p>
    <w:p>
      <w:pPr>
        <w:pStyle w:val="BodyText"/>
        <w:rPr>
          <w:rFonts w:ascii="Trebuchet MS"/>
          <w:b/>
          <w:sz w:val="18"/>
        </w:rPr>
      </w:pPr>
    </w:p>
    <w:p>
      <w:pPr>
        <w:pStyle w:val="BodyText"/>
        <w:spacing w:line="292" w:lineRule="auto"/>
        <w:ind w:left="307" w:right="99"/>
      </w:pPr>
      <w:r>
        <w:rPr>
          <w:w w:val="110"/>
        </w:rPr>
        <w:t>The euro has risen by around 8% against the dollar since the November</w:t>
      </w:r>
      <w:r>
        <w:rPr>
          <w:spacing w:val="-22"/>
          <w:w w:val="110"/>
        </w:rPr>
        <w:t> </w:t>
      </w:r>
      <w:r>
        <w:rPr>
          <w:i/>
          <w:w w:val="110"/>
        </w:rPr>
        <w:t>Report</w:t>
      </w:r>
      <w:r>
        <w:rPr>
          <w:w w:val="110"/>
        </w:rPr>
        <w:t>.</w:t>
      </w:r>
      <w:r>
        <w:rPr>
          <w:spacing w:val="13"/>
          <w:w w:val="110"/>
        </w:rPr>
        <w:t> </w:t>
      </w:r>
      <w:r>
        <w:rPr>
          <w:w w:val="110"/>
        </w:rPr>
        <w:t>Sterling</w:t>
      </w:r>
      <w:r>
        <w:rPr>
          <w:spacing w:val="-21"/>
          <w:w w:val="110"/>
        </w:rPr>
        <w:t> </w:t>
      </w:r>
      <w:r>
        <w:rPr>
          <w:w w:val="110"/>
        </w:rPr>
        <w:t>has</w:t>
      </w:r>
      <w:r>
        <w:rPr>
          <w:spacing w:val="-21"/>
          <w:w w:val="110"/>
        </w:rPr>
        <w:t> </w:t>
      </w:r>
      <w:r>
        <w:rPr>
          <w:w w:val="110"/>
        </w:rPr>
        <w:t>also</w:t>
      </w:r>
      <w:r>
        <w:rPr>
          <w:spacing w:val="-22"/>
          <w:w w:val="110"/>
        </w:rPr>
        <w:t> </w:t>
      </w:r>
      <w:r>
        <w:rPr>
          <w:w w:val="110"/>
        </w:rPr>
        <w:t>risen</w:t>
      </w:r>
      <w:r>
        <w:rPr>
          <w:spacing w:val="-21"/>
          <w:w w:val="110"/>
        </w:rPr>
        <w:t> </w:t>
      </w:r>
      <w:r>
        <w:rPr>
          <w:w w:val="110"/>
        </w:rPr>
        <w:t>against</w:t>
      </w:r>
      <w:r>
        <w:rPr>
          <w:spacing w:val="-21"/>
          <w:w w:val="110"/>
        </w:rPr>
        <w:t> </w:t>
      </w:r>
      <w:r>
        <w:rPr>
          <w:w w:val="110"/>
        </w:rPr>
        <w:t>the</w:t>
      </w:r>
      <w:r>
        <w:rPr>
          <w:spacing w:val="-22"/>
          <w:w w:val="110"/>
        </w:rPr>
        <w:t> </w:t>
      </w:r>
      <w:r>
        <w:rPr>
          <w:spacing w:val="-3"/>
          <w:w w:val="110"/>
        </w:rPr>
        <w:t>dollar,</w:t>
      </w:r>
      <w:r>
        <w:rPr>
          <w:spacing w:val="-21"/>
          <w:w w:val="110"/>
        </w:rPr>
        <w:t> </w:t>
      </w:r>
      <w:r>
        <w:rPr>
          <w:spacing w:val="-3"/>
          <w:w w:val="110"/>
        </w:rPr>
        <w:t>by </w:t>
      </w:r>
      <w:r>
        <w:rPr>
          <w:w w:val="110"/>
        </w:rPr>
        <w:t>around 2%, but has depreciated </w:t>
      </w:r>
      <w:r>
        <w:rPr>
          <w:spacing w:val="-3"/>
          <w:w w:val="110"/>
        </w:rPr>
        <w:t>by </w:t>
      </w:r>
      <w:r>
        <w:rPr>
          <w:w w:val="110"/>
        </w:rPr>
        <w:t>around 6% against the euro (see Chart </w:t>
      </w:r>
      <w:r>
        <w:rPr>
          <w:spacing w:val="-6"/>
          <w:w w:val="110"/>
        </w:rPr>
        <w:t>1.19). </w:t>
      </w:r>
      <w:r>
        <w:rPr>
          <w:w w:val="110"/>
        </w:rPr>
        <w:t>The sterling effective exchange </w:t>
      </w:r>
      <w:r>
        <w:rPr>
          <w:spacing w:val="-4"/>
          <w:w w:val="110"/>
        </w:rPr>
        <w:t>rate </w:t>
      </w:r>
      <w:r>
        <w:rPr>
          <w:w w:val="110"/>
        </w:rPr>
        <w:t>index</w:t>
      </w:r>
      <w:r>
        <w:rPr>
          <w:spacing w:val="-20"/>
          <w:w w:val="110"/>
        </w:rPr>
        <w:t> </w:t>
      </w:r>
      <w:r>
        <w:rPr>
          <w:w w:val="110"/>
        </w:rPr>
        <w:t>(ERI)</w:t>
      </w:r>
      <w:r>
        <w:rPr>
          <w:spacing w:val="-20"/>
          <w:w w:val="110"/>
        </w:rPr>
        <w:t> </w:t>
      </w:r>
      <w:r>
        <w:rPr>
          <w:w w:val="110"/>
        </w:rPr>
        <w:t>has</w:t>
      </w:r>
      <w:r>
        <w:rPr>
          <w:spacing w:val="-20"/>
          <w:w w:val="110"/>
        </w:rPr>
        <w:t> </w:t>
      </w:r>
      <w:r>
        <w:rPr>
          <w:w w:val="110"/>
        </w:rPr>
        <w:t>depreciated</w:t>
      </w:r>
      <w:r>
        <w:rPr>
          <w:spacing w:val="-19"/>
          <w:w w:val="110"/>
        </w:rPr>
        <w:t> </w:t>
      </w:r>
      <w:r>
        <w:rPr>
          <w:w w:val="110"/>
        </w:rPr>
        <w:t>since</w:t>
      </w:r>
      <w:r>
        <w:rPr>
          <w:spacing w:val="-20"/>
          <w:w w:val="110"/>
        </w:rPr>
        <w:t> </w:t>
      </w:r>
      <w:r>
        <w:rPr>
          <w:w w:val="110"/>
        </w:rPr>
        <w:t>the</w:t>
      </w:r>
      <w:r>
        <w:rPr>
          <w:spacing w:val="-20"/>
          <w:w w:val="110"/>
        </w:rPr>
        <w:t> </w:t>
      </w:r>
      <w:r>
        <w:rPr>
          <w:w w:val="110"/>
        </w:rPr>
        <w:t>November</w:t>
      </w:r>
      <w:r>
        <w:rPr>
          <w:spacing w:val="-20"/>
          <w:w w:val="110"/>
        </w:rPr>
        <w:t> </w:t>
      </w:r>
      <w:r>
        <w:rPr>
          <w:i/>
          <w:w w:val="110"/>
        </w:rPr>
        <w:t>Report</w:t>
      </w:r>
      <w:r>
        <w:rPr>
          <w:w w:val="110"/>
        </w:rPr>
        <w:t>.</w:t>
      </w:r>
      <w:r>
        <w:rPr>
          <w:spacing w:val="17"/>
          <w:w w:val="110"/>
        </w:rPr>
        <w:t> </w:t>
      </w:r>
      <w:r>
        <w:rPr>
          <w:w w:val="110"/>
        </w:rPr>
        <w:t>The </w:t>
      </w:r>
      <w:r>
        <w:rPr>
          <w:spacing w:val="-19"/>
          <w:w w:val="110"/>
        </w:rPr>
        <w:t>15</w:t>
      </w:r>
      <w:r>
        <w:rPr>
          <w:spacing w:val="-18"/>
          <w:w w:val="110"/>
        </w:rPr>
        <w:t> </w:t>
      </w:r>
      <w:r>
        <w:rPr>
          <w:spacing w:val="-3"/>
          <w:w w:val="110"/>
        </w:rPr>
        <w:t>working-day</w:t>
      </w:r>
      <w:r>
        <w:rPr>
          <w:spacing w:val="-18"/>
          <w:w w:val="110"/>
        </w:rPr>
        <w:t> </w:t>
      </w:r>
      <w:r>
        <w:rPr>
          <w:spacing w:val="-3"/>
          <w:w w:val="110"/>
        </w:rPr>
        <w:t>average</w:t>
      </w:r>
      <w:r>
        <w:rPr>
          <w:spacing w:val="-18"/>
          <w:w w:val="110"/>
        </w:rPr>
        <w:t> </w:t>
      </w:r>
      <w:r>
        <w:rPr>
          <w:w w:val="110"/>
        </w:rPr>
        <w:t>of</w:t>
      </w:r>
      <w:r>
        <w:rPr>
          <w:spacing w:val="-18"/>
          <w:w w:val="110"/>
        </w:rPr>
        <w:t> </w:t>
      </w:r>
      <w:r>
        <w:rPr>
          <w:w w:val="110"/>
        </w:rPr>
        <w:t>the</w:t>
      </w:r>
      <w:r>
        <w:rPr>
          <w:spacing w:val="-18"/>
          <w:w w:val="110"/>
        </w:rPr>
        <w:t> </w:t>
      </w:r>
      <w:r>
        <w:rPr>
          <w:w w:val="110"/>
        </w:rPr>
        <w:t>sterling</w:t>
      </w:r>
      <w:r>
        <w:rPr>
          <w:spacing w:val="-18"/>
          <w:w w:val="110"/>
        </w:rPr>
        <w:t> </w:t>
      </w:r>
      <w:r>
        <w:rPr>
          <w:w w:val="110"/>
        </w:rPr>
        <w:t>ERI</w:t>
      </w:r>
      <w:r>
        <w:rPr>
          <w:spacing w:val="-18"/>
          <w:w w:val="110"/>
        </w:rPr>
        <w:t> </w:t>
      </w:r>
      <w:r>
        <w:rPr>
          <w:w w:val="110"/>
        </w:rPr>
        <w:t>up</w:t>
      </w:r>
      <w:r>
        <w:rPr>
          <w:spacing w:val="-18"/>
          <w:w w:val="110"/>
        </w:rPr>
        <w:t> </w:t>
      </w:r>
      <w:r>
        <w:rPr>
          <w:spacing w:val="-4"/>
          <w:w w:val="110"/>
        </w:rPr>
        <w:t>to</w:t>
      </w:r>
      <w:r>
        <w:rPr>
          <w:spacing w:val="-18"/>
          <w:w w:val="110"/>
        </w:rPr>
        <w:t> </w:t>
      </w:r>
      <w:r>
        <w:rPr>
          <w:w w:val="110"/>
        </w:rPr>
        <w:t>and</w:t>
      </w:r>
      <w:r>
        <w:rPr>
          <w:spacing w:val="-18"/>
          <w:w w:val="110"/>
        </w:rPr>
        <w:t> </w:t>
      </w:r>
      <w:r>
        <w:rPr>
          <w:w w:val="110"/>
        </w:rPr>
        <w:t>including</w:t>
      </w:r>
    </w:p>
    <w:p>
      <w:pPr>
        <w:spacing w:after="0" w:line="292" w:lineRule="auto"/>
        <w:sectPr>
          <w:type w:val="continuous"/>
          <w:pgSz w:w="11900" w:h="16840"/>
          <w:pgMar w:top="1260" w:bottom="280" w:left="640" w:right="640"/>
          <w:cols w:num="5" w:equalWidth="0">
            <w:col w:w="473" w:space="287"/>
            <w:col w:w="1373" w:space="40"/>
            <w:col w:w="1033" w:space="337"/>
            <w:col w:w="447" w:space="803"/>
            <w:col w:w="5827"/>
          </w:cols>
        </w:sectPr>
      </w:pPr>
    </w:p>
    <w:p>
      <w:pPr>
        <w:pStyle w:val="BodyText"/>
        <w:spacing w:before="2"/>
        <w:rPr>
          <w:sz w:val="12"/>
        </w:rPr>
      </w:pPr>
    </w:p>
    <w:p>
      <w:pPr>
        <w:tabs>
          <w:tab w:pos="3503" w:val="left" w:leader="none"/>
          <w:tab w:pos="3762" w:val="left" w:leader="none"/>
        </w:tabs>
        <w:spacing w:before="1"/>
        <w:ind w:left="147" w:right="0" w:firstLine="0"/>
        <w:jc w:val="center"/>
        <w:rPr>
          <w:sz w:val="12"/>
        </w:rPr>
      </w:pPr>
      <w:r>
        <w:rPr/>
        <w:drawing>
          <wp:anchor distT="0" distB="0" distL="0" distR="0" allowOverlap="1" layoutInCell="1" locked="0" behindDoc="1" simplePos="0" relativeHeight="479896576">
            <wp:simplePos x="0" y="0"/>
            <wp:positionH relativeFrom="page">
              <wp:posOffset>822337</wp:posOffset>
            </wp:positionH>
            <wp:positionV relativeFrom="paragraph">
              <wp:posOffset>-9428</wp:posOffset>
            </wp:positionV>
            <wp:extent cx="6350" cy="63500"/>
            <wp:effectExtent l="0" t="0" r="0" b="0"/>
            <wp:wrapNone/>
            <wp:docPr id="405" name="image41.png"/>
            <wp:cNvGraphicFramePr>
              <a:graphicFrameLocks noChangeAspect="1"/>
            </wp:cNvGraphicFramePr>
            <a:graphic>
              <a:graphicData uri="http://schemas.openxmlformats.org/drawingml/2006/picture">
                <pic:pic>
                  <pic:nvPicPr>
                    <pic:cNvPr id="406" name="image41.png"/>
                    <pic:cNvPicPr/>
                  </pic:nvPicPr>
                  <pic:blipFill>
                    <a:blip r:embed="rId72" cstate="print"/>
                    <a:stretch>
                      <a:fillRect/>
                    </a:stretch>
                  </pic:blipFill>
                  <pic:spPr>
                    <a:xfrm>
                      <a:off x="0" y="0"/>
                      <a:ext cx="6350" cy="63500"/>
                    </a:xfrm>
                    <a:prstGeom prst="rect">
                      <a:avLst/>
                    </a:prstGeom>
                  </pic:spPr>
                </pic:pic>
              </a:graphicData>
            </a:graphic>
          </wp:anchor>
        </w:drawing>
      </w:r>
      <w:r>
        <w:rPr/>
        <w:drawing>
          <wp:anchor distT="0" distB="0" distL="0" distR="0" allowOverlap="1" layoutInCell="1" locked="0" behindDoc="1" simplePos="0" relativeHeight="479897088">
            <wp:simplePos x="0" y="0"/>
            <wp:positionH relativeFrom="page">
              <wp:posOffset>1012837</wp:posOffset>
            </wp:positionH>
            <wp:positionV relativeFrom="paragraph">
              <wp:posOffset>20212</wp:posOffset>
            </wp:positionV>
            <wp:extent cx="6350" cy="33858"/>
            <wp:effectExtent l="0" t="0" r="0" b="0"/>
            <wp:wrapNone/>
            <wp:docPr id="407" name="image42.png"/>
            <wp:cNvGraphicFramePr>
              <a:graphicFrameLocks noChangeAspect="1"/>
            </wp:cNvGraphicFramePr>
            <a:graphic>
              <a:graphicData uri="http://schemas.openxmlformats.org/drawingml/2006/picture">
                <pic:pic>
                  <pic:nvPicPr>
                    <pic:cNvPr id="408" name="image42.png"/>
                    <pic:cNvPicPr/>
                  </pic:nvPicPr>
                  <pic:blipFill>
                    <a:blip r:embed="rId73" cstate="print"/>
                    <a:stretch>
                      <a:fillRect/>
                    </a:stretch>
                  </pic:blipFill>
                  <pic:spPr>
                    <a:xfrm>
                      <a:off x="0" y="0"/>
                      <a:ext cx="6350" cy="33858"/>
                    </a:xfrm>
                    <a:prstGeom prst="rect">
                      <a:avLst/>
                    </a:prstGeom>
                  </pic:spPr>
                </pic:pic>
              </a:graphicData>
            </a:graphic>
          </wp:anchor>
        </w:drawing>
      </w:r>
      <w:r>
        <w:rPr/>
        <w:drawing>
          <wp:anchor distT="0" distB="0" distL="0" distR="0" allowOverlap="1" layoutInCell="1" locked="0" behindDoc="1" simplePos="0" relativeHeight="479897600">
            <wp:simplePos x="0" y="0"/>
            <wp:positionH relativeFrom="page">
              <wp:posOffset>1218577</wp:posOffset>
            </wp:positionH>
            <wp:positionV relativeFrom="paragraph">
              <wp:posOffset>20212</wp:posOffset>
            </wp:positionV>
            <wp:extent cx="6350" cy="33858"/>
            <wp:effectExtent l="0" t="0" r="0" b="0"/>
            <wp:wrapNone/>
            <wp:docPr id="409" name="image42.png"/>
            <wp:cNvGraphicFramePr>
              <a:graphicFrameLocks noChangeAspect="1"/>
            </wp:cNvGraphicFramePr>
            <a:graphic>
              <a:graphicData uri="http://schemas.openxmlformats.org/drawingml/2006/picture">
                <pic:pic>
                  <pic:nvPicPr>
                    <pic:cNvPr id="410" name="image42.png"/>
                    <pic:cNvPicPr/>
                  </pic:nvPicPr>
                  <pic:blipFill>
                    <a:blip r:embed="rId73" cstate="print"/>
                    <a:stretch>
                      <a:fillRect/>
                    </a:stretch>
                  </pic:blipFill>
                  <pic:spPr>
                    <a:xfrm>
                      <a:off x="0" y="0"/>
                      <a:ext cx="6350" cy="33858"/>
                    </a:xfrm>
                    <a:prstGeom prst="rect">
                      <a:avLst/>
                    </a:prstGeom>
                  </pic:spPr>
                </pic:pic>
              </a:graphicData>
            </a:graphic>
          </wp:anchor>
        </w:drawing>
      </w:r>
      <w:r>
        <w:rPr/>
        <w:drawing>
          <wp:anchor distT="0" distB="0" distL="0" distR="0" allowOverlap="1" layoutInCell="1" locked="0" behindDoc="1" simplePos="0" relativeHeight="479898112">
            <wp:simplePos x="0" y="0"/>
            <wp:positionH relativeFrom="page">
              <wp:posOffset>1599577</wp:posOffset>
            </wp:positionH>
            <wp:positionV relativeFrom="paragraph">
              <wp:posOffset>20212</wp:posOffset>
            </wp:positionV>
            <wp:extent cx="6350" cy="33858"/>
            <wp:effectExtent l="0" t="0" r="0" b="0"/>
            <wp:wrapNone/>
            <wp:docPr id="411" name="image42.png"/>
            <wp:cNvGraphicFramePr>
              <a:graphicFrameLocks noChangeAspect="1"/>
            </wp:cNvGraphicFramePr>
            <a:graphic>
              <a:graphicData uri="http://schemas.openxmlformats.org/drawingml/2006/picture">
                <pic:pic>
                  <pic:nvPicPr>
                    <pic:cNvPr id="412" name="image42.png"/>
                    <pic:cNvPicPr/>
                  </pic:nvPicPr>
                  <pic:blipFill>
                    <a:blip r:embed="rId73" cstate="print"/>
                    <a:stretch>
                      <a:fillRect/>
                    </a:stretch>
                  </pic:blipFill>
                  <pic:spPr>
                    <a:xfrm>
                      <a:off x="0" y="0"/>
                      <a:ext cx="6350" cy="33858"/>
                    </a:xfrm>
                    <a:prstGeom prst="rect">
                      <a:avLst/>
                    </a:prstGeom>
                  </pic:spPr>
                </pic:pic>
              </a:graphicData>
            </a:graphic>
          </wp:anchor>
        </w:drawing>
      </w:r>
      <w:r>
        <w:rPr/>
        <w:drawing>
          <wp:anchor distT="0" distB="0" distL="0" distR="0" allowOverlap="1" layoutInCell="1" locked="0" behindDoc="1" simplePos="0" relativeHeight="479898624">
            <wp:simplePos x="0" y="0"/>
            <wp:positionH relativeFrom="page">
              <wp:posOffset>1408239</wp:posOffset>
            </wp:positionH>
            <wp:positionV relativeFrom="paragraph">
              <wp:posOffset>-9428</wp:posOffset>
            </wp:positionV>
            <wp:extent cx="6350" cy="63500"/>
            <wp:effectExtent l="0" t="0" r="0" b="0"/>
            <wp:wrapNone/>
            <wp:docPr id="413" name="image41.png"/>
            <wp:cNvGraphicFramePr>
              <a:graphicFrameLocks noChangeAspect="1"/>
            </wp:cNvGraphicFramePr>
            <a:graphic>
              <a:graphicData uri="http://schemas.openxmlformats.org/drawingml/2006/picture">
                <pic:pic>
                  <pic:nvPicPr>
                    <pic:cNvPr id="414" name="image41.png"/>
                    <pic:cNvPicPr/>
                  </pic:nvPicPr>
                  <pic:blipFill>
                    <a:blip r:embed="rId72" cstate="print"/>
                    <a:stretch>
                      <a:fillRect/>
                    </a:stretch>
                  </pic:blipFill>
                  <pic:spPr>
                    <a:xfrm>
                      <a:off x="0" y="0"/>
                      <a:ext cx="6350" cy="63500"/>
                    </a:xfrm>
                    <a:prstGeom prst="rect">
                      <a:avLst/>
                    </a:prstGeom>
                  </pic:spPr>
                </pic:pic>
              </a:graphicData>
            </a:graphic>
          </wp:anchor>
        </w:drawing>
      </w:r>
      <w:r>
        <w:rPr/>
        <w:drawing>
          <wp:anchor distT="0" distB="0" distL="0" distR="0" allowOverlap="1" layoutInCell="1" locked="0" behindDoc="1" simplePos="0" relativeHeight="479899136">
            <wp:simplePos x="0" y="0"/>
            <wp:positionH relativeFrom="page">
              <wp:posOffset>1801075</wp:posOffset>
            </wp:positionH>
            <wp:positionV relativeFrom="paragraph">
              <wp:posOffset>20212</wp:posOffset>
            </wp:positionV>
            <wp:extent cx="6350" cy="33858"/>
            <wp:effectExtent l="0" t="0" r="0" b="0"/>
            <wp:wrapNone/>
            <wp:docPr id="415" name="image43.png"/>
            <wp:cNvGraphicFramePr>
              <a:graphicFrameLocks noChangeAspect="1"/>
            </wp:cNvGraphicFramePr>
            <a:graphic>
              <a:graphicData uri="http://schemas.openxmlformats.org/drawingml/2006/picture">
                <pic:pic>
                  <pic:nvPicPr>
                    <pic:cNvPr id="416" name="image43.png"/>
                    <pic:cNvPicPr/>
                  </pic:nvPicPr>
                  <pic:blipFill>
                    <a:blip r:embed="rId74" cstate="print"/>
                    <a:stretch>
                      <a:fillRect/>
                    </a:stretch>
                  </pic:blipFill>
                  <pic:spPr>
                    <a:xfrm>
                      <a:off x="0" y="0"/>
                      <a:ext cx="6350" cy="33858"/>
                    </a:xfrm>
                    <a:prstGeom prst="rect">
                      <a:avLst/>
                    </a:prstGeom>
                  </pic:spPr>
                </pic:pic>
              </a:graphicData>
            </a:graphic>
          </wp:anchor>
        </w:drawing>
      </w:r>
      <w:r>
        <w:rPr/>
        <w:drawing>
          <wp:anchor distT="0" distB="0" distL="0" distR="0" allowOverlap="1" layoutInCell="1" locked="0" behindDoc="1" simplePos="0" relativeHeight="479899648">
            <wp:simplePos x="0" y="0"/>
            <wp:positionH relativeFrom="page">
              <wp:posOffset>2700032</wp:posOffset>
            </wp:positionH>
            <wp:positionV relativeFrom="paragraph">
              <wp:posOffset>56852</wp:posOffset>
            </wp:positionV>
            <wp:extent cx="55041" cy="6350"/>
            <wp:effectExtent l="0" t="0" r="0" b="0"/>
            <wp:wrapNone/>
            <wp:docPr id="417" name="image12.png"/>
            <wp:cNvGraphicFramePr>
              <a:graphicFrameLocks noChangeAspect="1"/>
            </wp:cNvGraphicFramePr>
            <a:graphic>
              <a:graphicData uri="http://schemas.openxmlformats.org/drawingml/2006/picture">
                <pic:pic>
                  <pic:nvPicPr>
                    <pic:cNvPr id="418" name="image12.png"/>
                    <pic:cNvPicPr/>
                  </pic:nvPicPr>
                  <pic:blipFill>
                    <a:blip r:embed="rId33"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1" simplePos="0" relativeHeight="479900160">
            <wp:simplePos x="0" y="0"/>
            <wp:positionH relativeFrom="page">
              <wp:posOffset>2001316</wp:posOffset>
            </wp:positionH>
            <wp:positionV relativeFrom="paragraph">
              <wp:posOffset>-9428</wp:posOffset>
            </wp:positionV>
            <wp:extent cx="6350" cy="63500"/>
            <wp:effectExtent l="0" t="0" r="0" b="0"/>
            <wp:wrapNone/>
            <wp:docPr id="419" name="image44.png"/>
            <wp:cNvGraphicFramePr>
              <a:graphicFrameLocks noChangeAspect="1"/>
            </wp:cNvGraphicFramePr>
            <a:graphic>
              <a:graphicData uri="http://schemas.openxmlformats.org/drawingml/2006/picture">
                <pic:pic>
                  <pic:nvPicPr>
                    <pic:cNvPr id="420" name="image44.png"/>
                    <pic:cNvPicPr/>
                  </pic:nvPicPr>
                  <pic:blipFill>
                    <a:blip r:embed="rId75" cstate="print"/>
                    <a:stretch>
                      <a:fillRect/>
                    </a:stretch>
                  </pic:blipFill>
                  <pic:spPr>
                    <a:xfrm>
                      <a:off x="0" y="0"/>
                      <a:ext cx="6350" cy="63500"/>
                    </a:xfrm>
                    <a:prstGeom prst="rect">
                      <a:avLst/>
                    </a:prstGeom>
                  </pic:spPr>
                </pic:pic>
              </a:graphicData>
            </a:graphic>
          </wp:anchor>
        </w:drawing>
      </w:r>
      <w:r>
        <w:rPr/>
        <w:drawing>
          <wp:anchor distT="0" distB="0" distL="0" distR="0" allowOverlap="1" layoutInCell="1" locked="0" behindDoc="1" simplePos="0" relativeHeight="479900672">
            <wp:simplePos x="0" y="0"/>
            <wp:positionH relativeFrom="page">
              <wp:posOffset>2191829</wp:posOffset>
            </wp:positionH>
            <wp:positionV relativeFrom="paragraph">
              <wp:posOffset>20212</wp:posOffset>
            </wp:positionV>
            <wp:extent cx="6350" cy="33858"/>
            <wp:effectExtent l="0" t="0" r="0" b="0"/>
            <wp:wrapNone/>
            <wp:docPr id="421" name="image43.png"/>
            <wp:cNvGraphicFramePr>
              <a:graphicFrameLocks noChangeAspect="1"/>
            </wp:cNvGraphicFramePr>
            <a:graphic>
              <a:graphicData uri="http://schemas.openxmlformats.org/drawingml/2006/picture">
                <pic:pic>
                  <pic:nvPicPr>
                    <pic:cNvPr id="422" name="image43.png"/>
                    <pic:cNvPicPr/>
                  </pic:nvPicPr>
                  <pic:blipFill>
                    <a:blip r:embed="rId74" cstate="print"/>
                    <a:stretch>
                      <a:fillRect/>
                    </a:stretch>
                  </pic:blipFill>
                  <pic:spPr>
                    <a:xfrm>
                      <a:off x="0" y="0"/>
                      <a:ext cx="6350" cy="33858"/>
                    </a:xfrm>
                    <a:prstGeom prst="rect">
                      <a:avLst/>
                    </a:prstGeom>
                  </pic:spPr>
                </pic:pic>
              </a:graphicData>
            </a:graphic>
          </wp:anchor>
        </w:drawing>
      </w:r>
      <w:r>
        <w:rPr/>
        <w:drawing>
          <wp:anchor distT="0" distB="0" distL="0" distR="0" allowOverlap="1" layoutInCell="1" locked="0" behindDoc="1" simplePos="0" relativeHeight="479901184">
            <wp:simplePos x="0" y="0"/>
            <wp:positionH relativeFrom="page">
              <wp:posOffset>2397556</wp:posOffset>
            </wp:positionH>
            <wp:positionV relativeFrom="paragraph">
              <wp:posOffset>20212</wp:posOffset>
            </wp:positionV>
            <wp:extent cx="6350" cy="33858"/>
            <wp:effectExtent l="0" t="0" r="0" b="0"/>
            <wp:wrapNone/>
            <wp:docPr id="423" name="image43.png"/>
            <wp:cNvGraphicFramePr>
              <a:graphicFrameLocks noChangeAspect="1"/>
            </wp:cNvGraphicFramePr>
            <a:graphic>
              <a:graphicData uri="http://schemas.openxmlformats.org/drawingml/2006/picture">
                <pic:pic>
                  <pic:nvPicPr>
                    <pic:cNvPr id="424" name="image43.png"/>
                    <pic:cNvPicPr/>
                  </pic:nvPicPr>
                  <pic:blipFill>
                    <a:blip r:embed="rId74" cstate="print"/>
                    <a:stretch>
                      <a:fillRect/>
                    </a:stretch>
                  </pic:blipFill>
                  <pic:spPr>
                    <a:xfrm>
                      <a:off x="0" y="0"/>
                      <a:ext cx="6350" cy="33858"/>
                    </a:xfrm>
                    <a:prstGeom prst="rect">
                      <a:avLst/>
                    </a:prstGeom>
                  </pic:spPr>
                </pic:pic>
              </a:graphicData>
            </a:graphic>
          </wp:anchor>
        </w:drawing>
      </w:r>
      <w:r>
        <w:rPr/>
        <w:drawing>
          <wp:anchor distT="0" distB="0" distL="0" distR="0" allowOverlap="1" layoutInCell="1" locked="0" behindDoc="1" simplePos="0" relativeHeight="479901696">
            <wp:simplePos x="0" y="0"/>
            <wp:positionH relativeFrom="page">
              <wp:posOffset>2597391</wp:posOffset>
            </wp:positionH>
            <wp:positionV relativeFrom="paragraph">
              <wp:posOffset>-9428</wp:posOffset>
            </wp:positionV>
            <wp:extent cx="6350" cy="63500"/>
            <wp:effectExtent l="0" t="0" r="0" b="0"/>
            <wp:wrapNone/>
            <wp:docPr id="425" name="image44.png"/>
            <wp:cNvGraphicFramePr>
              <a:graphicFrameLocks noChangeAspect="1"/>
            </wp:cNvGraphicFramePr>
            <a:graphic>
              <a:graphicData uri="http://schemas.openxmlformats.org/drawingml/2006/picture">
                <pic:pic>
                  <pic:nvPicPr>
                    <pic:cNvPr id="426" name="image44.png"/>
                    <pic:cNvPicPr/>
                  </pic:nvPicPr>
                  <pic:blipFill>
                    <a:blip r:embed="rId75" cstate="print"/>
                    <a:stretch>
                      <a:fillRect/>
                    </a:stretch>
                  </pic:blipFill>
                  <pic:spPr>
                    <a:xfrm>
                      <a:off x="0" y="0"/>
                      <a:ext cx="6350" cy="63500"/>
                    </a:xfrm>
                    <a:prstGeom prst="rect">
                      <a:avLst/>
                    </a:prstGeom>
                  </pic:spPr>
                </pic:pic>
              </a:graphicData>
            </a:graphic>
          </wp:anchor>
        </w:drawing>
      </w:r>
      <w:r>
        <w:rPr>
          <w:w w:val="120"/>
          <w:sz w:val="12"/>
        </w:rPr>
        <w:t>1.30</w:t>
      </w:r>
      <w:r>
        <w:rPr>
          <w:w w:val="120"/>
          <w:sz w:val="12"/>
          <w:u w:val="single"/>
        </w:rPr>
        <w:t> </w:t>
        <w:tab/>
      </w:r>
      <w:r>
        <w:rPr>
          <w:w w:val="120"/>
          <w:sz w:val="12"/>
        </w:rPr>
        <w:tab/>
        <w:t>95</w:t>
      </w:r>
    </w:p>
    <w:p>
      <w:pPr>
        <w:spacing w:before="2"/>
        <w:ind w:left="220" w:right="0" w:firstLine="0"/>
        <w:jc w:val="center"/>
        <w:rPr>
          <w:sz w:val="12"/>
        </w:rPr>
      </w:pPr>
      <w:r>
        <w:rPr>
          <w:sz w:val="12"/>
        </w:rPr>
        <w:t>Jan. May Sept. Jan May Sept. Jan. May Sept. Jan.</w:t>
      </w:r>
    </w:p>
    <w:p>
      <w:pPr>
        <w:pStyle w:val="BodyText"/>
        <w:spacing w:line="292" w:lineRule="auto"/>
        <w:ind w:left="187" w:right="275"/>
      </w:pPr>
      <w:r>
        <w:rPr/>
        <w:br w:type="column"/>
      </w:r>
      <w:r>
        <w:rPr>
          <w:w w:val="105"/>
        </w:rPr>
        <w:t>7 February was 104.0, some 3% below the central path assumed in November.</w:t>
      </w:r>
    </w:p>
    <w:p>
      <w:pPr>
        <w:spacing w:after="0" w:line="292" w:lineRule="auto"/>
        <w:sectPr>
          <w:type w:val="continuous"/>
          <w:pgSz w:w="11900" w:h="16840"/>
          <w:pgMar w:top="1260" w:bottom="280" w:left="640" w:right="640"/>
          <w:cols w:num="2" w:equalWidth="0">
            <w:col w:w="3989" w:space="923"/>
            <w:col w:w="5708"/>
          </w:cols>
        </w:sectPr>
      </w:pPr>
    </w:p>
    <w:p>
      <w:pPr>
        <w:tabs>
          <w:tab w:pos="2012" w:val="left" w:leader="none"/>
        </w:tabs>
        <w:spacing w:line="58" w:lineRule="exact" w:before="0"/>
        <w:ind w:left="1030" w:right="0" w:firstLine="0"/>
        <w:jc w:val="left"/>
        <w:rPr>
          <w:sz w:val="12"/>
        </w:rPr>
      </w:pPr>
      <w:r>
        <w:rPr>
          <w:w w:val="120"/>
          <w:sz w:val="12"/>
        </w:rPr>
        <w:t>1998</w:t>
        <w:tab/>
        <w:t>99</w:t>
      </w:r>
    </w:p>
    <w:p>
      <w:pPr>
        <w:spacing w:before="55"/>
        <w:ind w:left="180" w:right="0" w:firstLine="0"/>
        <w:jc w:val="left"/>
        <w:rPr>
          <w:sz w:val="12"/>
        </w:rPr>
      </w:pPr>
      <w:r>
        <w:rPr>
          <w:w w:val="105"/>
          <w:sz w:val="12"/>
        </w:rPr>
        <w:t>Source: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7"/>
        </w:rPr>
      </w:pPr>
    </w:p>
    <w:p>
      <w:pPr>
        <w:pStyle w:val="Heading6"/>
        <w:ind w:left="170"/>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1.20</w:t>
      </w:r>
    </w:p>
    <w:p>
      <w:pPr>
        <w:spacing w:line="58" w:lineRule="exact" w:before="0"/>
        <w:ind w:left="170" w:right="0" w:firstLine="0"/>
        <w:jc w:val="left"/>
        <w:rPr>
          <w:sz w:val="12"/>
        </w:rPr>
      </w:pPr>
      <w:r>
        <w:rPr/>
        <w:br w:type="column"/>
      </w:r>
      <w:r>
        <w:rPr>
          <w:w w:val="120"/>
          <w:sz w:val="12"/>
        </w:rPr>
        <w:t>2000</w:t>
      </w:r>
    </w:p>
    <w:p>
      <w:pPr>
        <w:pStyle w:val="BodyText"/>
        <w:spacing w:before="11"/>
        <w:rPr>
          <w:sz w:val="23"/>
        </w:rPr>
      </w:pPr>
      <w:r>
        <w:rPr/>
        <w:br w:type="column"/>
      </w:r>
      <w:r>
        <w:rPr>
          <w:sz w:val="23"/>
        </w:rPr>
      </w:r>
    </w:p>
    <w:p>
      <w:pPr>
        <w:pStyle w:val="BodyText"/>
        <w:spacing w:line="292" w:lineRule="auto"/>
        <w:ind w:left="170" w:right="72"/>
      </w:pPr>
      <w:r>
        <w:rPr>
          <w:w w:val="110"/>
        </w:rPr>
        <w:t>The fall in the dollar against the euro follows a period of sustained dollar appreciation, during which forecasts of growth in the United </w:t>
      </w:r>
      <w:r>
        <w:rPr>
          <w:spacing w:val="-3"/>
          <w:w w:val="110"/>
        </w:rPr>
        <w:t>States </w:t>
      </w:r>
      <w:r>
        <w:rPr>
          <w:w w:val="110"/>
        </w:rPr>
        <w:t>rose relative </w:t>
      </w:r>
      <w:r>
        <w:rPr>
          <w:spacing w:val="-4"/>
          <w:w w:val="110"/>
        </w:rPr>
        <w:t>to </w:t>
      </w:r>
      <w:r>
        <w:rPr>
          <w:w w:val="110"/>
        </w:rPr>
        <w:t>the euro area. In recent</w:t>
      </w:r>
      <w:r>
        <w:rPr>
          <w:spacing w:val="-20"/>
          <w:w w:val="110"/>
        </w:rPr>
        <w:t> </w:t>
      </w:r>
      <w:r>
        <w:rPr>
          <w:w w:val="110"/>
        </w:rPr>
        <w:t>months,</w:t>
      </w:r>
      <w:r>
        <w:rPr>
          <w:spacing w:val="-20"/>
          <w:w w:val="110"/>
        </w:rPr>
        <w:t> </w:t>
      </w:r>
      <w:r>
        <w:rPr>
          <w:w w:val="110"/>
        </w:rPr>
        <w:t>expectations</w:t>
      </w:r>
      <w:r>
        <w:rPr>
          <w:spacing w:val="-20"/>
          <w:w w:val="110"/>
        </w:rPr>
        <w:t> </w:t>
      </w:r>
      <w:r>
        <w:rPr>
          <w:w w:val="110"/>
        </w:rPr>
        <w:t>of</w:t>
      </w:r>
      <w:r>
        <w:rPr>
          <w:spacing w:val="-20"/>
          <w:w w:val="110"/>
        </w:rPr>
        <w:t> </w:t>
      </w:r>
      <w:r>
        <w:rPr>
          <w:w w:val="110"/>
        </w:rPr>
        <w:t>real</w:t>
      </w:r>
      <w:r>
        <w:rPr>
          <w:spacing w:val="-20"/>
          <w:w w:val="110"/>
        </w:rPr>
        <w:t> </w:t>
      </w:r>
      <w:r>
        <w:rPr>
          <w:w w:val="110"/>
        </w:rPr>
        <w:t>GDP</w:t>
      </w:r>
      <w:r>
        <w:rPr>
          <w:spacing w:val="-20"/>
          <w:w w:val="110"/>
        </w:rPr>
        <w:t> </w:t>
      </w:r>
      <w:r>
        <w:rPr>
          <w:w w:val="110"/>
        </w:rPr>
        <w:t>growth</w:t>
      </w:r>
      <w:r>
        <w:rPr>
          <w:spacing w:val="-20"/>
          <w:w w:val="110"/>
        </w:rPr>
        <w:t> </w:t>
      </w:r>
      <w:r>
        <w:rPr>
          <w:w w:val="110"/>
        </w:rPr>
        <w:t>in</w:t>
      </w:r>
      <w:r>
        <w:rPr>
          <w:spacing w:val="-20"/>
          <w:w w:val="110"/>
        </w:rPr>
        <w:t> </w:t>
      </w:r>
      <w:r>
        <w:rPr>
          <w:w w:val="110"/>
        </w:rPr>
        <w:t>the</w:t>
      </w:r>
      <w:r>
        <w:rPr>
          <w:spacing w:val="-20"/>
          <w:w w:val="110"/>
        </w:rPr>
        <w:t> </w:t>
      </w:r>
      <w:r>
        <w:rPr>
          <w:w w:val="110"/>
        </w:rPr>
        <w:t>United </w:t>
      </w:r>
      <w:r>
        <w:rPr>
          <w:spacing w:val="-3"/>
          <w:w w:val="110"/>
        </w:rPr>
        <w:t>States have </w:t>
      </w:r>
      <w:r>
        <w:rPr>
          <w:w w:val="110"/>
        </w:rPr>
        <w:t>fallen relative </w:t>
      </w:r>
      <w:r>
        <w:rPr>
          <w:spacing w:val="-4"/>
          <w:w w:val="110"/>
        </w:rPr>
        <w:t>to </w:t>
      </w:r>
      <w:r>
        <w:rPr>
          <w:w w:val="110"/>
        </w:rPr>
        <w:t>the euro area (see Chart </w:t>
      </w:r>
      <w:r>
        <w:rPr>
          <w:spacing w:val="-3"/>
          <w:w w:val="110"/>
        </w:rPr>
        <w:t>1.20), </w:t>
      </w:r>
      <w:r>
        <w:rPr>
          <w:w w:val="110"/>
        </w:rPr>
        <w:t>largely due </w:t>
      </w:r>
      <w:r>
        <w:rPr>
          <w:spacing w:val="-4"/>
          <w:w w:val="110"/>
        </w:rPr>
        <w:t>to </w:t>
      </w:r>
      <w:r>
        <w:rPr>
          <w:spacing w:val="-3"/>
          <w:w w:val="110"/>
        </w:rPr>
        <w:t>downward </w:t>
      </w:r>
      <w:r>
        <w:rPr>
          <w:w w:val="110"/>
        </w:rPr>
        <w:t>revisions </w:t>
      </w:r>
      <w:r>
        <w:rPr>
          <w:spacing w:val="-4"/>
          <w:w w:val="110"/>
        </w:rPr>
        <w:t>to </w:t>
      </w:r>
      <w:r>
        <w:rPr>
          <w:w w:val="110"/>
        </w:rPr>
        <w:t>expectations of US </w:t>
      </w:r>
      <w:r>
        <w:rPr>
          <w:spacing w:val="-3"/>
          <w:w w:val="110"/>
        </w:rPr>
        <w:t>investment</w:t>
      </w:r>
      <w:r>
        <w:rPr>
          <w:spacing w:val="-18"/>
          <w:w w:val="110"/>
        </w:rPr>
        <w:t> </w:t>
      </w:r>
      <w:r>
        <w:rPr>
          <w:w w:val="110"/>
        </w:rPr>
        <w:t>growth.</w:t>
      </w:r>
      <w:r>
        <w:rPr>
          <w:spacing w:val="21"/>
          <w:w w:val="110"/>
        </w:rPr>
        <w:t> </w:t>
      </w:r>
      <w:r>
        <w:rPr>
          <w:w w:val="110"/>
        </w:rPr>
        <w:t>That</w:t>
      </w:r>
      <w:r>
        <w:rPr>
          <w:spacing w:val="-17"/>
          <w:w w:val="110"/>
        </w:rPr>
        <w:t> </w:t>
      </w:r>
      <w:r>
        <w:rPr>
          <w:w w:val="110"/>
        </w:rPr>
        <w:t>has</w:t>
      </w:r>
      <w:r>
        <w:rPr>
          <w:spacing w:val="-18"/>
          <w:w w:val="110"/>
        </w:rPr>
        <w:t> </w:t>
      </w:r>
      <w:r>
        <w:rPr>
          <w:w w:val="110"/>
        </w:rPr>
        <w:t>been</w:t>
      </w:r>
      <w:r>
        <w:rPr>
          <w:spacing w:val="-17"/>
          <w:w w:val="110"/>
        </w:rPr>
        <w:t> </w:t>
      </w:r>
      <w:r>
        <w:rPr>
          <w:w w:val="110"/>
        </w:rPr>
        <w:t>associated</w:t>
      </w:r>
      <w:r>
        <w:rPr>
          <w:spacing w:val="-17"/>
          <w:w w:val="110"/>
        </w:rPr>
        <w:t> </w:t>
      </w:r>
      <w:r>
        <w:rPr>
          <w:w w:val="110"/>
        </w:rPr>
        <w:t>with</w:t>
      </w:r>
      <w:r>
        <w:rPr>
          <w:spacing w:val="-18"/>
          <w:w w:val="110"/>
        </w:rPr>
        <w:t> </w:t>
      </w:r>
      <w:r>
        <w:rPr>
          <w:w w:val="110"/>
        </w:rPr>
        <w:t>a</w:t>
      </w:r>
      <w:r>
        <w:rPr>
          <w:spacing w:val="-17"/>
          <w:w w:val="110"/>
        </w:rPr>
        <w:t> </w:t>
      </w:r>
      <w:r>
        <w:rPr>
          <w:w w:val="110"/>
        </w:rPr>
        <w:t>reduction</w:t>
      </w:r>
    </w:p>
    <w:p>
      <w:pPr>
        <w:spacing w:after="0" w:line="292" w:lineRule="auto"/>
        <w:sectPr>
          <w:type w:val="continuous"/>
          <w:pgSz w:w="11900" w:h="16840"/>
          <w:pgMar w:top="1260" w:bottom="280" w:left="640" w:right="640"/>
          <w:cols w:num="3" w:equalWidth="0">
            <w:col w:w="2199" w:space="498"/>
            <w:col w:w="502" w:space="1730"/>
            <w:col w:w="5691"/>
          </w:cols>
        </w:sectPr>
      </w:pPr>
    </w:p>
    <w:p>
      <w:pPr>
        <w:pStyle w:val="Heading6"/>
        <w:spacing w:line="201" w:lineRule="exact"/>
        <w:ind w:left="170"/>
      </w:pPr>
      <w:r>
        <w:rPr>
          <w:color w:val="89C6DC"/>
          <w:w w:val="95"/>
        </w:rPr>
        <w:t>Consensus</w:t>
      </w:r>
      <w:r>
        <w:rPr>
          <w:color w:val="89C6DC"/>
          <w:spacing w:val="-24"/>
          <w:w w:val="95"/>
        </w:rPr>
        <w:t> </w:t>
      </w:r>
      <w:r>
        <w:rPr>
          <w:color w:val="89C6DC"/>
          <w:w w:val="95"/>
        </w:rPr>
        <w:t>forecasts</w:t>
      </w:r>
      <w:r>
        <w:rPr>
          <w:color w:val="89C6DC"/>
          <w:spacing w:val="-23"/>
          <w:w w:val="95"/>
        </w:rPr>
        <w:t> </w:t>
      </w:r>
      <w:r>
        <w:rPr>
          <w:color w:val="89C6DC"/>
          <w:w w:val="95"/>
        </w:rPr>
        <w:t>for</w:t>
      </w:r>
      <w:r>
        <w:rPr>
          <w:color w:val="89C6DC"/>
          <w:spacing w:val="-24"/>
          <w:w w:val="95"/>
        </w:rPr>
        <w:t> </w:t>
      </w:r>
      <w:r>
        <w:rPr>
          <w:color w:val="89C6DC"/>
          <w:w w:val="95"/>
        </w:rPr>
        <w:t>US-euro</w:t>
      </w:r>
      <w:r>
        <w:rPr>
          <w:color w:val="89C6DC"/>
          <w:spacing w:val="-23"/>
          <w:w w:val="95"/>
        </w:rPr>
        <w:t> </w:t>
      </w:r>
      <w:r>
        <w:rPr>
          <w:color w:val="89C6DC"/>
          <w:w w:val="95"/>
        </w:rPr>
        <w:t>area</w:t>
      </w:r>
      <w:r>
        <w:rPr>
          <w:color w:val="89C6DC"/>
          <w:spacing w:val="-24"/>
          <w:w w:val="95"/>
        </w:rPr>
        <w:t> </w:t>
      </w:r>
      <w:r>
        <w:rPr>
          <w:color w:val="89C6DC"/>
          <w:w w:val="95"/>
        </w:rPr>
        <w:t>growth</w:t>
      </w:r>
    </w:p>
    <w:p>
      <w:pPr>
        <w:spacing w:before="7"/>
        <w:ind w:left="170" w:right="0" w:firstLine="0"/>
        <w:jc w:val="left"/>
        <w:rPr>
          <w:rFonts w:ascii="Trebuchet MS"/>
          <w:b/>
          <w:sz w:val="20"/>
        </w:rPr>
      </w:pPr>
      <w:r>
        <w:rPr>
          <w:rFonts w:ascii="Trebuchet MS"/>
          <w:b/>
          <w:color w:val="89C6DC"/>
          <w:w w:val="95"/>
          <w:sz w:val="20"/>
        </w:rPr>
        <w:t>differential and euro/dollar exchange rate</w:t>
      </w:r>
    </w:p>
    <w:p>
      <w:pPr>
        <w:pStyle w:val="BodyText"/>
        <w:spacing w:line="292" w:lineRule="auto"/>
        <w:ind w:left="170" w:right="150"/>
      </w:pPr>
      <w:r>
        <w:rPr/>
        <w:br w:type="column"/>
      </w:r>
      <w:r>
        <w:rPr>
          <w:w w:val="110"/>
        </w:rPr>
        <w:t>in</w:t>
      </w:r>
      <w:r>
        <w:rPr>
          <w:spacing w:val="-14"/>
          <w:w w:val="110"/>
        </w:rPr>
        <w:t> </w:t>
      </w:r>
      <w:r>
        <w:rPr>
          <w:w w:val="110"/>
        </w:rPr>
        <w:t>estimates</w:t>
      </w:r>
      <w:r>
        <w:rPr>
          <w:spacing w:val="-14"/>
          <w:w w:val="110"/>
        </w:rPr>
        <w:t> </w:t>
      </w:r>
      <w:r>
        <w:rPr>
          <w:w w:val="110"/>
        </w:rPr>
        <w:t>of</w:t>
      </w:r>
      <w:r>
        <w:rPr>
          <w:spacing w:val="-14"/>
          <w:w w:val="110"/>
        </w:rPr>
        <w:t> </w:t>
      </w:r>
      <w:r>
        <w:rPr>
          <w:spacing w:val="-3"/>
          <w:w w:val="110"/>
        </w:rPr>
        <w:t>expected</w:t>
      </w:r>
      <w:r>
        <w:rPr>
          <w:spacing w:val="-13"/>
          <w:w w:val="110"/>
        </w:rPr>
        <w:t> </w:t>
      </w:r>
      <w:r>
        <w:rPr>
          <w:w w:val="110"/>
        </w:rPr>
        <w:t>US</w:t>
      </w:r>
      <w:r>
        <w:rPr>
          <w:spacing w:val="-14"/>
          <w:w w:val="110"/>
        </w:rPr>
        <w:t> </w:t>
      </w:r>
      <w:r>
        <w:rPr>
          <w:w w:val="110"/>
        </w:rPr>
        <w:t>real</w:t>
      </w:r>
      <w:r>
        <w:rPr>
          <w:spacing w:val="-14"/>
          <w:w w:val="110"/>
        </w:rPr>
        <w:t> </w:t>
      </w:r>
      <w:r>
        <w:rPr>
          <w:w w:val="110"/>
        </w:rPr>
        <w:t>short</w:t>
      </w:r>
      <w:r>
        <w:rPr>
          <w:spacing w:val="-14"/>
          <w:w w:val="110"/>
        </w:rPr>
        <w:t> </w:t>
      </w:r>
      <w:r>
        <w:rPr>
          <w:spacing w:val="-3"/>
          <w:w w:val="110"/>
        </w:rPr>
        <w:t>interest</w:t>
      </w:r>
      <w:r>
        <w:rPr>
          <w:spacing w:val="-13"/>
          <w:w w:val="110"/>
        </w:rPr>
        <w:t> </w:t>
      </w:r>
      <w:r>
        <w:rPr>
          <w:spacing w:val="-4"/>
          <w:w w:val="110"/>
        </w:rPr>
        <w:t>rates</w:t>
      </w:r>
      <w:r>
        <w:rPr>
          <w:spacing w:val="-14"/>
          <w:w w:val="110"/>
        </w:rPr>
        <w:t> </w:t>
      </w:r>
      <w:r>
        <w:rPr>
          <w:w w:val="110"/>
        </w:rPr>
        <w:t>relative</w:t>
      </w:r>
      <w:r>
        <w:rPr>
          <w:spacing w:val="-14"/>
          <w:w w:val="110"/>
        </w:rPr>
        <w:t> </w:t>
      </w:r>
      <w:r>
        <w:rPr>
          <w:spacing w:val="-4"/>
          <w:w w:val="110"/>
        </w:rPr>
        <w:t>to </w:t>
      </w:r>
      <w:r>
        <w:rPr>
          <w:w w:val="110"/>
        </w:rPr>
        <w:t>the</w:t>
      </w:r>
      <w:r>
        <w:rPr>
          <w:spacing w:val="-14"/>
          <w:w w:val="110"/>
        </w:rPr>
        <w:t> </w:t>
      </w:r>
      <w:r>
        <w:rPr>
          <w:w w:val="110"/>
        </w:rPr>
        <w:t>euro</w:t>
      </w:r>
      <w:r>
        <w:rPr>
          <w:spacing w:val="-13"/>
          <w:w w:val="110"/>
        </w:rPr>
        <w:t> </w:t>
      </w:r>
      <w:r>
        <w:rPr>
          <w:w w:val="110"/>
        </w:rPr>
        <w:t>area.</w:t>
      </w:r>
      <w:r>
        <w:rPr>
          <w:spacing w:val="30"/>
          <w:w w:val="110"/>
        </w:rPr>
        <w:t> </w:t>
      </w:r>
      <w:r>
        <w:rPr>
          <w:w w:val="110"/>
        </w:rPr>
        <w:t>So</w:t>
      </w:r>
      <w:r>
        <w:rPr>
          <w:spacing w:val="-13"/>
          <w:w w:val="110"/>
        </w:rPr>
        <w:t> </w:t>
      </w:r>
      <w:r>
        <w:rPr>
          <w:w w:val="110"/>
        </w:rPr>
        <w:t>the</w:t>
      </w:r>
      <w:r>
        <w:rPr>
          <w:spacing w:val="-13"/>
          <w:w w:val="110"/>
        </w:rPr>
        <w:t> </w:t>
      </w:r>
      <w:r>
        <w:rPr>
          <w:w w:val="110"/>
        </w:rPr>
        <w:t>recent</w:t>
      </w:r>
      <w:r>
        <w:rPr>
          <w:spacing w:val="-13"/>
          <w:w w:val="110"/>
        </w:rPr>
        <w:t> </w:t>
      </w:r>
      <w:r>
        <w:rPr>
          <w:w w:val="110"/>
        </w:rPr>
        <w:t>sharp</w:t>
      </w:r>
      <w:r>
        <w:rPr>
          <w:spacing w:val="-13"/>
          <w:w w:val="110"/>
        </w:rPr>
        <w:t> </w:t>
      </w:r>
      <w:r>
        <w:rPr>
          <w:w w:val="110"/>
        </w:rPr>
        <w:t>fall</w:t>
      </w:r>
      <w:r>
        <w:rPr>
          <w:spacing w:val="-13"/>
          <w:w w:val="110"/>
        </w:rPr>
        <w:t> </w:t>
      </w:r>
      <w:r>
        <w:rPr>
          <w:w w:val="110"/>
        </w:rPr>
        <w:t>in</w:t>
      </w:r>
      <w:r>
        <w:rPr>
          <w:spacing w:val="-13"/>
          <w:w w:val="110"/>
        </w:rPr>
        <w:t> </w:t>
      </w:r>
      <w:r>
        <w:rPr>
          <w:w w:val="110"/>
        </w:rPr>
        <w:t>the</w:t>
      </w:r>
      <w:r>
        <w:rPr>
          <w:spacing w:val="-13"/>
          <w:w w:val="110"/>
        </w:rPr>
        <w:t> </w:t>
      </w:r>
      <w:r>
        <w:rPr>
          <w:w w:val="110"/>
        </w:rPr>
        <w:t>dollar</w:t>
      </w:r>
      <w:r>
        <w:rPr>
          <w:spacing w:val="-13"/>
          <w:w w:val="110"/>
        </w:rPr>
        <w:t> </w:t>
      </w:r>
      <w:r>
        <w:rPr>
          <w:w w:val="110"/>
        </w:rPr>
        <w:t>is</w:t>
      </w:r>
      <w:r>
        <w:rPr>
          <w:spacing w:val="-13"/>
          <w:w w:val="110"/>
        </w:rPr>
        <w:t> </w:t>
      </w:r>
      <w:r>
        <w:rPr>
          <w:w w:val="110"/>
        </w:rPr>
        <w:t>likely</w:t>
      </w:r>
      <w:r>
        <w:rPr>
          <w:spacing w:val="-13"/>
          <w:w w:val="110"/>
        </w:rPr>
        <w:t> </w:t>
      </w:r>
      <w:r>
        <w:rPr>
          <w:spacing w:val="-4"/>
          <w:w w:val="110"/>
        </w:rPr>
        <w:t>to</w:t>
      </w:r>
    </w:p>
    <w:p>
      <w:pPr>
        <w:spacing w:after="0" w:line="292" w:lineRule="auto"/>
        <w:sectPr>
          <w:type w:val="continuous"/>
          <w:pgSz w:w="11900" w:h="16840"/>
          <w:pgMar w:top="1260" w:bottom="280" w:left="640" w:right="640"/>
          <w:cols w:num="2" w:equalWidth="0">
            <w:col w:w="4075" w:space="855"/>
            <w:col w:w="5690"/>
          </w:cols>
        </w:sectPr>
      </w:pPr>
    </w:p>
    <w:p>
      <w:pPr>
        <w:spacing w:line="131" w:lineRule="exact" w:before="38"/>
        <w:ind w:left="480" w:right="0" w:firstLine="0"/>
        <w:jc w:val="left"/>
        <w:rPr>
          <w:sz w:val="12"/>
        </w:rPr>
      </w:pPr>
      <w:r>
        <w:rPr>
          <w:rFonts w:ascii="Arial" w:hAnsi="Arial"/>
          <w:w w:val="135"/>
          <w:sz w:val="12"/>
        </w:rPr>
        <w:t>€</w:t>
      </w:r>
      <w:r>
        <w:rPr>
          <w:w w:val="135"/>
          <w:sz w:val="12"/>
        </w:rPr>
        <w:t>/$</w:t>
      </w:r>
    </w:p>
    <w:p>
      <w:pPr>
        <w:spacing w:line="130" w:lineRule="exact" w:before="0"/>
        <w:ind w:left="226" w:right="0" w:firstLine="0"/>
        <w:jc w:val="left"/>
        <w:rPr>
          <w:sz w:val="12"/>
        </w:rPr>
      </w:pPr>
      <w:r>
        <w:rPr/>
        <w:pict>
          <v:group style="position:absolute;margin-left:56.988998pt;margin-top:16.370382pt;width:152.550pt;height:95.25pt;mso-position-horizontal-relative:page;mso-position-vertical-relative:paragraph;z-index:15916544" coordorigin="1140,327" coordsize="3051,1905">
            <v:shape style="position:absolute;left:1139;top:402;width:3051;height:1830" type="#_x0000_t75" stroked="false">
              <v:imagedata r:id="rId76" o:title=""/>
            </v:shape>
            <v:shape style="position:absolute;left:1930;top:327;width:1270;height:149" type="#_x0000_t202" filled="false" stroked="false">
              <v:textbox inset="0,0,0,0">
                <w:txbxContent>
                  <w:p>
                    <w:pPr>
                      <w:spacing w:before="5"/>
                      <w:ind w:left="0" w:right="0" w:firstLine="0"/>
                      <w:jc w:val="left"/>
                      <w:rPr>
                        <w:sz w:val="12"/>
                      </w:rPr>
                    </w:pPr>
                    <w:r>
                      <w:rPr>
                        <w:rFonts w:ascii="Arial" w:hAnsi="Arial"/>
                        <w:w w:val="115"/>
                        <w:sz w:val="12"/>
                      </w:rPr>
                      <w:t>€</w:t>
                    </w:r>
                    <w:r>
                      <w:rPr>
                        <w:w w:val="115"/>
                        <w:sz w:val="12"/>
                      </w:rPr>
                      <w:t>/$</w:t>
                    </w:r>
                    <w:r>
                      <w:rPr>
                        <w:spacing w:val="-17"/>
                        <w:w w:val="115"/>
                        <w:sz w:val="12"/>
                      </w:rPr>
                      <w:t> </w:t>
                    </w:r>
                    <w:r>
                      <w:rPr>
                        <w:w w:val="115"/>
                        <w:sz w:val="12"/>
                      </w:rPr>
                      <w:t>(left-hand</w:t>
                    </w:r>
                    <w:r>
                      <w:rPr>
                        <w:spacing w:val="-16"/>
                        <w:w w:val="115"/>
                        <w:sz w:val="12"/>
                      </w:rPr>
                      <w:t> </w:t>
                    </w:r>
                    <w:r>
                      <w:rPr>
                        <w:w w:val="115"/>
                        <w:sz w:val="12"/>
                      </w:rPr>
                      <w:t>scale)</w:t>
                    </w:r>
                    <w:r>
                      <w:rPr>
                        <w:spacing w:val="-17"/>
                        <w:w w:val="115"/>
                        <w:sz w:val="12"/>
                      </w:rPr>
                      <w:t> </w:t>
                    </w:r>
                    <w:r>
                      <w:rPr>
                        <w:w w:val="115"/>
                        <w:sz w:val="12"/>
                      </w:rPr>
                      <w:t>(a)</w:t>
                    </w:r>
                  </w:p>
                </w:txbxContent>
              </v:textbox>
              <w10:wrap type="none"/>
            </v:shape>
            <v:shape style="position:absolute;left:1691;top:1760;width:1893;height:401" type="#_x0000_t202" filled="false" stroked="false">
              <v:textbox inset="0,0,0,0">
                <w:txbxContent>
                  <w:p>
                    <w:pPr>
                      <w:spacing w:line="116" w:lineRule="exact" w:before="0"/>
                      <w:ind w:left="0" w:right="0" w:firstLine="0"/>
                      <w:jc w:val="left"/>
                      <w:rPr>
                        <w:sz w:val="12"/>
                      </w:rPr>
                    </w:pPr>
                    <w:r>
                      <w:rPr>
                        <w:w w:val="105"/>
                        <w:sz w:val="12"/>
                      </w:rPr>
                      <w:t>US-euro area average annual growth</w:t>
                    </w:r>
                  </w:p>
                  <w:p>
                    <w:pPr>
                      <w:spacing w:line="242" w:lineRule="auto" w:before="2"/>
                      <w:ind w:left="60" w:right="96" w:firstLine="0"/>
                      <w:jc w:val="left"/>
                      <w:rPr>
                        <w:sz w:val="12"/>
                      </w:rPr>
                    </w:pPr>
                    <w:r>
                      <w:rPr>
                        <w:w w:val="110"/>
                        <w:sz w:val="12"/>
                      </w:rPr>
                      <w:t>differential expected in 2000–01 (right-hand scale)</w:t>
                    </w:r>
                  </w:p>
                </w:txbxContent>
              </v:textbox>
              <w10:wrap type="none"/>
            </v:shape>
            <w10:wrap type="none"/>
          </v:group>
        </w:pict>
      </w:r>
      <w:r>
        <w:rPr/>
        <w:drawing>
          <wp:anchor distT="0" distB="0" distL="0" distR="0" allowOverlap="1" layoutInCell="1" locked="0" behindDoc="0" simplePos="0" relativeHeight="15921664">
            <wp:simplePos x="0" y="0"/>
            <wp:positionH relativeFrom="page">
              <wp:posOffset>723773</wp:posOffset>
            </wp:positionH>
            <wp:positionV relativeFrom="paragraph">
              <wp:posOffset>33015</wp:posOffset>
            </wp:positionV>
            <wp:extent cx="55016" cy="6350"/>
            <wp:effectExtent l="0" t="0" r="0" b="0"/>
            <wp:wrapNone/>
            <wp:docPr id="427" name="image13.png"/>
            <wp:cNvGraphicFramePr>
              <a:graphicFrameLocks noChangeAspect="1"/>
            </wp:cNvGraphicFramePr>
            <a:graphic>
              <a:graphicData uri="http://schemas.openxmlformats.org/drawingml/2006/picture">
                <pic:pic>
                  <pic:nvPicPr>
                    <pic:cNvPr id="428" name="image13.png"/>
                    <pic:cNvPicPr/>
                  </pic:nvPicPr>
                  <pic:blipFill>
                    <a:blip r:embed="rId34" cstate="print"/>
                    <a:stretch>
                      <a:fillRect/>
                    </a:stretch>
                  </pic:blipFill>
                  <pic:spPr>
                    <a:xfrm>
                      <a:off x="0" y="0"/>
                      <a:ext cx="55016" cy="6350"/>
                    </a:xfrm>
                    <a:prstGeom prst="rect">
                      <a:avLst/>
                    </a:prstGeom>
                  </pic:spPr>
                </pic:pic>
              </a:graphicData>
            </a:graphic>
          </wp:anchor>
        </w:drawing>
      </w:r>
      <w:r>
        <w:rPr>
          <w:w w:val="115"/>
          <w:sz w:val="12"/>
        </w:rPr>
        <w:t>1.20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1"/>
        </w:rPr>
      </w:pPr>
    </w:p>
    <w:p>
      <w:pPr>
        <w:spacing w:before="0"/>
        <w:ind w:left="226" w:right="0" w:firstLine="0"/>
        <w:jc w:val="left"/>
        <w:rPr>
          <w:sz w:val="12"/>
        </w:rPr>
      </w:pPr>
      <w:r>
        <w:rPr>
          <w:w w:val="115"/>
          <w:sz w:val="12"/>
        </w:rPr>
        <w:t>1.10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1"/>
        </w:rPr>
      </w:pPr>
    </w:p>
    <w:p>
      <w:pPr>
        <w:spacing w:before="0"/>
        <w:ind w:left="226" w:right="0" w:firstLine="0"/>
        <w:jc w:val="left"/>
        <w:rPr>
          <w:sz w:val="12"/>
        </w:rPr>
      </w:pPr>
      <w:r>
        <w:rPr>
          <w:w w:val="115"/>
          <w:sz w:val="12"/>
        </w:rPr>
        <w:t>1.00</w:t>
      </w:r>
    </w:p>
    <w:p>
      <w:pPr>
        <w:spacing w:line="115" w:lineRule="exact" w:before="58"/>
        <w:ind w:left="226" w:right="0" w:firstLine="0"/>
        <w:jc w:val="left"/>
        <w:rPr>
          <w:sz w:val="12"/>
        </w:rPr>
      </w:pPr>
      <w:r>
        <w:rPr/>
        <w:br w:type="column"/>
      </w:r>
      <w:r>
        <w:rPr>
          <w:w w:val="110"/>
          <w:sz w:val="12"/>
        </w:rPr>
        <w:t>Percentage points</w:t>
      </w:r>
    </w:p>
    <w:p>
      <w:pPr>
        <w:spacing w:line="115" w:lineRule="exact" w:before="0"/>
        <w:ind w:left="1198" w:right="0" w:firstLine="0"/>
        <w:jc w:val="left"/>
        <w:rPr>
          <w:sz w:val="12"/>
        </w:rPr>
      </w:pPr>
      <w:r>
        <w:rPr/>
        <w:drawing>
          <wp:anchor distT="0" distB="0" distL="0" distR="0" allowOverlap="1" layoutInCell="1" locked="0" behindDoc="0" simplePos="0" relativeHeight="15920128">
            <wp:simplePos x="0" y="0"/>
            <wp:positionH relativeFrom="page">
              <wp:posOffset>2709595</wp:posOffset>
            </wp:positionH>
            <wp:positionV relativeFrom="paragraph">
              <wp:posOffset>29908</wp:posOffset>
            </wp:positionV>
            <wp:extent cx="55029" cy="6350"/>
            <wp:effectExtent l="0" t="0" r="0" b="0"/>
            <wp:wrapNone/>
            <wp:docPr id="429" name="image12.png"/>
            <wp:cNvGraphicFramePr>
              <a:graphicFrameLocks noChangeAspect="1"/>
            </wp:cNvGraphicFramePr>
            <a:graphic>
              <a:graphicData uri="http://schemas.openxmlformats.org/drawingml/2006/picture">
                <pic:pic>
                  <pic:nvPicPr>
                    <pic:cNvPr id="430" name="image12.png"/>
                    <pic:cNvPicPr/>
                  </pic:nvPicPr>
                  <pic:blipFill>
                    <a:blip r:embed="rId33" cstate="print"/>
                    <a:stretch>
                      <a:fillRect/>
                    </a:stretch>
                  </pic:blipFill>
                  <pic:spPr>
                    <a:xfrm>
                      <a:off x="0" y="0"/>
                      <a:ext cx="55029" cy="6350"/>
                    </a:xfrm>
                    <a:prstGeom prst="rect">
                      <a:avLst/>
                    </a:prstGeom>
                  </pic:spPr>
                </pic:pic>
              </a:graphicData>
            </a:graphic>
          </wp:anchor>
        </w:drawing>
      </w:r>
      <w:r>
        <w:rPr>
          <w:w w:val="115"/>
          <w:sz w:val="12"/>
        </w:rPr>
        <w:t>1.4</w:t>
      </w:r>
    </w:p>
    <w:p>
      <w:pPr>
        <w:pStyle w:val="BodyText"/>
        <w:rPr>
          <w:sz w:val="12"/>
        </w:rPr>
      </w:pPr>
    </w:p>
    <w:p>
      <w:pPr>
        <w:pStyle w:val="BodyText"/>
        <w:spacing w:before="8"/>
        <w:rPr>
          <w:sz w:val="11"/>
        </w:rPr>
      </w:pPr>
    </w:p>
    <w:p>
      <w:pPr>
        <w:spacing w:before="1"/>
        <w:ind w:left="0" w:right="38" w:firstLine="0"/>
        <w:jc w:val="right"/>
        <w:rPr>
          <w:sz w:val="12"/>
        </w:rPr>
      </w:pPr>
      <w:r>
        <w:rPr/>
        <w:drawing>
          <wp:anchor distT="0" distB="0" distL="0" distR="0" allowOverlap="1" layoutInCell="1" locked="0" behindDoc="0" simplePos="0" relativeHeight="15920640">
            <wp:simplePos x="0" y="0"/>
            <wp:positionH relativeFrom="page">
              <wp:posOffset>2709595</wp:posOffset>
            </wp:positionH>
            <wp:positionV relativeFrom="paragraph">
              <wp:posOffset>44680</wp:posOffset>
            </wp:positionV>
            <wp:extent cx="55029" cy="6350"/>
            <wp:effectExtent l="0" t="0" r="0" b="0"/>
            <wp:wrapNone/>
            <wp:docPr id="431" name="image10.png"/>
            <wp:cNvGraphicFramePr>
              <a:graphicFrameLocks noChangeAspect="1"/>
            </wp:cNvGraphicFramePr>
            <a:graphic>
              <a:graphicData uri="http://schemas.openxmlformats.org/drawingml/2006/picture">
                <pic:pic>
                  <pic:nvPicPr>
                    <pic:cNvPr id="432" name="image10.png"/>
                    <pic:cNvPicPr/>
                  </pic:nvPicPr>
                  <pic:blipFill>
                    <a:blip r:embed="rId31" cstate="print"/>
                    <a:stretch>
                      <a:fillRect/>
                    </a:stretch>
                  </pic:blipFill>
                  <pic:spPr>
                    <a:xfrm>
                      <a:off x="0" y="0"/>
                      <a:ext cx="55029" cy="6350"/>
                    </a:xfrm>
                    <a:prstGeom prst="rect">
                      <a:avLst/>
                    </a:prstGeom>
                  </pic:spPr>
                </pic:pic>
              </a:graphicData>
            </a:graphic>
          </wp:anchor>
        </w:drawing>
      </w:r>
      <w:r>
        <w:rPr>
          <w:w w:val="110"/>
          <w:sz w:val="12"/>
        </w:rPr>
        <w:t>1.2</w:t>
      </w:r>
    </w:p>
    <w:p>
      <w:pPr>
        <w:pStyle w:val="BodyText"/>
        <w:rPr>
          <w:sz w:val="12"/>
        </w:rPr>
      </w:pPr>
    </w:p>
    <w:p>
      <w:pPr>
        <w:pStyle w:val="BodyText"/>
        <w:spacing w:before="8"/>
        <w:rPr>
          <w:sz w:val="11"/>
        </w:rPr>
      </w:pPr>
    </w:p>
    <w:p>
      <w:pPr>
        <w:spacing w:before="0"/>
        <w:ind w:left="0" w:right="38" w:firstLine="0"/>
        <w:jc w:val="right"/>
        <w:rPr>
          <w:sz w:val="12"/>
        </w:rPr>
      </w:pPr>
      <w:r>
        <w:rPr/>
        <w:drawing>
          <wp:anchor distT="0" distB="0" distL="0" distR="0" allowOverlap="1" layoutInCell="1" locked="0" behindDoc="0" simplePos="0" relativeHeight="15917568">
            <wp:simplePos x="0" y="0"/>
            <wp:positionH relativeFrom="page">
              <wp:posOffset>2709595</wp:posOffset>
            </wp:positionH>
            <wp:positionV relativeFrom="paragraph">
              <wp:posOffset>43809</wp:posOffset>
            </wp:positionV>
            <wp:extent cx="55029" cy="6350"/>
            <wp:effectExtent l="0" t="0" r="0" b="0"/>
            <wp:wrapNone/>
            <wp:docPr id="433" name="image10.png"/>
            <wp:cNvGraphicFramePr>
              <a:graphicFrameLocks noChangeAspect="1"/>
            </wp:cNvGraphicFramePr>
            <a:graphic>
              <a:graphicData uri="http://schemas.openxmlformats.org/drawingml/2006/picture">
                <pic:pic>
                  <pic:nvPicPr>
                    <pic:cNvPr id="434" name="image10.png"/>
                    <pic:cNvPicPr/>
                  </pic:nvPicPr>
                  <pic:blipFill>
                    <a:blip r:embed="rId31" cstate="print"/>
                    <a:stretch>
                      <a:fillRect/>
                    </a:stretch>
                  </pic:blipFill>
                  <pic:spPr>
                    <a:xfrm>
                      <a:off x="0" y="0"/>
                      <a:ext cx="55029" cy="6350"/>
                    </a:xfrm>
                    <a:prstGeom prst="rect">
                      <a:avLst/>
                    </a:prstGeom>
                  </pic:spPr>
                </pic:pic>
              </a:graphicData>
            </a:graphic>
          </wp:anchor>
        </w:drawing>
      </w:r>
      <w:r>
        <w:rPr>
          <w:w w:val="110"/>
          <w:sz w:val="12"/>
        </w:rPr>
        <w:t>1.0</w:t>
      </w:r>
    </w:p>
    <w:p>
      <w:pPr>
        <w:pStyle w:val="BodyText"/>
        <w:rPr>
          <w:sz w:val="12"/>
        </w:rPr>
      </w:pPr>
    </w:p>
    <w:p>
      <w:pPr>
        <w:pStyle w:val="BodyText"/>
        <w:spacing w:before="9"/>
        <w:rPr>
          <w:sz w:val="11"/>
        </w:rPr>
      </w:pPr>
    </w:p>
    <w:p>
      <w:pPr>
        <w:spacing w:before="0"/>
        <w:ind w:left="0" w:right="38" w:firstLine="0"/>
        <w:jc w:val="right"/>
        <w:rPr>
          <w:sz w:val="12"/>
        </w:rPr>
      </w:pPr>
      <w:r>
        <w:rPr/>
        <w:drawing>
          <wp:anchor distT="0" distB="0" distL="0" distR="0" allowOverlap="1" layoutInCell="1" locked="0" behindDoc="0" simplePos="0" relativeHeight="15918080">
            <wp:simplePos x="0" y="0"/>
            <wp:positionH relativeFrom="page">
              <wp:posOffset>2709595</wp:posOffset>
            </wp:positionH>
            <wp:positionV relativeFrom="paragraph">
              <wp:posOffset>43585</wp:posOffset>
            </wp:positionV>
            <wp:extent cx="55029" cy="6350"/>
            <wp:effectExtent l="0" t="0" r="0" b="0"/>
            <wp:wrapNone/>
            <wp:docPr id="435" name="image10.png"/>
            <wp:cNvGraphicFramePr>
              <a:graphicFrameLocks noChangeAspect="1"/>
            </wp:cNvGraphicFramePr>
            <a:graphic>
              <a:graphicData uri="http://schemas.openxmlformats.org/drawingml/2006/picture">
                <pic:pic>
                  <pic:nvPicPr>
                    <pic:cNvPr id="436" name="image10.png"/>
                    <pic:cNvPicPr/>
                  </pic:nvPicPr>
                  <pic:blipFill>
                    <a:blip r:embed="rId31" cstate="print"/>
                    <a:stretch>
                      <a:fillRect/>
                    </a:stretch>
                  </pic:blipFill>
                  <pic:spPr>
                    <a:xfrm>
                      <a:off x="0" y="0"/>
                      <a:ext cx="55029" cy="6350"/>
                    </a:xfrm>
                    <a:prstGeom prst="rect">
                      <a:avLst/>
                    </a:prstGeom>
                  </pic:spPr>
                </pic:pic>
              </a:graphicData>
            </a:graphic>
          </wp:anchor>
        </w:drawing>
      </w:r>
      <w:r>
        <w:rPr>
          <w:w w:val="110"/>
          <w:sz w:val="12"/>
        </w:rPr>
        <w:t>0.8</w:t>
      </w:r>
    </w:p>
    <w:p>
      <w:pPr>
        <w:pStyle w:val="BodyText"/>
        <w:rPr>
          <w:sz w:val="12"/>
        </w:rPr>
      </w:pPr>
    </w:p>
    <w:p>
      <w:pPr>
        <w:pStyle w:val="BodyText"/>
        <w:spacing w:before="8"/>
        <w:rPr>
          <w:sz w:val="11"/>
        </w:rPr>
      </w:pPr>
    </w:p>
    <w:p>
      <w:pPr>
        <w:spacing w:before="0"/>
        <w:ind w:left="0" w:right="38" w:firstLine="0"/>
        <w:jc w:val="right"/>
        <w:rPr>
          <w:sz w:val="12"/>
        </w:rPr>
      </w:pPr>
      <w:r>
        <w:rPr/>
        <w:drawing>
          <wp:anchor distT="0" distB="0" distL="0" distR="0" allowOverlap="1" layoutInCell="1" locked="0" behindDoc="0" simplePos="0" relativeHeight="15918592">
            <wp:simplePos x="0" y="0"/>
            <wp:positionH relativeFrom="page">
              <wp:posOffset>2709595</wp:posOffset>
            </wp:positionH>
            <wp:positionV relativeFrom="paragraph">
              <wp:posOffset>43362</wp:posOffset>
            </wp:positionV>
            <wp:extent cx="55029" cy="6350"/>
            <wp:effectExtent l="0" t="0" r="0" b="0"/>
            <wp:wrapNone/>
            <wp:docPr id="437" name="image12.png"/>
            <wp:cNvGraphicFramePr>
              <a:graphicFrameLocks noChangeAspect="1"/>
            </wp:cNvGraphicFramePr>
            <a:graphic>
              <a:graphicData uri="http://schemas.openxmlformats.org/drawingml/2006/picture">
                <pic:pic>
                  <pic:nvPicPr>
                    <pic:cNvPr id="438" name="image12.png"/>
                    <pic:cNvPicPr/>
                  </pic:nvPicPr>
                  <pic:blipFill>
                    <a:blip r:embed="rId33" cstate="print"/>
                    <a:stretch>
                      <a:fillRect/>
                    </a:stretch>
                  </pic:blipFill>
                  <pic:spPr>
                    <a:xfrm>
                      <a:off x="0" y="0"/>
                      <a:ext cx="55029" cy="6350"/>
                    </a:xfrm>
                    <a:prstGeom prst="rect">
                      <a:avLst/>
                    </a:prstGeom>
                  </pic:spPr>
                </pic:pic>
              </a:graphicData>
            </a:graphic>
          </wp:anchor>
        </w:drawing>
      </w:r>
      <w:r>
        <w:rPr>
          <w:w w:val="110"/>
          <w:sz w:val="12"/>
        </w:rPr>
        <w:t>0.6</w:t>
      </w:r>
    </w:p>
    <w:p>
      <w:pPr>
        <w:pStyle w:val="BodyText"/>
        <w:rPr>
          <w:sz w:val="12"/>
        </w:rPr>
      </w:pPr>
    </w:p>
    <w:p>
      <w:pPr>
        <w:pStyle w:val="BodyText"/>
        <w:spacing w:before="9"/>
        <w:rPr>
          <w:sz w:val="11"/>
        </w:rPr>
      </w:pPr>
    </w:p>
    <w:p>
      <w:pPr>
        <w:spacing w:before="0"/>
        <w:ind w:left="0" w:right="38" w:firstLine="0"/>
        <w:jc w:val="right"/>
        <w:rPr>
          <w:sz w:val="12"/>
        </w:rPr>
      </w:pPr>
      <w:r>
        <w:rPr/>
        <w:drawing>
          <wp:anchor distT="0" distB="0" distL="0" distR="0" allowOverlap="1" layoutInCell="1" locked="0" behindDoc="0" simplePos="0" relativeHeight="15919104">
            <wp:simplePos x="0" y="0"/>
            <wp:positionH relativeFrom="page">
              <wp:posOffset>2709595</wp:posOffset>
            </wp:positionH>
            <wp:positionV relativeFrom="paragraph">
              <wp:posOffset>43138</wp:posOffset>
            </wp:positionV>
            <wp:extent cx="55029" cy="6350"/>
            <wp:effectExtent l="0" t="0" r="0" b="0"/>
            <wp:wrapNone/>
            <wp:docPr id="439" name="image10.png"/>
            <wp:cNvGraphicFramePr>
              <a:graphicFrameLocks noChangeAspect="1"/>
            </wp:cNvGraphicFramePr>
            <a:graphic>
              <a:graphicData uri="http://schemas.openxmlformats.org/drawingml/2006/picture">
                <pic:pic>
                  <pic:nvPicPr>
                    <pic:cNvPr id="440" name="image10.png"/>
                    <pic:cNvPicPr/>
                  </pic:nvPicPr>
                  <pic:blipFill>
                    <a:blip r:embed="rId31" cstate="print"/>
                    <a:stretch>
                      <a:fillRect/>
                    </a:stretch>
                  </pic:blipFill>
                  <pic:spPr>
                    <a:xfrm>
                      <a:off x="0" y="0"/>
                      <a:ext cx="55029" cy="6350"/>
                    </a:xfrm>
                    <a:prstGeom prst="rect">
                      <a:avLst/>
                    </a:prstGeom>
                  </pic:spPr>
                </pic:pic>
              </a:graphicData>
            </a:graphic>
          </wp:anchor>
        </w:drawing>
      </w:r>
      <w:r>
        <w:rPr>
          <w:w w:val="110"/>
          <w:sz w:val="12"/>
        </w:rPr>
        <w:t>0.4</w:t>
      </w:r>
    </w:p>
    <w:p>
      <w:pPr>
        <w:pStyle w:val="BodyText"/>
        <w:spacing w:line="292" w:lineRule="auto"/>
        <w:ind w:left="226" w:right="158"/>
      </w:pPr>
      <w:r>
        <w:rPr/>
        <w:br w:type="column"/>
      </w:r>
      <w:r>
        <w:rPr>
          <w:w w:val="110"/>
        </w:rPr>
        <w:t>have</w:t>
      </w:r>
      <w:r>
        <w:rPr>
          <w:spacing w:val="-25"/>
          <w:w w:val="110"/>
        </w:rPr>
        <w:t> </w:t>
      </w:r>
      <w:r>
        <w:rPr>
          <w:w w:val="110"/>
        </w:rPr>
        <w:t>reflected</w:t>
      </w:r>
      <w:r>
        <w:rPr>
          <w:spacing w:val="-25"/>
          <w:w w:val="110"/>
        </w:rPr>
        <w:t> </w:t>
      </w:r>
      <w:r>
        <w:rPr>
          <w:w w:val="110"/>
        </w:rPr>
        <w:t>some</w:t>
      </w:r>
      <w:r>
        <w:rPr>
          <w:spacing w:val="-25"/>
          <w:w w:val="110"/>
        </w:rPr>
        <w:t> </w:t>
      </w:r>
      <w:r>
        <w:rPr>
          <w:w w:val="110"/>
        </w:rPr>
        <w:t>reassessment</w:t>
      </w:r>
      <w:r>
        <w:rPr>
          <w:spacing w:val="-25"/>
          <w:w w:val="110"/>
        </w:rPr>
        <w:t> </w:t>
      </w:r>
      <w:r>
        <w:rPr>
          <w:w w:val="110"/>
        </w:rPr>
        <w:t>of</w:t>
      </w:r>
      <w:r>
        <w:rPr>
          <w:spacing w:val="-25"/>
          <w:w w:val="110"/>
        </w:rPr>
        <w:t> </w:t>
      </w:r>
      <w:r>
        <w:rPr>
          <w:w w:val="110"/>
        </w:rPr>
        <w:t>the</w:t>
      </w:r>
      <w:r>
        <w:rPr>
          <w:spacing w:val="-25"/>
          <w:w w:val="110"/>
        </w:rPr>
        <w:t> </w:t>
      </w:r>
      <w:r>
        <w:rPr>
          <w:w w:val="110"/>
        </w:rPr>
        <w:t>prospects</w:t>
      </w:r>
      <w:r>
        <w:rPr>
          <w:spacing w:val="-25"/>
          <w:w w:val="110"/>
        </w:rPr>
        <w:t> </w:t>
      </w:r>
      <w:r>
        <w:rPr>
          <w:w w:val="110"/>
        </w:rPr>
        <w:t>for</w:t>
      </w:r>
      <w:r>
        <w:rPr>
          <w:spacing w:val="-25"/>
          <w:w w:val="110"/>
        </w:rPr>
        <w:t> </w:t>
      </w:r>
      <w:r>
        <w:rPr>
          <w:w w:val="110"/>
        </w:rPr>
        <w:t>US</w:t>
      </w:r>
      <w:r>
        <w:rPr>
          <w:spacing w:val="-25"/>
          <w:w w:val="110"/>
        </w:rPr>
        <w:t> </w:t>
      </w:r>
      <w:r>
        <w:rPr>
          <w:w w:val="110"/>
        </w:rPr>
        <w:t>GDP </w:t>
      </w:r>
      <w:r>
        <w:rPr>
          <w:spacing w:val="-2"/>
          <w:w w:val="110"/>
        </w:rPr>
        <w:t>growth </w:t>
      </w:r>
      <w:r>
        <w:rPr>
          <w:w w:val="110"/>
        </w:rPr>
        <w:t>and </w:t>
      </w:r>
      <w:r>
        <w:rPr>
          <w:spacing w:val="-3"/>
          <w:w w:val="110"/>
        </w:rPr>
        <w:t>interest </w:t>
      </w:r>
      <w:r>
        <w:rPr>
          <w:spacing w:val="-4"/>
          <w:w w:val="110"/>
        </w:rPr>
        <w:t>rates. </w:t>
      </w:r>
      <w:r>
        <w:rPr>
          <w:w w:val="110"/>
        </w:rPr>
        <w:t>Recent announcements of merger and acquisitions (M&amp;A) deals suggest that capital flows </w:t>
      </w:r>
      <w:r>
        <w:rPr>
          <w:spacing w:val="-3"/>
          <w:w w:val="110"/>
        </w:rPr>
        <w:t>into </w:t>
      </w:r>
      <w:r>
        <w:rPr>
          <w:w w:val="110"/>
        </w:rPr>
        <w:t>the</w:t>
      </w:r>
      <w:r>
        <w:rPr>
          <w:spacing w:val="-37"/>
          <w:w w:val="110"/>
        </w:rPr>
        <w:t> </w:t>
      </w:r>
      <w:r>
        <w:rPr>
          <w:w w:val="110"/>
        </w:rPr>
        <w:t>United</w:t>
      </w:r>
      <w:r>
        <w:rPr>
          <w:spacing w:val="-36"/>
          <w:w w:val="110"/>
        </w:rPr>
        <w:t> </w:t>
      </w:r>
      <w:r>
        <w:rPr>
          <w:spacing w:val="-3"/>
          <w:w w:val="110"/>
        </w:rPr>
        <w:t>States</w:t>
      </w:r>
      <w:r>
        <w:rPr>
          <w:spacing w:val="-37"/>
          <w:w w:val="110"/>
        </w:rPr>
        <w:t> </w:t>
      </w:r>
      <w:r>
        <w:rPr>
          <w:w w:val="110"/>
        </w:rPr>
        <w:t>from</w:t>
      </w:r>
      <w:r>
        <w:rPr>
          <w:spacing w:val="-36"/>
          <w:w w:val="110"/>
        </w:rPr>
        <w:t> </w:t>
      </w:r>
      <w:r>
        <w:rPr>
          <w:w w:val="110"/>
        </w:rPr>
        <w:t>M&amp;A-related</w:t>
      </w:r>
      <w:r>
        <w:rPr>
          <w:spacing w:val="-37"/>
          <w:w w:val="110"/>
        </w:rPr>
        <w:t> </w:t>
      </w:r>
      <w:r>
        <w:rPr>
          <w:spacing w:val="-4"/>
          <w:w w:val="110"/>
        </w:rPr>
        <w:t>activity,</w:t>
      </w:r>
      <w:r>
        <w:rPr>
          <w:spacing w:val="-36"/>
          <w:w w:val="110"/>
        </w:rPr>
        <w:t> </w:t>
      </w:r>
      <w:r>
        <w:rPr>
          <w:w w:val="110"/>
        </w:rPr>
        <w:t>and</w:t>
      </w:r>
      <w:r>
        <w:rPr>
          <w:spacing w:val="-37"/>
          <w:w w:val="110"/>
        </w:rPr>
        <w:t> </w:t>
      </w:r>
      <w:r>
        <w:rPr>
          <w:w w:val="110"/>
        </w:rPr>
        <w:t>outflows</w:t>
      </w:r>
      <w:r>
        <w:rPr>
          <w:spacing w:val="-36"/>
          <w:w w:val="110"/>
        </w:rPr>
        <w:t> </w:t>
      </w:r>
      <w:r>
        <w:rPr>
          <w:w w:val="110"/>
        </w:rPr>
        <w:t>from the</w:t>
      </w:r>
      <w:r>
        <w:rPr>
          <w:spacing w:val="-20"/>
          <w:w w:val="110"/>
        </w:rPr>
        <w:t> </w:t>
      </w:r>
      <w:r>
        <w:rPr>
          <w:w w:val="110"/>
        </w:rPr>
        <w:t>euro</w:t>
      </w:r>
      <w:r>
        <w:rPr>
          <w:spacing w:val="-20"/>
          <w:w w:val="110"/>
        </w:rPr>
        <w:t> </w:t>
      </w:r>
      <w:r>
        <w:rPr>
          <w:w w:val="110"/>
        </w:rPr>
        <w:t>area,</w:t>
      </w:r>
      <w:r>
        <w:rPr>
          <w:spacing w:val="-20"/>
          <w:w w:val="110"/>
        </w:rPr>
        <w:t> </w:t>
      </w:r>
      <w:r>
        <w:rPr>
          <w:spacing w:val="-3"/>
          <w:w w:val="110"/>
        </w:rPr>
        <w:t>have</w:t>
      </w:r>
      <w:r>
        <w:rPr>
          <w:spacing w:val="-20"/>
          <w:w w:val="110"/>
        </w:rPr>
        <w:t> </w:t>
      </w:r>
      <w:r>
        <w:rPr>
          <w:spacing w:val="-3"/>
          <w:w w:val="110"/>
        </w:rPr>
        <w:t>slowed</w:t>
      </w:r>
      <w:r>
        <w:rPr>
          <w:spacing w:val="-20"/>
          <w:w w:val="110"/>
        </w:rPr>
        <w:t> </w:t>
      </w:r>
      <w:r>
        <w:rPr>
          <w:w w:val="110"/>
        </w:rPr>
        <w:t>markedly</w:t>
      </w:r>
      <w:r>
        <w:rPr>
          <w:spacing w:val="-20"/>
          <w:w w:val="110"/>
        </w:rPr>
        <w:t> </w:t>
      </w:r>
      <w:r>
        <w:rPr>
          <w:w w:val="110"/>
        </w:rPr>
        <w:t>from</w:t>
      </w:r>
      <w:r>
        <w:rPr>
          <w:spacing w:val="-20"/>
          <w:w w:val="110"/>
        </w:rPr>
        <w:t> </w:t>
      </w:r>
      <w:r>
        <w:rPr>
          <w:w w:val="110"/>
        </w:rPr>
        <w:t>the</w:t>
      </w:r>
      <w:r>
        <w:rPr>
          <w:spacing w:val="-20"/>
          <w:w w:val="110"/>
        </w:rPr>
        <w:t> </w:t>
      </w:r>
      <w:r>
        <w:rPr>
          <w:w w:val="110"/>
        </w:rPr>
        <w:t>high</w:t>
      </w:r>
      <w:r>
        <w:rPr>
          <w:spacing w:val="-19"/>
          <w:w w:val="110"/>
        </w:rPr>
        <w:t> </w:t>
      </w:r>
      <w:r>
        <w:rPr>
          <w:spacing w:val="-3"/>
          <w:w w:val="110"/>
        </w:rPr>
        <w:t>levels</w:t>
      </w:r>
      <w:r>
        <w:rPr>
          <w:spacing w:val="-20"/>
          <w:w w:val="110"/>
        </w:rPr>
        <w:t> </w:t>
      </w:r>
      <w:r>
        <w:rPr>
          <w:w w:val="110"/>
        </w:rPr>
        <w:t>seen during the earlier appreciation of the </w:t>
      </w:r>
      <w:r>
        <w:rPr>
          <w:spacing w:val="-3"/>
          <w:w w:val="110"/>
        </w:rPr>
        <w:t>dollar. </w:t>
      </w:r>
      <w:r>
        <w:rPr>
          <w:w w:val="110"/>
        </w:rPr>
        <w:t>That would be consistent with a weakening in perceptions of US </w:t>
      </w:r>
      <w:r>
        <w:rPr>
          <w:spacing w:val="-3"/>
          <w:w w:val="110"/>
        </w:rPr>
        <w:t>corporate </w:t>
      </w:r>
      <w:r>
        <w:rPr>
          <w:spacing w:val="-4"/>
          <w:w w:val="110"/>
        </w:rPr>
        <w:t>profitability.</w:t>
      </w:r>
    </w:p>
    <w:p>
      <w:pPr>
        <w:spacing w:after="0" w:line="292" w:lineRule="auto"/>
        <w:sectPr>
          <w:type w:val="continuous"/>
          <w:pgSz w:w="11900" w:h="16840"/>
          <w:pgMar w:top="1260" w:bottom="280" w:left="640" w:right="640"/>
          <w:cols w:num="3" w:equalWidth="0">
            <w:col w:w="736" w:space="1830"/>
            <w:col w:w="1411" w:space="896"/>
            <w:col w:w="5747"/>
          </w:cols>
        </w:sectPr>
      </w:pPr>
    </w:p>
    <w:p>
      <w:pPr>
        <w:spacing w:line="242" w:lineRule="auto" w:before="93"/>
        <w:ind w:left="1771" w:right="0" w:hanging="61"/>
        <w:jc w:val="left"/>
        <w:rPr>
          <w:sz w:val="12"/>
        </w:rPr>
      </w:pPr>
      <w:r>
        <w:rPr/>
        <w:drawing>
          <wp:anchor distT="0" distB="0" distL="0" distR="0" allowOverlap="1" layoutInCell="1" locked="0" behindDoc="1" simplePos="0" relativeHeight="479903744">
            <wp:simplePos x="0" y="0"/>
            <wp:positionH relativeFrom="page">
              <wp:posOffset>2384551</wp:posOffset>
            </wp:positionH>
            <wp:positionV relativeFrom="paragraph">
              <wp:posOffset>147640</wp:posOffset>
            </wp:positionV>
            <wp:extent cx="380072" cy="176136"/>
            <wp:effectExtent l="0" t="0" r="0" b="0"/>
            <wp:wrapNone/>
            <wp:docPr id="441" name="image46.png"/>
            <wp:cNvGraphicFramePr>
              <a:graphicFrameLocks noChangeAspect="1"/>
            </wp:cNvGraphicFramePr>
            <a:graphic>
              <a:graphicData uri="http://schemas.openxmlformats.org/drawingml/2006/picture">
                <pic:pic>
                  <pic:nvPicPr>
                    <pic:cNvPr id="442" name="image46.png"/>
                    <pic:cNvPicPr/>
                  </pic:nvPicPr>
                  <pic:blipFill>
                    <a:blip r:embed="rId77" cstate="print"/>
                    <a:stretch>
                      <a:fillRect/>
                    </a:stretch>
                  </pic:blipFill>
                  <pic:spPr>
                    <a:xfrm>
                      <a:off x="0" y="0"/>
                      <a:ext cx="380072" cy="176136"/>
                    </a:xfrm>
                    <a:prstGeom prst="rect">
                      <a:avLst/>
                    </a:prstGeom>
                  </pic:spPr>
                </pic:pic>
              </a:graphicData>
            </a:graphic>
          </wp:anchor>
        </w:drawing>
      </w:r>
      <w:r>
        <w:rPr>
          <w:w w:val="110"/>
          <w:sz w:val="12"/>
        </w:rPr>
        <w:t>US-euro</w:t>
      </w:r>
      <w:r>
        <w:rPr>
          <w:spacing w:val="-14"/>
          <w:w w:val="110"/>
          <w:sz w:val="12"/>
        </w:rPr>
        <w:t> </w:t>
      </w:r>
      <w:r>
        <w:rPr>
          <w:w w:val="110"/>
          <w:sz w:val="12"/>
        </w:rPr>
        <w:t>area</w:t>
      </w:r>
      <w:r>
        <w:rPr>
          <w:spacing w:val="-14"/>
          <w:w w:val="110"/>
          <w:sz w:val="12"/>
        </w:rPr>
        <w:t> </w:t>
      </w:r>
      <w:r>
        <w:rPr>
          <w:w w:val="110"/>
          <w:sz w:val="12"/>
        </w:rPr>
        <w:t>average</w:t>
      </w:r>
      <w:r>
        <w:rPr>
          <w:spacing w:val="-14"/>
          <w:w w:val="110"/>
          <w:sz w:val="12"/>
        </w:rPr>
        <w:t> </w:t>
      </w:r>
      <w:r>
        <w:rPr>
          <w:w w:val="110"/>
          <w:sz w:val="12"/>
        </w:rPr>
        <w:t>annual</w:t>
      </w:r>
      <w:r>
        <w:rPr>
          <w:spacing w:val="-14"/>
          <w:w w:val="110"/>
          <w:sz w:val="12"/>
        </w:rPr>
        <w:t> </w:t>
      </w:r>
      <w:r>
        <w:rPr>
          <w:spacing w:val="-3"/>
          <w:w w:val="110"/>
          <w:sz w:val="12"/>
        </w:rPr>
        <w:t>growth </w:t>
      </w:r>
      <w:r>
        <w:rPr>
          <w:w w:val="110"/>
          <w:sz w:val="12"/>
        </w:rPr>
        <w:t>differential expected in 2001–02(right-hand</w:t>
      </w:r>
      <w:r>
        <w:rPr>
          <w:spacing w:val="-1"/>
          <w:w w:val="110"/>
          <w:sz w:val="12"/>
        </w:rPr>
        <w:t> </w:t>
      </w:r>
      <w:r>
        <w:rPr>
          <w:w w:val="110"/>
          <w:sz w:val="12"/>
        </w:rPr>
        <w:t>scale)</w:t>
      </w:r>
    </w:p>
    <w:p>
      <w:pPr>
        <w:pStyle w:val="BodyText"/>
        <w:rPr>
          <w:sz w:val="12"/>
        </w:rPr>
      </w:pPr>
      <w:r>
        <w:rPr/>
        <w:br w:type="column"/>
      </w:r>
      <w:r>
        <w:rPr>
          <w:sz w:val="12"/>
        </w:rPr>
      </w:r>
    </w:p>
    <w:p>
      <w:pPr>
        <w:pStyle w:val="BodyText"/>
        <w:spacing w:before="8"/>
        <w:rPr>
          <w:sz w:val="11"/>
        </w:rPr>
      </w:pPr>
    </w:p>
    <w:p>
      <w:pPr>
        <w:spacing w:before="1"/>
        <w:ind w:left="141" w:right="0" w:firstLine="0"/>
        <w:jc w:val="left"/>
        <w:rPr>
          <w:sz w:val="12"/>
        </w:rPr>
      </w:pPr>
      <w:r>
        <w:rPr>
          <w:w w:val="115"/>
          <w:sz w:val="12"/>
        </w:rPr>
        <w:t>0.2</w:t>
      </w:r>
    </w:p>
    <w:p>
      <w:pPr>
        <w:pStyle w:val="BodyText"/>
        <w:spacing w:line="292" w:lineRule="auto" w:before="171"/>
        <w:ind w:left="499" w:right="241"/>
      </w:pPr>
      <w:r>
        <w:rPr/>
        <w:br w:type="column"/>
      </w:r>
      <w:r>
        <w:rPr>
          <w:spacing w:val="-3"/>
          <w:w w:val="110"/>
        </w:rPr>
        <w:t>Similarly,</w:t>
      </w:r>
      <w:r>
        <w:rPr>
          <w:spacing w:val="-26"/>
          <w:w w:val="110"/>
        </w:rPr>
        <w:t> </w:t>
      </w:r>
      <w:r>
        <w:rPr>
          <w:w w:val="110"/>
        </w:rPr>
        <w:t>the</w:t>
      </w:r>
      <w:r>
        <w:rPr>
          <w:spacing w:val="-25"/>
          <w:w w:val="110"/>
        </w:rPr>
        <w:t> </w:t>
      </w:r>
      <w:r>
        <w:rPr>
          <w:w w:val="110"/>
        </w:rPr>
        <w:t>recent</w:t>
      </w:r>
      <w:r>
        <w:rPr>
          <w:spacing w:val="-25"/>
          <w:w w:val="110"/>
        </w:rPr>
        <w:t> </w:t>
      </w:r>
      <w:r>
        <w:rPr>
          <w:w w:val="110"/>
        </w:rPr>
        <w:t>fall</w:t>
      </w:r>
      <w:r>
        <w:rPr>
          <w:spacing w:val="-26"/>
          <w:w w:val="110"/>
        </w:rPr>
        <w:t> </w:t>
      </w:r>
      <w:r>
        <w:rPr>
          <w:w w:val="110"/>
        </w:rPr>
        <w:t>of</w:t>
      </w:r>
      <w:r>
        <w:rPr>
          <w:spacing w:val="-25"/>
          <w:w w:val="110"/>
        </w:rPr>
        <w:t> </w:t>
      </w:r>
      <w:r>
        <w:rPr>
          <w:w w:val="110"/>
        </w:rPr>
        <w:t>the</w:t>
      </w:r>
      <w:r>
        <w:rPr>
          <w:spacing w:val="-25"/>
          <w:w w:val="110"/>
        </w:rPr>
        <w:t> </w:t>
      </w:r>
      <w:r>
        <w:rPr>
          <w:w w:val="110"/>
        </w:rPr>
        <w:t>dollar</w:t>
      </w:r>
      <w:r>
        <w:rPr>
          <w:spacing w:val="-26"/>
          <w:w w:val="110"/>
        </w:rPr>
        <w:t> </w:t>
      </w:r>
      <w:r>
        <w:rPr>
          <w:w w:val="110"/>
        </w:rPr>
        <w:t>against</w:t>
      </w:r>
      <w:r>
        <w:rPr>
          <w:spacing w:val="-25"/>
          <w:w w:val="110"/>
        </w:rPr>
        <w:t> </w:t>
      </w:r>
      <w:r>
        <w:rPr>
          <w:w w:val="110"/>
        </w:rPr>
        <w:t>sterling</w:t>
      </w:r>
      <w:r>
        <w:rPr>
          <w:spacing w:val="-25"/>
          <w:w w:val="110"/>
        </w:rPr>
        <w:t> </w:t>
      </w:r>
      <w:r>
        <w:rPr>
          <w:w w:val="110"/>
        </w:rPr>
        <w:t>is</w:t>
      </w:r>
      <w:r>
        <w:rPr>
          <w:spacing w:val="-25"/>
          <w:w w:val="110"/>
        </w:rPr>
        <w:t> </w:t>
      </w:r>
      <w:r>
        <w:rPr>
          <w:w w:val="110"/>
        </w:rPr>
        <w:t>likely </w:t>
      </w:r>
      <w:r>
        <w:rPr>
          <w:spacing w:val="-4"/>
          <w:w w:val="110"/>
        </w:rPr>
        <w:t>to</w:t>
      </w:r>
      <w:r>
        <w:rPr>
          <w:spacing w:val="-28"/>
          <w:w w:val="110"/>
        </w:rPr>
        <w:t> </w:t>
      </w:r>
      <w:r>
        <w:rPr>
          <w:w w:val="110"/>
        </w:rPr>
        <w:t>reflect</w:t>
      </w:r>
      <w:r>
        <w:rPr>
          <w:spacing w:val="-27"/>
          <w:w w:val="110"/>
        </w:rPr>
        <w:t> </w:t>
      </w:r>
      <w:r>
        <w:rPr>
          <w:spacing w:val="-3"/>
          <w:w w:val="110"/>
        </w:rPr>
        <w:t>downward</w:t>
      </w:r>
      <w:r>
        <w:rPr>
          <w:spacing w:val="-28"/>
          <w:w w:val="110"/>
        </w:rPr>
        <w:t> </w:t>
      </w:r>
      <w:r>
        <w:rPr>
          <w:w w:val="110"/>
        </w:rPr>
        <w:t>revisions</w:t>
      </w:r>
      <w:r>
        <w:rPr>
          <w:spacing w:val="-27"/>
          <w:w w:val="110"/>
        </w:rPr>
        <w:t> </w:t>
      </w:r>
      <w:r>
        <w:rPr>
          <w:spacing w:val="-4"/>
          <w:w w:val="110"/>
        </w:rPr>
        <w:t>to</w:t>
      </w:r>
      <w:r>
        <w:rPr>
          <w:spacing w:val="-28"/>
          <w:w w:val="110"/>
        </w:rPr>
        <w:t> </w:t>
      </w:r>
      <w:r>
        <w:rPr>
          <w:w w:val="110"/>
        </w:rPr>
        <w:t>expectations</w:t>
      </w:r>
      <w:r>
        <w:rPr>
          <w:spacing w:val="-27"/>
          <w:w w:val="110"/>
        </w:rPr>
        <w:t> </w:t>
      </w:r>
      <w:r>
        <w:rPr>
          <w:w w:val="110"/>
        </w:rPr>
        <w:t>of</w:t>
      </w:r>
      <w:r>
        <w:rPr>
          <w:spacing w:val="-28"/>
          <w:w w:val="110"/>
        </w:rPr>
        <w:t> </w:t>
      </w:r>
      <w:r>
        <w:rPr>
          <w:w w:val="110"/>
        </w:rPr>
        <w:t>GDP</w:t>
      </w:r>
      <w:r>
        <w:rPr>
          <w:spacing w:val="-27"/>
          <w:w w:val="110"/>
        </w:rPr>
        <w:t> </w:t>
      </w:r>
      <w:r>
        <w:rPr>
          <w:spacing w:val="-3"/>
          <w:w w:val="110"/>
        </w:rPr>
        <w:t>growth</w:t>
      </w:r>
    </w:p>
    <w:p>
      <w:pPr>
        <w:spacing w:after="0" w:line="292" w:lineRule="auto"/>
        <w:sectPr>
          <w:type w:val="continuous"/>
          <w:pgSz w:w="11900" w:h="16840"/>
          <w:pgMar w:top="1260" w:bottom="280" w:left="640" w:right="640"/>
          <w:cols w:num="3" w:equalWidth="0">
            <w:col w:w="3584" w:space="40"/>
            <w:col w:w="353" w:space="623"/>
            <w:col w:w="6020"/>
          </w:cols>
        </w:sectPr>
      </w:pPr>
    </w:p>
    <w:p>
      <w:pPr>
        <w:spacing w:line="101" w:lineRule="exact" w:before="0"/>
        <w:ind w:left="226" w:right="0" w:firstLine="0"/>
        <w:jc w:val="left"/>
        <w:rPr>
          <w:sz w:val="12"/>
        </w:rPr>
      </w:pPr>
      <w:r>
        <w:rPr>
          <w:w w:val="115"/>
          <w:sz w:val="12"/>
        </w:rPr>
        <w:t>0.90</w:t>
      </w:r>
    </w:p>
    <w:p>
      <w:pPr>
        <w:tabs>
          <w:tab w:pos="639" w:val="left" w:leader="none"/>
          <w:tab w:pos="1129" w:val="left" w:leader="none"/>
          <w:tab w:pos="1622" w:val="left" w:leader="none"/>
          <w:tab w:pos="2076" w:val="left" w:leader="none"/>
          <w:tab w:pos="2569" w:val="left" w:leader="none"/>
        </w:tabs>
        <w:spacing w:before="61"/>
        <w:ind w:left="176" w:right="0" w:firstLine="0"/>
        <w:jc w:val="center"/>
        <w:rPr>
          <w:sz w:val="12"/>
        </w:rPr>
      </w:pPr>
      <w:r>
        <w:rPr/>
        <w:br w:type="column"/>
      </w:r>
      <w:r>
        <w:rPr>
          <w:sz w:val="12"/>
        </w:rPr>
        <w:t>Jan.</w:t>
        <w:tab/>
        <w:t>Mar.</w:t>
        <w:tab/>
        <w:t>May</w:t>
        <w:tab/>
        <w:t>July</w:t>
        <w:tab/>
        <w:t>Sept.</w:t>
        <w:tab/>
      </w:r>
      <w:r>
        <w:rPr>
          <w:spacing w:val="-5"/>
          <w:sz w:val="12"/>
        </w:rPr>
        <w:t>Nov.</w:t>
      </w:r>
    </w:p>
    <w:p>
      <w:pPr>
        <w:spacing w:before="22"/>
        <w:ind w:left="259" w:right="0" w:firstLine="0"/>
        <w:jc w:val="center"/>
        <w:rPr>
          <w:sz w:val="12"/>
        </w:rPr>
      </w:pPr>
      <w:r>
        <w:rPr>
          <w:w w:val="120"/>
          <w:sz w:val="12"/>
        </w:rPr>
        <w:t>2000</w:t>
      </w:r>
    </w:p>
    <w:p>
      <w:pPr>
        <w:spacing w:line="76" w:lineRule="exact" w:before="0"/>
        <w:ind w:left="410" w:right="0" w:firstLine="0"/>
        <w:jc w:val="left"/>
        <w:rPr>
          <w:sz w:val="12"/>
        </w:rPr>
      </w:pPr>
      <w:r>
        <w:rPr/>
        <w:br w:type="column"/>
      </w:r>
      <w:r>
        <w:rPr>
          <w:w w:val="115"/>
          <w:sz w:val="12"/>
        </w:rPr>
        <w:t>0.0</w:t>
      </w:r>
    </w:p>
    <w:p>
      <w:pPr>
        <w:spacing w:line="124" w:lineRule="exact" w:before="0"/>
        <w:ind w:left="151" w:right="0" w:firstLine="0"/>
        <w:jc w:val="left"/>
        <w:rPr>
          <w:sz w:val="12"/>
        </w:rPr>
      </w:pPr>
      <w:r>
        <w:rPr/>
        <w:drawing>
          <wp:anchor distT="0" distB="0" distL="0" distR="0" allowOverlap="1" layoutInCell="1" locked="0" behindDoc="0" simplePos="0" relativeHeight="15919616">
            <wp:simplePos x="0" y="0"/>
            <wp:positionH relativeFrom="page">
              <wp:posOffset>2709595</wp:posOffset>
            </wp:positionH>
            <wp:positionV relativeFrom="paragraph">
              <wp:posOffset>-35781</wp:posOffset>
            </wp:positionV>
            <wp:extent cx="55029" cy="6350"/>
            <wp:effectExtent l="0" t="0" r="0" b="0"/>
            <wp:wrapNone/>
            <wp:docPr id="443" name="image10.png"/>
            <wp:cNvGraphicFramePr>
              <a:graphicFrameLocks noChangeAspect="1"/>
            </wp:cNvGraphicFramePr>
            <a:graphic>
              <a:graphicData uri="http://schemas.openxmlformats.org/drawingml/2006/picture">
                <pic:pic>
                  <pic:nvPicPr>
                    <pic:cNvPr id="444" name="image10.png"/>
                    <pic:cNvPicPr/>
                  </pic:nvPicPr>
                  <pic:blipFill>
                    <a:blip r:embed="rId3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921152">
            <wp:simplePos x="0" y="0"/>
            <wp:positionH relativeFrom="page">
              <wp:posOffset>723760</wp:posOffset>
            </wp:positionH>
            <wp:positionV relativeFrom="paragraph">
              <wp:posOffset>-104869</wp:posOffset>
            </wp:positionV>
            <wp:extent cx="1933828" cy="75437"/>
            <wp:effectExtent l="0" t="0" r="0" b="0"/>
            <wp:wrapNone/>
            <wp:docPr id="445" name="image47.png"/>
            <wp:cNvGraphicFramePr>
              <a:graphicFrameLocks noChangeAspect="1"/>
            </wp:cNvGraphicFramePr>
            <a:graphic>
              <a:graphicData uri="http://schemas.openxmlformats.org/drawingml/2006/picture">
                <pic:pic>
                  <pic:nvPicPr>
                    <pic:cNvPr id="446" name="image47.png"/>
                    <pic:cNvPicPr/>
                  </pic:nvPicPr>
                  <pic:blipFill>
                    <a:blip r:embed="rId78" cstate="print"/>
                    <a:stretch>
                      <a:fillRect/>
                    </a:stretch>
                  </pic:blipFill>
                  <pic:spPr>
                    <a:xfrm>
                      <a:off x="0" y="0"/>
                      <a:ext cx="1933828" cy="75437"/>
                    </a:xfrm>
                    <a:prstGeom prst="rect">
                      <a:avLst/>
                    </a:prstGeom>
                  </pic:spPr>
                </pic:pic>
              </a:graphicData>
            </a:graphic>
          </wp:anchor>
        </w:drawing>
      </w:r>
      <w:r>
        <w:rPr>
          <w:sz w:val="12"/>
        </w:rPr>
        <w:t>Jan.</w:t>
      </w:r>
    </w:p>
    <w:p>
      <w:pPr>
        <w:spacing w:before="22"/>
        <w:ind w:left="194" w:right="0" w:firstLine="0"/>
        <w:jc w:val="left"/>
        <w:rPr>
          <w:sz w:val="12"/>
        </w:rPr>
      </w:pPr>
      <w:r>
        <w:rPr>
          <w:w w:val="120"/>
          <w:sz w:val="12"/>
        </w:rPr>
        <w:t>01</w:t>
      </w:r>
    </w:p>
    <w:p>
      <w:pPr>
        <w:pStyle w:val="BodyText"/>
        <w:spacing w:line="292" w:lineRule="auto"/>
        <w:ind w:left="226" w:right="158"/>
      </w:pPr>
      <w:r>
        <w:rPr/>
        <w:br w:type="column"/>
      </w:r>
      <w:r>
        <w:rPr>
          <w:w w:val="110"/>
        </w:rPr>
        <w:t>and </w:t>
      </w:r>
      <w:r>
        <w:rPr>
          <w:spacing w:val="-3"/>
          <w:w w:val="110"/>
        </w:rPr>
        <w:t>interest </w:t>
      </w:r>
      <w:r>
        <w:rPr>
          <w:spacing w:val="-4"/>
          <w:w w:val="110"/>
        </w:rPr>
        <w:t>rates </w:t>
      </w:r>
      <w:r>
        <w:rPr>
          <w:w w:val="110"/>
        </w:rPr>
        <w:t>in the United </w:t>
      </w:r>
      <w:r>
        <w:rPr>
          <w:spacing w:val="-3"/>
          <w:w w:val="110"/>
        </w:rPr>
        <w:t>States </w:t>
      </w:r>
      <w:r>
        <w:rPr>
          <w:w w:val="110"/>
        </w:rPr>
        <w:t>relative </w:t>
      </w:r>
      <w:r>
        <w:rPr>
          <w:spacing w:val="-4"/>
          <w:w w:val="110"/>
        </w:rPr>
        <w:t>to </w:t>
      </w:r>
      <w:r>
        <w:rPr>
          <w:w w:val="110"/>
        </w:rPr>
        <w:t>the United Kingdom. But the recent appreciation of the euro against</w:t>
      </w:r>
    </w:p>
    <w:p>
      <w:pPr>
        <w:spacing w:after="0" w:line="292" w:lineRule="auto"/>
        <w:sectPr>
          <w:type w:val="continuous"/>
          <w:pgSz w:w="11900" w:h="16840"/>
          <w:pgMar w:top="1260" w:bottom="280" w:left="640" w:right="640"/>
          <w:cols w:num="4" w:equalWidth="0">
            <w:col w:w="472" w:space="40"/>
            <w:col w:w="2803" w:space="39"/>
            <w:col w:w="623" w:space="896"/>
            <w:col w:w="5747"/>
          </w:cols>
        </w:sectPr>
      </w:pPr>
    </w:p>
    <w:p>
      <w:pPr>
        <w:spacing w:line="83" w:lineRule="exact" w:before="0"/>
        <w:ind w:left="168" w:right="0" w:firstLine="0"/>
        <w:jc w:val="left"/>
        <w:rPr>
          <w:sz w:val="12"/>
        </w:rPr>
      </w:pPr>
      <w:r>
        <w:rPr>
          <w:w w:val="105"/>
          <w:sz w:val="12"/>
        </w:rPr>
        <w:t>Sources: Consensus Economics and Bank of England.</w:t>
      </w:r>
    </w:p>
    <w:p>
      <w:pPr>
        <w:pStyle w:val="BodyText"/>
        <w:spacing w:before="1"/>
        <w:rPr>
          <w:sz w:val="10"/>
        </w:rPr>
      </w:pPr>
    </w:p>
    <w:p>
      <w:pPr>
        <w:spacing w:line="208" w:lineRule="auto" w:before="0"/>
        <w:ind w:left="408" w:right="0" w:hanging="240"/>
        <w:jc w:val="left"/>
        <w:rPr>
          <w:sz w:val="12"/>
        </w:rPr>
      </w:pPr>
      <w:r>
        <w:rPr>
          <w:w w:val="110"/>
          <w:sz w:val="12"/>
        </w:rPr>
        <w:t>(a)</w:t>
      </w:r>
      <w:r>
        <w:rPr>
          <w:spacing w:val="5"/>
          <w:w w:val="110"/>
          <w:sz w:val="12"/>
        </w:rPr>
        <w:t> </w:t>
      </w:r>
      <w:r>
        <w:rPr>
          <w:w w:val="110"/>
          <w:sz w:val="12"/>
        </w:rPr>
        <w:t>Exchange</w:t>
      </w:r>
      <w:r>
        <w:rPr>
          <w:spacing w:val="-12"/>
          <w:w w:val="110"/>
          <w:sz w:val="12"/>
        </w:rPr>
        <w:t> </w:t>
      </w:r>
      <w:r>
        <w:rPr>
          <w:spacing w:val="-3"/>
          <w:w w:val="110"/>
          <w:sz w:val="12"/>
        </w:rPr>
        <w:t>rate</w:t>
      </w:r>
      <w:r>
        <w:rPr>
          <w:spacing w:val="-12"/>
          <w:w w:val="110"/>
          <w:sz w:val="12"/>
        </w:rPr>
        <w:t> </w:t>
      </w:r>
      <w:r>
        <w:rPr>
          <w:w w:val="110"/>
          <w:sz w:val="12"/>
        </w:rPr>
        <w:t>as</w:t>
      </w:r>
      <w:r>
        <w:rPr>
          <w:spacing w:val="-12"/>
          <w:w w:val="110"/>
          <w:sz w:val="12"/>
        </w:rPr>
        <w:t> </w:t>
      </w:r>
      <w:r>
        <w:rPr>
          <w:w w:val="110"/>
          <w:sz w:val="12"/>
        </w:rPr>
        <w:t>at</w:t>
      </w:r>
      <w:r>
        <w:rPr>
          <w:spacing w:val="-12"/>
          <w:w w:val="110"/>
          <w:sz w:val="12"/>
        </w:rPr>
        <w:t> </w:t>
      </w:r>
      <w:r>
        <w:rPr>
          <w:w w:val="110"/>
          <w:sz w:val="12"/>
        </w:rPr>
        <w:t>the</w:t>
      </w:r>
      <w:r>
        <w:rPr>
          <w:spacing w:val="-12"/>
          <w:w w:val="110"/>
          <w:sz w:val="12"/>
        </w:rPr>
        <w:t> </w:t>
      </w:r>
      <w:r>
        <w:rPr>
          <w:w w:val="110"/>
          <w:sz w:val="12"/>
        </w:rPr>
        <w:t>time</w:t>
      </w:r>
      <w:r>
        <w:rPr>
          <w:spacing w:val="-12"/>
          <w:w w:val="110"/>
          <w:sz w:val="12"/>
        </w:rPr>
        <w:t> </w:t>
      </w:r>
      <w:r>
        <w:rPr>
          <w:w w:val="110"/>
          <w:sz w:val="12"/>
        </w:rPr>
        <w:t>of</w:t>
      </w:r>
      <w:r>
        <w:rPr>
          <w:spacing w:val="-12"/>
          <w:w w:val="110"/>
          <w:sz w:val="12"/>
        </w:rPr>
        <w:t> </w:t>
      </w:r>
      <w:r>
        <w:rPr>
          <w:w w:val="110"/>
          <w:sz w:val="12"/>
        </w:rPr>
        <w:t>the</w:t>
      </w:r>
      <w:r>
        <w:rPr>
          <w:spacing w:val="-12"/>
          <w:w w:val="110"/>
          <w:sz w:val="12"/>
        </w:rPr>
        <w:t> </w:t>
      </w:r>
      <w:r>
        <w:rPr>
          <w:w w:val="110"/>
          <w:sz w:val="12"/>
        </w:rPr>
        <w:t>Consensus</w:t>
      </w:r>
      <w:r>
        <w:rPr>
          <w:spacing w:val="-12"/>
          <w:w w:val="110"/>
          <w:sz w:val="12"/>
        </w:rPr>
        <w:t> </w:t>
      </w:r>
      <w:r>
        <w:rPr>
          <w:w w:val="110"/>
          <w:sz w:val="12"/>
        </w:rPr>
        <w:t>Economics</w:t>
      </w:r>
      <w:r>
        <w:rPr>
          <w:spacing w:val="-12"/>
          <w:w w:val="110"/>
          <w:sz w:val="12"/>
        </w:rPr>
        <w:t> </w:t>
      </w:r>
      <w:r>
        <w:rPr>
          <w:spacing w:val="-3"/>
          <w:w w:val="110"/>
          <w:sz w:val="12"/>
        </w:rPr>
        <w:t>survey.</w:t>
      </w:r>
      <w:r>
        <w:rPr>
          <w:spacing w:val="9"/>
          <w:w w:val="110"/>
          <w:sz w:val="12"/>
        </w:rPr>
        <w:t> </w:t>
      </w:r>
      <w:r>
        <w:rPr>
          <w:w w:val="110"/>
          <w:sz w:val="12"/>
        </w:rPr>
        <w:t>A</w:t>
      </w:r>
      <w:r>
        <w:rPr>
          <w:spacing w:val="-12"/>
          <w:w w:val="110"/>
          <w:sz w:val="12"/>
        </w:rPr>
        <w:t> </w:t>
      </w:r>
      <w:r>
        <w:rPr>
          <w:w w:val="110"/>
          <w:sz w:val="12"/>
        </w:rPr>
        <w:t>rise denotes</w:t>
      </w:r>
      <w:r>
        <w:rPr>
          <w:spacing w:val="-5"/>
          <w:w w:val="110"/>
          <w:sz w:val="12"/>
        </w:rPr>
        <w:t> </w:t>
      </w:r>
      <w:r>
        <w:rPr>
          <w:w w:val="110"/>
          <w:sz w:val="12"/>
        </w:rPr>
        <w:t>an</w:t>
      </w:r>
      <w:r>
        <w:rPr>
          <w:spacing w:val="-4"/>
          <w:w w:val="110"/>
          <w:sz w:val="12"/>
        </w:rPr>
        <w:t> </w:t>
      </w:r>
      <w:r>
        <w:rPr>
          <w:w w:val="110"/>
          <w:sz w:val="12"/>
        </w:rPr>
        <w:t>appreciation</w:t>
      </w:r>
      <w:r>
        <w:rPr>
          <w:spacing w:val="-4"/>
          <w:w w:val="110"/>
          <w:sz w:val="12"/>
        </w:rPr>
        <w:t> </w:t>
      </w:r>
      <w:r>
        <w:rPr>
          <w:w w:val="110"/>
          <w:sz w:val="12"/>
        </w:rPr>
        <w:t>of</w:t>
      </w:r>
      <w:r>
        <w:rPr>
          <w:spacing w:val="-5"/>
          <w:w w:val="110"/>
          <w:sz w:val="12"/>
        </w:rPr>
        <w:t> </w:t>
      </w:r>
      <w:r>
        <w:rPr>
          <w:w w:val="110"/>
          <w:sz w:val="12"/>
        </w:rPr>
        <w:t>the</w:t>
      </w:r>
      <w:r>
        <w:rPr>
          <w:spacing w:val="-4"/>
          <w:w w:val="110"/>
          <w:sz w:val="12"/>
        </w:rPr>
        <w:t> </w:t>
      </w:r>
      <w:r>
        <w:rPr>
          <w:w w:val="110"/>
          <w:sz w:val="12"/>
        </w:rPr>
        <w:t>dollar</w:t>
      </w:r>
      <w:r>
        <w:rPr>
          <w:spacing w:val="-4"/>
          <w:w w:val="110"/>
          <w:sz w:val="12"/>
        </w:rPr>
        <w:t> </w:t>
      </w:r>
      <w:r>
        <w:rPr>
          <w:w w:val="110"/>
          <w:sz w:val="12"/>
        </w:rPr>
        <w:t>against</w:t>
      </w:r>
      <w:r>
        <w:rPr>
          <w:spacing w:val="-4"/>
          <w:w w:val="110"/>
          <w:sz w:val="12"/>
        </w:rPr>
        <w:t> </w:t>
      </w:r>
      <w:r>
        <w:rPr>
          <w:w w:val="110"/>
          <w:sz w:val="12"/>
        </w:rPr>
        <w:t>the</w:t>
      </w:r>
      <w:r>
        <w:rPr>
          <w:spacing w:val="-5"/>
          <w:w w:val="110"/>
          <w:sz w:val="12"/>
        </w:rPr>
        <w:t> </w:t>
      </w:r>
      <w:r>
        <w:rPr>
          <w:w w:val="110"/>
          <w:sz w:val="12"/>
        </w:rPr>
        <w:t>euro.</w:t>
      </w:r>
    </w:p>
    <w:p>
      <w:pPr>
        <w:pStyle w:val="BodyText"/>
        <w:spacing w:line="292" w:lineRule="auto"/>
        <w:ind w:left="168" w:right="154"/>
      </w:pPr>
      <w:r>
        <w:rPr/>
        <w:br w:type="column"/>
      </w:r>
      <w:r>
        <w:rPr>
          <w:w w:val="110"/>
        </w:rPr>
        <w:t>sterling is less likely </w:t>
      </w:r>
      <w:r>
        <w:rPr>
          <w:spacing w:val="-4"/>
          <w:w w:val="110"/>
        </w:rPr>
        <w:t>to </w:t>
      </w:r>
      <w:r>
        <w:rPr>
          <w:w w:val="110"/>
        </w:rPr>
        <w:t>be explained </w:t>
      </w:r>
      <w:r>
        <w:rPr>
          <w:spacing w:val="-3"/>
          <w:w w:val="110"/>
        </w:rPr>
        <w:t>by </w:t>
      </w:r>
      <w:r>
        <w:rPr>
          <w:w w:val="110"/>
        </w:rPr>
        <w:t>a change in relative growth prospects. Those </w:t>
      </w:r>
      <w:r>
        <w:rPr>
          <w:spacing w:val="-3"/>
          <w:w w:val="110"/>
        </w:rPr>
        <w:t>forecasters surveyed by </w:t>
      </w:r>
      <w:r>
        <w:rPr>
          <w:w w:val="110"/>
        </w:rPr>
        <w:t>Consensus Economics</w:t>
      </w:r>
      <w:r>
        <w:rPr>
          <w:spacing w:val="-21"/>
          <w:w w:val="110"/>
        </w:rPr>
        <w:t> </w:t>
      </w:r>
      <w:r>
        <w:rPr>
          <w:spacing w:val="-3"/>
          <w:w w:val="110"/>
        </w:rPr>
        <w:t>have</w:t>
      </w:r>
      <w:r>
        <w:rPr>
          <w:spacing w:val="-21"/>
          <w:w w:val="110"/>
        </w:rPr>
        <w:t> </w:t>
      </w:r>
      <w:r>
        <w:rPr>
          <w:w w:val="110"/>
        </w:rPr>
        <w:t>revised</w:t>
      </w:r>
      <w:r>
        <w:rPr>
          <w:spacing w:val="-21"/>
          <w:w w:val="110"/>
        </w:rPr>
        <w:t> </w:t>
      </w:r>
      <w:r>
        <w:rPr>
          <w:w w:val="110"/>
        </w:rPr>
        <w:t>down</w:t>
      </w:r>
      <w:r>
        <w:rPr>
          <w:spacing w:val="-21"/>
          <w:w w:val="110"/>
        </w:rPr>
        <w:t> </w:t>
      </w:r>
      <w:r>
        <w:rPr>
          <w:w w:val="110"/>
        </w:rPr>
        <w:t>their</w:t>
      </w:r>
      <w:r>
        <w:rPr>
          <w:spacing w:val="-21"/>
          <w:w w:val="110"/>
        </w:rPr>
        <w:t> </w:t>
      </w:r>
      <w:r>
        <w:rPr>
          <w:w w:val="110"/>
        </w:rPr>
        <w:t>projections</w:t>
      </w:r>
      <w:r>
        <w:rPr>
          <w:spacing w:val="-21"/>
          <w:w w:val="110"/>
        </w:rPr>
        <w:t> </w:t>
      </w:r>
      <w:r>
        <w:rPr>
          <w:w w:val="110"/>
        </w:rPr>
        <w:t>for</w:t>
      </w:r>
      <w:r>
        <w:rPr>
          <w:spacing w:val="-21"/>
          <w:w w:val="110"/>
        </w:rPr>
        <w:t> </w:t>
      </w:r>
      <w:r>
        <w:rPr>
          <w:w w:val="110"/>
        </w:rPr>
        <w:t>growth</w:t>
      </w:r>
      <w:r>
        <w:rPr>
          <w:spacing w:val="-21"/>
          <w:w w:val="110"/>
        </w:rPr>
        <w:t> </w:t>
      </w:r>
      <w:r>
        <w:rPr>
          <w:w w:val="110"/>
        </w:rPr>
        <w:t>in the</w:t>
      </w:r>
      <w:r>
        <w:rPr>
          <w:spacing w:val="-22"/>
          <w:w w:val="110"/>
        </w:rPr>
        <w:t> </w:t>
      </w:r>
      <w:r>
        <w:rPr>
          <w:w w:val="110"/>
        </w:rPr>
        <w:t>United</w:t>
      </w:r>
      <w:r>
        <w:rPr>
          <w:spacing w:val="-21"/>
          <w:w w:val="110"/>
        </w:rPr>
        <w:t> </w:t>
      </w:r>
      <w:r>
        <w:rPr>
          <w:w w:val="110"/>
        </w:rPr>
        <w:t>Kingdom</w:t>
      </w:r>
      <w:r>
        <w:rPr>
          <w:spacing w:val="-22"/>
          <w:w w:val="110"/>
        </w:rPr>
        <w:t> </w:t>
      </w:r>
      <w:r>
        <w:rPr>
          <w:w w:val="110"/>
        </w:rPr>
        <w:t>and</w:t>
      </w:r>
      <w:r>
        <w:rPr>
          <w:spacing w:val="-21"/>
          <w:w w:val="110"/>
        </w:rPr>
        <w:t> </w:t>
      </w:r>
      <w:r>
        <w:rPr>
          <w:w w:val="110"/>
        </w:rPr>
        <w:t>euro</w:t>
      </w:r>
      <w:r>
        <w:rPr>
          <w:spacing w:val="-21"/>
          <w:w w:val="110"/>
        </w:rPr>
        <w:t> </w:t>
      </w:r>
      <w:r>
        <w:rPr>
          <w:w w:val="110"/>
        </w:rPr>
        <w:t>area</w:t>
      </w:r>
      <w:r>
        <w:rPr>
          <w:spacing w:val="-22"/>
          <w:w w:val="110"/>
        </w:rPr>
        <w:t> </w:t>
      </w:r>
      <w:r>
        <w:rPr>
          <w:spacing w:val="-3"/>
          <w:w w:val="110"/>
        </w:rPr>
        <w:t>by</w:t>
      </w:r>
      <w:r>
        <w:rPr>
          <w:spacing w:val="-21"/>
          <w:w w:val="110"/>
        </w:rPr>
        <w:t> </w:t>
      </w:r>
      <w:r>
        <w:rPr>
          <w:w w:val="110"/>
        </w:rPr>
        <w:t>broadly</w:t>
      </w:r>
      <w:r>
        <w:rPr>
          <w:spacing w:val="-22"/>
          <w:w w:val="110"/>
        </w:rPr>
        <w:t> </w:t>
      </w:r>
      <w:r>
        <w:rPr>
          <w:w w:val="110"/>
        </w:rPr>
        <w:t>similar</w:t>
      </w:r>
      <w:r>
        <w:rPr>
          <w:spacing w:val="-21"/>
          <w:w w:val="110"/>
        </w:rPr>
        <w:t> </w:t>
      </w:r>
      <w:r>
        <w:rPr>
          <w:w w:val="110"/>
        </w:rPr>
        <w:t>amounts during the past three months. And </w:t>
      </w:r>
      <w:r>
        <w:rPr>
          <w:spacing w:val="-4"/>
          <w:w w:val="110"/>
        </w:rPr>
        <w:t>longer-term </w:t>
      </w:r>
      <w:r>
        <w:rPr>
          <w:spacing w:val="-3"/>
          <w:w w:val="110"/>
        </w:rPr>
        <w:t>interest </w:t>
      </w:r>
      <w:r>
        <w:rPr>
          <w:spacing w:val="-4"/>
          <w:w w:val="110"/>
        </w:rPr>
        <w:t>rates </w:t>
      </w:r>
      <w:r>
        <w:rPr>
          <w:spacing w:val="-3"/>
          <w:w w:val="110"/>
        </w:rPr>
        <w:t>have </w:t>
      </w:r>
      <w:r>
        <w:rPr>
          <w:w w:val="110"/>
        </w:rPr>
        <w:t>fallen </w:t>
      </w:r>
      <w:r>
        <w:rPr>
          <w:spacing w:val="-3"/>
          <w:w w:val="110"/>
        </w:rPr>
        <w:t>by </w:t>
      </w:r>
      <w:r>
        <w:rPr>
          <w:w w:val="110"/>
        </w:rPr>
        <w:t>broadly similar amounts in both the United Kingdom and euro area. An alternative explanation for the recent appreciation of the euro against </w:t>
      </w:r>
      <w:r>
        <w:rPr>
          <w:spacing w:val="-3"/>
          <w:w w:val="110"/>
        </w:rPr>
        <w:t>sterling </w:t>
      </w:r>
      <w:r>
        <w:rPr>
          <w:w w:val="110"/>
        </w:rPr>
        <w:t>is that </w:t>
      </w:r>
      <w:r>
        <w:rPr>
          <w:spacing w:val="-4"/>
          <w:w w:val="110"/>
        </w:rPr>
        <w:t>investors </w:t>
      </w:r>
      <w:r>
        <w:rPr>
          <w:spacing w:val="-3"/>
          <w:w w:val="110"/>
        </w:rPr>
        <w:t>have </w:t>
      </w:r>
      <w:r>
        <w:rPr>
          <w:w w:val="110"/>
        </w:rPr>
        <w:t>become less concerned about the risks of holding</w:t>
      </w:r>
      <w:r>
        <w:rPr>
          <w:spacing w:val="-9"/>
          <w:w w:val="110"/>
        </w:rPr>
        <w:t> </w:t>
      </w:r>
      <w:r>
        <w:rPr>
          <w:w w:val="110"/>
        </w:rPr>
        <w:t>euro</w:t>
      </w:r>
      <w:r>
        <w:rPr>
          <w:spacing w:val="-8"/>
          <w:w w:val="110"/>
        </w:rPr>
        <w:t> </w:t>
      </w:r>
      <w:r>
        <w:rPr>
          <w:w w:val="110"/>
        </w:rPr>
        <w:t>assets</w:t>
      </w:r>
      <w:r>
        <w:rPr>
          <w:spacing w:val="-8"/>
          <w:w w:val="110"/>
        </w:rPr>
        <w:t> </w:t>
      </w:r>
      <w:r>
        <w:rPr>
          <w:w w:val="110"/>
        </w:rPr>
        <w:t>relative</w:t>
      </w:r>
      <w:r>
        <w:rPr>
          <w:spacing w:val="-8"/>
          <w:w w:val="110"/>
        </w:rPr>
        <w:t> </w:t>
      </w:r>
      <w:r>
        <w:rPr>
          <w:spacing w:val="-4"/>
          <w:w w:val="110"/>
        </w:rPr>
        <w:t>to</w:t>
      </w:r>
      <w:r>
        <w:rPr>
          <w:spacing w:val="-8"/>
          <w:w w:val="110"/>
        </w:rPr>
        <w:t> </w:t>
      </w:r>
      <w:r>
        <w:rPr>
          <w:w w:val="110"/>
        </w:rPr>
        <w:t>those</w:t>
      </w:r>
      <w:r>
        <w:rPr>
          <w:spacing w:val="-8"/>
          <w:w w:val="110"/>
        </w:rPr>
        <w:t> </w:t>
      </w:r>
      <w:r>
        <w:rPr>
          <w:w w:val="110"/>
        </w:rPr>
        <w:t>in</w:t>
      </w:r>
      <w:r>
        <w:rPr>
          <w:spacing w:val="-8"/>
          <w:w w:val="110"/>
        </w:rPr>
        <w:t> </w:t>
      </w:r>
      <w:r>
        <w:rPr>
          <w:w w:val="110"/>
        </w:rPr>
        <w:t>sterling.</w:t>
      </w:r>
    </w:p>
    <w:p>
      <w:pPr>
        <w:spacing w:after="0" w:line="292" w:lineRule="auto"/>
        <w:sectPr>
          <w:type w:val="continuous"/>
          <w:pgSz w:w="11900" w:h="16840"/>
          <w:pgMar w:top="1260" w:bottom="280" w:left="640" w:right="640"/>
          <w:cols w:num="2" w:equalWidth="0">
            <w:col w:w="4113" w:space="818"/>
            <w:col w:w="5689"/>
          </w:cols>
        </w:sectPr>
      </w:pPr>
    </w:p>
    <w:p>
      <w:pPr>
        <w:pStyle w:val="BodyText"/>
      </w:pPr>
    </w:p>
    <w:p>
      <w:pPr>
        <w:pStyle w:val="Heading3"/>
        <w:numPr>
          <w:ilvl w:val="1"/>
          <w:numId w:val="3"/>
        </w:numPr>
        <w:tabs>
          <w:tab w:pos="5446" w:val="left" w:leader="none"/>
          <w:tab w:pos="10479" w:val="left" w:leader="none"/>
        </w:tabs>
        <w:spacing w:line="240" w:lineRule="auto" w:before="226" w:after="0"/>
        <w:ind w:left="5445" w:right="0" w:hanging="481"/>
        <w:jc w:val="left"/>
        <w:rPr>
          <w:u w:val="none"/>
        </w:rPr>
      </w:pPr>
      <w:bookmarkStart w:name="Summary" w:id="35"/>
      <w:bookmarkEnd w:id="35"/>
      <w:r>
        <w:rPr>
          <w:b w:val="0"/>
          <w:u w:val="none"/>
        </w:rPr>
      </w:r>
      <w:bookmarkStart w:name="_bookmark16" w:id="36"/>
      <w:bookmarkEnd w:id="36"/>
      <w:r>
        <w:rPr>
          <w:b w:val="0"/>
          <w:u w:val="none"/>
        </w:rPr>
      </w:r>
      <w:bookmarkStart w:name="_bookmark16" w:id="37"/>
      <w:bookmarkEnd w:id="37"/>
      <w:r>
        <w:rPr>
          <w:smallCaps w:val="0"/>
          <w:color w:val="89C6DC"/>
          <w:u w:val="single" w:color="006CB4"/>
        </w:rPr>
        <w:t>S</w:t>
      </w:r>
      <w:r>
        <w:rPr>
          <w:smallCaps w:val="0"/>
          <w:color w:val="89C6DC"/>
          <w:u w:val="single" w:color="006CB4"/>
        </w:rPr>
        <w:t>ummary</w:t>
        <w:tab/>
      </w:r>
    </w:p>
    <w:p>
      <w:pPr>
        <w:pStyle w:val="BodyText"/>
        <w:spacing w:before="9"/>
        <w:rPr>
          <w:rFonts w:ascii="Trebuchet MS"/>
          <w:b/>
          <w:sz w:val="26"/>
        </w:rPr>
      </w:pPr>
    </w:p>
    <w:p>
      <w:pPr>
        <w:pStyle w:val="BodyText"/>
        <w:spacing w:line="292" w:lineRule="auto"/>
        <w:ind w:left="5085" w:right="328"/>
      </w:pPr>
      <w:r>
        <w:rPr>
          <w:spacing w:val="-2"/>
          <w:w w:val="110"/>
        </w:rPr>
        <w:t>Narrow </w:t>
      </w:r>
      <w:r>
        <w:rPr>
          <w:w w:val="110"/>
        </w:rPr>
        <w:t>money continues </w:t>
      </w:r>
      <w:r>
        <w:rPr>
          <w:spacing w:val="-4"/>
          <w:w w:val="110"/>
        </w:rPr>
        <w:t>to </w:t>
      </w:r>
      <w:r>
        <w:rPr>
          <w:w w:val="110"/>
        </w:rPr>
        <w:t>increase </w:t>
      </w:r>
      <w:r>
        <w:rPr>
          <w:spacing w:val="-4"/>
          <w:w w:val="110"/>
        </w:rPr>
        <w:t>rapidly. </w:t>
      </w:r>
      <w:r>
        <w:rPr>
          <w:w w:val="110"/>
        </w:rPr>
        <w:t>Broad money growth</w:t>
      </w:r>
      <w:r>
        <w:rPr>
          <w:spacing w:val="-26"/>
          <w:w w:val="110"/>
        </w:rPr>
        <w:t> </w:t>
      </w:r>
      <w:r>
        <w:rPr>
          <w:w w:val="110"/>
        </w:rPr>
        <w:t>has</w:t>
      </w:r>
      <w:r>
        <w:rPr>
          <w:spacing w:val="-25"/>
          <w:w w:val="110"/>
        </w:rPr>
        <w:t> </w:t>
      </w:r>
      <w:r>
        <w:rPr>
          <w:w w:val="110"/>
        </w:rPr>
        <w:t>eased</w:t>
      </w:r>
      <w:r>
        <w:rPr>
          <w:spacing w:val="-25"/>
          <w:w w:val="110"/>
        </w:rPr>
        <w:t> </w:t>
      </w:r>
      <w:r>
        <w:rPr>
          <w:w w:val="110"/>
        </w:rPr>
        <w:t>back</w:t>
      </w:r>
      <w:r>
        <w:rPr>
          <w:spacing w:val="-25"/>
          <w:w w:val="110"/>
        </w:rPr>
        <w:t> </w:t>
      </w:r>
      <w:r>
        <w:rPr>
          <w:w w:val="110"/>
        </w:rPr>
        <w:t>from</w:t>
      </w:r>
      <w:r>
        <w:rPr>
          <w:spacing w:val="-25"/>
          <w:w w:val="110"/>
        </w:rPr>
        <w:t> </w:t>
      </w:r>
      <w:r>
        <w:rPr>
          <w:w w:val="110"/>
        </w:rPr>
        <w:t>recent</w:t>
      </w:r>
      <w:r>
        <w:rPr>
          <w:spacing w:val="-25"/>
          <w:w w:val="110"/>
        </w:rPr>
        <w:t> </w:t>
      </w:r>
      <w:r>
        <w:rPr>
          <w:w w:val="110"/>
        </w:rPr>
        <w:t>peaks.</w:t>
      </w:r>
      <w:r>
        <w:rPr>
          <w:spacing w:val="5"/>
          <w:w w:val="110"/>
        </w:rPr>
        <w:t> </w:t>
      </w:r>
      <w:r>
        <w:rPr>
          <w:w w:val="110"/>
        </w:rPr>
        <w:t>Aggregate</w:t>
      </w:r>
      <w:r>
        <w:rPr>
          <w:spacing w:val="-25"/>
          <w:w w:val="110"/>
        </w:rPr>
        <w:t> </w:t>
      </w:r>
      <w:r>
        <w:rPr>
          <w:w w:val="110"/>
        </w:rPr>
        <w:t>lending growth remains rapid, with strong household credit </w:t>
      </w:r>
      <w:r>
        <w:rPr>
          <w:spacing w:val="-3"/>
          <w:w w:val="110"/>
        </w:rPr>
        <w:t>growth </w:t>
      </w:r>
      <w:r>
        <w:rPr>
          <w:w w:val="110"/>
        </w:rPr>
        <w:t>supported</w:t>
      </w:r>
      <w:r>
        <w:rPr>
          <w:spacing w:val="-19"/>
          <w:w w:val="110"/>
        </w:rPr>
        <w:t> </w:t>
      </w:r>
      <w:r>
        <w:rPr>
          <w:spacing w:val="-3"/>
          <w:w w:val="110"/>
        </w:rPr>
        <w:t>by</w:t>
      </w:r>
      <w:r>
        <w:rPr>
          <w:spacing w:val="-19"/>
          <w:w w:val="110"/>
        </w:rPr>
        <w:t> </w:t>
      </w:r>
      <w:r>
        <w:rPr>
          <w:w w:val="110"/>
        </w:rPr>
        <w:t>falls</w:t>
      </w:r>
      <w:r>
        <w:rPr>
          <w:spacing w:val="-19"/>
          <w:w w:val="110"/>
        </w:rPr>
        <w:t> </w:t>
      </w:r>
      <w:r>
        <w:rPr>
          <w:w w:val="110"/>
        </w:rPr>
        <w:t>in</w:t>
      </w:r>
      <w:r>
        <w:rPr>
          <w:spacing w:val="-19"/>
          <w:w w:val="110"/>
        </w:rPr>
        <w:t> </w:t>
      </w:r>
      <w:r>
        <w:rPr>
          <w:w w:val="110"/>
        </w:rPr>
        <w:t>the</w:t>
      </w:r>
      <w:r>
        <w:rPr>
          <w:spacing w:val="-18"/>
          <w:w w:val="110"/>
        </w:rPr>
        <w:t> </w:t>
      </w:r>
      <w:r>
        <w:rPr>
          <w:w w:val="110"/>
        </w:rPr>
        <w:t>cost</w:t>
      </w:r>
      <w:r>
        <w:rPr>
          <w:spacing w:val="-19"/>
          <w:w w:val="110"/>
        </w:rPr>
        <w:t> </w:t>
      </w:r>
      <w:r>
        <w:rPr>
          <w:w w:val="110"/>
        </w:rPr>
        <w:t>of</w:t>
      </w:r>
      <w:r>
        <w:rPr>
          <w:spacing w:val="-19"/>
          <w:w w:val="110"/>
        </w:rPr>
        <w:t> </w:t>
      </w:r>
      <w:r>
        <w:rPr>
          <w:w w:val="110"/>
        </w:rPr>
        <w:t>borrowing</w:t>
      </w:r>
      <w:r>
        <w:rPr>
          <w:spacing w:val="-19"/>
          <w:w w:val="110"/>
        </w:rPr>
        <w:t> </w:t>
      </w:r>
      <w:r>
        <w:rPr>
          <w:w w:val="110"/>
        </w:rPr>
        <w:t>for</w:t>
      </w:r>
      <w:r>
        <w:rPr>
          <w:spacing w:val="-18"/>
          <w:w w:val="110"/>
        </w:rPr>
        <w:t> </w:t>
      </w:r>
      <w:r>
        <w:rPr>
          <w:w w:val="110"/>
        </w:rPr>
        <w:t>consumption. The</w:t>
      </w:r>
      <w:r>
        <w:rPr>
          <w:spacing w:val="-19"/>
          <w:w w:val="110"/>
        </w:rPr>
        <w:t> </w:t>
      </w:r>
      <w:r>
        <w:rPr>
          <w:spacing w:val="-4"/>
          <w:w w:val="110"/>
        </w:rPr>
        <w:t>rate</w:t>
      </w:r>
      <w:r>
        <w:rPr>
          <w:spacing w:val="-19"/>
          <w:w w:val="110"/>
        </w:rPr>
        <w:t> </w:t>
      </w:r>
      <w:r>
        <w:rPr>
          <w:w w:val="110"/>
        </w:rPr>
        <w:t>of</w:t>
      </w:r>
      <w:r>
        <w:rPr>
          <w:spacing w:val="-19"/>
          <w:w w:val="110"/>
        </w:rPr>
        <w:t> </w:t>
      </w:r>
      <w:r>
        <w:rPr>
          <w:w w:val="110"/>
        </w:rPr>
        <w:t>increase</w:t>
      </w:r>
      <w:r>
        <w:rPr>
          <w:spacing w:val="-19"/>
          <w:w w:val="110"/>
        </w:rPr>
        <w:t> </w:t>
      </w:r>
      <w:r>
        <w:rPr>
          <w:w w:val="110"/>
        </w:rPr>
        <w:t>of</w:t>
      </w:r>
      <w:r>
        <w:rPr>
          <w:spacing w:val="-19"/>
          <w:w w:val="110"/>
        </w:rPr>
        <w:t> </w:t>
      </w:r>
      <w:r>
        <w:rPr>
          <w:w w:val="110"/>
        </w:rPr>
        <w:t>lending</w:t>
      </w:r>
      <w:r>
        <w:rPr>
          <w:spacing w:val="-19"/>
          <w:w w:val="110"/>
        </w:rPr>
        <w:t> </w:t>
      </w:r>
      <w:r>
        <w:rPr>
          <w:spacing w:val="-4"/>
          <w:w w:val="110"/>
        </w:rPr>
        <w:t>to</w:t>
      </w:r>
      <w:r>
        <w:rPr>
          <w:spacing w:val="-19"/>
          <w:w w:val="110"/>
        </w:rPr>
        <w:t> </w:t>
      </w:r>
      <w:r>
        <w:rPr>
          <w:w w:val="110"/>
        </w:rPr>
        <w:t>PNFCs</w:t>
      </w:r>
      <w:r>
        <w:rPr>
          <w:spacing w:val="-18"/>
          <w:w w:val="110"/>
        </w:rPr>
        <w:t> </w:t>
      </w:r>
      <w:r>
        <w:rPr>
          <w:w w:val="110"/>
        </w:rPr>
        <w:t>has</w:t>
      </w:r>
      <w:r>
        <w:rPr>
          <w:spacing w:val="-19"/>
          <w:w w:val="110"/>
        </w:rPr>
        <w:t> </w:t>
      </w:r>
      <w:r>
        <w:rPr>
          <w:spacing w:val="-2"/>
          <w:w w:val="110"/>
        </w:rPr>
        <w:t>slowed</w:t>
      </w:r>
      <w:r>
        <w:rPr>
          <w:spacing w:val="-19"/>
          <w:w w:val="110"/>
        </w:rPr>
        <w:t> </w:t>
      </w:r>
      <w:r>
        <w:rPr>
          <w:w w:val="110"/>
        </w:rPr>
        <w:t>from</w:t>
      </w:r>
      <w:r>
        <w:rPr>
          <w:spacing w:val="-19"/>
          <w:w w:val="110"/>
        </w:rPr>
        <w:t> </w:t>
      </w:r>
      <w:r>
        <w:rPr>
          <w:w w:val="110"/>
        </w:rPr>
        <w:t>a high</w:t>
      </w:r>
      <w:r>
        <w:rPr>
          <w:spacing w:val="-6"/>
          <w:w w:val="110"/>
        </w:rPr>
        <w:t> </w:t>
      </w:r>
      <w:r>
        <w:rPr>
          <w:spacing w:val="-3"/>
          <w:w w:val="110"/>
        </w:rPr>
        <w:t>level.</w:t>
      </w:r>
    </w:p>
    <w:p>
      <w:pPr>
        <w:pStyle w:val="BodyText"/>
        <w:rPr>
          <w:sz w:val="24"/>
        </w:rPr>
      </w:pPr>
    </w:p>
    <w:p>
      <w:pPr>
        <w:pStyle w:val="BodyText"/>
        <w:spacing w:line="292" w:lineRule="auto"/>
        <w:ind w:left="5085" w:right="133"/>
      </w:pPr>
      <w:r>
        <w:rPr>
          <w:w w:val="110"/>
        </w:rPr>
        <w:t>The official </w:t>
      </w:r>
      <w:r>
        <w:rPr>
          <w:spacing w:val="-3"/>
          <w:w w:val="110"/>
        </w:rPr>
        <w:t>interest </w:t>
      </w:r>
      <w:r>
        <w:rPr>
          <w:spacing w:val="-4"/>
          <w:w w:val="110"/>
        </w:rPr>
        <w:t>rate </w:t>
      </w:r>
      <w:r>
        <w:rPr>
          <w:w w:val="110"/>
        </w:rPr>
        <w:t>has been cut </w:t>
      </w:r>
      <w:r>
        <w:rPr>
          <w:spacing w:val="-3"/>
          <w:w w:val="110"/>
        </w:rPr>
        <w:t>by </w:t>
      </w:r>
      <w:r>
        <w:rPr>
          <w:spacing w:val="-12"/>
          <w:w w:val="110"/>
        </w:rPr>
        <w:t>25 </w:t>
      </w:r>
      <w:r>
        <w:rPr>
          <w:w w:val="110"/>
        </w:rPr>
        <w:t>basis points, and both expectations of future nominal </w:t>
      </w:r>
      <w:r>
        <w:rPr>
          <w:spacing w:val="-3"/>
          <w:w w:val="110"/>
        </w:rPr>
        <w:t>short-term interest </w:t>
      </w:r>
      <w:r>
        <w:rPr>
          <w:spacing w:val="-4"/>
          <w:w w:val="110"/>
        </w:rPr>
        <w:t>rates </w:t>
      </w:r>
      <w:r>
        <w:rPr>
          <w:w w:val="110"/>
        </w:rPr>
        <w:t>and</w:t>
      </w:r>
      <w:r>
        <w:rPr>
          <w:spacing w:val="-19"/>
          <w:w w:val="110"/>
        </w:rPr>
        <w:t> </w:t>
      </w:r>
      <w:r>
        <w:rPr>
          <w:spacing w:val="-3"/>
          <w:w w:val="110"/>
        </w:rPr>
        <w:t>long-term</w:t>
      </w:r>
      <w:r>
        <w:rPr>
          <w:spacing w:val="-18"/>
          <w:w w:val="110"/>
        </w:rPr>
        <w:t> </w:t>
      </w:r>
      <w:r>
        <w:rPr>
          <w:spacing w:val="-3"/>
          <w:w w:val="110"/>
        </w:rPr>
        <w:t>interest</w:t>
      </w:r>
      <w:r>
        <w:rPr>
          <w:spacing w:val="-19"/>
          <w:w w:val="110"/>
        </w:rPr>
        <w:t> </w:t>
      </w:r>
      <w:r>
        <w:rPr>
          <w:spacing w:val="-4"/>
          <w:w w:val="110"/>
        </w:rPr>
        <w:t>rates</w:t>
      </w:r>
      <w:r>
        <w:rPr>
          <w:spacing w:val="-18"/>
          <w:w w:val="110"/>
        </w:rPr>
        <w:t> </w:t>
      </w:r>
      <w:r>
        <w:rPr>
          <w:spacing w:val="-3"/>
          <w:w w:val="110"/>
        </w:rPr>
        <w:t>have</w:t>
      </w:r>
      <w:r>
        <w:rPr>
          <w:spacing w:val="-18"/>
          <w:w w:val="110"/>
        </w:rPr>
        <w:t> </w:t>
      </w:r>
      <w:r>
        <w:rPr>
          <w:w w:val="110"/>
        </w:rPr>
        <w:t>fallen.</w:t>
      </w:r>
      <w:r>
        <w:rPr>
          <w:spacing w:val="19"/>
          <w:w w:val="110"/>
        </w:rPr>
        <w:t> </w:t>
      </w:r>
      <w:r>
        <w:rPr>
          <w:w w:val="110"/>
        </w:rPr>
        <w:t>It</w:t>
      </w:r>
      <w:r>
        <w:rPr>
          <w:spacing w:val="-19"/>
          <w:w w:val="110"/>
        </w:rPr>
        <w:t> </w:t>
      </w:r>
      <w:r>
        <w:rPr>
          <w:w w:val="110"/>
        </w:rPr>
        <w:t>seems</w:t>
      </w:r>
      <w:r>
        <w:rPr>
          <w:spacing w:val="-18"/>
          <w:w w:val="110"/>
        </w:rPr>
        <w:t> </w:t>
      </w:r>
      <w:r>
        <w:rPr>
          <w:w w:val="110"/>
        </w:rPr>
        <w:t>likely</w:t>
      </w:r>
      <w:r>
        <w:rPr>
          <w:spacing w:val="-19"/>
          <w:w w:val="110"/>
        </w:rPr>
        <w:t> </w:t>
      </w:r>
      <w:r>
        <w:rPr>
          <w:w w:val="110"/>
        </w:rPr>
        <w:t>that</w:t>
      </w:r>
      <w:r>
        <w:rPr>
          <w:spacing w:val="-18"/>
          <w:w w:val="110"/>
        </w:rPr>
        <w:t> </w:t>
      </w:r>
      <w:r>
        <w:rPr>
          <w:w w:val="110"/>
        </w:rPr>
        <w:t>UK and international real </w:t>
      </w:r>
      <w:r>
        <w:rPr>
          <w:spacing w:val="-3"/>
          <w:w w:val="110"/>
        </w:rPr>
        <w:t>short-term </w:t>
      </w:r>
      <w:r>
        <w:rPr>
          <w:w w:val="110"/>
        </w:rPr>
        <w:t>and </w:t>
      </w:r>
      <w:r>
        <w:rPr>
          <w:spacing w:val="-3"/>
          <w:w w:val="110"/>
        </w:rPr>
        <w:t>long-term interest </w:t>
      </w:r>
      <w:r>
        <w:rPr>
          <w:spacing w:val="-4"/>
          <w:w w:val="110"/>
        </w:rPr>
        <w:t>rates </w:t>
      </w:r>
      <w:r>
        <w:rPr>
          <w:spacing w:val="-3"/>
          <w:w w:val="110"/>
        </w:rPr>
        <w:t>have </w:t>
      </w:r>
      <w:r>
        <w:rPr>
          <w:w w:val="110"/>
        </w:rPr>
        <w:t>fallen, reflecting </w:t>
      </w:r>
      <w:r>
        <w:rPr>
          <w:spacing w:val="-3"/>
          <w:w w:val="110"/>
        </w:rPr>
        <w:t>downward </w:t>
      </w:r>
      <w:r>
        <w:rPr>
          <w:w w:val="110"/>
        </w:rPr>
        <w:t>revisions </w:t>
      </w:r>
      <w:r>
        <w:rPr>
          <w:spacing w:val="-4"/>
          <w:w w:val="110"/>
        </w:rPr>
        <w:t>to </w:t>
      </w:r>
      <w:r>
        <w:rPr>
          <w:spacing w:val="-3"/>
          <w:w w:val="110"/>
        </w:rPr>
        <w:t>world growth </w:t>
      </w:r>
      <w:r>
        <w:rPr>
          <w:w w:val="110"/>
        </w:rPr>
        <w:t>projections. Equity prices have been weaker than expected in the</w:t>
      </w:r>
      <w:r>
        <w:rPr>
          <w:spacing w:val="-31"/>
          <w:w w:val="110"/>
        </w:rPr>
        <w:t> </w:t>
      </w:r>
      <w:r>
        <w:rPr>
          <w:w w:val="110"/>
        </w:rPr>
        <w:t>November</w:t>
      </w:r>
      <w:r>
        <w:rPr>
          <w:spacing w:val="-30"/>
          <w:w w:val="110"/>
        </w:rPr>
        <w:t> </w:t>
      </w:r>
      <w:r>
        <w:rPr>
          <w:i/>
          <w:w w:val="110"/>
        </w:rPr>
        <w:t>Report</w:t>
      </w:r>
      <w:r>
        <w:rPr>
          <w:w w:val="110"/>
        </w:rPr>
        <w:t>,</w:t>
      </w:r>
      <w:r>
        <w:rPr>
          <w:spacing w:val="-30"/>
          <w:w w:val="110"/>
        </w:rPr>
        <w:t> </w:t>
      </w:r>
      <w:r>
        <w:rPr>
          <w:w w:val="110"/>
        </w:rPr>
        <w:t>probably</w:t>
      </w:r>
      <w:r>
        <w:rPr>
          <w:spacing w:val="-31"/>
          <w:w w:val="110"/>
        </w:rPr>
        <w:t> </w:t>
      </w:r>
      <w:r>
        <w:rPr>
          <w:w w:val="110"/>
        </w:rPr>
        <w:t>reflecting</w:t>
      </w:r>
      <w:r>
        <w:rPr>
          <w:spacing w:val="-30"/>
          <w:w w:val="110"/>
        </w:rPr>
        <w:t> </w:t>
      </w:r>
      <w:r>
        <w:rPr>
          <w:w w:val="110"/>
        </w:rPr>
        <w:t>a</w:t>
      </w:r>
      <w:r>
        <w:rPr>
          <w:spacing w:val="-30"/>
          <w:w w:val="110"/>
        </w:rPr>
        <w:t> </w:t>
      </w:r>
      <w:r>
        <w:rPr>
          <w:spacing w:val="-3"/>
          <w:w w:val="110"/>
        </w:rPr>
        <w:t>downward</w:t>
      </w:r>
      <w:r>
        <w:rPr>
          <w:spacing w:val="-31"/>
          <w:w w:val="110"/>
        </w:rPr>
        <w:t> </w:t>
      </w:r>
      <w:r>
        <w:rPr>
          <w:w w:val="110"/>
        </w:rPr>
        <w:t>revision </w:t>
      </w:r>
      <w:r>
        <w:rPr>
          <w:spacing w:val="-4"/>
          <w:w w:val="110"/>
        </w:rPr>
        <w:t>to</w:t>
      </w:r>
      <w:r>
        <w:rPr>
          <w:spacing w:val="-20"/>
          <w:w w:val="110"/>
        </w:rPr>
        <w:t> </w:t>
      </w:r>
      <w:r>
        <w:rPr>
          <w:w w:val="110"/>
        </w:rPr>
        <w:t>expected</w:t>
      </w:r>
      <w:r>
        <w:rPr>
          <w:spacing w:val="-20"/>
          <w:w w:val="110"/>
        </w:rPr>
        <w:t> </w:t>
      </w:r>
      <w:r>
        <w:rPr>
          <w:w w:val="110"/>
        </w:rPr>
        <w:t>future</w:t>
      </w:r>
      <w:r>
        <w:rPr>
          <w:spacing w:val="-20"/>
          <w:w w:val="110"/>
        </w:rPr>
        <w:t> </w:t>
      </w:r>
      <w:r>
        <w:rPr>
          <w:w w:val="110"/>
        </w:rPr>
        <w:t>profits.</w:t>
      </w:r>
      <w:r>
        <w:rPr>
          <w:spacing w:val="17"/>
          <w:w w:val="110"/>
        </w:rPr>
        <w:t> </w:t>
      </w:r>
      <w:r>
        <w:rPr>
          <w:w w:val="110"/>
        </w:rPr>
        <w:t>UK</w:t>
      </w:r>
      <w:r>
        <w:rPr>
          <w:spacing w:val="-20"/>
          <w:w w:val="110"/>
        </w:rPr>
        <w:t> </w:t>
      </w:r>
      <w:r>
        <w:rPr>
          <w:w w:val="110"/>
        </w:rPr>
        <w:t>corporate</w:t>
      </w:r>
      <w:r>
        <w:rPr>
          <w:spacing w:val="-20"/>
          <w:w w:val="110"/>
        </w:rPr>
        <w:t> </w:t>
      </w:r>
      <w:r>
        <w:rPr>
          <w:w w:val="110"/>
        </w:rPr>
        <w:t>spreads</w:t>
      </w:r>
      <w:r>
        <w:rPr>
          <w:spacing w:val="-19"/>
          <w:w w:val="110"/>
        </w:rPr>
        <w:t> </w:t>
      </w:r>
      <w:r>
        <w:rPr>
          <w:w w:val="110"/>
        </w:rPr>
        <w:t>have</w:t>
      </w:r>
      <w:r>
        <w:rPr>
          <w:spacing w:val="-20"/>
          <w:w w:val="110"/>
        </w:rPr>
        <w:t> </w:t>
      </w:r>
      <w:r>
        <w:rPr>
          <w:w w:val="110"/>
        </w:rPr>
        <w:t>changed little so that </w:t>
      </w:r>
      <w:r>
        <w:rPr>
          <w:spacing w:val="-3"/>
          <w:w w:val="110"/>
        </w:rPr>
        <w:t>corporate </w:t>
      </w:r>
      <w:r>
        <w:rPr>
          <w:w w:val="110"/>
        </w:rPr>
        <w:t>bond yields, like </w:t>
      </w:r>
      <w:r>
        <w:rPr>
          <w:spacing w:val="-4"/>
          <w:w w:val="110"/>
        </w:rPr>
        <w:t>risk-free rates, </w:t>
      </w:r>
      <w:r>
        <w:rPr>
          <w:spacing w:val="-3"/>
          <w:w w:val="110"/>
        </w:rPr>
        <w:t>have </w:t>
      </w:r>
      <w:r>
        <w:rPr>
          <w:w w:val="110"/>
        </w:rPr>
        <w:t>fallen. The sterling effective exchange </w:t>
      </w:r>
      <w:r>
        <w:rPr>
          <w:spacing w:val="-4"/>
          <w:w w:val="110"/>
        </w:rPr>
        <w:t>rate </w:t>
      </w:r>
      <w:r>
        <w:rPr>
          <w:w w:val="110"/>
        </w:rPr>
        <w:t>has depreciated </w:t>
      </w:r>
      <w:r>
        <w:rPr>
          <w:spacing w:val="-3"/>
          <w:w w:val="110"/>
        </w:rPr>
        <w:t>over</w:t>
      </w:r>
      <w:r>
        <w:rPr>
          <w:spacing w:val="-11"/>
          <w:w w:val="110"/>
        </w:rPr>
        <w:t> </w:t>
      </w:r>
      <w:r>
        <w:rPr>
          <w:w w:val="110"/>
        </w:rPr>
        <w:t>the</w:t>
      </w:r>
      <w:r>
        <w:rPr>
          <w:spacing w:val="-10"/>
          <w:w w:val="110"/>
        </w:rPr>
        <w:t> </w:t>
      </w:r>
      <w:r>
        <w:rPr>
          <w:w w:val="110"/>
        </w:rPr>
        <w:t>past</w:t>
      </w:r>
      <w:r>
        <w:rPr>
          <w:spacing w:val="-11"/>
          <w:w w:val="110"/>
        </w:rPr>
        <w:t> </w:t>
      </w:r>
      <w:r>
        <w:rPr>
          <w:w w:val="110"/>
        </w:rPr>
        <w:t>three</w:t>
      </w:r>
      <w:r>
        <w:rPr>
          <w:spacing w:val="-10"/>
          <w:w w:val="110"/>
        </w:rPr>
        <w:t> </w:t>
      </w:r>
      <w:r>
        <w:rPr>
          <w:w w:val="110"/>
        </w:rPr>
        <w:t>months,</w:t>
      </w:r>
      <w:r>
        <w:rPr>
          <w:spacing w:val="-10"/>
          <w:w w:val="110"/>
        </w:rPr>
        <w:t> </w:t>
      </w:r>
      <w:r>
        <w:rPr>
          <w:w w:val="110"/>
        </w:rPr>
        <w:t>with</w:t>
      </w:r>
      <w:r>
        <w:rPr>
          <w:spacing w:val="-11"/>
          <w:w w:val="110"/>
        </w:rPr>
        <w:t> </w:t>
      </w:r>
      <w:r>
        <w:rPr>
          <w:w w:val="110"/>
        </w:rPr>
        <w:t>depreciation</w:t>
      </w:r>
      <w:r>
        <w:rPr>
          <w:spacing w:val="-10"/>
          <w:w w:val="110"/>
        </w:rPr>
        <w:t> </w:t>
      </w:r>
      <w:r>
        <w:rPr>
          <w:w w:val="110"/>
        </w:rPr>
        <w:t>against</w:t>
      </w:r>
      <w:r>
        <w:rPr>
          <w:spacing w:val="-10"/>
          <w:w w:val="110"/>
        </w:rPr>
        <w:t> </w:t>
      </w:r>
      <w:r>
        <w:rPr>
          <w:w w:val="110"/>
        </w:rPr>
        <w:t>the</w:t>
      </w:r>
      <w:r>
        <w:rPr>
          <w:spacing w:val="-11"/>
          <w:w w:val="110"/>
        </w:rPr>
        <w:t> </w:t>
      </w:r>
      <w:r>
        <w:rPr>
          <w:w w:val="110"/>
        </w:rPr>
        <w:t>euro more</w:t>
      </w:r>
      <w:r>
        <w:rPr>
          <w:spacing w:val="-9"/>
          <w:w w:val="110"/>
        </w:rPr>
        <w:t> </w:t>
      </w:r>
      <w:r>
        <w:rPr>
          <w:w w:val="110"/>
        </w:rPr>
        <w:t>than</w:t>
      </w:r>
      <w:r>
        <w:rPr>
          <w:spacing w:val="-8"/>
          <w:w w:val="110"/>
        </w:rPr>
        <w:t> </w:t>
      </w:r>
      <w:r>
        <w:rPr>
          <w:w w:val="110"/>
        </w:rPr>
        <w:t>offsetting</w:t>
      </w:r>
      <w:r>
        <w:rPr>
          <w:spacing w:val="-8"/>
          <w:w w:val="110"/>
        </w:rPr>
        <w:t> </w:t>
      </w:r>
      <w:r>
        <w:rPr>
          <w:w w:val="110"/>
        </w:rPr>
        <w:t>appreciation</w:t>
      </w:r>
      <w:r>
        <w:rPr>
          <w:spacing w:val="-8"/>
          <w:w w:val="110"/>
        </w:rPr>
        <w:t> </w:t>
      </w:r>
      <w:r>
        <w:rPr>
          <w:w w:val="110"/>
        </w:rPr>
        <w:t>against</w:t>
      </w:r>
      <w:r>
        <w:rPr>
          <w:spacing w:val="-8"/>
          <w:w w:val="110"/>
        </w:rPr>
        <w:t> </w:t>
      </w:r>
      <w:r>
        <w:rPr>
          <w:w w:val="110"/>
        </w:rPr>
        <w:t>the</w:t>
      </w:r>
      <w:r>
        <w:rPr>
          <w:spacing w:val="-8"/>
          <w:w w:val="110"/>
        </w:rPr>
        <w:t> </w:t>
      </w:r>
      <w:r>
        <w:rPr>
          <w:spacing w:val="-3"/>
          <w:w w:val="110"/>
        </w:rPr>
        <w:t>dollar.</w:t>
      </w:r>
    </w:p>
    <w:p>
      <w:pPr>
        <w:spacing w:after="0" w:line="292" w:lineRule="auto"/>
        <w:sectPr>
          <w:headerReference w:type="even" r:id="rId79"/>
          <w:footerReference w:type="even" r:id="rId80"/>
          <w:footerReference w:type="default" r:id="rId81"/>
          <w:pgSz w:w="11900" w:h="16840"/>
          <w:pgMar w:header="601" w:footer="575" w:top="800" w:bottom="760" w:left="640" w:right="640"/>
          <w:pgNumType w:start="14"/>
        </w:sectPr>
      </w:pPr>
    </w:p>
    <w:p>
      <w:pPr>
        <w:pStyle w:val="BodyText"/>
        <w:spacing w:line="20" w:lineRule="exact"/>
        <w:ind w:left="147"/>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534592;mso-wrap-distance-left:0;mso-wrap-distance-right:0" type="#_x0000_t202" filled="true" fillcolor="#ebf4f7" stroked="false">
            <v:textbox inset="0,0,0,0">
              <w:txbxContent>
                <w:p>
                  <w:pPr>
                    <w:tabs>
                      <w:tab w:pos="10100" w:val="right" w:leader="none"/>
                    </w:tabs>
                    <w:spacing w:before="226"/>
                    <w:ind w:left="259" w:right="0" w:firstLine="0"/>
                    <w:jc w:val="left"/>
                    <w:rPr>
                      <w:rFonts w:ascii="Trebuchet MS"/>
                      <w:sz w:val="48"/>
                    </w:rPr>
                  </w:pPr>
                  <w:bookmarkStart w:name="Demand and output" w:id="38"/>
                  <w:bookmarkEnd w:id="38"/>
                  <w:r>
                    <w:rPr/>
                  </w:r>
                  <w:bookmarkStart w:name="External demand" w:id="39"/>
                  <w:bookmarkEnd w:id="39"/>
                  <w:r>
                    <w:rPr/>
                  </w:r>
                  <w:bookmarkStart w:name="_bookmark17" w:id="40"/>
                  <w:bookmarkEnd w:id="40"/>
                  <w:r>
                    <w:rPr/>
                  </w:r>
                  <w:bookmarkStart w:name="_bookmark18" w:id="41"/>
                  <w:bookmarkEnd w:id="41"/>
                  <w:r>
                    <w:rPr/>
                  </w:r>
                  <w:r>
                    <w:rPr>
                      <w:rFonts w:ascii="Trebuchet MS"/>
                      <w:color w:val="89C6DC"/>
                      <w:spacing w:val="-3"/>
                      <w:w w:val="101"/>
                      <w:sz w:val="48"/>
                    </w:rPr>
                    <w:t>D</w:t>
                  </w:r>
                  <w:r>
                    <w:rPr>
                      <w:rFonts w:ascii="Trebuchet MS"/>
                      <w:color w:val="89C6DC"/>
                      <w:spacing w:val="-1"/>
                      <w:w w:val="95"/>
                      <w:sz w:val="48"/>
                    </w:rPr>
                    <w:t>eman</w:t>
                  </w:r>
                  <w:r>
                    <w:rPr>
                      <w:rFonts w:ascii="Trebuchet MS"/>
                      <w:color w:val="89C6DC"/>
                      <w:w w:val="95"/>
                      <w:sz w:val="48"/>
                    </w:rPr>
                    <w:t>d</w:t>
                  </w:r>
                  <w:r>
                    <w:rPr>
                      <w:rFonts w:ascii="Trebuchet MS"/>
                      <w:color w:val="89C6DC"/>
                      <w:spacing w:val="15"/>
                      <w:sz w:val="48"/>
                    </w:rPr>
                    <w:t> </w:t>
                  </w:r>
                  <w:r>
                    <w:rPr>
                      <w:rFonts w:ascii="Trebuchet MS"/>
                      <w:color w:val="89C6DC"/>
                      <w:spacing w:val="-1"/>
                      <w:w w:val="97"/>
                      <w:sz w:val="48"/>
                    </w:rPr>
                    <w:t>an</w:t>
                  </w:r>
                  <w:r>
                    <w:rPr>
                      <w:rFonts w:ascii="Trebuchet MS"/>
                      <w:color w:val="89C6DC"/>
                      <w:w w:val="97"/>
                      <w:sz w:val="48"/>
                    </w:rPr>
                    <w:t>d</w:t>
                  </w:r>
                  <w:r>
                    <w:rPr>
                      <w:rFonts w:ascii="Trebuchet MS"/>
                      <w:color w:val="89C6DC"/>
                      <w:spacing w:val="15"/>
                      <w:sz w:val="48"/>
                    </w:rPr>
                    <w:t> </w:t>
                  </w:r>
                  <w:r>
                    <w:rPr>
                      <w:rFonts w:ascii="Trebuchet MS"/>
                      <w:color w:val="89C6DC"/>
                      <w:spacing w:val="-1"/>
                      <w:w w:val="94"/>
                      <w:sz w:val="48"/>
                    </w:rPr>
                    <w:t>output</w:t>
                  </w:r>
                  <w:r>
                    <w:rPr>
                      <w:rFonts w:ascii="Trebuchet MS"/>
                      <w:color w:val="89C6DC"/>
                      <w:w w:val="110"/>
                      <w:sz w:val="48"/>
                    </w:rPr>
                    <w:t> </w:t>
                  </w:r>
                  <w:r>
                    <w:rPr>
                      <w:rFonts w:ascii="Trebuchet MS"/>
                      <w:color w:val="89C6DC"/>
                      <w:sz w:val="48"/>
                    </w:rPr>
                    <w:tab/>
                  </w:r>
                  <w:r>
                    <w:rPr>
                      <w:rFonts w:ascii="Trebuchet MS"/>
                      <w:smallCaps/>
                      <w:color w:val="89C6DC"/>
                      <w:w w:val="102"/>
                      <w:sz w:val="48"/>
                    </w:rPr>
                    <w:t>2</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6"/>
        </w:rPr>
      </w:pPr>
    </w:p>
    <w:p>
      <w:pPr>
        <w:pStyle w:val="BodyText"/>
        <w:spacing w:line="292" w:lineRule="auto" w:before="61"/>
        <w:ind w:left="5108" w:right="234"/>
      </w:pPr>
      <w:r>
        <w:rPr>
          <w:w w:val="110"/>
        </w:rPr>
        <w:t>Inflation prospects are affected </w:t>
      </w:r>
      <w:r>
        <w:rPr>
          <w:spacing w:val="-3"/>
          <w:w w:val="110"/>
        </w:rPr>
        <w:t>by </w:t>
      </w:r>
      <w:r>
        <w:rPr>
          <w:w w:val="110"/>
        </w:rPr>
        <w:t>the level of nominal demand relative </w:t>
      </w:r>
      <w:r>
        <w:rPr>
          <w:spacing w:val="-4"/>
          <w:w w:val="110"/>
        </w:rPr>
        <w:t>to </w:t>
      </w:r>
      <w:r>
        <w:rPr>
          <w:w w:val="110"/>
        </w:rPr>
        <w:t>the supply capacity of the </w:t>
      </w:r>
      <w:r>
        <w:rPr>
          <w:spacing w:val="-3"/>
          <w:w w:val="110"/>
        </w:rPr>
        <w:t>economy. </w:t>
      </w:r>
      <w:r>
        <w:rPr>
          <w:w w:val="110"/>
        </w:rPr>
        <w:t>Annual</w:t>
      </w:r>
      <w:r>
        <w:rPr>
          <w:spacing w:val="-20"/>
          <w:w w:val="110"/>
        </w:rPr>
        <w:t> </w:t>
      </w:r>
      <w:r>
        <w:rPr>
          <w:w w:val="110"/>
        </w:rPr>
        <w:t>growth</w:t>
      </w:r>
      <w:r>
        <w:rPr>
          <w:spacing w:val="-20"/>
          <w:w w:val="110"/>
        </w:rPr>
        <w:t> </w:t>
      </w:r>
      <w:r>
        <w:rPr>
          <w:w w:val="110"/>
        </w:rPr>
        <w:t>in</w:t>
      </w:r>
      <w:r>
        <w:rPr>
          <w:spacing w:val="-19"/>
          <w:w w:val="110"/>
        </w:rPr>
        <w:t> </w:t>
      </w:r>
      <w:r>
        <w:rPr>
          <w:w w:val="110"/>
        </w:rPr>
        <w:t>nominal</w:t>
      </w:r>
      <w:r>
        <w:rPr>
          <w:spacing w:val="-20"/>
          <w:w w:val="110"/>
        </w:rPr>
        <w:t> </w:t>
      </w:r>
      <w:r>
        <w:rPr>
          <w:w w:val="110"/>
        </w:rPr>
        <w:t>GDP</w:t>
      </w:r>
      <w:r>
        <w:rPr>
          <w:spacing w:val="-20"/>
          <w:w w:val="110"/>
        </w:rPr>
        <w:t> </w:t>
      </w:r>
      <w:r>
        <w:rPr>
          <w:spacing w:val="-2"/>
          <w:w w:val="110"/>
        </w:rPr>
        <w:t>slowed</w:t>
      </w:r>
      <w:r>
        <w:rPr>
          <w:spacing w:val="-19"/>
          <w:w w:val="110"/>
        </w:rPr>
        <w:t> </w:t>
      </w:r>
      <w:r>
        <w:rPr>
          <w:spacing w:val="-4"/>
          <w:w w:val="110"/>
        </w:rPr>
        <w:t>to</w:t>
      </w:r>
      <w:r>
        <w:rPr>
          <w:spacing w:val="-20"/>
          <w:w w:val="110"/>
        </w:rPr>
        <w:t> </w:t>
      </w:r>
      <w:r>
        <w:rPr>
          <w:w w:val="110"/>
        </w:rPr>
        <w:t>4.6%</w:t>
      </w:r>
      <w:r>
        <w:rPr>
          <w:spacing w:val="-19"/>
          <w:w w:val="110"/>
        </w:rPr>
        <w:t> </w:t>
      </w:r>
      <w:r>
        <w:rPr>
          <w:w w:val="110"/>
        </w:rPr>
        <w:t>in</w:t>
      </w:r>
      <w:r>
        <w:rPr>
          <w:spacing w:val="-20"/>
          <w:w w:val="110"/>
        </w:rPr>
        <w:t> </w:t>
      </w:r>
      <w:r>
        <w:rPr>
          <w:spacing w:val="-4"/>
          <w:w w:val="110"/>
        </w:rPr>
        <w:t>2000</w:t>
      </w:r>
      <w:r>
        <w:rPr>
          <w:spacing w:val="-20"/>
          <w:w w:val="110"/>
        </w:rPr>
        <w:t> </w:t>
      </w:r>
      <w:r>
        <w:rPr>
          <w:w w:val="110"/>
        </w:rPr>
        <w:t>Q3, below the </w:t>
      </w:r>
      <w:r>
        <w:rPr>
          <w:spacing w:val="-3"/>
          <w:w w:val="110"/>
        </w:rPr>
        <w:t>average </w:t>
      </w:r>
      <w:r>
        <w:rPr>
          <w:w w:val="110"/>
        </w:rPr>
        <w:t>annual </w:t>
      </w:r>
      <w:r>
        <w:rPr>
          <w:spacing w:val="-4"/>
          <w:w w:val="110"/>
        </w:rPr>
        <w:t>rate </w:t>
      </w:r>
      <w:r>
        <w:rPr>
          <w:w w:val="110"/>
        </w:rPr>
        <w:t>of growth during </w:t>
      </w:r>
      <w:r>
        <w:rPr>
          <w:spacing w:val="-18"/>
          <w:w w:val="110"/>
        </w:rPr>
        <w:t>1998 </w:t>
      </w:r>
      <w:r>
        <w:rPr>
          <w:w w:val="110"/>
        </w:rPr>
        <w:t>and </w:t>
      </w:r>
      <w:r>
        <w:rPr>
          <w:spacing w:val="-12"/>
          <w:w w:val="110"/>
        </w:rPr>
        <w:t>1999. </w:t>
      </w:r>
      <w:r>
        <w:rPr>
          <w:w w:val="110"/>
        </w:rPr>
        <w:t>That partly reflects a decline in price inflation. But growth in real output also </w:t>
      </w:r>
      <w:r>
        <w:rPr>
          <w:spacing w:val="-3"/>
          <w:w w:val="110"/>
        </w:rPr>
        <w:t>moderated </w:t>
      </w:r>
      <w:r>
        <w:rPr>
          <w:w w:val="110"/>
        </w:rPr>
        <w:t>during</w:t>
      </w:r>
      <w:r>
        <w:rPr>
          <w:spacing w:val="-36"/>
          <w:w w:val="110"/>
        </w:rPr>
        <w:t> </w:t>
      </w:r>
      <w:r>
        <w:rPr>
          <w:spacing w:val="-4"/>
          <w:w w:val="110"/>
        </w:rPr>
        <w:t>2000.</w:t>
      </w:r>
    </w:p>
    <w:p>
      <w:pPr>
        <w:pStyle w:val="BodyText"/>
        <w:rPr>
          <w:sz w:val="24"/>
        </w:rPr>
      </w:pPr>
    </w:p>
    <w:p>
      <w:pPr>
        <w:pStyle w:val="BodyText"/>
        <w:spacing w:line="292" w:lineRule="auto" w:before="1"/>
        <w:ind w:left="5108" w:right="234"/>
      </w:pPr>
      <w:r>
        <w:rPr>
          <w:w w:val="105"/>
        </w:rPr>
        <w:t>Preliminary estimates suggest that real GDP </w:t>
      </w:r>
      <w:r>
        <w:rPr>
          <w:spacing w:val="-3"/>
          <w:w w:val="105"/>
        </w:rPr>
        <w:t>grew by </w:t>
      </w:r>
      <w:r>
        <w:rPr>
          <w:w w:val="105"/>
        </w:rPr>
        <w:t>0.3% in </w:t>
      </w:r>
      <w:r>
        <w:rPr>
          <w:spacing w:val="-4"/>
          <w:w w:val="105"/>
        </w:rPr>
        <w:t>2000 </w:t>
      </w:r>
      <w:r>
        <w:rPr>
          <w:w w:val="105"/>
        </w:rPr>
        <w:t>Q4, taking annual growth down </w:t>
      </w:r>
      <w:r>
        <w:rPr>
          <w:spacing w:val="-4"/>
          <w:w w:val="105"/>
        </w:rPr>
        <w:t>to </w:t>
      </w:r>
      <w:r>
        <w:rPr>
          <w:w w:val="105"/>
        </w:rPr>
        <w:t>2.4%, close </w:t>
      </w:r>
      <w:r>
        <w:rPr>
          <w:spacing w:val="-4"/>
          <w:w w:val="105"/>
        </w:rPr>
        <w:t>to </w:t>
      </w:r>
      <w:r>
        <w:rPr>
          <w:w w:val="105"/>
        </w:rPr>
        <w:t>estimates of </w:t>
      </w:r>
      <w:r>
        <w:rPr>
          <w:spacing w:val="-3"/>
          <w:w w:val="105"/>
        </w:rPr>
        <w:t>long-run </w:t>
      </w:r>
      <w:r>
        <w:rPr>
          <w:w w:val="105"/>
        </w:rPr>
        <w:t>growth in the supply capacity of the </w:t>
      </w:r>
      <w:r>
        <w:rPr>
          <w:spacing w:val="-4"/>
          <w:w w:val="105"/>
        </w:rPr>
        <w:t>economy. </w:t>
      </w:r>
      <w:r>
        <w:rPr>
          <w:w w:val="105"/>
        </w:rPr>
        <w:t>But output in Q4 </w:t>
      </w:r>
      <w:r>
        <w:rPr>
          <w:spacing w:val="-3"/>
          <w:w w:val="105"/>
        </w:rPr>
        <w:t>was </w:t>
      </w:r>
      <w:r>
        <w:rPr>
          <w:w w:val="105"/>
        </w:rPr>
        <w:t>depressed </w:t>
      </w:r>
      <w:r>
        <w:rPr>
          <w:spacing w:val="-3"/>
          <w:w w:val="105"/>
        </w:rPr>
        <w:t>by </w:t>
      </w:r>
      <w:r>
        <w:rPr>
          <w:w w:val="105"/>
        </w:rPr>
        <w:t>unusual weather and disruptions </w:t>
      </w:r>
      <w:r>
        <w:rPr>
          <w:spacing w:val="-4"/>
          <w:w w:val="105"/>
        </w:rPr>
        <w:t>to </w:t>
      </w:r>
      <w:r>
        <w:rPr>
          <w:spacing w:val="-3"/>
          <w:w w:val="105"/>
        </w:rPr>
        <w:t>rail </w:t>
      </w:r>
      <w:r>
        <w:rPr>
          <w:w w:val="105"/>
        </w:rPr>
        <w:t>services. Growth in household consumption </w:t>
      </w:r>
      <w:r>
        <w:rPr>
          <w:spacing w:val="-3"/>
          <w:w w:val="105"/>
        </w:rPr>
        <w:t>was </w:t>
      </w:r>
      <w:r>
        <w:rPr>
          <w:w w:val="105"/>
        </w:rPr>
        <w:t>stronger  than  anticipated  through  </w:t>
      </w:r>
      <w:r>
        <w:rPr>
          <w:spacing w:val="-4"/>
          <w:w w:val="105"/>
        </w:rPr>
        <w:t>2000, </w:t>
      </w:r>
      <w:r>
        <w:rPr>
          <w:w w:val="105"/>
        </w:rPr>
        <w:t>and measures of consumer confidence remain relatively high. Investment, </w:t>
      </w:r>
      <w:r>
        <w:rPr>
          <w:spacing w:val="-4"/>
          <w:w w:val="105"/>
        </w:rPr>
        <w:t>however, </w:t>
      </w:r>
      <w:r>
        <w:rPr>
          <w:w w:val="105"/>
        </w:rPr>
        <w:t>has continued </w:t>
      </w:r>
      <w:r>
        <w:rPr>
          <w:spacing w:val="-4"/>
          <w:w w:val="105"/>
        </w:rPr>
        <w:t>to </w:t>
      </w:r>
      <w:r>
        <w:rPr>
          <w:w w:val="105"/>
        </w:rPr>
        <w:t>fall short of expectations. The contribution of net trade </w:t>
      </w:r>
      <w:r>
        <w:rPr>
          <w:spacing w:val="-4"/>
          <w:w w:val="105"/>
        </w:rPr>
        <w:t>to </w:t>
      </w:r>
      <w:r>
        <w:rPr>
          <w:w w:val="105"/>
        </w:rPr>
        <w:t>GDP </w:t>
      </w:r>
      <w:r>
        <w:rPr>
          <w:spacing w:val="-2"/>
          <w:w w:val="105"/>
        </w:rPr>
        <w:t>growth </w:t>
      </w:r>
      <w:r>
        <w:rPr>
          <w:w w:val="105"/>
        </w:rPr>
        <w:t>in </w:t>
      </w:r>
      <w:r>
        <w:rPr>
          <w:spacing w:val="-4"/>
          <w:w w:val="105"/>
        </w:rPr>
        <w:t>2000 </w:t>
      </w:r>
      <w:r>
        <w:rPr>
          <w:w w:val="105"/>
        </w:rPr>
        <w:t>Q3 </w:t>
      </w:r>
      <w:r>
        <w:rPr>
          <w:spacing w:val="-3"/>
          <w:w w:val="105"/>
        </w:rPr>
        <w:t>was  </w:t>
      </w:r>
      <w:r>
        <w:rPr>
          <w:w w:val="105"/>
        </w:rPr>
        <w:t>less negative than </w:t>
      </w:r>
      <w:r>
        <w:rPr>
          <w:spacing w:val="-3"/>
          <w:w w:val="105"/>
        </w:rPr>
        <w:t>projected,</w:t>
      </w:r>
      <w:r>
        <w:rPr>
          <w:spacing w:val="46"/>
          <w:w w:val="105"/>
        </w:rPr>
        <w:t> </w:t>
      </w:r>
      <w:r>
        <w:rPr>
          <w:w w:val="105"/>
        </w:rPr>
        <w:t>and </w:t>
      </w:r>
      <w:r>
        <w:rPr>
          <w:spacing w:val="-3"/>
          <w:w w:val="105"/>
        </w:rPr>
        <w:t>survey </w:t>
      </w:r>
      <w:r>
        <w:rPr>
          <w:w w:val="105"/>
        </w:rPr>
        <w:t>measures of export </w:t>
      </w:r>
      <w:r>
        <w:rPr>
          <w:spacing w:val="-3"/>
          <w:w w:val="105"/>
        </w:rPr>
        <w:t>orders </w:t>
      </w:r>
      <w:r>
        <w:rPr>
          <w:w w:val="105"/>
        </w:rPr>
        <w:t>remained resilient in Q4. But </w:t>
      </w:r>
      <w:r>
        <w:rPr>
          <w:spacing w:val="-3"/>
          <w:w w:val="105"/>
        </w:rPr>
        <w:t>world </w:t>
      </w:r>
      <w:r>
        <w:rPr>
          <w:w w:val="105"/>
        </w:rPr>
        <w:t>activity has </w:t>
      </w:r>
      <w:r>
        <w:rPr>
          <w:spacing w:val="-3"/>
          <w:w w:val="105"/>
        </w:rPr>
        <w:t>slowed </w:t>
      </w:r>
      <w:r>
        <w:rPr>
          <w:w w:val="105"/>
        </w:rPr>
        <w:t>more quickly than anticipated, mainly reflecting developments in the United</w:t>
      </w:r>
      <w:r>
        <w:rPr>
          <w:spacing w:val="-5"/>
          <w:w w:val="105"/>
        </w:rPr>
        <w:t> </w:t>
      </w:r>
      <w:r>
        <w:rPr>
          <w:spacing w:val="-3"/>
          <w:w w:val="105"/>
        </w:rPr>
        <w:t>States.</w:t>
      </w:r>
    </w:p>
    <w:p>
      <w:pPr>
        <w:pStyle w:val="BodyText"/>
        <w:rPr>
          <w:sz w:val="17"/>
        </w:rPr>
      </w:pPr>
    </w:p>
    <w:p>
      <w:pPr>
        <w:pStyle w:val="Heading3"/>
        <w:numPr>
          <w:ilvl w:val="1"/>
          <w:numId w:val="8"/>
        </w:numPr>
        <w:tabs>
          <w:tab w:pos="5588" w:val="left" w:leader="none"/>
          <w:tab w:pos="5589" w:val="left" w:leader="none"/>
          <w:tab w:pos="10468" w:val="left" w:leader="none"/>
        </w:tabs>
        <w:spacing w:line="240" w:lineRule="auto" w:before="0" w:after="0"/>
        <w:ind w:left="5588" w:right="0" w:hanging="601"/>
        <w:jc w:val="left"/>
        <w:rPr>
          <w:u w:val="none"/>
        </w:rPr>
      </w:pPr>
      <w:r>
        <w:rPr>
          <w:smallCaps w:val="0"/>
          <w:color w:val="89C6DC"/>
          <w:w w:val="90"/>
          <w:u w:val="single" w:color="006CB4"/>
        </w:rPr>
        <w:t>External</w:t>
      </w:r>
      <w:r>
        <w:rPr>
          <w:smallCaps w:val="0"/>
          <w:color w:val="89C6DC"/>
          <w:spacing w:val="-9"/>
          <w:w w:val="90"/>
          <w:u w:val="single" w:color="006CB4"/>
        </w:rPr>
        <w:t> </w:t>
      </w:r>
      <w:r>
        <w:rPr>
          <w:smallCaps w:val="0"/>
          <w:color w:val="89C6DC"/>
          <w:w w:val="90"/>
          <w:u w:val="single" w:color="006CB4"/>
        </w:rPr>
        <w:t>demand</w:t>
      </w:r>
      <w:r>
        <w:rPr>
          <w:smallCaps w:val="0"/>
          <w:color w:val="89C6DC"/>
          <w:u w:val="single" w:color="006CB4"/>
        </w:rPr>
        <w:tab/>
      </w:r>
    </w:p>
    <w:p>
      <w:pPr>
        <w:pStyle w:val="BodyText"/>
        <w:spacing w:before="7"/>
        <w:rPr>
          <w:rFonts w:ascii="Trebuchet MS"/>
          <w:b/>
          <w:sz w:val="16"/>
        </w:rPr>
      </w:pPr>
    </w:p>
    <w:p>
      <w:pPr>
        <w:spacing w:after="0"/>
        <w:rPr>
          <w:rFonts w:ascii="Trebuchet MS"/>
          <w:sz w:val="16"/>
        </w:rPr>
        <w:sectPr>
          <w:headerReference w:type="even" r:id="rId82"/>
          <w:pgSz w:w="11900" w:h="16840"/>
          <w:pgMar w:header="0" w:footer="575" w:top="800" w:bottom="760" w:left="640" w:right="640"/>
        </w:sectPr>
      </w:pPr>
    </w:p>
    <w:p>
      <w:pPr>
        <w:pStyle w:val="BodyText"/>
        <w:spacing w:before="9"/>
        <w:rPr>
          <w:rFonts w:ascii="Trebuchet MS"/>
          <w:b/>
          <w:sz w:val="26"/>
        </w:rPr>
      </w:pPr>
    </w:p>
    <w:p>
      <w:pPr>
        <w:pStyle w:val="Heading6"/>
        <w:spacing w:before="1"/>
        <w:ind w:left="183"/>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2.1</w:t>
      </w:r>
    </w:p>
    <w:p>
      <w:pPr>
        <w:spacing w:before="7"/>
        <w:ind w:left="183" w:right="0" w:firstLine="0"/>
        <w:jc w:val="left"/>
        <w:rPr>
          <w:rFonts w:ascii="Trebuchet MS"/>
          <w:b/>
          <w:sz w:val="20"/>
        </w:rPr>
      </w:pPr>
      <w:r>
        <w:rPr>
          <w:rFonts w:ascii="Trebuchet MS"/>
          <w:b/>
          <w:color w:val="89C6DC"/>
          <w:w w:val="95"/>
          <w:sz w:val="20"/>
        </w:rPr>
        <w:t>Contributions</w:t>
      </w:r>
      <w:r>
        <w:rPr>
          <w:rFonts w:ascii="Trebuchet MS"/>
          <w:b/>
          <w:color w:val="89C6DC"/>
          <w:spacing w:val="-26"/>
          <w:w w:val="95"/>
          <w:sz w:val="20"/>
        </w:rPr>
        <w:t> </w:t>
      </w:r>
      <w:r>
        <w:rPr>
          <w:rFonts w:ascii="Trebuchet MS"/>
          <w:b/>
          <w:color w:val="89C6DC"/>
          <w:w w:val="95"/>
          <w:sz w:val="20"/>
        </w:rPr>
        <w:t>to</w:t>
      </w:r>
      <w:r>
        <w:rPr>
          <w:rFonts w:ascii="Trebuchet MS"/>
          <w:b/>
          <w:color w:val="89C6DC"/>
          <w:spacing w:val="-25"/>
          <w:w w:val="95"/>
          <w:sz w:val="20"/>
        </w:rPr>
        <w:t> </w:t>
      </w:r>
      <w:r>
        <w:rPr>
          <w:rFonts w:ascii="Trebuchet MS"/>
          <w:b/>
          <w:color w:val="89C6DC"/>
          <w:w w:val="95"/>
          <w:sz w:val="20"/>
        </w:rPr>
        <w:t>quarterly</w:t>
      </w:r>
      <w:r>
        <w:rPr>
          <w:rFonts w:ascii="Trebuchet MS"/>
          <w:b/>
          <w:color w:val="89C6DC"/>
          <w:spacing w:val="-25"/>
          <w:w w:val="95"/>
          <w:sz w:val="20"/>
        </w:rPr>
        <w:t> </w:t>
      </w:r>
      <w:r>
        <w:rPr>
          <w:rFonts w:ascii="Trebuchet MS"/>
          <w:b/>
          <w:color w:val="89C6DC"/>
          <w:w w:val="95"/>
          <w:sz w:val="20"/>
        </w:rPr>
        <w:t>US</w:t>
      </w:r>
      <w:r>
        <w:rPr>
          <w:rFonts w:ascii="Trebuchet MS"/>
          <w:b/>
          <w:color w:val="89C6DC"/>
          <w:spacing w:val="-25"/>
          <w:w w:val="95"/>
          <w:sz w:val="20"/>
        </w:rPr>
        <w:t> </w:t>
      </w:r>
      <w:r>
        <w:rPr>
          <w:rFonts w:ascii="Trebuchet MS"/>
          <w:b/>
          <w:color w:val="89C6DC"/>
          <w:w w:val="95"/>
          <w:sz w:val="20"/>
        </w:rPr>
        <w:t>GDP</w:t>
      </w:r>
      <w:r>
        <w:rPr>
          <w:rFonts w:ascii="Trebuchet MS"/>
          <w:b/>
          <w:color w:val="89C6DC"/>
          <w:spacing w:val="-27"/>
          <w:w w:val="95"/>
          <w:sz w:val="20"/>
        </w:rPr>
        <w:t> </w:t>
      </w:r>
      <w:r>
        <w:rPr>
          <w:rFonts w:ascii="Trebuchet MS"/>
          <w:b/>
          <w:color w:val="89C6DC"/>
          <w:w w:val="95"/>
          <w:sz w:val="20"/>
        </w:rPr>
        <w:t>growth</w:t>
      </w:r>
    </w:p>
    <w:p>
      <w:pPr>
        <w:tabs>
          <w:tab w:pos="1468" w:val="left" w:leader="none"/>
        </w:tabs>
        <w:spacing w:before="128"/>
        <w:ind w:left="427" w:right="0" w:firstLine="0"/>
        <w:jc w:val="left"/>
        <w:rPr>
          <w:sz w:val="12"/>
        </w:rPr>
      </w:pPr>
      <w:r>
        <w:rPr/>
        <w:drawing>
          <wp:anchor distT="0" distB="0" distL="0" distR="0" allowOverlap="1" layoutInCell="1" locked="0" behindDoc="0" simplePos="0" relativeHeight="15928320">
            <wp:simplePos x="0" y="0"/>
            <wp:positionH relativeFrom="page">
              <wp:posOffset>545439</wp:posOffset>
            </wp:positionH>
            <wp:positionV relativeFrom="paragraph">
              <wp:posOffset>78992</wp:posOffset>
            </wp:positionV>
            <wp:extent cx="103720" cy="303745"/>
            <wp:effectExtent l="0" t="0" r="0" b="0"/>
            <wp:wrapNone/>
            <wp:docPr id="447" name="image48.png"/>
            <wp:cNvGraphicFramePr>
              <a:graphicFrameLocks noChangeAspect="1"/>
            </wp:cNvGraphicFramePr>
            <a:graphic>
              <a:graphicData uri="http://schemas.openxmlformats.org/drawingml/2006/picture">
                <pic:pic>
                  <pic:nvPicPr>
                    <pic:cNvPr id="448" name="image48.png"/>
                    <pic:cNvPicPr/>
                  </pic:nvPicPr>
                  <pic:blipFill>
                    <a:blip r:embed="rId83" cstate="print"/>
                    <a:stretch>
                      <a:fillRect/>
                    </a:stretch>
                  </pic:blipFill>
                  <pic:spPr>
                    <a:xfrm>
                      <a:off x="0" y="0"/>
                      <a:ext cx="103720" cy="303745"/>
                    </a:xfrm>
                    <a:prstGeom prst="rect">
                      <a:avLst/>
                    </a:prstGeom>
                  </pic:spPr>
                </pic:pic>
              </a:graphicData>
            </a:graphic>
          </wp:anchor>
        </w:drawing>
      </w:r>
      <w:r>
        <w:rPr/>
        <w:pict>
          <v:group style="position:absolute;margin-left:92.251999pt;margin-top:6.219892pt;width:10.25pt;height:20.6pt;mso-position-horizontal-relative:page;mso-position-vertical-relative:paragraph;z-index:-23400448" coordorigin="1845,124" coordsize="205,412">
            <v:shape style="position:absolute;left:1855;top:124;width:164;height:321" type="#_x0000_t75" stroked="false">
              <v:imagedata r:id="rId84" o:title=""/>
            </v:shape>
            <v:line style="position:absolute" from="1845,523" to="2050,523" stroked="true" strokeweight="1.232pt" strokecolor="#008360">
              <v:stroke dashstyle="solid"/>
            </v:line>
            <w10:wrap type="none"/>
          </v:group>
        </w:pict>
      </w:r>
      <w:r>
        <w:rPr>
          <w:w w:val="105"/>
          <w:sz w:val="12"/>
        </w:rPr>
        <w:t>Investment</w:t>
        <w:tab/>
        <w:t>Stockbuilding</w:t>
      </w:r>
    </w:p>
    <w:p>
      <w:pPr>
        <w:pStyle w:val="BodyText"/>
        <w:spacing w:line="292" w:lineRule="auto" w:before="62"/>
        <w:ind w:left="183" w:right="182"/>
      </w:pPr>
      <w:r>
        <w:rPr/>
        <w:br w:type="column"/>
      </w:r>
      <w:r>
        <w:rPr>
          <w:spacing w:val="-4"/>
          <w:w w:val="110"/>
        </w:rPr>
        <w:t>World</w:t>
      </w:r>
      <w:r>
        <w:rPr>
          <w:spacing w:val="-18"/>
          <w:w w:val="110"/>
        </w:rPr>
        <w:t> </w:t>
      </w:r>
      <w:r>
        <w:rPr>
          <w:w w:val="110"/>
        </w:rPr>
        <w:t>GDP</w:t>
      </w:r>
      <w:r>
        <w:rPr>
          <w:spacing w:val="-18"/>
          <w:w w:val="110"/>
        </w:rPr>
        <w:t> </w:t>
      </w:r>
      <w:r>
        <w:rPr>
          <w:w w:val="110"/>
        </w:rPr>
        <w:t>growth</w:t>
      </w:r>
      <w:r>
        <w:rPr>
          <w:spacing w:val="-17"/>
          <w:w w:val="110"/>
        </w:rPr>
        <w:t> </w:t>
      </w:r>
      <w:r>
        <w:rPr>
          <w:spacing w:val="-3"/>
          <w:w w:val="110"/>
        </w:rPr>
        <w:t>slowed</w:t>
      </w:r>
      <w:r>
        <w:rPr>
          <w:spacing w:val="-18"/>
          <w:w w:val="110"/>
        </w:rPr>
        <w:t> </w:t>
      </w:r>
      <w:r>
        <w:rPr>
          <w:w w:val="110"/>
        </w:rPr>
        <w:t>in</w:t>
      </w:r>
      <w:r>
        <w:rPr>
          <w:spacing w:val="-18"/>
          <w:w w:val="110"/>
        </w:rPr>
        <w:t> </w:t>
      </w:r>
      <w:r>
        <w:rPr>
          <w:w w:val="110"/>
        </w:rPr>
        <w:t>the</w:t>
      </w:r>
      <w:r>
        <w:rPr>
          <w:spacing w:val="-17"/>
          <w:w w:val="110"/>
        </w:rPr>
        <w:t> </w:t>
      </w:r>
      <w:r>
        <w:rPr>
          <w:w w:val="110"/>
        </w:rPr>
        <w:t>second</w:t>
      </w:r>
      <w:r>
        <w:rPr>
          <w:spacing w:val="-18"/>
          <w:w w:val="110"/>
        </w:rPr>
        <w:t> </w:t>
      </w:r>
      <w:r>
        <w:rPr>
          <w:w w:val="110"/>
        </w:rPr>
        <w:t>half</w:t>
      </w:r>
      <w:r>
        <w:rPr>
          <w:spacing w:val="-17"/>
          <w:w w:val="110"/>
        </w:rPr>
        <w:t> </w:t>
      </w:r>
      <w:r>
        <w:rPr>
          <w:w w:val="110"/>
        </w:rPr>
        <w:t>of</w:t>
      </w:r>
      <w:r>
        <w:rPr>
          <w:spacing w:val="-18"/>
          <w:w w:val="110"/>
        </w:rPr>
        <w:t> </w:t>
      </w:r>
      <w:r>
        <w:rPr>
          <w:spacing w:val="-4"/>
          <w:w w:val="110"/>
        </w:rPr>
        <w:t>2000,</w:t>
      </w:r>
      <w:r>
        <w:rPr>
          <w:spacing w:val="-18"/>
          <w:w w:val="110"/>
        </w:rPr>
        <w:t> </w:t>
      </w:r>
      <w:r>
        <w:rPr>
          <w:w w:val="110"/>
        </w:rPr>
        <w:t>and</w:t>
      </w:r>
      <w:r>
        <w:rPr>
          <w:spacing w:val="-17"/>
          <w:w w:val="110"/>
        </w:rPr>
        <w:t> </w:t>
      </w:r>
      <w:r>
        <w:rPr>
          <w:spacing w:val="-3"/>
          <w:w w:val="110"/>
        </w:rPr>
        <w:t>by </w:t>
      </w:r>
      <w:r>
        <w:rPr>
          <w:w w:val="110"/>
        </w:rPr>
        <w:t>more</w:t>
      </w:r>
      <w:r>
        <w:rPr>
          <w:spacing w:val="-23"/>
          <w:w w:val="110"/>
        </w:rPr>
        <w:t> </w:t>
      </w:r>
      <w:r>
        <w:rPr>
          <w:w w:val="110"/>
        </w:rPr>
        <w:t>than</w:t>
      </w:r>
      <w:r>
        <w:rPr>
          <w:spacing w:val="-22"/>
          <w:w w:val="110"/>
        </w:rPr>
        <w:t> </w:t>
      </w:r>
      <w:r>
        <w:rPr>
          <w:w w:val="110"/>
        </w:rPr>
        <w:t>expected</w:t>
      </w:r>
      <w:r>
        <w:rPr>
          <w:spacing w:val="-22"/>
          <w:w w:val="110"/>
        </w:rPr>
        <w:t> </w:t>
      </w:r>
      <w:r>
        <w:rPr>
          <w:w w:val="110"/>
        </w:rPr>
        <w:t>in</w:t>
      </w:r>
      <w:r>
        <w:rPr>
          <w:spacing w:val="-23"/>
          <w:w w:val="110"/>
        </w:rPr>
        <w:t> </w:t>
      </w:r>
      <w:r>
        <w:rPr>
          <w:w w:val="110"/>
        </w:rPr>
        <w:t>the</w:t>
      </w:r>
      <w:r>
        <w:rPr>
          <w:spacing w:val="-22"/>
          <w:w w:val="110"/>
        </w:rPr>
        <w:t> </w:t>
      </w:r>
      <w:r>
        <w:rPr>
          <w:w w:val="110"/>
        </w:rPr>
        <w:t>November</w:t>
      </w:r>
      <w:r>
        <w:rPr>
          <w:spacing w:val="-22"/>
          <w:w w:val="110"/>
        </w:rPr>
        <w:t> </w:t>
      </w:r>
      <w:r>
        <w:rPr>
          <w:i/>
          <w:w w:val="110"/>
        </w:rPr>
        <w:t>Report</w:t>
      </w:r>
      <w:r>
        <w:rPr>
          <w:w w:val="110"/>
        </w:rPr>
        <w:t>.</w:t>
      </w:r>
      <w:r>
        <w:rPr>
          <w:spacing w:val="11"/>
          <w:w w:val="110"/>
        </w:rPr>
        <w:t> </w:t>
      </w:r>
      <w:r>
        <w:rPr>
          <w:w w:val="110"/>
        </w:rPr>
        <w:t>The</w:t>
      </w:r>
      <w:r>
        <w:rPr>
          <w:spacing w:val="-23"/>
          <w:w w:val="110"/>
        </w:rPr>
        <w:t> </w:t>
      </w:r>
      <w:r>
        <w:rPr>
          <w:w w:val="110"/>
        </w:rPr>
        <w:t>slowdown has</w:t>
      </w:r>
      <w:r>
        <w:rPr>
          <w:spacing w:val="-8"/>
          <w:w w:val="110"/>
        </w:rPr>
        <w:t> </w:t>
      </w:r>
      <w:r>
        <w:rPr>
          <w:w w:val="110"/>
        </w:rPr>
        <w:t>been</w:t>
      </w:r>
      <w:r>
        <w:rPr>
          <w:spacing w:val="-7"/>
          <w:w w:val="110"/>
        </w:rPr>
        <w:t> </w:t>
      </w:r>
      <w:r>
        <w:rPr>
          <w:w w:val="110"/>
        </w:rPr>
        <w:t>sharpest</w:t>
      </w:r>
      <w:r>
        <w:rPr>
          <w:spacing w:val="-7"/>
          <w:w w:val="110"/>
        </w:rPr>
        <w:t> </w:t>
      </w:r>
      <w:r>
        <w:rPr>
          <w:w w:val="110"/>
        </w:rPr>
        <w:t>in</w:t>
      </w:r>
      <w:r>
        <w:rPr>
          <w:spacing w:val="-8"/>
          <w:w w:val="110"/>
        </w:rPr>
        <w:t> </w:t>
      </w:r>
      <w:r>
        <w:rPr>
          <w:w w:val="110"/>
        </w:rPr>
        <w:t>the</w:t>
      </w:r>
      <w:r>
        <w:rPr>
          <w:spacing w:val="-7"/>
          <w:w w:val="110"/>
        </w:rPr>
        <w:t> </w:t>
      </w:r>
      <w:r>
        <w:rPr>
          <w:w w:val="110"/>
        </w:rPr>
        <w:t>United</w:t>
      </w:r>
      <w:r>
        <w:rPr>
          <w:spacing w:val="-7"/>
          <w:w w:val="110"/>
        </w:rPr>
        <w:t> </w:t>
      </w:r>
      <w:r>
        <w:rPr>
          <w:spacing w:val="-3"/>
          <w:w w:val="110"/>
        </w:rPr>
        <w:t>States</w:t>
      </w:r>
      <w:r>
        <w:rPr>
          <w:spacing w:val="-7"/>
          <w:w w:val="110"/>
        </w:rPr>
        <w:t> </w:t>
      </w:r>
      <w:r>
        <w:rPr>
          <w:w w:val="110"/>
        </w:rPr>
        <w:t>(see</w:t>
      </w:r>
      <w:r>
        <w:rPr>
          <w:spacing w:val="-8"/>
          <w:w w:val="110"/>
        </w:rPr>
        <w:t> </w:t>
      </w:r>
      <w:r>
        <w:rPr>
          <w:w w:val="110"/>
        </w:rPr>
        <w:t>Chart</w:t>
      </w:r>
      <w:r>
        <w:rPr>
          <w:spacing w:val="-7"/>
          <w:w w:val="110"/>
        </w:rPr>
        <w:t> </w:t>
      </w:r>
      <w:r>
        <w:rPr>
          <w:w w:val="110"/>
        </w:rPr>
        <w:t>2.1).</w:t>
      </w:r>
    </w:p>
    <w:p>
      <w:pPr>
        <w:pStyle w:val="BodyText"/>
        <w:spacing w:line="193" w:lineRule="exact"/>
        <w:ind w:left="183"/>
      </w:pPr>
      <w:r>
        <w:rPr>
          <w:w w:val="105"/>
        </w:rPr>
        <w:t>US GDP is provisionally estimated to have risen by 0.3% in</w:t>
      </w:r>
    </w:p>
    <w:p>
      <w:pPr>
        <w:spacing w:after="0" w:line="193" w:lineRule="exact"/>
        <w:sectPr>
          <w:type w:val="continuous"/>
          <w:pgSz w:w="11900" w:h="16840"/>
          <w:pgMar w:top="1260" w:bottom="280" w:left="640" w:right="640"/>
          <w:cols w:num="2" w:equalWidth="0">
            <w:col w:w="3801" w:space="1124"/>
            <w:col w:w="5695"/>
          </w:cols>
        </w:sectPr>
      </w:pPr>
    </w:p>
    <w:p>
      <w:pPr>
        <w:spacing w:line="115" w:lineRule="exact" w:before="0"/>
        <w:ind w:left="427" w:right="0" w:firstLine="0"/>
        <w:jc w:val="left"/>
        <w:rPr>
          <w:sz w:val="12"/>
        </w:rPr>
      </w:pPr>
      <w:r>
        <w:rPr>
          <w:w w:val="110"/>
          <w:sz w:val="12"/>
        </w:rPr>
        <w:t>Government</w:t>
      </w:r>
    </w:p>
    <w:p>
      <w:pPr>
        <w:spacing w:before="24"/>
        <w:ind w:left="427" w:right="0" w:firstLine="0"/>
        <w:jc w:val="left"/>
        <w:rPr>
          <w:sz w:val="12"/>
        </w:rPr>
      </w:pPr>
      <w:r>
        <w:rPr>
          <w:w w:val="110"/>
          <w:sz w:val="12"/>
        </w:rPr>
        <w:t>Consumption</w:t>
      </w:r>
    </w:p>
    <w:p>
      <w:pPr>
        <w:pStyle w:val="BodyText"/>
        <w:spacing w:before="4"/>
        <w:rPr>
          <w:sz w:val="11"/>
        </w:rPr>
      </w:pPr>
    </w:p>
    <w:p>
      <w:pPr>
        <w:pStyle w:val="BodyText"/>
        <w:spacing w:line="20" w:lineRule="exact"/>
        <w:ind w:left="213"/>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r>
        <w:rPr/>
        <w:pict>
          <v:shape style="position:absolute;margin-left:42.949001pt;margin-top:13.726605pt;width:4.350pt;height:.1pt;mso-position-horizontal-relative:page;mso-position-vertical-relative:paragraph;z-index:-15533568;mso-wrap-distance-left:0;mso-wrap-distance-right:0" coordorigin="859,275" coordsize="87,0" path="m859,275l946,275e" filled="false" stroked="true" strokeweight=".5pt" strokecolor="#000000">
            <v:path arrowok="t"/>
            <v:stroke dashstyle="solid"/>
            <w10:wrap type="topAndBottom"/>
          </v:shape>
        </w:pict>
      </w:r>
      <w:r>
        <w:rPr/>
        <w:pict>
          <v:shape style="position:absolute;margin-left:42.949001pt;margin-top:28.176605pt;width:4.350pt;height:.1pt;mso-position-horizontal-relative:page;mso-position-vertical-relative:paragraph;z-index:-15533056;mso-wrap-distance-left:0;mso-wrap-distance-right:0" coordorigin="859,564" coordsize="87,0" path="m859,564l946,564e" filled="false" stroked="true" strokeweight=".5pt" strokecolor="#000000">
            <v:path arrowok="t"/>
            <v:stroke dashstyle="solid"/>
            <w10:wrap type="topAndBottom"/>
          </v:shape>
        </w:pict>
      </w:r>
    </w:p>
    <w:p>
      <w:pPr>
        <w:pStyle w:val="BodyText"/>
        <w:spacing w:before="4"/>
        <w:rPr>
          <w:sz w:val="18"/>
        </w:r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9"/>
        </w:rPr>
      </w:pPr>
      <w:r>
        <w:rPr/>
        <w:pict>
          <v:shape style="position:absolute;margin-left:42.949001pt;margin-top:18.956837pt;width:4.350pt;height:.1pt;mso-position-horizontal-relative:page;mso-position-vertical-relative:paragraph;z-index:-15532544;mso-wrap-distance-left:0;mso-wrap-distance-right:0" coordorigin="859,379" coordsize="87,0" path="m859,379l946,379e" filled="false" stroked="true" strokeweight=".5pt" strokecolor="#000000">
            <v:path arrowok="t"/>
            <v:stroke dashstyle="solid"/>
            <w10:wrap type="topAndBottom"/>
          </v:shape>
        </w:pict>
      </w:r>
    </w:p>
    <w:p>
      <w:pPr>
        <w:spacing w:line="121" w:lineRule="exact" w:before="0"/>
        <w:ind w:left="218" w:right="0" w:firstLine="0"/>
        <w:jc w:val="left"/>
        <w:rPr>
          <w:sz w:val="12"/>
        </w:rPr>
      </w:pPr>
      <w:r>
        <w:rPr/>
        <w:br w:type="column"/>
      </w:r>
      <w:r>
        <w:rPr>
          <w:w w:val="110"/>
          <w:sz w:val="12"/>
        </w:rPr>
        <w:t>Net trade</w:t>
      </w:r>
    </w:p>
    <w:p>
      <w:pPr>
        <w:spacing w:before="18"/>
        <w:ind w:left="218" w:right="0" w:firstLine="0"/>
        <w:jc w:val="left"/>
        <w:rPr>
          <w:sz w:val="12"/>
        </w:rPr>
      </w:pPr>
      <w:r>
        <w:rPr>
          <w:sz w:val="12"/>
        </w:rPr>
        <w:t>GDP</w:t>
      </w:r>
    </w:p>
    <w:p>
      <w:pPr>
        <w:pStyle w:val="BodyText"/>
        <w:rPr>
          <w:sz w:val="12"/>
        </w:rPr>
      </w:pPr>
      <w:r>
        <w:rPr/>
        <w:br w:type="column"/>
      </w:r>
      <w:r>
        <w:rPr>
          <w:sz w:val="12"/>
        </w:rPr>
      </w:r>
    </w:p>
    <w:p>
      <w:pPr>
        <w:pStyle w:val="BodyText"/>
        <w:spacing w:before="2"/>
        <w:rPr>
          <w:sz w:val="10"/>
        </w:rPr>
      </w:pPr>
    </w:p>
    <w:p>
      <w:pPr>
        <w:spacing w:before="0"/>
        <w:ind w:left="218" w:right="0" w:firstLine="0"/>
        <w:jc w:val="left"/>
        <w:rPr>
          <w:sz w:val="12"/>
        </w:rPr>
      </w:pPr>
      <w:r>
        <w:rPr>
          <w:w w:val="110"/>
          <w:sz w:val="12"/>
        </w:rPr>
        <w:t>Percentage </w:t>
      </w:r>
      <w:r>
        <w:rPr>
          <w:spacing w:val="-4"/>
          <w:w w:val="110"/>
          <w:sz w:val="12"/>
        </w:rPr>
        <w:t>points</w:t>
      </w:r>
    </w:p>
    <w:p>
      <w:pPr>
        <w:pStyle w:val="BodyText"/>
        <w:spacing w:line="20" w:lineRule="exact"/>
        <w:ind w:left="1067" w:right="-87"/>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5"/>
        <w:rPr>
          <w:sz w:val="25"/>
        </w:rPr>
      </w:pPr>
    </w:p>
    <w:p>
      <w:pPr>
        <w:pStyle w:val="BodyText"/>
        <w:spacing w:line="20" w:lineRule="exact"/>
        <w:ind w:left="1067" w:right="-87"/>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4"/>
        <w:rPr>
          <w:sz w:val="23"/>
        </w:rPr>
      </w:pPr>
    </w:p>
    <w:p>
      <w:pPr>
        <w:pStyle w:val="BodyText"/>
        <w:spacing w:line="20" w:lineRule="exact"/>
        <w:ind w:left="1067" w:right="-87"/>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4"/>
        </w:rPr>
      </w:pPr>
    </w:p>
    <w:p>
      <w:pPr>
        <w:pStyle w:val="BodyText"/>
        <w:spacing w:line="20" w:lineRule="exact"/>
        <w:ind w:left="1067" w:right="-87"/>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spacing w:before="71"/>
        <w:ind w:left="32" w:right="0" w:firstLine="0"/>
        <w:jc w:val="left"/>
        <w:rPr>
          <w:sz w:val="12"/>
        </w:rPr>
      </w:pPr>
      <w:r>
        <w:rPr>
          <w:w w:val="115"/>
          <w:sz w:val="12"/>
        </w:rPr>
        <w:t>3.5</w:t>
      </w:r>
    </w:p>
    <w:p>
      <w:pPr>
        <w:pStyle w:val="BodyText"/>
        <w:spacing w:before="1"/>
        <w:rPr>
          <w:sz w:val="13"/>
        </w:rPr>
      </w:pPr>
    </w:p>
    <w:p>
      <w:pPr>
        <w:spacing w:before="0"/>
        <w:ind w:left="32" w:right="0" w:firstLine="0"/>
        <w:jc w:val="left"/>
        <w:rPr>
          <w:sz w:val="12"/>
        </w:rPr>
      </w:pPr>
      <w:r>
        <w:rPr>
          <w:w w:val="115"/>
          <w:sz w:val="12"/>
        </w:rPr>
        <w:t>3.0</w:t>
      </w:r>
    </w:p>
    <w:p>
      <w:pPr>
        <w:pStyle w:val="BodyText"/>
        <w:spacing w:before="2"/>
        <w:rPr>
          <w:sz w:val="13"/>
        </w:rPr>
      </w:pPr>
    </w:p>
    <w:p>
      <w:pPr>
        <w:spacing w:before="0"/>
        <w:ind w:left="32" w:right="0" w:firstLine="0"/>
        <w:jc w:val="left"/>
        <w:rPr>
          <w:sz w:val="12"/>
        </w:rPr>
      </w:pPr>
      <w:r>
        <w:rPr>
          <w:w w:val="115"/>
          <w:sz w:val="12"/>
        </w:rPr>
        <w:t>2.5</w:t>
      </w:r>
    </w:p>
    <w:p>
      <w:pPr>
        <w:pStyle w:val="BodyText"/>
        <w:spacing w:before="1"/>
        <w:rPr>
          <w:sz w:val="13"/>
        </w:rPr>
      </w:pPr>
    </w:p>
    <w:p>
      <w:pPr>
        <w:spacing w:before="0"/>
        <w:ind w:left="32" w:right="0" w:firstLine="0"/>
        <w:jc w:val="left"/>
        <w:rPr>
          <w:sz w:val="12"/>
        </w:rPr>
      </w:pPr>
      <w:r>
        <w:rPr/>
        <w:pict>
          <v:group style="position:absolute;margin-left:42.949001pt;margin-top:-.782043pt;width:164.6pt;height:85.75pt;mso-position-horizontal-relative:page;mso-position-vertical-relative:paragraph;z-index:15927808" coordorigin="859,-16" coordsize="3292,1715">
            <v:rect style="position:absolute;left:1136;top:689;width:160;height:535" filled="true" fillcolor="#ebf3da" stroked="false">
              <v:fill type="solid"/>
            </v:rect>
            <v:rect style="position:absolute;left:1136;top:689;width:160;height:535" filled="false" stroked="true" strokeweight=".5pt" strokecolor="#000000">
              <v:stroke dashstyle="solid"/>
            </v:rect>
            <v:rect style="position:absolute;left:1136;top:676;width:160;height:15" filled="true" fillcolor="#f6bd61" stroked="false">
              <v:fill type="solid"/>
            </v:rect>
            <v:shape style="position:absolute;left:1131;top:673;width:170;height:14" coordorigin="1132,673" coordsize="170,14" path="m1132,673l1302,673m1132,687l1302,687e" filled="false" stroked="true" strokeweight=".375pt" strokecolor="#000000">
              <v:path arrowok="t"/>
              <v:stroke dashstyle="solid"/>
            </v:shape>
            <v:rect style="position:absolute;left:1136;top:461;width:160;height:215" filled="true" fillcolor="#c7c7c7" stroked="false">
              <v:fill type="solid"/>
            </v:rect>
            <v:rect style="position:absolute;left:1136;top:461;width:160;height:215" filled="false" stroked="true" strokeweight=".5pt" strokecolor="#000000">
              <v:stroke dashstyle="solid"/>
            </v:rect>
            <v:rect style="position:absolute;left:1136;top:1221;width:160;height:228" filled="true" fillcolor="#0099d9" stroked="false">
              <v:fill type="solid"/>
            </v:rect>
            <v:rect style="position:absolute;left:1136;top:1221;width:160;height:230" filled="false" stroked="true" strokeweight=".5pt" strokecolor="#000000">
              <v:stroke dashstyle="solid"/>
            </v:rect>
            <v:rect style="position:absolute;left:1136;top:1449;width:160;height:230" filled="true" fillcolor="#de0035" stroked="false">
              <v:fill type="solid"/>
            </v:rect>
            <v:rect style="position:absolute;left:1136;top:1449;width:160;height:230" filled="false" stroked="true" strokeweight=".5pt" strokecolor="#000000">
              <v:stroke dashstyle="solid"/>
            </v:rect>
            <v:rect style="position:absolute;left:1544;top:734;width:173;height:490" filled="true" fillcolor="#ebf3da" stroked="false">
              <v:fill type="solid"/>
            </v:rect>
            <v:rect style="position:absolute;left:1544;top:734;width:173;height:490" filled="false" stroked="true" strokeweight=".5pt" strokecolor="#000000">
              <v:stroke dashstyle="solid"/>
            </v:rect>
            <v:rect style="position:absolute;left:1544;top:616;width:173;height:120" filled="true" fillcolor="#f6bd61" stroked="false">
              <v:fill type="solid"/>
            </v:rect>
            <v:rect style="position:absolute;left:1544;top:614;width:173;height:123" filled="false" stroked="true" strokeweight=".5pt" strokecolor="#000000">
              <v:stroke dashstyle="solid"/>
            </v:rect>
            <v:rect style="position:absolute;left:1544;top:419;width:173;height:198" filled="true" fillcolor="#c7c7c7" stroked="false">
              <v:fill type="solid"/>
            </v:rect>
            <v:rect style="position:absolute;left:1544;top:416;width:173;height:200" filled="false" stroked="true" strokeweight=".5pt" strokecolor="#000000">
              <v:stroke dashstyle="solid"/>
            </v:rect>
            <v:rect style="position:absolute;left:1544;top:249;width:173;height:170" filled="true" fillcolor="#0099d9" stroked="false">
              <v:fill type="solid"/>
            </v:rect>
            <v:rect style="position:absolute;left:1544;top:249;width:173;height:170" filled="false" stroked="true" strokeweight=".5pt" strokecolor="#000000">
              <v:stroke dashstyle="solid"/>
            </v:rect>
            <v:rect style="position:absolute;left:1544;top:1221;width:173;height:185" filled="true" fillcolor="#de0035" stroked="false">
              <v:fill type="solid"/>
            </v:rect>
            <v:rect style="position:absolute;left:1544;top:1221;width:173;height:185" filled="false" stroked="true" strokeweight=".5pt" strokecolor="#000000">
              <v:stroke dashstyle="solid"/>
            </v:rect>
            <v:rect style="position:absolute;left:1961;top:659;width:163;height:565" filled="true" fillcolor="#ebf3da" stroked="false">
              <v:fill type="solid"/>
            </v:rect>
            <v:rect style="position:absolute;left:1961;top:659;width:163;height:565" filled="false" stroked="true" strokeweight=".5pt" strokecolor="#000000">
              <v:stroke dashstyle="solid"/>
            </v:rect>
            <v:rect style="position:absolute;left:1961;top:449;width:163;height:213" filled="true" fillcolor="#f6bd61" stroked="false">
              <v:fill type="solid"/>
            </v:rect>
            <v:rect style="position:absolute;left:1961;top:446;width:163;height:215" filled="false" stroked="true" strokeweight=".5pt" strokecolor="#000000">
              <v:stroke dashstyle="solid"/>
            </v:rect>
            <v:rect style="position:absolute;left:1961;top:266;width:163;height:183" filled="true" fillcolor="#c7c7c7" stroked="false">
              <v:fill type="solid"/>
            </v:rect>
            <v:rect style="position:absolute;left:1961;top:264;width:163;height:185" filled="false" stroked="true" strokeweight=".5pt" strokecolor="#000000">
              <v:stroke dashstyle="solid"/>
            </v:rect>
            <v:rect style="position:absolute;left:1961;top:-11;width:163;height:278" filled="true" fillcolor="#0099d9" stroked="false">
              <v:fill type="solid"/>
            </v:rect>
            <v:rect style="position:absolute;left:1961;top:-11;width:163;height:278" filled="false" stroked="true" strokeweight=".5pt" strokecolor="#000000">
              <v:stroke dashstyle="solid"/>
            </v:rect>
            <v:rect style="position:absolute;left:1961;top:1221;width:163;height:63" filled="true" fillcolor="#de0035" stroked="false">
              <v:fill type="solid"/>
            </v:rect>
            <v:rect style="position:absolute;left:1961;top:1221;width:163;height:63" filled="false" stroked="true" strokeweight=".5pt" strokecolor="#000000">
              <v:stroke dashstyle="solid"/>
            </v:rect>
            <v:rect style="position:absolute;left:2369;top:506;width:163;height:718" filled="true" fillcolor="#ebf3da" stroked="false">
              <v:fill type="solid"/>
            </v:rect>
            <v:rect style="position:absolute;left:2369;top:506;width:163;height:718" filled="false" stroked="true" strokeweight=".5pt" strokecolor="#000000">
              <v:stroke dashstyle="solid"/>
            </v:rect>
            <v:rect style="position:absolute;left:2369;top:1221;width:163;height:30" filled="true" fillcolor="#f6bd61" stroked="false">
              <v:fill type="solid"/>
            </v:rect>
            <v:rect style="position:absolute;left:2369;top:1221;width:163;height:33" filled="false" stroked="true" strokeweight=".5pt" strokecolor="#000000">
              <v:stroke dashstyle="solid"/>
            </v:rect>
            <v:rect style="position:absolute;left:2369;top:96;width:163;height:413" filled="true" fillcolor="#c7c7c7" stroked="false">
              <v:fill type="solid"/>
            </v:rect>
            <v:rect style="position:absolute;left:2369;top:96;width:163;height:413" filled="false" stroked="true" strokeweight=".5pt" strokecolor="#000000">
              <v:stroke dashstyle="solid"/>
            </v:rect>
            <v:rect style="position:absolute;left:2369;top:1251;width:163;height:278" filled="true" fillcolor="#0099d9" stroked="false">
              <v:fill type="solid"/>
            </v:rect>
            <v:rect style="position:absolute;left:2369;top:1251;width:163;height:278" filled="false" stroked="true" strokeweight=".5pt" strokecolor="#000000">
              <v:stroke dashstyle="solid"/>
            </v:rect>
            <v:rect style="position:absolute;left:2369;top:1526;width:163;height:168" filled="true" fillcolor="#de0035" stroked="false">
              <v:fill type="solid"/>
            </v:rect>
            <v:rect style="position:absolute;left:2369;top:1526;width:163;height:168" filled="false" stroked="true" strokeweight=".5pt" strokecolor="#000000">
              <v:stroke dashstyle="solid"/>
            </v:rect>
            <v:rect style="position:absolute;left:2779;top:931;width:160;height:293" filled="true" fillcolor="#ebf3da" stroked="false">
              <v:fill type="solid"/>
            </v:rect>
            <v:rect style="position:absolute;left:2779;top:931;width:160;height:293" filled="false" stroked="true" strokeweight=".5pt" strokecolor="#000000">
              <v:stroke dashstyle="solid"/>
            </v:rect>
            <v:rect style="position:absolute;left:2779;top:814;width:160;height:120" filled="true" fillcolor="#f6bd61" stroked="false">
              <v:fill type="solid"/>
            </v:rect>
            <v:rect style="position:absolute;left:2779;top:811;width:160;height:123" filled="false" stroked="true" strokeweight=".5pt" strokecolor="#000000">
              <v:stroke dashstyle="solid"/>
            </v:rect>
            <v:rect style="position:absolute;left:2779;top:521;width:160;height:293" filled="true" fillcolor="#c7c7c7" stroked="false">
              <v:fill type="solid"/>
            </v:rect>
            <v:rect style="position:absolute;left:2779;top:521;width:160;height:293" filled="false" stroked="true" strokeweight=".5pt" strokecolor="#000000">
              <v:stroke dashstyle="solid"/>
            </v:rect>
            <v:rect style="position:absolute;left:2779;top:249;width:160;height:275" filled="true" fillcolor="#0099d9" stroked="false">
              <v:fill type="solid"/>
            </v:rect>
            <v:rect style="position:absolute;left:2779;top:249;width:160;height:275" filled="false" stroked="true" strokeweight=".5pt" strokecolor="#000000">
              <v:stroke dashstyle="solid"/>
            </v:rect>
            <v:rect style="position:absolute;left:2779;top:1221;width:160;height:170" filled="true" fillcolor="#de0035" stroked="false">
              <v:fill type="solid"/>
            </v:rect>
            <v:rect style="position:absolute;left:2779;top:1221;width:160;height:170" filled="false" stroked="true" strokeweight=".5pt" strokecolor="#000000">
              <v:stroke dashstyle="solid"/>
            </v:rect>
            <v:rect style="position:absolute;left:3186;top:796;width:173;height:428" filled="true" fillcolor="#ebf3da" stroked="false">
              <v:fill type="solid"/>
            </v:rect>
            <v:rect style="position:absolute;left:3186;top:796;width:173;height:428" filled="false" stroked="true" strokeweight=".5pt" strokecolor="#000000">
              <v:stroke dashstyle="solid"/>
            </v:rect>
            <v:rect style="position:absolute;left:3186;top:1221;width:173;height:33" filled="true" fillcolor="#f6bd61" stroked="false">
              <v:fill type="solid"/>
            </v:rect>
            <v:rect style="position:absolute;left:3186;top:1221;width:173;height:33" filled="false" stroked="true" strokeweight=".5pt" strokecolor="#000000">
              <v:stroke dashstyle="solid"/>
            </v:rect>
            <v:rect style="position:absolute;left:3186;top:704;width:173;height:95" filled="true" fillcolor="#c7c7c7" stroked="false">
              <v:fill type="solid"/>
            </v:rect>
            <v:rect style="position:absolute;left:3186;top:704;width:173;height:95" filled="false" stroked="true" strokeweight=".5pt" strokecolor="#000000">
              <v:stroke dashstyle="solid"/>
            </v:rect>
            <v:rect style="position:absolute;left:3186;top:1251;width:173;height:45" filled="true" fillcolor="#0099d9" stroked="false">
              <v:fill type="solid"/>
            </v:rect>
            <v:rect style="position:absolute;left:3186;top:1251;width:173;height:48" filled="false" stroked="true" strokeweight=".5pt" strokecolor="#000000">
              <v:stroke dashstyle="solid"/>
            </v:rect>
            <v:rect style="position:absolute;left:3186;top:1296;width:173;height:155" filled="true" fillcolor="#de0035" stroked="false">
              <v:fill type="solid"/>
            </v:rect>
            <v:rect style="position:absolute;left:3186;top:1296;width:173;height:155" filled="false" stroked="true" strokeweight=".5pt" strokecolor="#000000">
              <v:stroke dashstyle="solid"/>
            </v:rect>
            <v:rect style="position:absolute;left:3604;top:946;width:163;height:278" filled="true" fillcolor="#ebf3da" stroked="false">
              <v:fill type="solid"/>
            </v:rect>
            <v:rect style="position:absolute;left:3604;top:946;width:163;height:278" filled="false" stroked="true" strokeweight=".5pt" strokecolor="#000000">
              <v:stroke dashstyle="solid"/>
            </v:rect>
            <v:rect style="position:absolute;left:3604;top:871;width:163;height:78" filled="true" fillcolor="#f6bd61" stroked="false">
              <v:fill type="solid"/>
            </v:rect>
            <v:rect style="position:absolute;left:3604;top:871;width:163;height:78" filled="false" stroked="true" strokeweight=".5pt" strokecolor="#000000">
              <v:stroke dashstyle="solid"/>
            </v:rect>
            <v:rect style="position:absolute;left:3604;top:1221;width:163;height:48" filled="true" fillcolor="#c7c7c7" stroked="false">
              <v:fill type="solid"/>
            </v:rect>
            <v:rect style="position:absolute;left:3604;top:1221;width:163;height:48" filled="false" stroked="true" strokeweight=".5pt" strokecolor="#000000">
              <v:stroke dashstyle="solid"/>
            </v:rect>
            <v:rect style="position:absolute;left:3604;top:1266;width:163;height:30" filled="true" fillcolor="#0099d9" stroked="false">
              <v:fill type="solid"/>
            </v:rect>
            <v:rect style="position:absolute;left:3604;top:1266;width:163;height:33" filled="false" stroked="true" strokeweight=".5pt" strokecolor="#000000">
              <v:stroke dashstyle="solid"/>
            </v:rect>
            <v:rect style="position:absolute;left:3604;top:1296;width:163;height:95" filled="true" fillcolor="#de0035" stroked="false">
              <v:fill type="solid"/>
            </v:rect>
            <v:shape style="position:absolute;left:1016;top:1221;width:2878;height:170" coordorigin="1017,1222" coordsize="2878,170" path="m3604,1297l3767,1297,3767,1392,3604,1392,3604,1297xm1017,1222l3894,1224e" filled="false" stroked="true" strokeweight=".5pt" strokecolor="#000000">
              <v:path arrowok="t"/>
              <v:stroke dashstyle="solid"/>
            </v:shape>
            <v:shape style="position:absolute;left:1226;top:66;width:2458;height:958" coordorigin="1227,67" coordsize="2458,958" path="m1227,872l1634,417m1634,417l2042,67m2042,67l2459,537m2459,537l2867,417m2867,417l3277,902m3277,902l3684,1024e" filled="false" stroked="true" strokeweight="1pt" strokecolor="#008360">
              <v:path arrowok="t"/>
              <v:stroke dashstyle="solid"/>
            </v:shape>
            <v:shape style="position:absolute;left:858;top:66;width:3194;height:1454" coordorigin="859,66" coordsize="3194,1454" path="m859,66l946,66m859,355l946,355m859,644l946,644m859,933l946,933m859,1222l946,1222m859,1511l946,1511m3966,75l4053,75m3966,364l4053,364m3966,653l4053,653m3966,942l4053,942m3966,1231l4053,1231m3966,1520l4053,1520e" filled="false" stroked="true" strokeweight=".5pt" strokecolor="#000000">
              <v:path arrowok="t"/>
              <v:stroke dashstyle="solid"/>
            </v:shape>
            <v:shape style="position:absolute;left:4032;top:1057;width:118;height:350" type="#_x0000_t202" filled="false" stroked="false">
              <v:textbox inset="0,0,0,0">
                <w:txbxContent>
                  <w:p>
                    <w:pPr>
                      <w:spacing w:line="153" w:lineRule="exact" w:before="0"/>
                      <w:ind w:left="0" w:right="0" w:firstLine="0"/>
                      <w:jc w:val="left"/>
                      <w:rPr>
                        <w:sz w:val="16"/>
                      </w:rPr>
                    </w:pPr>
                    <w:r>
                      <w:rPr>
                        <w:w w:val="107"/>
                        <w:sz w:val="16"/>
                      </w:rPr>
                      <w:t>+</w:t>
                    </w:r>
                  </w:p>
                  <w:p>
                    <w:pPr>
                      <w:spacing w:before="5"/>
                      <w:ind w:left="1" w:right="0" w:firstLine="0"/>
                      <w:jc w:val="left"/>
                      <w:rPr>
                        <w:sz w:val="16"/>
                      </w:rPr>
                    </w:pPr>
                    <w:r>
                      <w:rPr>
                        <w:w w:val="117"/>
                        <w:sz w:val="16"/>
                      </w:rPr>
                      <w:t>–</w:t>
                    </w:r>
                  </w:p>
                </w:txbxContent>
              </v:textbox>
              <w10:wrap type="none"/>
            </v:shape>
            <w10:wrap type="none"/>
          </v:group>
        </w:pict>
      </w:r>
      <w:r>
        <w:rPr>
          <w:w w:val="115"/>
          <w:sz w:val="12"/>
        </w:rPr>
        <w:t>2.0</w:t>
      </w:r>
    </w:p>
    <w:p>
      <w:pPr>
        <w:pStyle w:val="BodyText"/>
        <w:spacing w:before="1"/>
        <w:rPr>
          <w:sz w:val="13"/>
        </w:rPr>
      </w:pPr>
    </w:p>
    <w:p>
      <w:pPr>
        <w:spacing w:before="0"/>
        <w:ind w:left="32" w:right="0" w:firstLine="0"/>
        <w:jc w:val="left"/>
        <w:rPr>
          <w:sz w:val="12"/>
        </w:rPr>
      </w:pPr>
      <w:r>
        <w:rPr>
          <w:w w:val="115"/>
          <w:sz w:val="12"/>
        </w:rPr>
        <w:t>1.5</w:t>
      </w:r>
    </w:p>
    <w:p>
      <w:pPr>
        <w:pStyle w:val="BodyText"/>
        <w:spacing w:before="1"/>
        <w:rPr>
          <w:sz w:val="13"/>
        </w:rPr>
      </w:pPr>
    </w:p>
    <w:p>
      <w:pPr>
        <w:spacing w:before="1"/>
        <w:ind w:left="32" w:right="0" w:firstLine="0"/>
        <w:jc w:val="left"/>
        <w:rPr>
          <w:sz w:val="12"/>
        </w:rPr>
      </w:pPr>
      <w:r>
        <w:rPr>
          <w:w w:val="115"/>
          <w:sz w:val="12"/>
        </w:rPr>
        <w:t>1.0</w:t>
      </w:r>
    </w:p>
    <w:p>
      <w:pPr>
        <w:pStyle w:val="BodyText"/>
        <w:spacing w:before="1"/>
        <w:rPr>
          <w:sz w:val="13"/>
        </w:rPr>
      </w:pPr>
    </w:p>
    <w:p>
      <w:pPr>
        <w:spacing w:before="0"/>
        <w:ind w:left="32" w:right="0" w:firstLine="0"/>
        <w:jc w:val="left"/>
        <w:rPr>
          <w:sz w:val="12"/>
        </w:rPr>
      </w:pPr>
      <w:r>
        <w:rPr>
          <w:w w:val="115"/>
          <w:sz w:val="12"/>
        </w:rPr>
        <w:t>0.5</w:t>
      </w:r>
    </w:p>
    <w:p>
      <w:pPr>
        <w:pStyle w:val="BodyText"/>
        <w:spacing w:before="1"/>
        <w:rPr>
          <w:sz w:val="13"/>
        </w:rPr>
      </w:pPr>
    </w:p>
    <w:p>
      <w:pPr>
        <w:spacing w:before="0"/>
        <w:ind w:left="32" w:right="0" w:firstLine="0"/>
        <w:jc w:val="left"/>
        <w:rPr>
          <w:sz w:val="12"/>
        </w:rPr>
      </w:pPr>
      <w:r>
        <w:rPr>
          <w:w w:val="115"/>
          <w:sz w:val="12"/>
        </w:rPr>
        <w:t>0.0</w:t>
      </w:r>
    </w:p>
    <w:p>
      <w:pPr>
        <w:pStyle w:val="BodyText"/>
        <w:spacing w:before="1"/>
        <w:rPr>
          <w:sz w:val="13"/>
        </w:rPr>
      </w:pPr>
    </w:p>
    <w:p>
      <w:pPr>
        <w:spacing w:before="0"/>
        <w:ind w:left="32" w:right="0" w:firstLine="0"/>
        <w:jc w:val="left"/>
        <w:rPr>
          <w:sz w:val="12"/>
        </w:rPr>
      </w:pPr>
      <w:r>
        <w:rPr>
          <w:w w:val="115"/>
          <w:sz w:val="12"/>
        </w:rPr>
        <w:t>0.5</w:t>
      </w:r>
    </w:p>
    <w:p>
      <w:pPr>
        <w:pStyle w:val="BodyText"/>
        <w:spacing w:before="1"/>
        <w:rPr>
          <w:sz w:val="13"/>
        </w:rPr>
      </w:pPr>
    </w:p>
    <w:p>
      <w:pPr>
        <w:spacing w:before="1"/>
        <w:ind w:left="32" w:right="0" w:firstLine="0"/>
        <w:jc w:val="left"/>
        <w:rPr>
          <w:sz w:val="12"/>
        </w:rPr>
      </w:pPr>
      <w:r>
        <w:rPr>
          <w:w w:val="115"/>
          <w:sz w:val="12"/>
        </w:rPr>
        <w:t>1.0</w:t>
      </w:r>
    </w:p>
    <w:p>
      <w:pPr>
        <w:pStyle w:val="BodyText"/>
        <w:spacing w:line="292" w:lineRule="auto" w:before="85"/>
        <w:ind w:left="218" w:right="82"/>
      </w:pPr>
      <w:r>
        <w:rPr/>
        <w:br w:type="column"/>
      </w:r>
      <w:r>
        <w:rPr>
          <w:spacing w:val="-4"/>
          <w:w w:val="110"/>
        </w:rPr>
        <w:t>2000 </w:t>
      </w:r>
      <w:r>
        <w:rPr>
          <w:w w:val="110"/>
        </w:rPr>
        <w:t>Q4, taking the annual </w:t>
      </w:r>
      <w:r>
        <w:rPr>
          <w:spacing w:val="-4"/>
          <w:w w:val="110"/>
        </w:rPr>
        <w:t>rate </w:t>
      </w:r>
      <w:r>
        <w:rPr>
          <w:w w:val="110"/>
        </w:rPr>
        <w:t>of growth down </w:t>
      </w:r>
      <w:r>
        <w:rPr>
          <w:spacing w:val="-4"/>
          <w:w w:val="110"/>
        </w:rPr>
        <w:t>to </w:t>
      </w:r>
      <w:r>
        <w:rPr>
          <w:w w:val="110"/>
        </w:rPr>
        <w:t>3.5%, compared with a </w:t>
      </w:r>
      <w:r>
        <w:rPr>
          <w:spacing w:val="-4"/>
          <w:w w:val="110"/>
        </w:rPr>
        <w:t>rate </w:t>
      </w:r>
      <w:r>
        <w:rPr>
          <w:w w:val="110"/>
        </w:rPr>
        <w:t>of just </w:t>
      </w:r>
      <w:r>
        <w:rPr>
          <w:spacing w:val="-3"/>
          <w:w w:val="110"/>
        </w:rPr>
        <w:t>over </w:t>
      </w:r>
      <w:r>
        <w:rPr>
          <w:w w:val="110"/>
        </w:rPr>
        <w:t>6% in </w:t>
      </w:r>
      <w:r>
        <w:rPr>
          <w:spacing w:val="-4"/>
          <w:w w:val="110"/>
        </w:rPr>
        <w:t>2000 </w:t>
      </w:r>
      <w:r>
        <w:rPr>
          <w:w w:val="110"/>
        </w:rPr>
        <w:t>Q2. Some slowing</w:t>
      </w:r>
      <w:r>
        <w:rPr>
          <w:spacing w:val="-17"/>
          <w:w w:val="110"/>
        </w:rPr>
        <w:t> </w:t>
      </w:r>
      <w:r>
        <w:rPr>
          <w:w w:val="110"/>
        </w:rPr>
        <w:t>of</w:t>
      </w:r>
      <w:r>
        <w:rPr>
          <w:spacing w:val="-16"/>
          <w:w w:val="110"/>
        </w:rPr>
        <w:t> </w:t>
      </w:r>
      <w:r>
        <w:rPr>
          <w:w w:val="110"/>
        </w:rPr>
        <w:t>growth</w:t>
      </w:r>
      <w:r>
        <w:rPr>
          <w:spacing w:val="-16"/>
          <w:w w:val="110"/>
        </w:rPr>
        <w:t> </w:t>
      </w:r>
      <w:r>
        <w:rPr>
          <w:w w:val="110"/>
        </w:rPr>
        <w:t>in</w:t>
      </w:r>
      <w:r>
        <w:rPr>
          <w:spacing w:val="-16"/>
          <w:w w:val="110"/>
        </w:rPr>
        <w:t> </w:t>
      </w:r>
      <w:r>
        <w:rPr>
          <w:w w:val="110"/>
        </w:rPr>
        <w:t>the</w:t>
      </w:r>
      <w:r>
        <w:rPr>
          <w:spacing w:val="-17"/>
          <w:w w:val="110"/>
        </w:rPr>
        <w:t> </w:t>
      </w:r>
      <w:r>
        <w:rPr>
          <w:w w:val="110"/>
        </w:rPr>
        <w:t>United</w:t>
      </w:r>
      <w:r>
        <w:rPr>
          <w:spacing w:val="-16"/>
          <w:w w:val="110"/>
        </w:rPr>
        <w:t> </w:t>
      </w:r>
      <w:r>
        <w:rPr>
          <w:spacing w:val="-3"/>
          <w:w w:val="110"/>
        </w:rPr>
        <w:t>States</w:t>
      </w:r>
      <w:r>
        <w:rPr>
          <w:spacing w:val="-16"/>
          <w:w w:val="110"/>
        </w:rPr>
        <w:t> </w:t>
      </w:r>
      <w:r>
        <w:rPr>
          <w:w w:val="110"/>
        </w:rPr>
        <w:t>had</w:t>
      </w:r>
      <w:r>
        <w:rPr>
          <w:spacing w:val="-16"/>
          <w:w w:val="110"/>
        </w:rPr>
        <w:t> </w:t>
      </w:r>
      <w:r>
        <w:rPr>
          <w:w w:val="110"/>
        </w:rPr>
        <w:t>been</w:t>
      </w:r>
      <w:r>
        <w:rPr>
          <w:spacing w:val="-16"/>
          <w:w w:val="110"/>
        </w:rPr>
        <w:t> </w:t>
      </w:r>
      <w:r>
        <w:rPr>
          <w:spacing w:val="-3"/>
          <w:w w:val="110"/>
        </w:rPr>
        <w:t>expected</w:t>
      </w:r>
      <w:r>
        <w:rPr>
          <w:spacing w:val="-17"/>
          <w:w w:val="110"/>
        </w:rPr>
        <w:t> </w:t>
      </w:r>
      <w:r>
        <w:rPr>
          <w:w w:val="110"/>
        </w:rPr>
        <w:t>for some</w:t>
      </w:r>
      <w:r>
        <w:rPr>
          <w:spacing w:val="-18"/>
          <w:w w:val="110"/>
        </w:rPr>
        <w:t> </w:t>
      </w:r>
      <w:r>
        <w:rPr>
          <w:w w:val="110"/>
        </w:rPr>
        <w:t>time,</w:t>
      </w:r>
      <w:r>
        <w:rPr>
          <w:spacing w:val="-18"/>
          <w:w w:val="110"/>
        </w:rPr>
        <w:t> </w:t>
      </w:r>
      <w:r>
        <w:rPr>
          <w:w w:val="110"/>
        </w:rPr>
        <w:t>as</w:t>
      </w:r>
      <w:r>
        <w:rPr>
          <w:spacing w:val="-17"/>
          <w:w w:val="110"/>
        </w:rPr>
        <w:t> </w:t>
      </w:r>
      <w:r>
        <w:rPr>
          <w:w w:val="110"/>
        </w:rPr>
        <w:t>output</w:t>
      </w:r>
      <w:r>
        <w:rPr>
          <w:spacing w:val="-18"/>
          <w:w w:val="110"/>
        </w:rPr>
        <w:t> </w:t>
      </w:r>
      <w:r>
        <w:rPr>
          <w:w w:val="110"/>
        </w:rPr>
        <w:t>had</w:t>
      </w:r>
      <w:r>
        <w:rPr>
          <w:spacing w:val="-17"/>
          <w:w w:val="110"/>
        </w:rPr>
        <w:t> </w:t>
      </w:r>
      <w:r>
        <w:rPr>
          <w:w w:val="110"/>
        </w:rPr>
        <w:t>been</w:t>
      </w:r>
      <w:r>
        <w:rPr>
          <w:spacing w:val="-18"/>
          <w:w w:val="110"/>
        </w:rPr>
        <w:t> </w:t>
      </w:r>
      <w:r>
        <w:rPr>
          <w:w w:val="110"/>
        </w:rPr>
        <w:t>growing</w:t>
      </w:r>
      <w:r>
        <w:rPr>
          <w:spacing w:val="-17"/>
          <w:w w:val="110"/>
        </w:rPr>
        <w:t> </w:t>
      </w:r>
      <w:r>
        <w:rPr>
          <w:w w:val="110"/>
        </w:rPr>
        <w:t>more</w:t>
      </w:r>
      <w:r>
        <w:rPr>
          <w:spacing w:val="-18"/>
          <w:w w:val="110"/>
        </w:rPr>
        <w:t> </w:t>
      </w:r>
      <w:r>
        <w:rPr>
          <w:w w:val="110"/>
        </w:rPr>
        <w:t>quickly</w:t>
      </w:r>
      <w:r>
        <w:rPr>
          <w:spacing w:val="-18"/>
          <w:w w:val="110"/>
        </w:rPr>
        <w:t> </w:t>
      </w:r>
      <w:r>
        <w:rPr>
          <w:w w:val="110"/>
        </w:rPr>
        <w:t>than</w:t>
      </w:r>
      <w:r>
        <w:rPr>
          <w:spacing w:val="-17"/>
          <w:w w:val="110"/>
        </w:rPr>
        <w:t> </w:t>
      </w:r>
      <w:r>
        <w:rPr>
          <w:w w:val="110"/>
        </w:rPr>
        <w:t>the likely supply capacity could sustain in the long run. But recent data on the real </w:t>
      </w:r>
      <w:r>
        <w:rPr>
          <w:spacing w:val="-4"/>
          <w:w w:val="110"/>
        </w:rPr>
        <w:t>economy, </w:t>
      </w:r>
      <w:r>
        <w:rPr>
          <w:w w:val="110"/>
        </w:rPr>
        <w:t>as well as declines in asset prices and confidence indicators, have prompted </w:t>
      </w:r>
      <w:r>
        <w:rPr>
          <w:spacing w:val="-3"/>
          <w:w w:val="110"/>
        </w:rPr>
        <w:t>downward </w:t>
      </w:r>
      <w:r>
        <w:rPr>
          <w:w w:val="110"/>
        </w:rPr>
        <w:t>revisions</w:t>
      </w:r>
      <w:r>
        <w:rPr>
          <w:spacing w:val="-16"/>
          <w:w w:val="110"/>
        </w:rPr>
        <w:t> </w:t>
      </w:r>
      <w:r>
        <w:rPr>
          <w:spacing w:val="-4"/>
          <w:w w:val="110"/>
        </w:rPr>
        <w:t>to</w:t>
      </w:r>
      <w:r>
        <w:rPr>
          <w:spacing w:val="-15"/>
          <w:w w:val="110"/>
        </w:rPr>
        <w:t> </w:t>
      </w:r>
      <w:r>
        <w:rPr>
          <w:w w:val="110"/>
        </w:rPr>
        <w:t>forecasts</w:t>
      </w:r>
      <w:r>
        <w:rPr>
          <w:spacing w:val="-15"/>
          <w:w w:val="110"/>
        </w:rPr>
        <w:t> </w:t>
      </w:r>
      <w:r>
        <w:rPr>
          <w:w w:val="110"/>
        </w:rPr>
        <w:t>for</w:t>
      </w:r>
      <w:r>
        <w:rPr>
          <w:spacing w:val="-16"/>
          <w:w w:val="110"/>
        </w:rPr>
        <w:t> </w:t>
      </w:r>
      <w:r>
        <w:rPr>
          <w:w w:val="110"/>
        </w:rPr>
        <w:t>US</w:t>
      </w:r>
      <w:r>
        <w:rPr>
          <w:spacing w:val="-15"/>
          <w:w w:val="110"/>
        </w:rPr>
        <w:t> </w:t>
      </w:r>
      <w:r>
        <w:rPr>
          <w:w w:val="110"/>
        </w:rPr>
        <w:t>GDP</w:t>
      </w:r>
      <w:r>
        <w:rPr>
          <w:spacing w:val="-15"/>
          <w:w w:val="110"/>
        </w:rPr>
        <w:t> </w:t>
      </w:r>
      <w:r>
        <w:rPr>
          <w:w w:val="110"/>
        </w:rPr>
        <w:t>growth</w:t>
      </w:r>
      <w:r>
        <w:rPr>
          <w:spacing w:val="-16"/>
          <w:w w:val="110"/>
        </w:rPr>
        <w:t> </w:t>
      </w:r>
      <w:r>
        <w:rPr>
          <w:w w:val="110"/>
        </w:rPr>
        <w:t>this</w:t>
      </w:r>
      <w:r>
        <w:rPr>
          <w:spacing w:val="-15"/>
          <w:w w:val="110"/>
        </w:rPr>
        <w:t> </w:t>
      </w:r>
      <w:r>
        <w:rPr>
          <w:w w:val="110"/>
        </w:rPr>
        <w:t>year</w:t>
      </w:r>
      <w:r>
        <w:rPr>
          <w:spacing w:val="-15"/>
          <w:w w:val="110"/>
        </w:rPr>
        <w:t> </w:t>
      </w:r>
      <w:r>
        <w:rPr>
          <w:w w:val="110"/>
        </w:rPr>
        <w:t>(see</w:t>
      </w:r>
    </w:p>
    <w:p>
      <w:pPr>
        <w:pStyle w:val="BodyText"/>
        <w:spacing w:line="225" w:lineRule="exact"/>
        <w:ind w:left="218"/>
      </w:pPr>
      <w:r>
        <w:rPr>
          <w:w w:val="110"/>
        </w:rPr>
        <w:t>Chart 2.2).</w:t>
      </w:r>
    </w:p>
    <w:p>
      <w:pPr>
        <w:pStyle w:val="BodyText"/>
      </w:pPr>
    </w:p>
    <w:p>
      <w:pPr>
        <w:pStyle w:val="BodyText"/>
        <w:spacing w:before="120"/>
        <w:ind w:left="218"/>
      </w:pPr>
      <w:r>
        <w:rPr>
          <w:w w:val="110"/>
        </w:rPr>
        <w:t>The slower growth in GDP and revisions to Consensus</w:t>
      </w:r>
    </w:p>
    <w:p>
      <w:pPr>
        <w:spacing w:after="0"/>
        <w:sectPr>
          <w:type w:val="continuous"/>
          <w:pgSz w:w="11900" w:h="16840"/>
          <w:pgMar w:top="1260" w:bottom="280" w:left="640" w:right="640"/>
          <w:cols w:num="5" w:equalWidth="0">
            <w:col w:w="1168" w:space="82"/>
            <w:col w:w="751" w:space="253"/>
            <w:col w:w="1150" w:space="40"/>
            <w:col w:w="244" w:space="1202"/>
            <w:col w:w="5730"/>
          </w:cols>
        </w:sectPr>
      </w:pPr>
    </w:p>
    <w:p>
      <w:pPr>
        <w:pStyle w:val="BodyText"/>
        <w:spacing w:before="11"/>
        <w:rPr>
          <w:sz w:val="16"/>
        </w:rPr>
      </w:pPr>
    </w:p>
    <w:p>
      <w:pPr>
        <w:spacing w:before="0"/>
        <w:ind w:left="458" w:right="0" w:firstLine="0"/>
        <w:jc w:val="left"/>
        <w:rPr>
          <w:sz w:val="12"/>
        </w:rPr>
      </w:pPr>
      <w:r>
        <w:rPr/>
        <w:pict>
          <v:shape style="position:absolute;margin-left:42.949001pt;margin-top:-7.999406pt;width:159.7pt;height:7.1pt;mso-position-horizontal-relative:page;mso-position-vertical-relative:paragraph;z-index:15928832" coordorigin="859,-160" coordsize="3194,142" path="m1017,-19l3906,-19m1015,-86l1015,-19m1426,-86l1426,-19m1838,-86l1838,-19m2250,-160l2250,-19m2661,-86l2661,-19m3073,-86l3073,-19m3485,-86l3485,-19m3897,-86l3897,-19m859,-27l946,-27m3966,-19l4053,-19e" filled="false" stroked="true" strokeweight=".5pt" strokecolor="#000000">
            <v:path arrowok="t"/>
            <v:stroke dashstyle="solid"/>
            <w10:wrap type="none"/>
          </v:shape>
        </w:pict>
      </w:r>
      <w:r>
        <w:rPr>
          <w:w w:val="105"/>
          <w:sz w:val="12"/>
        </w:rPr>
        <w:t>June Sept. Dec. Mar. June Sept. Dec.</w:t>
      </w:r>
    </w:p>
    <w:p>
      <w:pPr>
        <w:tabs>
          <w:tab w:pos="2306" w:val="left" w:leader="none"/>
        </w:tabs>
        <w:spacing w:before="42"/>
        <w:ind w:left="876" w:right="0" w:firstLine="0"/>
        <w:jc w:val="left"/>
        <w:rPr>
          <w:sz w:val="12"/>
        </w:rPr>
      </w:pPr>
      <w:r>
        <w:rPr>
          <w:w w:val="120"/>
          <w:sz w:val="12"/>
        </w:rPr>
        <w:t>1999</w:t>
        <w:tab/>
        <w:t>2000</w:t>
      </w:r>
    </w:p>
    <w:p>
      <w:pPr>
        <w:pStyle w:val="BodyText"/>
        <w:spacing w:before="4"/>
        <w:rPr>
          <w:sz w:val="11"/>
        </w:rPr>
      </w:pPr>
    </w:p>
    <w:p>
      <w:pPr>
        <w:spacing w:before="1"/>
        <w:ind w:left="168" w:right="0" w:firstLine="0"/>
        <w:jc w:val="left"/>
        <w:rPr>
          <w:sz w:val="12"/>
        </w:rPr>
      </w:pPr>
      <w:r>
        <w:rPr>
          <w:w w:val="105"/>
          <w:sz w:val="12"/>
        </w:rPr>
        <w:t>Source: United States Bureau of Economic Analysis.</w:t>
      </w:r>
    </w:p>
    <w:p>
      <w:pPr>
        <w:spacing w:before="100"/>
        <w:ind w:left="168" w:right="0" w:firstLine="0"/>
        <w:jc w:val="left"/>
        <w:rPr>
          <w:sz w:val="12"/>
        </w:rPr>
      </w:pPr>
      <w:r>
        <w:rPr/>
        <w:br w:type="column"/>
      </w:r>
      <w:r>
        <w:rPr>
          <w:w w:val="115"/>
          <w:sz w:val="12"/>
        </w:rPr>
        <w:t>1.5</w:t>
      </w:r>
    </w:p>
    <w:p>
      <w:pPr>
        <w:pStyle w:val="BodyText"/>
        <w:spacing w:line="292" w:lineRule="auto" w:before="50"/>
        <w:ind w:left="168"/>
      </w:pPr>
      <w:r>
        <w:rPr/>
        <w:br w:type="column"/>
      </w:r>
      <w:r>
        <w:rPr>
          <w:w w:val="110"/>
        </w:rPr>
        <w:t>forecasts</w:t>
      </w:r>
      <w:r>
        <w:rPr>
          <w:spacing w:val="-20"/>
          <w:w w:val="110"/>
        </w:rPr>
        <w:t> </w:t>
      </w:r>
      <w:r>
        <w:rPr>
          <w:w w:val="110"/>
        </w:rPr>
        <w:t>for</w:t>
      </w:r>
      <w:r>
        <w:rPr>
          <w:spacing w:val="-19"/>
          <w:w w:val="110"/>
        </w:rPr>
        <w:t> </w:t>
      </w:r>
      <w:r>
        <w:rPr>
          <w:w w:val="110"/>
        </w:rPr>
        <w:t>the</w:t>
      </w:r>
      <w:r>
        <w:rPr>
          <w:spacing w:val="-19"/>
          <w:w w:val="110"/>
        </w:rPr>
        <w:t> </w:t>
      </w:r>
      <w:r>
        <w:rPr>
          <w:w w:val="110"/>
        </w:rPr>
        <w:t>United</w:t>
      </w:r>
      <w:r>
        <w:rPr>
          <w:spacing w:val="-20"/>
          <w:w w:val="110"/>
        </w:rPr>
        <w:t> </w:t>
      </w:r>
      <w:r>
        <w:rPr>
          <w:spacing w:val="-3"/>
          <w:w w:val="110"/>
        </w:rPr>
        <w:t>States</w:t>
      </w:r>
      <w:r>
        <w:rPr>
          <w:spacing w:val="-19"/>
          <w:w w:val="110"/>
        </w:rPr>
        <w:t> </w:t>
      </w:r>
      <w:r>
        <w:rPr>
          <w:w w:val="110"/>
        </w:rPr>
        <w:t>are</w:t>
      </w:r>
      <w:r>
        <w:rPr>
          <w:spacing w:val="-19"/>
          <w:w w:val="110"/>
        </w:rPr>
        <w:t> </w:t>
      </w:r>
      <w:r>
        <w:rPr>
          <w:w w:val="110"/>
        </w:rPr>
        <w:t>mainly</w:t>
      </w:r>
      <w:r>
        <w:rPr>
          <w:spacing w:val="-20"/>
          <w:w w:val="110"/>
        </w:rPr>
        <w:t> </w:t>
      </w:r>
      <w:r>
        <w:rPr>
          <w:w w:val="110"/>
        </w:rPr>
        <w:t>accounted</w:t>
      </w:r>
      <w:r>
        <w:rPr>
          <w:spacing w:val="-19"/>
          <w:w w:val="110"/>
        </w:rPr>
        <w:t> </w:t>
      </w:r>
      <w:r>
        <w:rPr>
          <w:w w:val="110"/>
        </w:rPr>
        <w:t>for</w:t>
      </w:r>
      <w:r>
        <w:rPr>
          <w:spacing w:val="-19"/>
          <w:w w:val="110"/>
        </w:rPr>
        <w:t> </w:t>
      </w:r>
      <w:r>
        <w:rPr>
          <w:spacing w:val="-3"/>
          <w:w w:val="110"/>
        </w:rPr>
        <w:t>by weaker </w:t>
      </w:r>
      <w:r>
        <w:rPr>
          <w:w w:val="110"/>
        </w:rPr>
        <w:t>investment, particularly in information and communications technology (ICT) equipment. That is consistent</w:t>
      </w:r>
      <w:r>
        <w:rPr>
          <w:spacing w:val="-15"/>
          <w:w w:val="110"/>
        </w:rPr>
        <w:t> </w:t>
      </w:r>
      <w:r>
        <w:rPr>
          <w:w w:val="110"/>
        </w:rPr>
        <w:t>with</w:t>
      </w:r>
      <w:r>
        <w:rPr>
          <w:spacing w:val="-15"/>
          <w:w w:val="110"/>
        </w:rPr>
        <w:t> </w:t>
      </w:r>
      <w:r>
        <w:rPr>
          <w:w w:val="110"/>
        </w:rPr>
        <w:t>a</w:t>
      </w:r>
      <w:r>
        <w:rPr>
          <w:spacing w:val="-15"/>
          <w:w w:val="110"/>
        </w:rPr>
        <w:t> </w:t>
      </w:r>
      <w:r>
        <w:rPr>
          <w:w w:val="110"/>
        </w:rPr>
        <w:t>reappraisal</w:t>
      </w:r>
      <w:r>
        <w:rPr>
          <w:spacing w:val="-14"/>
          <w:w w:val="110"/>
        </w:rPr>
        <w:t> </w:t>
      </w:r>
      <w:r>
        <w:rPr>
          <w:w w:val="110"/>
        </w:rPr>
        <w:t>of</w:t>
      </w:r>
      <w:r>
        <w:rPr>
          <w:spacing w:val="-15"/>
          <w:w w:val="110"/>
        </w:rPr>
        <w:t> </w:t>
      </w:r>
      <w:r>
        <w:rPr>
          <w:w w:val="110"/>
        </w:rPr>
        <w:t>the</w:t>
      </w:r>
      <w:r>
        <w:rPr>
          <w:spacing w:val="-15"/>
          <w:w w:val="110"/>
        </w:rPr>
        <w:t> </w:t>
      </w:r>
      <w:r>
        <w:rPr>
          <w:spacing w:val="-3"/>
          <w:w w:val="110"/>
        </w:rPr>
        <w:t>expected</w:t>
      </w:r>
      <w:r>
        <w:rPr>
          <w:spacing w:val="-14"/>
          <w:w w:val="110"/>
        </w:rPr>
        <w:t> </w:t>
      </w:r>
      <w:r>
        <w:rPr>
          <w:w w:val="110"/>
        </w:rPr>
        <w:t>returns</w:t>
      </w:r>
      <w:r>
        <w:rPr>
          <w:spacing w:val="-15"/>
          <w:w w:val="110"/>
        </w:rPr>
        <w:t> </w:t>
      </w:r>
      <w:r>
        <w:rPr>
          <w:w w:val="110"/>
        </w:rPr>
        <w:t>from</w:t>
      </w:r>
    </w:p>
    <w:p>
      <w:pPr>
        <w:spacing w:after="0" w:line="292" w:lineRule="auto"/>
        <w:sectPr>
          <w:type w:val="continuous"/>
          <w:pgSz w:w="11900" w:h="16840"/>
          <w:pgMar w:top="1260" w:bottom="280" w:left="640" w:right="640"/>
          <w:cols w:num="3" w:equalWidth="0">
            <w:col w:w="3222" w:space="84"/>
            <w:col w:w="381" w:space="1253"/>
            <w:col w:w="5680"/>
          </w:cols>
        </w:sectPr>
      </w:pPr>
    </w:p>
    <w:p>
      <w:pPr>
        <w:pStyle w:val="BodyText"/>
      </w:pPr>
    </w:p>
    <w:p>
      <w:pPr>
        <w:spacing w:after="0"/>
        <w:sectPr>
          <w:headerReference w:type="even" r:id="rId85"/>
          <w:headerReference w:type="default" r:id="rId86"/>
          <w:footerReference w:type="even" r:id="rId87"/>
          <w:footerReference w:type="default" r:id="rId88"/>
          <w:pgSz w:w="11900" w:h="16840"/>
          <w:pgMar w:header="601" w:footer="575" w:top="800" w:bottom="760" w:left="640" w:right="640"/>
          <w:pgNumType w:start="16"/>
        </w:sectPr>
      </w:pPr>
    </w:p>
    <w:p>
      <w:pPr>
        <w:pStyle w:val="BodyText"/>
        <w:spacing w:before="8"/>
        <w:rPr>
          <w:sz w:val="21"/>
        </w:rPr>
      </w:pPr>
    </w:p>
    <w:p>
      <w:pPr>
        <w:pStyle w:val="Heading6"/>
        <w:spacing w:before="1"/>
        <w:ind w:left="183"/>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7"/>
        </w:rPr>
        <w:t>2.2</w:t>
      </w:r>
    </w:p>
    <w:p>
      <w:pPr>
        <w:spacing w:line="247" w:lineRule="auto" w:before="7"/>
        <w:ind w:left="183" w:right="0" w:firstLine="0"/>
        <w:jc w:val="left"/>
        <w:rPr>
          <w:rFonts w:ascii="Trebuchet MS"/>
          <w:b/>
          <w:sz w:val="20"/>
        </w:rPr>
      </w:pPr>
      <w:r>
        <w:rPr>
          <w:rFonts w:ascii="Trebuchet MS"/>
          <w:b/>
          <w:color w:val="89C6DC"/>
          <w:spacing w:val="-6"/>
          <w:w w:val="87"/>
          <w:sz w:val="20"/>
        </w:rPr>
        <w:t>E</w:t>
      </w:r>
      <w:r>
        <w:rPr>
          <w:rFonts w:ascii="Trebuchet MS"/>
          <w:b/>
          <w:color w:val="89C6DC"/>
          <w:spacing w:val="-2"/>
          <w:w w:val="91"/>
          <w:sz w:val="20"/>
        </w:rPr>
        <w:t>v</w:t>
      </w:r>
      <w:r>
        <w:rPr>
          <w:rFonts w:ascii="Trebuchet MS"/>
          <w:b/>
          <w:color w:val="89C6DC"/>
          <w:spacing w:val="-1"/>
          <w:w w:val="88"/>
          <w:sz w:val="20"/>
        </w:rPr>
        <w:t>olutio</w:t>
      </w:r>
      <w:r>
        <w:rPr>
          <w:rFonts w:ascii="Trebuchet MS"/>
          <w:b/>
          <w:color w:val="89C6DC"/>
          <w:w w:val="88"/>
          <w:sz w:val="20"/>
        </w:rPr>
        <w:t>n</w:t>
      </w:r>
      <w:r>
        <w:rPr>
          <w:rFonts w:ascii="Trebuchet MS"/>
          <w:b/>
          <w:color w:val="89C6DC"/>
          <w:spacing w:val="6"/>
          <w:sz w:val="20"/>
        </w:rPr>
        <w:t> </w:t>
      </w:r>
      <w:r>
        <w:rPr>
          <w:rFonts w:ascii="Trebuchet MS"/>
          <w:b/>
          <w:color w:val="89C6DC"/>
          <w:spacing w:val="-1"/>
          <w:w w:val="85"/>
          <w:sz w:val="20"/>
        </w:rPr>
        <w:t>o</w:t>
      </w:r>
      <w:r>
        <w:rPr>
          <w:rFonts w:ascii="Trebuchet MS"/>
          <w:b/>
          <w:color w:val="89C6DC"/>
          <w:w w:val="85"/>
          <w:sz w:val="20"/>
        </w:rPr>
        <w:t>f</w:t>
      </w:r>
      <w:r>
        <w:rPr>
          <w:rFonts w:ascii="Trebuchet MS"/>
          <w:b/>
          <w:color w:val="89C6DC"/>
          <w:spacing w:val="6"/>
          <w:sz w:val="20"/>
        </w:rPr>
        <w:t> </w:t>
      </w:r>
      <w:r>
        <w:rPr>
          <w:rFonts w:ascii="Trebuchet MS"/>
          <w:b/>
          <w:color w:val="89C6DC"/>
          <w:spacing w:val="-1"/>
          <w:w w:val="94"/>
          <w:sz w:val="20"/>
        </w:rPr>
        <w:t>Consensu</w:t>
      </w:r>
      <w:r>
        <w:rPr>
          <w:rFonts w:ascii="Trebuchet MS"/>
          <w:b/>
          <w:color w:val="89C6DC"/>
          <w:w w:val="94"/>
          <w:sz w:val="20"/>
        </w:rPr>
        <w:t>s</w:t>
      </w:r>
      <w:r>
        <w:rPr>
          <w:rFonts w:ascii="Trebuchet MS"/>
          <w:b/>
          <w:color w:val="89C6DC"/>
          <w:spacing w:val="6"/>
          <w:sz w:val="20"/>
        </w:rPr>
        <w:t> </w:t>
      </w:r>
      <w:r>
        <w:rPr>
          <w:rFonts w:ascii="Trebuchet MS"/>
          <w:b/>
          <w:color w:val="89C6DC"/>
          <w:spacing w:val="-1"/>
          <w:w w:val="83"/>
          <w:sz w:val="20"/>
        </w:rPr>
        <w:t>fo</w:t>
      </w:r>
      <w:r>
        <w:rPr>
          <w:rFonts w:ascii="Trebuchet MS"/>
          <w:b/>
          <w:color w:val="89C6DC"/>
          <w:spacing w:val="-4"/>
          <w:w w:val="83"/>
          <w:sz w:val="20"/>
        </w:rPr>
        <w:t>r</w:t>
      </w:r>
      <w:r>
        <w:rPr>
          <w:rFonts w:ascii="Trebuchet MS"/>
          <w:b/>
          <w:color w:val="89C6DC"/>
          <w:spacing w:val="-1"/>
          <w:w w:val="92"/>
          <w:sz w:val="20"/>
        </w:rPr>
        <w:t>ecast</w:t>
      </w:r>
      <w:r>
        <w:rPr>
          <w:rFonts w:ascii="Trebuchet MS"/>
          <w:b/>
          <w:color w:val="89C6DC"/>
          <w:w w:val="92"/>
          <w:sz w:val="20"/>
        </w:rPr>
        <w:t>s</w:t>
      </w:r>
      <w:r>
        <w:rPr>
          <w:rFonts w:ascii="Trebuchet MS"/>
          <w:b/>
          <w:color w:val="89C6DC"/>
          <w:spacing w:val="6"/>
          <w:sz w:val="20"/>
        </w:rPr>
        <w:t> </w:t>
      </w:r>
      <w:r>
        <w:rPr>
          <w:rFonts w:ascii="Trebuchet MS"/>
          <w:b/>
          <w:color w:val="89C6DC"/>
          <w:spacing w:val="-1"/>
          <w:w w:val="83"/>
          <w:sz w:val="20"/>
        </w:rPr>
        <w:t>fo</w:t>
      </w:r>
      <w:r>
        <w:rPr>
          <w:rFonts w:ascii="Trebuchet MS"/>
          <w:b/>
          <w:color w:val="89C6DC"/>
          <w:w w:val="83"/>
          <w:sz w:val="20"/>
        </w:rPr>
        <w:t>r</w:t>
      </w:r>
      <w:r>
        <w:rPr>
          <w:rFonts w:ascii="Trebuchet MS"/>
          <w:b/>
          <w:color w:val="89C6DC"/>
          <w:spacing w:val="6"/>
          <w:sz w:val="20"/>
        </w:rPr>
        <w:t> </w:t>
      </w:r>
      <w:r>
        <w:rPr>
          <w:rFonts w:ascii="Trebuchet MS"/>
          <w:b/>
          <w:smallCaps/>
          <w:color w:val="89C6DC"/>
          <w:spacing w:val="-1"/>
          <w:w w:val="87"/>
          <w:sz w:val="20"/>
        </w:rPr>
        <w:t>2001</w:t>
      </w:r>
      <w:r>
        <w:rPr>
          <w:rFonts w:ascii="Trebuchet MS"/>
          <w:b/>
          <w:smallCaps w:val="0"/>
          <w:color w:val="89C6DC"/>
          <w:spacing w:val="-1"/>
          <w:w w:val="87"/>
          <w:sz w:val="20"/>
        </w:rPr>
        <w:t> </w:t>
      </w:r>
      <w:r>
        <w:rPr>
          <w:rFonts w:ascii="Trebuchet MS"/>
          <w:b/>
          <w:smallCaps w:val="0"/>
          <w:color w:val="89C6DC"/>
          <w:spacing w:val="-1"/>
          <w:w w:val="93"/>
          <w:sz w:val="20"/>
        </w:rPr>
        <w:t>GD</w:t>
      </w:r>
      <w:r>
        <w:rPr>
          <w:rFonts w:ascii="Trebuchet MS"/>
          <w:b/>
          <w:smallCaps w:val="0"/>
          <w:color w:val="89C6DC"/>
          <w:w w:val="93"/>
          <w:sz w:val="20"/>
        </w:rPr>
        <w:t>P</w:t>
      </w:r>
      <w:r>
        <w:rPr>
          <w:rFonts w:ascii="Trebuchet MS"/>
          <w:b/>
          <w:smallCaps w:val="0"/>
          <w:color w:val="89C6DC"/>
          <w:spacing w:val="2"/>
          <w:sz w:val="20"/>
        </w:rPr>
        <w:t> </w:t>
      </w:r>
      <w:r>
        <w:rPr>
          <w:rFonts w:ascii="Trebuchet MS"/>
          <w:b/>
          <w:smallCaps w:val="0"/>
          <w:color w:val="89C6DC"/>
          <w:spacing w:val="-1"/>
          <w:w w:val="95"/>
          <w:sz w:val="20"/>
        </w:rPr>
        <w:t>g</w:t>
      </w:r>
      <w:r>
        <w:rPr>
          <w:rFonts w:ascii="Trebuchet MS"/>
          <w:b/>
          <w:smallCaps w:val="0"/>
          <w:color w:val="89C6DC"/>
          <w:spacing w:val="-2"/>
          <w:w w:val="95"/>
          <w:sz w:val="20"/>
        </w:rPr>
        <w:t>r</w:t>
      </w:r>
      <w:r>
        <w:rPr>
          <w:rFonts w:ascii="Trebuchet MS"/>
          <w:b/>
          <w:smallCaps w:val="0"/>
          <w:color w:val="89C6DC"/>
          <w:spacing w:val="-3"/>
          <w:w w:val="91"/>
          <w:sz w:val="20"/>
        </w:rPr>
        <w:t>o</w:t>
      </w:r>
      <w:r>
        <w:rPr>
          <w:rFonts w:ascii="Trebuchet MS"/>
          <w:b/>
          <w:smallCaps w:val="0"/>
          <w:color w:val="89C6DC"/>
          <w:spacing w:val="-1"/>
          <w:w w:val="88"/>
          <w:sz w:val="20"/>
        </w:rPr>
        <w:t>wth</w:t>
      </w:r>
    </w:p>
    <w:p>
      <w:pPr>
        <w:spacing w:line="110" w:lineRule="exact" w:before="67"/>
        <w:ind w:left="1907" w:right="0" w:firstLine="0"/>
        <w:jc w:val="left"/>
        <w:rPr>
          <w:sz w:val="12"/>
        </w:rPr>
      </w:pPr>
      <w:r>
        <w:rPr>
          <w:w w:val="110"/>
          <w:sz w:val="12"/>
        </w:rPr>
        <w:t>Percentage changes on 200</w:t>
      </w:r>
      <w:r>
        <w:rPr>
          <w:w w:val="110"/>
          <w:sz w:val="12"/>
          <w:u w:val="single"/>
        </w:rPr>
        <w:t>0</w:t>
      </w:r>
    </w:p>
    <w:p>
      <w:pPr>
        <w:spacing w:line="110" w:lineRule="exact" w:before="0"/>
        <w:ind w:left="3471" w:right="0" w:firstLine="0"/>
        <w:jc w:val="left"/>
        <w:rPr>
          <w:sz w:val="12"/>
        </w:rPr>
      </w:pPr>
      <w:r>
        <w:rPr/>
        <w:pict>
          <v:line style="position:absolute;mso-position-horizontal-relative:page;mso-position-vertical-relative:paragraph;z-index:15942144" from="42.438pt,2.597231pt" to="46.771pt,2.597231pt" stroked="true" strokeweight=".5pt" strokecolor="#000000">
            <v:stroke dashstyle="solid"/>
            <w10:wrap type="none"/>
          </v:line>
        </w:pict>
      </w:r>
      <w:r>
        <w:rPr>
          <w:w w:val="115"/>
          <w:sz w:val="12"/>
        </w:rPr>
        <w:t>5.0</w:t>
      </w:r>
    </w:p>
    <w:p>
      <w:pPr>
        <w:pStyle w:val="BodyText"/>
        <w:rPr>
          <w:sz w:val="12"/>
        </w:rPr>
      </w:pPr>
    </w:p>
    <w:p>
      <w:pPr>
        <w:spacing w:before="84"/>
        <w:ind w:left="3471" w:right="0" w:firstLine="0"/>
        <w:jc w:val="left"/>
        <w:rPr>
          <w:sz w:val="12"/>
        </w:rPr>
      </w:pPr>
      <w:r>
        <w:rPr/>
        <w:pict>
          <v:line style="position:absolute;mso-position-horizontal-relative:page;mso-position-vertical-relative:paragraph;z-index:15942656" from="42.438pt,8.169485pt" to="46.771pt,8.169485pt" stroked="true" strokeweight=".5pt" strokecolor="#000000">
            <v:stroke dashstyle="solid"/>
            <w10:wrap type="none"/>
          </v:line>
        </w:pict>
      </w:r>
      <w:r>
        <w:rPr/>
        <w:pict>
          <v:line style="position:absolute;mso-position-horizontal-relative:page;mso-position-vertical-relative:paragraph;z-index:15946752" from="198.610001pt,7.900485pt" to="202.942001pt,7.900485pt" stroked="true" strokeweight=".5pt" strokecolor="#000000">
            <v:stroke dashstyle="solid"/>
            <w10:wrap type="none"/>
          </v:line>
        </w:pict>
      </w:r>
      <w:r>
        <w:rPr>
          <w:w w:val="115"/>
          <w:sz w:val="12"/>
        </w:rPr>
        <w:t>4.5</w:t>
      </w:r>
    </w:p>
    <w:p>
      <w:pPr>
        <w:tabs>
          <w:tab w:pos="1565" w:val="left" w:leader="none"/>
          <w:tab w:pos="2550" w:val="left" w:leader="none"/>
        </w:tabs>
        <w:spacing w:before="5"/>
        <w:ind w:left="853" w:right="0" w:firstLine="0"/>
        <w:jc w:val="left"/>
        <w:rPr>
          <w:sz w:val="12"/>
        </w:rPr>
      </w:pPr>
      <w:r>
        <w:rPr/>
        <w:pict>
          <v:group style="position:absolute;margin-left:158.544998pt;margin-top:7.464175pt;width:25pt;height:10.6pt;mso-position-horizontal-relative:page;mso-position-vertical-relative:paragraph;z-index:15939072" coordorigin="3171,149" coordsize="500,212">
            <v:line style="position:absolute" from="3181,159" to="3421,302" stroked="true" strokeweight="1pt" strokecolor="#9ed01a">
              <v:stroke dashstyle="solid"/>
            </v:line>
            <v:shape style="position:absolute;left:3170;top:149;width:500;height:212" type="#_x0000_t202" filled="false" stroked="false">
              <v:textbox inset="0,0,0,0">
                <w:txbxContent>
                  <w:p>
                    <w:pPr>
                      <w:tabs>
                        <w:tab w:pos="499" w:val="left" w:leader="none"/>
                      </w:tabs>
                      <w:spacing w:before="73"/>
                      <w:ind w:left="240" w:right="0" w:firstLine="0"/>
                      <w:jc w:val="left"/>
                      <w:rPr>
                        <w:sz w:val="12"/>
                      </w:rPr>
                    </w:pPr>
                    <w:r>
                      <w:rPr>
                        <w:sz w:val="12"/>
                        <w:u w:val="thick" w:color="9ED01A"/>
                      </w:rPr>
                      <w:t> </w:t>
                      <w:tab/>
                    </w:r>
                  </w:p>
                </w:txbxContent>
              </v:textbox>
              <w10:wrap type="none"/>
            </v:shape>
            <w10:wrap type="none"/>
          </v:group>
        </w:pict>
      </w:r>
      <w:r>
        <w:rPr>
          <w:sz w:val="12"/>
          <w:u w:val="thick" w:color="9ED01A"/>
        </w:rPr>
        <w:t> </w:t>
        <w:tab/>
      </w:r>
      <w:r>
        <w:rPr>
          <w:w w:val="105"/>
          <w:sz w:val="12"/>
        </w:rPr>
        <w:t>Latin</w:t>
      </w:r>
      <w:r>
        <w:rPr>
          <w:spacing w:val="-4"/>
          <w:w w:val="105"/>
          <w:sz w:val="12"/>
        </w:rPr>
        <w:t> </w:t>
      </w:r>
      <w:r>
        <w:rPr>
          <w:w w:val="105"/>
          <w:sz w:val="12"/>
        </w:rPr>
        <w:t>America</w:t>
      </w:r>
      <w:r>
        <w:rPr>
          <w:sz w:val="12"/>
          <w:u w:val="thick" w:color="9ED01A"/>
        </w:rPr>
        <w:t> </w:t>
        <w:tab/>
      </w:r>
    </w:p>
    <w:p>
      <w:pPr>
        <w:pStyle w:val="BodyText"/>
        <w:spacing w:line="95" w:lineRule="exact"/>
        <w:ind w:left="1573"/>
        <w:rPr>
          <w:sz w:val="9"/>
        </w:rPr>
      </w:pPr>
      <w:r>
        <w:rPr>
          <w:position w:val="-1"/>
          <w:sz w:val="9"/>
        </w:rPr>
        <w:pict>
          <v:group style="width:37pt;height:4.75pt;mso-position-horizontal-relative:char;mso-position-vertical-relative:line" coordorigin="0,0" coordsize="740,95">
            <v:shape style="position:absolute;left:10;top:10;width:720;height:75" coordorigin="10,10" coordsize="720,75" path="m10,10l250,83m250,83l490,85m490,83l730,10e" filled="false" stroked="true" strokeweight="1pt" strokecolor="#9ed01a">
              <v:path arrowok="t"/>
              <v:stroke dashstyle="solid"/>
            </v:shape>
          </v:group>
        </w:pict>
      </w:r>
      <w:r>
        <w:rPr>
          <w:position w:val="-1"/>
          <w:sz w:val="9"/>
        </w:rPr>
      </w:r>
    </w:p>
    <w:p>
      <w:pPr>
        <w:spacing w:before="0"/>
        <w:ind w:left="3471" w:right="0" w:firstLine="0"/>
        <w:jc w:val="left"/>
        <w:rPr>
          <w:sz w:val="12"/>
        </w:rPr>
      </w:pPr>
      <w:r>
        <w:rPr/>
        <w:pict>
          <v:group style="position:absolute;margin-left:182.544998pt;margin-top:3.43486pt;width:20.4pt;height:11.55pt;mso-position-horizontal-relative:page;mso-position-vertical-relative:paragraph;z-index:15939584" coordorigin="3651,69" coordsize="408,231">
            <v:line style="position:absolute" from="3661,79" to="3901,289" stroked="true" strokeweight="1pt" strokecolor="#9ed01a">
              <v:stroke dashstyle="solid"/>
            </v:line>
            <v:line style="position:absolute" from="3972,74" to="4059,74" stroked="true" strokeweight=".5pt" strokecolor="#000000">
              <v:stroke dashstyle="solid"/>
            </v:line>
            <w10:wrap type="none"/>
          </v:group>
        </w:pict>
      </w:r>
      <w:r>
        <w:rPr/>
        <w:pict>
          <v:group style="position:absolute;margin-left:50.794998pt;margin-top:12.141652pt;width:152.15pt;height:45.8pt;mso-position-horizontal-relative:page;mso-position-vertical-relative:paragraph;z-index:15941632" coordorigin="1016,243" coordsize="3043,916">
            <v:shape style="position:absolute;left:1025;top:659;width:2875;height:280" coordorigin="1026,659" coordsize="2875,280" path="m1026,939l1263,799m1263,799l1503,802m1503,799l1743,802m1743,799l1983,659m1983,659l2223,869m2223,869l2463,799m2463,799l2703,659m2703,659l2943,662m2943,659l3181,662m3181,659l3421,662m3421,659l3661,662m3661,659l3901,799e" filled="false" stroked="true" strokeweight="1pt" strokecolor="#f6bd61">
              <v:path arrowok="t"/>
              <v:stroke dashstyle="solid"/>
            </v:shape>
            <v:shape style="position:absolute;left:1025;top:659;width:2875;height:210" coordorigin="1026,659" coordsize="2875,210" path="m1026,869l1263,799m1263,799l1503,802m1503,799l1743,802m1743,799l1983,729m1983,729l2223,732m2223,729l2463,659m2463,659l2703,662m2703,659l2943,662m2943,659l3181,729m3181,729l3421,732m3421,729l3901,869e" filled="false" stroked="true" strokeweight="1pt" strokecolor="#de8508">
              <v:path arrowok="t"/>
              <v:stroke dashstyle="solid"/>
            </v:shape>
            <v:shape style="position:absolute;left:1025;top:289;width:2875;height:790" coordorigin="1026,289" coordsize="2875,790" path="m1026,799l1263,802m1263,799l1503,729m1503,729l1743,732m1743,729l1983,659m1983,659l2223,662m2223,659l2463,729m2463,729l2703,517m2703,517l2943,289m2943,289l3181,359m3181,359l3421,517m3421,517l3661,799m3661,799l3901,1079e" filled="false" stroked="true" strokeweight="1pt" strokecolor="#006caa">
              <v:path arrowok="t"/>
              <v:stroke dashstyle="solid"/>
            </v:shape>
            <v:shape style="position:absolute;left:3972;top:433;width:87;height:720" coordorigin="3972,434" coordsize="87,720" path="m3972,434l4059,434m3972,794l4059,794m3972,1154l4059,1154e" filled="false" stroked="true" strokeweight=".5pt" strokecolor="#000000">
              <v:path arrowok="t"/>
              <v:stroke dashstyle="solid"/>
            </v:shape>
            <v:shape style="position:absolute;left:2160;top:242;width:715;height:121" type="#_x0000_t202" filled="false" stroked="false">
              <v:textbox inset="0,0,0,0">
                <w:txbxContent>
                  <w:p>
                    <w:pPr>
                      <w:spacing w:line="115" w:lineRule="exact" w:before="0"/>
                      <w:ind w:left="0" w:right="0" w:firstLine="0"/>
                      <w:jc w:val="left"/>
                      <w:rPr>
                        <w:sz w:val="12"/>
                      </w:rPr>
                    </w:pPr>
                    <w:r>
                      <w:rPr>
                        <w:w w:val="110"/>
                        <w:sz w:val="12"/>
                      </w:rPr>
                      <w:t>United States</w:t>
                    </w:r>
                  </w:p>
                </w:txbxContent>
              </v:textbox>
              <w10:wrap type="none"/>
            </v:shape>
            <v:shape style="position:absolute;left:2931;top:769;width:520;height:121" type="#_x0000_t202" filled="false" stroked="false">
              <v:textbox inset="0,0,0,0">
                <w:txbxContent>
                  <w:p>
                    <w:pPr>
                      <w:spacing w:line="115" w:lineRule="exact" w:before="0"/>
                      <w:ind w:left="0" w:right="0" w:firstLine="0"/>
                      <w:jc w:val="left"/>
                      <w:rPr>
                        <w:sz w:val="12"/>
                      </w:rPr>
                    </w:pPr>
                    <w:r>
                      <w:rPr>
                        <w:w w:val="110"/>
                        <w:sz w:val="12"/>
                      </w:rPr>
                      <w:t>Euro area</w:t>
                    </w:r>
                  </w:p>
                </w:txbxContent>
              </v:textbox>
              <w10:wrap type="none"/>
            </v:shape>
            <v:shape style="position:absolute;left:1645;top:872;width:606;height:121" type="#_x0000_t202" filled="false" stroked="false">
              <v:textbox inset="0,0,0,0">
                <w:txbxContent>
                  <w:p>
                    <w:pPr>
                      <w:spacing w:line="115" w:lineRule="exact" w:before="0"/>
                      <w:ind w:left="0" w:right="0" w:firstLine="0"/>
                      <w:jc w:val="left"/>
                      <w:rPr>
                        <w:sz w:val="12"/>
                      </w:rPr>
                    </w:pPr>
                    <w:r>
                      <w:rPr>
                        <w:sz w:val="12"/>
                      </w:rPr>
                      <w:t>Asia Pacific</w:t>
                    </w:r>
                  </w:p>
                </w:txbxContent>
              </v:textbox>
              <w10:wrap type="none"/>
            </v:shape>
            <w10:wrap type="none"/>
          </v:group>
        </w:pict>
      </w:r>
      <w:r>
        <w:rPr/>
        <w:pict>
          <v:line style="position:absolute;mso-position-horizontal-relative:page;mso-position-vertical-relative:paragraph;z-index:15943168" from="42.438pt,3.95386pt" to="46.771pt,3.95386pt" stroked="true" strokeweight=".5pt" strokecolor="#000000">
            <v:stroke dashstyle="solid"/>
            <w10:wrap type="none"/>
          </v:line>
        </w:pict>
      </w:r>
      <w:r>
        <w:rPr>
          <w:w w:val="115"/>
          <w:sz w:val="12"/>
        </w:rPr>
        <w:t>4.0</w:t>
      </w:r>
    </w:p>
    <w:p>
      <w:pPr>
        <w:pStyle w:val="BodyText"/>
        <w:rPr>
          <w:sz w:val="12"/>
        </w:rPr>
      </w:pPr>
    </w:p>
    <w:p>
      <w:pPr>
        <w:spacing w:before="84"/>
        <w:ind w:left="3471" w:right="0" w:firstLine="0"/>
        <w:jc w:val="left"/>
        <w:rPr>
          <w:sz w:val="12"/>
        </w:rPr>
      </w:pPr>
      <w:r>
        <w:rPr/>
        <w:pict>
          <v:line style="position:absolute;mso-position-horizontal-relative:page;mso-position-vertical-relative:paragraph;z-index:15943680" from="42.438pt,8.138296pt" to="46.771pt,8.138296pt" stroked="true" strokeweight=".5pt" strokecolor="#000000">
            <v:stroke dashstyle="solid"/>
            <w10:wrap type="none"/>
          </v:line>
        </w:pict>
      </w:r>
      <w:r>
        <w:rPr>
          <w:w w:val="115"/>
          <w:sz w:val="12"/>
        </w:rPr>
        <w:t>3.5</w:t>
      </w:r>
    </w:p>
    <w:p>
      <w:pPr>
        <w:pStyle w:val="BodyText"/>
        <w:rPr>
          <w:sz w:val="12"/>
        </w:rPr>
      </w:pPr>
    </w:p>
    <w:p>
      <w:pPr>
        <w:spacing w:before="84"/>
        <w:ind w:left="3471" w:right="0" w:firstLine="0"/>
        <w:jc w:val="left"/>
        <w:rPr>
          <w:sz w:val="12"/>
        </w:rPr>
      </w:pPr>
      <w:r>
        <w:rPr/>
        <w:pict>
          <v:line style="position:absolute;mso-position-horizontal-relative:page;mso-position-vertical-relative:paragraph;z-index:15944192" from="42.438pt,8.122671pt" to="46.771pt,8.122671pt" stroked="true" strokeweight=".5pt" strokecolor="#000000">
            <v:stroke dashstyle="solid"/>
            <w10:wrap type="none"/>
          </v:line>
        </w:pict>
      </w:r>
      <w:r>
        <w:rPr>
          <w:w w:val="115"/>
          <w:sz w:val="12"/>
        </w:rPr>
        <w:t>3.0</w:t>
      </w:r>
    </w:p>
    <w:p>
      <w:pPr>
        <w:pStyle w:val="BodyText"/>
        <w:rPr>
          <w:sz w:val="12"/>
        </w:rPr>
      </w:pPr>
    </w:p>
    <w:p>
      <w:pPr>
        <w:spacing w:before="85"/>
        <w:ind w:left="3471" w:right="0" w:firstLine="0"/>
        <w:jc w:val="left"/>
        <w:rPr>
          <w:sz w:val="12"/>
        </w:rPr>
      </w:pPr>
      <w:r>
        <w:rPr/>
        <w:pict>
          <v:line style="position:absolute;mso-position-horizontal-relative:page;mso-position-vertical-relative:paragraph;z-index:15944704" from="42.438pt,8.157046pt" to="46.771pt,8.157046pt" stroked="true" strokeweight=".5pt" strokecolor="#000000">
            <v:stroke dashstyle="solid"/>
            <w10:wrap type="none"/>
          </v:line>
        </w:pict>
      </w:r>
      <w:r>
        <w:rPr>
          <w:w w:val="115"/>
          <w:sz w:val="12"/>
        </w:rPr>
        <w:t>2.5</w:t>
      </w:r>
    </w:p>
    <w:p>
      <w:pPr>
        <w:pStyle w:val="BodyText"/>
        <w:rPr>
          <w:sz w:val="12"/>
        </w:rPr>
      </w:pPr>
    </w:p>
    <w:p>
      <w:pPr>
        <w:spacing w:before="84"/>
        <w:ind w:left="3471" w:right="0" w:firstLine="0"/>
        <w:jc w:val="left"/>
        <w:rPr>
          <w:sz w:val="12"/>
        </w:rPr>
      </w:pPr>
      <w:r>
        <w:rPr/>
        <w:pict>
          <v:group style="position:absolute;margin-left:50.794998pt;margin-top:7.572482pt;width:152.15pt;height:26.55pt;mso-position-horizontal-relative:page;mso-position-vertical-relative:paragraph;z-index:15938048" coordorigin="1016,151" coordsize="3043,531">
            <v:shape style="position:absolute;left:1025;top:161;width:2875;height:510" coordorigin="1026,162" coordsize="2875,510" path="m1026,672l1263,442m1263,442l1503,444m1503,442l1743,532m1743,532l1983,232m1983,232l2223,532m2223,532l2463,442m2463,442l2703,232m2703,232l2943,162m2943,162l3181,164m3181,162l3421,164m3421,162l3661,164m3661,162l3901,302e" filled="false" stroked="true" strokeweight="1pt" strokecolor="#a64991">
              <v:path arrowok="t"/>
              <v:stroke dashstyle="solid"/>
            </v:shape>
            <v:shape style="position:absolute;left:3972;top:156;width:87;height:360" coordorigin="3972,156" coordsize="87,360" path="m3972,516l4059,516m3972,156l4059,156e" filled="false" stroked="true" strokeweight=".5pt" strokecolor="#000000">
              <v:path arrowok="t"/>
              <v:stroke dashstyle="solid"/>
            </v:shape>
            <v:shape style="position:absolute;left:2056;top:154;width:310;height:121" type="#_x0000_t202" filled="false" stroked="false">
              <v:textbox inset="0,0,0,0">
                <w:txbxContent>
                  <w:p>
                    <w:pPr>
                      <w:spacing w:line="115" w:lineRule="exact" w:before="0"/>
                      <w:ind w:left="0" w:right="0" w:firstLine="0"/>
                      <w:jc w:val="left"/>
                      <w:rPr>
                        <w:sz w:val="12"/>
                      </w:rPr>
                    </w:pPr>
                    <w:r>
                      <w:rPr>
                        <w:w w:val="105"/>
                        <w:sz w:val="12"/>
                      </w:rPr>
                      <w:t>Japan</w:t>
                    </w:r>
                  </w:p>
                </w:txbxContent>
              </v:textbox>
              <w10:wrap type="none"/>
            </v:shape>
            <w10:wrap type="none"/>
          </v:group>
        </w:pict>
      </w:r>
      <w:r>
        <w:rPr/>
        <w:pict>
          <v:line style="position:absolute;mso-position-horizontal-relative:page;mso-position-vertical-relative:paragraph;z-index:15945728" from="42.438pt,8.091482pt" to="46.771pt,8.091482pt" stroked="true" strokeweight=".5pt" strokecolor="#000000">
            <v:stroke dashstyle="solid"/>
            <w10:wrap type="none"/>
          </v:line>
        </w:pict>
      </w:r>
      <w:r>
        <w:rPr>
          <w:w w:val="115"/>
          <w:sz w:val="12"/>
        </w:rPr>
        <w:t>2.0</w:t>
      </w:r>
    </w:p>
    <w:p>
      <w:pPr>
        <w:pStyle w:val="BodyText"/>
        <w:rPr>
          <w:sz w:val="12"/>
        </w:rPr>
      </w:pPr>
    </w:p>
    <w:p>
      <w:pPr>
        <w:spacing w:before="84"/>
        <w:ind w:left="3471" w:right="0" w:firstLine="0"/>
        <w:jc w:val="left"/>
        <w:rPr>
          <w:sz w:val="12"/>
        </w:rPr>
      </w:pPr>
      <w:r>
        <w:rPr/>
        <w:pict>
          <v:line style="position:absolute;mso-position-horizontal-relative:page;mso-position-vertical-relative:paragraph;z-index:15945216" from="42.438pt,8.075857pt" to="46.771pt,8.075857pt" stroked="true" strokeweight=".5pt" strokecolor="#000000">
            <v:stroke dashstyle="solid"/>
            <w10:wrap type="none"/>
          </v:line>
        </w:pict>
      </w:r>
      <w:r>
        <w:rPr>
          <w:w w:val="115"/>
          <w:sz w:val="12"/>
        </w:rPr>
        <w:t>1.5</w:t>
      </w:r>
    </w:p>
    <w:p>
      <w:pPr>
        <w:pStyle w:val="BodyText"/>
        <w:rPr>
          <w:sz w:val="12"/>
        </w:rPr>
      </w:pPr>
    </w:p>
    <w:p>
      <w:pPr>
        <w:spacing w:before="85"/>
        <w:ind w:left="3474" w:right="0" w:firstLine="0"/>
        <w:jc w:val="left"/>
        <w:rPr>
          <w:sz w:val="12"/>
        </w:rPr>
      </w:pPr>
      <w:r>
        <w:rPr/>
        <w:pict>
          <v:shape style="position:absolute;margin-left:42.424999pt;margin-top:7.414293pt;width:160.9pt;height:6.8pt;mso-position-horizontal-relative:page;mso-position-vertical-relative:paragraph;z-index:15946240" coordorigin="848,148" coordsize="3218,136" path="m849,162l935,162m3972,157l4059,157m848,276l4042,276m1026,148l1026,276m1266,209l1266,276m1506,209l1506,276m1746,209l1746,276m1986,209l1986,276m2226,209l2226,276m2946,209l2946,276m3666,209l3666,276m2706,209l2706,276m3426,209l3426,276m2466,209l2466,276m3186,209l3186,276m3906,148l3906,276m4046,157l4046,184,4026,200,4066,214,4026,234,4066,250,4042,260,4042,284m925,157l925,184,905,200,945,214,905,234,945,250,922,260,922,284e" filled="false" stroked="true" strokeweight=".5pt" strokecolor="#000000">
            <v:path arrowok="t"/>
            <v:stroke dashstyle="solid"/>
            <w10:wrap type="none"/>
          </v:shape>
        </w:pict>
      </w:r>
      <w:r>
        <w:rPr>
          <w:w w:val="115"/>
          <w:sz w:val="12"/>
        </w:rPr>
        <w:t>1.0</w:t>
      </w:r>
    </w:p>
    <w:p>
      <w:pPr>
        <w:pStyle w:val="BodyText"/>
        <w:spacing w:before="3"/>
        <w:rPr>
          <w:sz w:val="21"/>
        </w:rPr>
      </w:pPr>
      <w:r>
        <w:rPr/>
        <w:br w:type="column"/>
      </w:r>
      <w:r>
        <w:rPr>
          <w:sz w:val="21"/>
        </w:rPr>
      </w:r>
    </w:p>
    <w:p>
      <w:pPr>
        <w:pStyle w:val="BodyText"/>
        <w:spacing w:line="292" w:lineRule="auto" w:before="1"/>
        <w:ind w:left="183" w:right="169"/>
      </w:pPr>
      <w:r>
        <w:rPr>
          <w:w w:val="110"/>
        </w:rPr>
        <w:t>investment in new technology, or the degree of uncertainty about those returns, which led to the sharp decline in share prices during 2000 </w:t>
      </w:r>
      <w:hyperlink w:history="true" w:anchor="_bookmark2">
        <w:r>
          <w:rPr>
            <w:w w:val="110"/>
          </w:rPr>
          <w:t>(see </w:t>
        </w:r>
        <w:r>
          <w:rPr>
            <w:color w:val="FF0000"/>
            <w:w w:val="110"/>
          </w:rPr>
          <w:t>Section 1</w:t>
        </w:r>
        <w:r>
          <w:rPr>
            <w:w w:val="110"/>
          </w:rPr>
          <w:t>).</w:t>
        </w:r>
      </w:hyperlink>
      <w:r>
        <w:rPr>
          <w:w w:val="110"/>
        </w:rPr>
        <w:t> Share prices, particularly for firms in the technology, media and telecommunications sector, had been at exceptionally high levels relative to corporate earnings. The decline in market values has raised some measures of corporate sector capital gearing.</w:t>
      </w:r>
    </w:p>
    <w:p>
      <w:pPr>
        <w:pStyle w:val="BodyText"/>
        <w:spacing w:line="292" w:lineRule="auto"/>
        <w:ind w:left="183" w:right="233"/>
      </w:pPr>
      <w:r>
        <w:rPr>
          <w:w w:val="110"/>
        </w:rPr>
        <w:t>Although</w:t>
      </w:r>
      <w:r>
        <w:rPr>
          <w:spacing w:val="-27"/>
          <w:w w:val="110"/>
        </w:rPr>
        <w:t> </w:t>
      </w:r>
      <w:r>
        <w:rPr>
          <w:w w:val="110"/>
        </w:rPr>
        <w:t>aggregate</w:t>
      </w:r>
      <w:r>
        <w:rPr>
          <w:spacing w:val="-27"/>
          <w:w w:val="110"/>
        </w:rPr>
        <w:t> </w:t>
      </w:r>
      <w:r>
        <w:rPr>
          <w:spacing w:val="-3"/>
          <w:w w:val="110"/>
        </w:rPr>
        <w:t>corporate</w:t>
      </w:r>
      <w:r>
        <w:rPr>
          <w:spacing w:val="-26"/>
          <w:w w:val="110"/>
        </w:rPr>
        <w:t> </w:t>
      </w:r>
      <w:r>
        <w:rPr>
          <w:w w:val="110"/>
        </w:rPr>
        <w:t>gearing</w:t>
      </w:r>
      <w:r>
        <w:rPr>
          <w:spacing w:val="-27"/>
          <w:w w:val="110"/>
        </w:rPr>
        <w:t> </w:t>
      </w:r>
      <w:r>
        <w:rPr>
          <w:w w:val="110"/>
        </w:rPr>
        <w:t>measured</w:t>
      </w:r>
      <w:r>
        <w:rPr>
          <w:spacing w:val="-27"/>
          <w:w w:val="110"/>
        </w:rPr>
        <w:t> </w:t>
      </w:r>
      <w:r>
        <w:rPr>
          <w:w w:val="110"/>
        </w:rPr>
        <w:t>using</w:t>
      </w:r>
      <w:r>
        <w:rPr>
          <w:spacing w:val="-26"/>
          <w:w w:val="110"/>
        </w:rPr>
        <w:t> </w:t>
      </w:r>
      <w:r>
        <w:rPr>
          <w:w w:val="110"/>
        </w:rPr>
        <w:t>market values </w:t>
      </w:r>
      <w:r>
        <w:rPr>
          <w:spacing w:val="-3"/>
          <w:w w:val="110"/>
        </w:rPr>
        <w:t>was </w:t>
      </w:r>
      <w:r>
        <w:rPr>
          <w:w w:val="110"/>
        </w:rPr>
        <w:t>still relatively low in </w:t>
      </w:r>
      <w:r>
        <w:rPr>
          <w:spacing w:val="-4"/>
          <w:w w:val="110"/>
        </w:rPr>
        <w:t>2000 </w:t>
      </w:r>
      <w:r>
        <w:rPr>
          <w:w w:val="110"/>
        </w:rPr>
        <w:t>Q3, debt </w:t>
      </w:r>
      <w:r>
        <w:rPr>
          <w:spacing w:val="-3"/>
          <w:w w:val="110"/>
        </w:rPr>
        <w:t>was </w:t>
      </w:r>
      <w:r>
        <w:rPr>
          <w:w w:val="110"/>
        </w:rPr>
        <w:t>at historically high </w:t>
      </w:r>
      <w:r>
        <w:rPr>
          <w:spacing w:val="-3"/>
          <w:w w:val="110"/>
        </w:rPr>
        <w:t>levels </w:t>
      </w:r>
      <w:r>
        <w:rPr>
          <w:w w:val="110"/>
        </w:rPr>
        <w:t>relative </w:t>
      </w:r>
      <w:r>
        <w:rPr>
          <w:spacing w:val="-4"/>
          <w:w w:val="110"/>
        </w:rPr>
        <w:t>to </w:t>
      </w:r>
      <w:r>
        <w:rPr>
          <w:w w:val="110"/>
        </w:rPr>
        <w:t>the estimated replacement cost of </w:t>
      </w:r>
      <w:r>
        <w:rPr>
          <w:spacing w:val="-3"/>
          <w:w w:val="110"/>
        </w:rPr>
        <w:t>corporate </w:t>
      </w:r>
      <w:r>
        <w:rPr>
          <w:w w:val="110"/>
        </w:rPr>
        <w:t>assets (see Chart 2.3), and the flow of borrowing </w:t>
      </w:r>
      <w:r>
        <w:rPr>
          <w:spacing w:val="-3"/>
          <w:w w:val="110"/>
        </w:rPr>
        <w:t>by </w:t>
      </w:r>
      <w:r>
        <w:rPr>
          <w:w w:val="110"/>
        </w:rPr>
        <w:t>companies has been high relative </w:t>
      </w:r>
      <w:r>
        <w:rPr>
          <w:spacing w:val="-4"/>
          <w:w w:val="110"/>
        </w:rPr>
        <w:t>to </w:t>
      </w:r>
      <w:r>
        <w:rPr>
          <w:w w:val="110"/>
        </w:rPr>
        <w:t>their earnings.</w:t>
      </w:r>
      <w:r>
        <w:rPr>
          <w:spacing w:val="19"/>
          <w:w w:val="110"/>
        </w:rPr>
        <w:t> </w:t>
      </w:r>
      <w:r>
        <w:rPr>
          <w:w w:val="110"/>
        </w:rPr>
        <w:t>This</w:t>
      </w:r>
      <w:r>
        <w:rPr>
          <w:spacing w:val="-19"/>
          <w:w w:val="110"/>
        </w:rPr>
        <w:t> </w:t>
      </w:r>
      <w:r>
        <w:rPr>
          <w:w w:val="110"/>
        </w:rPr>
        <w:t>deterioration</w:t>
      </w:r>
      <w:r>
        <w:rPr>
          <w:spacing w:val="-18"/>
          <w:w w:val="110"/>
        </w:rPr>
        <w:t> </w:t>
      </w:r>
      <w:r>
        <w:rPr>
          <w:w w:val="110"/>
        </w:rPr>
        <w:t>in</w:t>
      </w:r>
      <w:r>
        <w:rPr>
          <w:spacing w:val="-18"/>
          <w:w w:val="110"/>
        </w:rPr>
        <w:t> </w:t>
      </w:r>
      <w:r>
        <w:rPr>
          <w:w w:val="110"/>
        </w:rPr>
        <w:t>the</w:t>
      </w:r>
      <w:r>
        <w:rPr>
          <w:spacing w:val="-18"/>
          <w:w w:val="110"/>
        </w:rPr>
        <w:t> </w:t>
      </w:r>
      <w:r>
        <w:rPr>
          <w:w w:val="110"/>
        </w:rPr>
        <w:t>financial</w:t>
      </w:r>
      <w:r>
        <w:rPr>
          <w:spacing w:val="-19"/>
          <w:w w:val="110"/>
        </w:rPr>
        <w:t> </w:t>
      </w:r>
      <w:r>
        <w:rPr>
          <w:w w:val="110"/>
        </w:rPr>
        <w:t>position</w:t>
      </w:r>
      <w:r>
        <w:rPr>
          <w:spacing w:val="-18"/>
          <w:w w:val="110"/>
        </w:rPr>
        <w:t> </w:t>
      </w:r>
      <w:r>
        <w:rPr>
          <w:w w:val="110"/>
        </w:rPr>
        <w:t>of</w:t>
      </w:r>
      <w:r>
        <w:rPr>
          <w:spacing w:val="-18"/>
          <w:w w:val="110"/>
        </w:rPr>
        <w:t> </w:t>
      </w:r>
      <w:r>
        <w:rPr>
          <w:w w:val="110"/>
        </w:rPr>
        <w:t>firms has</w:t>
      </w:r>
      <w:r>
        <w:rPr>
          <w:spacing w:val="-9"/>
          <w:w w:val="110"/>
        </w:rPr>
        <w:t> </w:t>
      </w:r>
      <w:r>
        <w:rPr>
          <w:w w:val="110"/>
        </w:rPr>
        <w:t>been</w:t>
      </w:r>
      <w:r>
        <w:rPr>
          <w:spacing w:val="-9"/>
          <w:w w:val="110"/>
        </w:rPr>
        <w:t> </w:t>
      </w:r>
      <w:r>
        <w:rPr>
          <w:w w:val="110"/>
        </w:rPr>
        <w:t>reflected</w:t>
      </w:r>
      <w:r>
        <w:rPr>
          <w:spacing w:val="-9"/>
          <w:w w:val="110"/>
        </w:rPr>
        <w:t> </w:t>
      </w:r>
      <w:r>
        <w:rPr>
          <w:w w:val="110"/>
        </w:rPr>
        <w:t>in</w:t>
      </w:r>
      <w:r>
        <w:rPr>
          <w:spacing w:val="-9"/>
          <w:w w:val="110"/>
        </w:rPr>
        <w:t> </w:t>
      </w:r>
      <w:r>
        <w:rPr>
          <w:w w:val="110"/>
        </w:rPr>
        <w:t>a</w:t>
      </w:r>
      <w:r>
        <w:rPr>
          <w:spacing w:val="-8"/>
          <w:w w:val="110"/>
        </w:rPr>
        <w:t> </w:t>
      </w:r>
      <w:r>
        <w:rPr>
          <w:w w:val="110"/>
        </w:rPr>
        <w:t>rise</w:t>
      </w:r>
      <w:r>
        <w:rPr>
          <w:spacing w:val="-9"/>
          <w:w w:val="110"/>
        </w:rPr>
        <w:t> </w:t>
      </w:r>
      <w:r>
        <w:rPr>
          <w:w w:val="110"/>
        </w:rPr>
        <w:t>in</w:t>
      </w:r>
      <w:r>
        <w:rPr>
          <w:spacing w:val="-9"/>
          <w:w w:val="110"/>
        </w:rPr>
        <w:t> </w:t>
      </w:r>
      <w:r>
        <w:rPr>
          <w:w w:val="110"/>
        </w:rPr>
        <w:t>US</w:t>
      </w:r>
      <w:r>
        <w:rPr>
          <w:spacing w:val="-9"/>
          <w:w w:val="110"/>
        </w:rPr>
        <w:t> </w:t>
      </w:r>
      <w:r>
        <w:rPr>
          <w:spacing w:val="-3"/>
          <w:w w:val="110"/>
        </w:rPr>
        <w:t>corporate</w:t>
      </w:r>
      <w:r>
        <w:rPr>
          <w:spacing w:val="-9"/>
          <w:w w:val="110"/>
        </w:rPr>
        <w:t> </w:t>
      </w:r>
      <w:r>
        <w:rPr>
          <w:w w:val="110"/>
        </w:rPr>
        <w:t>bond</w:t>
      </w:r>
      <w:r>
        <w:rPr>
          <w:spacing w:val="-8"/>
          <w:w w:val="110"/>
        </w:rPr>
        <w:t> </w:t>
      </w:r>
      <w:r>
        <w:rPr>
          <w:w w:val="110"/>
        </w:rPr>
        <w:t>yield</w:t>
      </w:r>
    </w:p>
    <w:p>
      <w:pPr>
        <w:spacing w:after="0" w:line="292" w:lineRule="auto"/>
        <w:sectPr>
          <w:type w:val="continuous"/>
          <w:pgSz w:w="11900" w:h="16840"/>
          <w:pgMar w:top="1260" w:bottom="280" w:left="640" w:right="640"/>
          <w:cols w:num="2" w:equalWidth="0">
            <w:col w:w="3797" w:space="1123"/>
            <w:col w:w="5700"/>
          </w:cols>
        </w:sectPr>
      </w:pPr>
    </w:p>
    <w:p>
      <w:pPr>
        <w:spacing w:line="208" w:lineRule="auto" w:before="49"/>
        <w:ind w:left="208" w:right="25" w:firstLine="0"/>
        <w:jc w:val="left"/>
        <w:rPr>
          <w:sz w:val="12"/>
        </w:rPr>
      </w:pPr>
      <w:r>
        <w:rPr>
          <w:sz w:val="12"/>
        </w:rPr>
        <w:t>Survey </w:t>
      </w:r>
      <w:r>
        <w:rPr>
          <w:w w:val="105"/>
          <w:sz w:val="12"/>
        </w:rPr>
        <w:t>date:</w:t>
      </w:r>
    </w:p>
    <w:p>
      <w:pPr>
        <w:tabs>
          <w:tab w:pos="717" w:val="left" w:leader="none"/>
          <w:tab w:pos="1416" w:val="left" w:leader="none"/>
          <w:tab w:pos="2139" w:val="left" w:leader="none"/>
        </w:tabs>
        <w:spacing w:before="34"/>
        <w:ind w:left="0" w:right="0" w:firstLine="0"/>
        <w:jc w:val="right"/>
        <w:rPr>
          <w:sz w:val="12"/>
        </w:rPr>
      </w:pPr>
      <w:r>
        <w:rPr/>
        <w:br w:type="column"/>
      </w:r>
      <w:r>
        <w:rPr>
          <w:sz w:val="12"/>
        </w:rPr>
        <w:t>Apr.</w:t>
        <w:tab/>
        <w:t>July</w:t>
        <w:tab/>
        <w:t>Oct.</w:t>
        <w:tab/>
        <w:t>Jan.</w:t>
      </w:r>
    </w:p>
    <w:p>
      <w:pPr>
        <w:tabs>
          <w:tab w:pos="1590" w:val="left" w:leader="none"/>
        </w:tabs>
        <w:spacing w:before="37"/>
        <w:ind w:left="0" w:right="61" w:firstLine="0"/>
        <w:jc w:val="right"/>
        <w:rPr>
          <w:sz w:val="12"/>
        </w:rPr>
      </w:pPr>
      <w:r>
        <w:rPr>
          <w:w w:val="120"/>
          <w:sz w:val="12"/>
        </w:rPr>
        <w:t>2000</w:t>
        <w:tab/>
        <w:t>01</w:t>
      </w:r>
    </w:p>
    <w:p>
      <w:pPr>
        <w:spacing w:line="94" w:lineRule="exact" w:before="0"/>
        <w:ind w:left="82" w:right="0" w:firstLine="0"/>
        <w:jc w:val="left"/>
        <w:rPr>
          <w:sz w:val="12"/>
        </w:rPr>
      </w:pPr>
      <w:r>
        <w:rPr/>
        <w:br w:type="column"/>
      </w:r>
      <w:r>
        <w:rPr>
          <w:w w:val="115"/>
          <w:sz w:val="12"/>
        </w:rPr>
        <w:t>0.0</w:t>
      </w:r>
    </w:p>
    <w:p>
      <w:pPr>
        <w:pStyle w:val="BodyText"/>
        <w:spacing w:line="292" w:lineRule="auto"/>
        <w:ind w:left="208"/>
      </w:pPr>
      <w:r>
        <w:rPr/>
        <w:br w:type="column"/>
      </w:r>
      <w:r>
        <w:rPr>
          <w:w w:val="110"/>
        </w:rPr>
        <w:t>spreads, particularly in the sub-investment grade </w:t>
      </w:r>
      <w:r>
        <w:rPr>
          <w:spacing w:val="-4"/>
          <w:w w:val="110"/>
        </w:rPr>
        <w:t>sector, </w:t>
      </w:r>
      <w:r>
        <w:rPr>
          <w:w w:val="110"/>
        </w:rPr>
        <w:t>suggesting</w:t>
      </w:r>
      <w:r>
        <w:rPr>
          <w:spacing w:val="-24"/>
          <w:w w:val="110"/>
        </w:rPr>
        <w:t> </w:t>
      </w:r>
      <w:r>
        <w:rPr>
          <w:w w:val="110"/>
        </w:rPr>
        <w:t>that</w:t>
      </w:r>
      <w:r>
        <w:rPr>
          <w:spacing w:val="-24"/>
          <w:w w:val="110"/>
        </w:rPr>
        <w:t> </w:t>
      </w:r>
      <w:r>
        <w:rPr>
          <w:w w:val="110"/>
        </w:rPr>
        <w:t>lenders</w:t>
      </w:r>
      <w:r>
        <w:rPr>
          <w:spacing w:val="-23"/>
          <w:w w:val="110"/>
        </w:rPr>
        <w:t> </w:t>
      </w:r>
      <w:r>
        <w:rPr>
          <w:w w:val="110"/>
        </w:rPr>
        <w:t>perceive</w:t>
      </w:r>
      <w:r>
        <w:rPr>
          <w:spacing w:val="-24"/>
          <w:w w:val="110"/>
        </w:rPr>
        <w:t> </w:t>
      </w:r>
      <w:r>
        <w:rPr>
          <w:w w:val="110"/>
        </w:rPr>
        <w:t>higher</w:t>
      </w:r>
      <w:r>
        <w:rPr>
          <w:spacing w:val="-24"/>
          <w:w w:val="110"/>
        </w:rPr>
        <w:t> </w:t>
      </w:r>
      <w:r>
        <w:rPr>
          <w:w w:val="110"/>
        </w:rPr>
        <w:t>default</w:t>
      </w:r>
      <w:r>
        <w:rPr>
          <w:spacing w:val="-23"/>
          <w:w w:val="110"/>
        </w:rPr>
        <w:t> </w:t>
      </w:r>
      <w:r>
        <w:rPr>
          <w:w w:val="110"/>
        </w:rPr>
        <w:t>probabilities.</w:t>
      </w:r>
    </w:p>
    <w:p>
      <w:pPr>
        <w:spacing w:after="0" w:line="292" w:lineRule="auto"/>
        <w:sectPr>
          <w:type w:val="continuous"/>
          <w:pgSz w:w="11900" w:h="16840"/>
          <w:pgMar w:top="1260" w:bottom="280" w:left="640" w:right="640"/>
          <w:cols w:num="4" w:equalWidth="0">
            <w:col w:w="593" w:space="220"/>
            <w:col w:w="2540" w:space="39"/>
            <w:col w:w="294" w:space="1208"/>
            <w:col w:w="5726"/>
          </w:cols>
        </w:sectPr>
      </w:pPr>
    </w:p>
    <w:p>
      <w:pPr>
        <w:spacing w:line="48" w:lineRule="exact" w:before="0"/>
        <w:ind w:left="188" w:right="0" w:firstLine="0"/>
        <w:jc w:val="left"/>
        <w:rPr>
          <w:sz w:val="12"/>
        </w:rPr>
      </w:pPr>
      <w:r>
        <w:rPr>
          <w:w w:val="105"/>
          <w:sz w:val="12"/>
        </w:rPr>
        <w:t>Source: Consensus Economics.</w:t>
      </w:r>
    </w:p>
    <w:p>
      <w:pPr>
        <w:pStyle w:val="BodyText"/>
        <w:rPr>
          <w:sz w:val="12"/>
        </w:rPr>
      </w:pPr>
    </w:p>
    <w:p>
      <w:pPr>
        <w:pStyle w:val="BodyText"/>
        <w:rPr>
          <w:sz w:val="12"/>
        </w:rPr>
      </w:pPr>
    </w:p>
    <w:p>
      <w:pPr>
        <w:pStyle w:val="BodyText"/>
        <w:spacing w:before="5"/>
        <w:rPr>
          <w:sz w:val="16"/>
        </w:rPr>
      </w:pPr>
    </w:p>
    <w:p>
      <w:pPr>
        <w:pStyle w:val="Heading6"/>
        <w:ind w:left="184"/>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7"/>
        </w:rPr>
        <w:t>2.3</w:t>
      </w:r>
    </w:p>
    <w:p>
      <w:pPr>
        <w:spacing w:before="7"/>
        <w:ind w:left="184" w:right="0" w:firstLine="0"/>
        <w:jc w:val="left"/>
        <w:rPr>
          <w:rFonts w:ascii="Trebuchet MS"/>
          <w:b/>
          <w:sz w:val="20"/>
        </w:rPr>
      </w:pPr>
      <w:r>
        <w:rPr>
          <w:rFonts w:ascii="Trebuchet MS"/>
          <w:b/>
          <w:color w:val="89C6DC"/>
          <w:w w:val="95"/>
          <w:sz w:val="20"/>
        </w:rPr>
        <w:t>US</w:t>
      </w:r>
      <w:r>
        <w:rPr>
          <w:rFonts w:ascii="Trebuchet MS"/>
          <w:b/>
          <w:color w:val="89C6DC"/>
          <w:spacing w:val="-32"/>
          <w:w w:val="95"/>
          <w:sz w:val="20"/>
        </w:rPr>
        <w:t> </w:t>
      </w:r>
      <w:r>
        <w:rPr>
          <w:rFonts w:ascii="Trebuchet MS"/>
          <w:b/>
          <w:color w:val="89C6DC"/>
          <w:w w:val="95"/>
          <w:sz w:val="20"/>
        </w:rPr>
        <w:t>corporate</w:t>
      </w:r>
      <w:r>
        <w:rPr>
          <w:rFonts w:ascii="Trebuchet MS"/>
          <w:b/>
          <w:color w:val="89C6DC"/>
          <w:spacing w:val="-31"/>
          <w:w w:val="95"/>
          <w:sz w:val="20"/>
        </w:rPr>
        <w:t> </w:t>
      </w:r>
      <w:r>
        <w:rPr>
          <w:rFonts w:ascii="Trebuchet MS"/>
          <w:b/>
          <w:color w:val="89C6DC"/>
          <w:w w:val="95"/>
          <w:sz w:val="20"/>
        </w:rPr>
        <w:t>sector</w:t>
      </w:r>
      <w:r>
        <w:rPr>
          <w:rFonts w:ascii="Trebuchet MS"/>
          <w:b/>
          <w:color w:val="89C6DC"/>
          <w:spacing w:val="-32"/>
          <w:w w:val="95"/>
          <w:sz w:val="20"/>
        </w:rPr>
        <w:t> </w:t>
      </w:r>
      <w:r>
        <w:rPr>
          <w:rFonts w:ascii="Trebuchet MS"/>
          <w:b/>
          <w:color w:val="89C6DC"/>
          <w:w w:val="95"/>
          <w:sz w:val="20"/>
        </w:rPr>
        <w:t>leverage</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line="120" w:lineRule="exact" w:before="82"/>
        <w:ind w:left="184" w:right="0" w:firstLine="0"/>
        <w:jc w:val="left"/>
        <w:rPr>
          <w:sz w:val="12"/>
        </w:rPr>
      </w:pPr>
      <w:r>
        <w:rPr>
          <w:w w:val="110"/>
          <w:sz w:val="12"/>
        </w:rPr>
        <w:t>Per cent</w:t>
      </w:r>
    </w:p>
    <w:p>
      <w:pPr>
        <w:spacing w:line="120" w:lineRule="exact" w:before="0"/>
        <w:ind w:left="624" w:right="0" w:firstLine="0"/>
        <w:jc w:val="left"/>
        <w:rPr>
          <w:sz w:val="12"/>
        </w:rPr>
      </w:pPr>
      <w:r>
        <w:rPr/>
        <w:pict>
          <v:group style="position:absolute;margin-left:42.610001pt;margin-top:1.692795pt;width:159.5pt;height:111.25pt;mso-position-horizontal-relative:page;mso-position-vertical-relative:paragraph;z-index:15936000" coordorigin="852,34" coordsize="3190,2225">
            <v:shape style="position:absolute;left:1007;top:1693;width:1543;height:525" coordorigin="1008,1694" coordsize="1543,525" path="m1008,2216l1020,2219m1020,2216l1045,2199m1045,2199l1058,2184m1058,2184l1070,2186m1070,2184l1083,2186m1083,2184l1095,2186m1095,2184l1120,2166m1120,2166l1133,2169m1133,2166l1145,2184m1145,2184l1158,2186m1158,2184l1170,2166m1170,2166l1195,2169m1195,2166l1208,2184m1208,2184l1220,2186m1220,2184l1233,2166m1233,2166l1245,2184m1245,2184l1258,2166m1258,2166l1283,2169m1283,2166l1295,2169m1295,2166l1308,2149m1308,2149l1320,2151m1320,2149l1333,2151m1333,2149l1358,2131m1358,2131l1370,2134m1370,2131l1383,2134m1383,2131l1395,2134m1395,2131l1408,2099m1408,2099l1433,2101m1433,2099l1443,2101m1443,2099l1455,2101m1455,2099l1468,2081m1468,2081l1480,2084m1480,2081l1505,2064m1505,2064l1518,2066m1518,2064l1530,2031m1530,2031l1543,2049m1543,2049l1555,2051m1555,2049l1580,2051m1580,2049l1593,2014m1593,2014l1605,2031m1605,2031l1618,2014m1618,2014l1630,2016m1630,2014l1655,1981m1655,1981l1668,1999m1668,1999l1680,1981m1680,1981l1693,1999m1693,1999l1705,1964m1705,1964l1730,1966m1730,1964l1743,1966m1743,1964l1755,1966m1755,1964l1768,1931m1768,1931l1780,1914m1780,1914l1793,1916m1793,1914l1818,1896m1818,1896l1830,1899m1830,1896l1843,1879m1843,1879l1855,1864m1855,1864l1868,1866m1868,1864l1890,1846m1890,1846l1903,1849m1903,1846l1915,1829m1915,1829l1928,1831m1928,1829l1940,1811m1940,1811l1965,1814m1965,1811l1978,1814m1978,1811l1990,1796m1990,1796l2003,1779m2003,1779l2015,1781m2015,1779l2040,1761m2040,1761l2053,1764m2053,1761l2065,1764m2065,1761l2078,1711m2078,1711l2090,1714m2090,1711l2115,1694m2115,1694l2128,1696m2128,1694l2140,1711m2140,1711l2153,1714m2153,1711l2165,1714m2165,1711l2190,1714m2190,1711l2203,1729m2203,1729l2215,1711m2215,1711l2228,1729m2228,1729l2240,1731m2240,1729l2253,1731m2253,1729l2278,1711m2278,1711l2290,1694m2290,1694l2303,1696m2303,1694l2315,1711m2315,1711l2325,1746m2325,1746l2350,1779m2350,1779l2363,1864m2363,1864l2375,1796m2375,1796l2388,1811m2388,1811l2400,1814m2400,1811l2425,1814m2425,1811l2438,1846m2438,1846l2450,1864m2450,1864l2463,1866m2463,1864l2475,1866m2475,1864l2500,1866m2500,1864l2513,1866m2513,1864l2525,1866m2525,1864l2538,1846m2538,1846l2550,1849e" filled="false" stroked="true" strokeweight="1pt" strokecolor="#de8508">
              <v:path arrowok="t"/>
              <v:stroke dashstyle="solid"/>
            </v:shape>
            <v:line style="position:absolute" from="2540,1848" to="2585,1848" stroked="true" strokeweight="1.125pt" strokecolor="#de8508">
              <v:stroke dashstyle="solid"/>
            </v:line>
            <v:shape style="position:absolute;left:2575;top:1188;width:1318;height:793" coordorigin="2575,1189" coordsize="1318,793" path="m2575,1846l2588,1864m2588,1864l2600,1866m2600,1864l2613,1866m2613,1864l2625,1879m2625,1879l2650,1896m2650,1896l2663,1899m2663,1896l2675,1899m2675,1896l2688,1914m2688,1914l2700,1946m2700,1946l2713,1964m2713,1964l2738,1981m2738,1981l2750,1964m2750,1964l2760,1946m2760,1946l2773,1949m2773,1946l2785,1931m2785,1931l2810,1914m2810,1914l2823,1916m2823,1914l2848,1879m2848,1879l2860,1881m2860,1879l2885,1864m2885,1864l2898,1846m2898,1846l2910,1811m2910,1811l2923,1779m2923,1779l2935,1781m2935,1779l2960,1746m2960,1746l2973,1711m2973,1711l2985,1694m2985,1694l2998,1661m2998,1661l3010,1626m3010,1626l3035,1594m3035,1594l3048,1559m3048,1559l3060,1544m3060,1544l3073,1491m3073,1491l3085,1476m3085,1476l3110,1459m3110,1459l3123,1461m3123,1459l3135,1426m3135,1426l3160,1391m3160,1391l3173,1394m3173,1391l3198,1374m3198,1374l3208,1341m3208,1341l3220,1324m3220,1324l3233,1326m3233,1324l3245,1306m3245,1306l3270,1274m3270,1274l3283,1291m3283,1291l3295,1274m3295,1274l3308,1291m3308,1291l3320,1306m3320,1306l3345,1309m3345,1306l3358,1324m3358,1324l3370,1359m3370,1359l3383,1324m3383,1324l3395,1326m3395,1324l3420,1341m3420,1341l3433,1359m3433,1359l3445,1374m3445,1374l3470,1409m3470,1409l3495,1441m3495,1441l3508,1426m3508,1426l3520,1429m3520,1426l3533,1441m3533,1441l3545,1476m3545,1476l3570,1459m3570,1459l3583,1461m3583,1459l3595,1461m3595,1459l3608,1476m3608,1476l3620,1479m3620,1476l3643,1459m3643,1459l3655,1476m3655,1476l3668,1491m3668,1491l3680,1476m3680,1476l3693,1479m3693,1476l3705,1491m3705,1491l3730,1476m3730,1476l3743,1441m3743,1441l3755,1409m3755,1409l3768,1374m3768,1374l3780,1376m3780,1374l3805,1306m3805,1306l3818,1291m3818,1291l3830,1239m3830,1239l3843,1241m3843,1239l3855,1206m3855,1206l3880,1189m3880,1189l3893,1191e" filled="false" stroked="true" strokeweight="1pt" strokecolor="#de8508">
              <v:path arrowok="t"/>
              <v:stroke dashstyle="solid"/>
            </v:shape>
            <v:shape style="position:absolute;left:1007;top:1408;width:38;height:50" coordorigin="1008,1409" coordsize="38,50" path="m1008,1409l1020,1459m1020,1459l1045,1409e" filled="false" stroked="true" strokeweight="1pt" strokecolor="#006caa">
              <v:path arrowok="t"/>
              <v:stroke dashstyle="solid"/>
            </v:shape>
            <v:line style="position:absolute" from="1052,1246" to="1052,1419" stroked="true" strokeweight="1.625pt" strokecolor="#006caa">
              <v:stroke dashstyle="solid"/>
            </v:line>
            <v:line style="position:absolute" from="1058,1256" to="1070,1189" stroked="true" strokeweight="1pt" strokecolor="#006caa">
              <v:stroke dashstyle="solid"/>
            </v:line>
            <v:line style="position:absolute" from="1077,1044" to="1077,1199" stroked="true" strokeweight="1.625pt" strokecolor="#006caa">
              <v:stroke dashstyle="solid"/>
            </v:line>
            <v:shape style="position:absolute;left:1082;top:953;width:38;height:185" coordorigin="1083,954" coordsize="38,185" path="m1083,1054l1095,954m1095,954l1120,1139e" filled="false" stroked="true" strokeweight="1pt" strokecolor="#006caa">
              <v:path arrowok="t"/>
              <v:stroke dashstyle="solid"/>
            </v:shape>
            <v:shape style="position:absolute;left:1126;top:1128;width:25;height:440" coordorigin="1127,1129" coordsize="25,440" path="m1127,1129l1127,1284m1139,1264l1139,1436m1152,1416l1152,1569e" filled="false" stroked="true" strokeweight="1.625pt" strokecolor="#006caa">
              <v:path arrowok="t"/>
              <v:stroke dashstyle="solid"/>
            </v:shape>
            <v:shape style="position:absolute;left:1157;top:1558;width:38;height:35" coordorigin="1158,1559" coordsize="38,35" path="m1158,1559l1170,1561m1170,1559l1195,1594e" filled="false" stroked="true" strokeweight="1pt" strokecolor="#006caa">
              <v:path arrowok="t"/>
              <v:stroke dashstyle="solid"/>
            </v:shape>
            <v:line style="position:absolute" from="1202,1584" to="1202,1721" stroked="true" strokeweight="1.625pt" strokecolor="#006caa">
              <v:stroke dashstyle="solid"/>
            </v:line>
            <v:shape style="position:absolute;left:1207;top:1643;width:113;height:153" coordorigin="1208,1644" coordsize="113,153" path="m1208,1711l1220,1761m1220,1761l1233,1729m1233,1729l1245,1796m1245,1796l1258,1711m1258,1711l1283,1679m1283,1679l1295,1729m1295,1729l1308,1644m1308,1644l1320,1694e" filled="false" stroked="true" strokeweight="1pt" strokecolor="#006caa">
              <v:path arrowok="t"/>
              <v:stroke dashstyle="solid"/>
            </v:shape>
            <v:line style="position:absolute" from="1327,1534" to="1327,1704" stroked="true" strokeweight="1.625pt" strokecolor="#006caa">
              <v:stroke dashstyle="solid"/>
            </v:line>
            <v:shape style="position:absolute;left:1332;top:1508;width:50;height:153" coordorigin="1333,1509" coordsize="50,153" path="m1333,1544l1358,1509m1358,1509l1370,1576m1370,1576l1383,1661e" filled="false" stroked="true" strokeweight="1pt" strokecolor="#006caa">
              <v:path arrowok="t"/>
              <v:stroke dashstyle="solid"/>
            </v:shape>
            <v:line style="position:absolute" from="1389,1651" to="1389,1789" stroked="true" strokeweight="1.625pt" strokecolor="#006caa">
              <v:stroke dashstyle="solid"/>
            </v:line>
            <v:shape style="position:absolute;left:1395;top:1661;width:123;height:185" coordorigin="1395,1661" coordsize="123,185" path="m1395,1779l1408,1796m1408,1796l1433,1811m1433,1811l1443,1829m1443,1829l1455,1796m1455,1796l1468,1846m1468,1846l1480,1746m1480,1746l1505,1761m1505,1761l1518,1661e" filled="false" stroked="true" strokeweight="1pt" strokecolor="#006caa">
              <v:path arrowok="t"/>
              <v:stroke dashstyle="solid"/>
            </v:shape>
            <v:shape style="position:absolute;left:1524;top:1651;width:13;height:273" coordorigin="1524,1651" coordsize="13,273" path="m1524,1651l1524,1789m1537,1769l1537,1924e" filled="false" stroked="true" strokeweight="1.625pt" strokecolor="#006caa">
              <v:path arrowok="t"/>
              <v:stroke dashstyle="solid"/>
            </v:shape>
            <v:shape style="position:absolute;left:1542;top:1543;width:313;height:420" coordorigin="1543,1544" coordsize="313,420" path="m1543,1914l1555,1896m1555,1896l1580,1914m1580,1914l1593,1916m1593,1914l1605,1896m1605,1896l1618,1544m1618,1544l1630,1611m1630,1611l1655,1811m1655,1811l1668,1864m1668,1864l1680,1896m1680,1896l1693,1931m1693,1931l1705,1846m1705,1846l1730,1914m1730,1914l1743,1916m1743,1914l1755,1931m1755,1931l1768,1934m1768,1931l1780,1934m1780,1931l1793,1879m1793,1879l1818,1946m1818,1946l1830,1964m1830,1964l1843,1914m1843,1914l1855,1829e" filled="false" stroked="true" strokeweight="1pt" strokecolor="#006caa">
              <v:path arrowok="t"/>
              <v:stroke dashstyle="solid"/>
            </v:shape>
            <v:line style="position:absolute" from="1862,1669" to="1862,1839" stroked="true" strokeweight="1.625pt" strokecolor="#006caa">
              <v:stroke dashstyle="solid"/>
            </v:line>
            <v:line style="position:absolute" from="1868,1679" to="1890,1711" stroked="true" strokeweight="1pt" strokecolor="#006caa">
              <v:stroke dashstyle="solid"/>
            </v:line>
            <v:line style="position:absolute" from="1897,1701" to="1897,1839" stroked="true" strokeweight="1.625pt" strokecolor="#006caa">
              <v:stroke dashstyle="solid"/>
            </v:line>
            <v:shape style="position:absolute;left:1902;top:1643;width:163;height:303" coordorigin="1903,1644" coordsize="163,303" path="m1903,1829l1915,1831m1915,1829l1928,1864m1928,1864l1940,1879m1940,1879l1965,1779m1965,1779l1978,1864m1978,1864l1990,1846m1990,1846l2003,1946m2003,1946l2015,1879m2015,1879l2040,1796m2040,1796l2053,1729m2053,1729l2065,1644e" filled="false" stroked="true" strokeweight="1pt" strokecolor="#006caa">
              <v:path arrowok="t"/>
              <v:stroke dashstyle="solid"/>
            </v:shape>
            <v:line style="position:absolute" from="2072,1516" to="2072,1654" stroked="true" strokeweight="1.625pt" strokecolor="#006caa">
              <v:stroke dashstyle="solid"/>
            </v:line>
            <v:shape style="position:absolute;left:2077;top:1138;width:38;height:388" coordorigin="2078,1139" coordsize="38,388" path="m2078,1526l2090,1139m2090,1139l2115,1341e" filled="false" stroked="true" strokeweight="1pt" strokecolor="#006caa">
              <v:path arrowok="t"/>
              <v:stroke dashstyle="solid"/>
            </v:shape>
            <v:line style="position:absolute" from="2128,1331" to="2128,1586" stroked="true" strokeweight="2.25pt" strokecolor="#006caa">
              <v:stroke dashstyle="solid"/>
            </v:line>
            <v:shape style="position:absolute;left:2140;top:1508;width:88;height:135" coordorigin="2140,1509" coordsize="88,135" path="m2140,1576l2153,1544m2153,1544l2165,1509m2165,1509l2190,1576m2190,1576l2203,1644m2203,1644l2215,1611m2215,1611l2228,1594e" filled="false" stroked="true" strokeweight="1pt" strokecolor="#006caa">
              <v:path arrowok="t"/>
              <v:stroke dashstyle="solid"/>
            </v:shape>
            <v:line style="position:absolute" from="2234,1584" to="2234,1756" stroked="true" strokeweight="1.625pt" strokecolor="#006caa">
              <v:stroke dashstyle="solid"/>
            </v:line>
            <v:shape style="position:absolute;left:2240;top:1173;width:75;height:573" coordorigin="2240,1174" coordsize="75,573" path="m2240,1746l2253,1644m2253,1644l2278,1491m2278,1491l2290,1526m2290,1526l2303,1189m2303,1189l2315,1174e" filled="false" stroked="true" strokeweight="1pt" strokecolor="#006caa">
              <v:path arrowok="t"/>
              <v:stroke dashstyle="solid"/>
            </v:shape>
            <v:line style="position:absolute" from="2320,911" to="2320,1184" stroked="true" strokeweight="1.5pt" strokecolor="#006caa">
              <v:stroke dashstyle="solid"/>
            </v:line>
            <v:line style="position:absolute" from="2325,921" to="2350,264" stroked="true" strokeweight="1pt" strokecolor="#006caa">
              <v:stroke dashstyle="solid"/>
            </v:line>
            <v:line style="position:absolute" from="2357,101" to="2357,274" stroked="true" strokeweight="1.625pt" strokecolor="#006caa">
              <v:stroke dashstyle="solid"/>
            </v:line>
            <v:line style="position:absolute" from="2363,111" to="2375,651" stroked="true" strokeweight="1pt" strokecolor="#006caa">
              <v:stroke dashstyle="solid"/>
            </v:line>
            <v:shape style="position:absolute;left:2381;top:641;width:13;height:305" coordorigin="2382,641" coordsize="13,305" path="m2382,641l2382,946m2394,724l2394,946e" filled="false" stroked="true" strokeweight="1.625pt" strokecolor="#006caa">
              <v:path arrowok="t"/>
              <v:stroke dashstyle="solid"/>
            </v:shape>
            <v:line style="position:absolute" from="2400,734" to="2425,769" stroked="true" strokeweight="1pt" strokecolor="#006caa">
              <v:stroke dashstyle="solid"/>
            </v:line>
            <v:line style="position:absolute" from="2432,759" to="2432,1064" stroked="true" strokeweight="1.625pt" strokecolor="#006caa">
              <v:stroke dashstyle="solid"/>
            </v:line>
            <v:shape style="position:absolute;left:2437;top:853;width:75;height:218" coordorigin="2438,854" coordsize="75,218" path="m2438,1054l2450,1039m2450,1039l2463,1071m2463,1071l2475,1054m2475,1054l2500,869m2500,869l2513,854e" filled="false" stroked="true" strokeweight="1pt" strokecolor="#006caa">
              <v:path arrowok="t"/>
              <v:stroke dashstyle="solid"/>
            </v:shape>
            <v:line style="position:absolute" from="2525,539" to="2525,864" stroked="true" strokeweight="2.25pt" strokecolor="#006caa">
              <v:stroke dashstyle="solid"/>
            </v:line>
            <v:line style="position:absolute" from="2544,339" to="2544,559" stroked="true" strokeweight="1.625pt" strokecolor="#006caa">
              <v:stroke dashstyle="solid"/>
            </v:line>
            <v:line style="position:absolute" from="2550,349" to="2575,431" stroked="true" strokeweight="1pt" strokecolor="#006caa">
              <v:stroke dashstyle="solid"/>
            </v:line>
            <v:shape style="position:absolute;left:2581;top:388;width:13;height:188" coordorigin="2582,389" coordsize="13,188" path="m2582,421l2582,576m2594,389l2594,576e" filled="false" stroked="true" strokeweight="1.625pt" strokecolor="#006caa">
              <v:path arrowok="t"/>
              <v:stroke dashstyle="solid"/>
            </v:shape>
            <v:shape style="position:absolute;left:2600;top:398;width:63;height:168" coordorigin="2600,399" coordsize="63,168" path="m2600,399l2613,481m2613,481l2625,414m2625,414l2650,534m2650,534l2663,566e" filled="false" stroked="true" strokeweight="1pt" strokecolor="#006caa">
              <v:path arrowok="t"/>
              <v:stroke dashstyle="solid"/>
            </v:shape>
            <v:shape style="position:absolute;left:2652;top:253;width:45;height:323" coordorigin="2653,254" coordsize="45,323" path="m2698,254l2685,254,2665,254,2653,254,2653,576,2685,576,2685,559,2698,559,2698,254xe" filled="true" fillcolor="#006caa" stroked="false">
              <v:path arrowok="t"/>
              <v:fill type="solid"/>
            </v:shape>
            <v:shape style="position:absolute;left:2694;top:538;width:13;height:458" coordorigin="2694,539" coordsize="13,458" path="m2694,539l2694,796m2707,776l2707,996e" filled="false" stroked="true" strokeweight="1.625pt" strokecolor="#006caa">
              <v:path arrowok="t"/>
              <v:stroke dashstyle="solid"/>
            </v:shape>
            <v:line style="position:absolute" from="2713,986" to="2738,954" stroked="true" strokeweight="1pt" strokecolor="#006caa">
              <v:stroke dashstyle="solid"/>
            </v:line>
            <v:line style="position:absolute" from="2744,809" to="2744,964" stroked="true" strokeweight="1.625pt" strokecolor="#006caa">
              <v:stroke dashstyle="solid"/>
            </v:line>
            <v:line style="position:absolute" from="2750,819" to="2760,399" stroked="true" strokeweight="1pt" strokecolor="#006caa">
              <v:stroke dashstyle="solid"/>
            </v:line>
            <v:line style="position:absolute" from="2767,389" to="2767,526" stroked="true" strokeweight="1.625pt" strokecolor="#006caa">
              <v:stroke dashstyle="solid"/>
            </v:line>
            <v:shape style="position:absolute;left:2772;top:43;width:33;height:473" coordorigin="2773,44" coordsize="33,473" path="m2773,516l2785,146m2785,146l2805,44e" filled="false" stroked="true" strokeweight="1pt" strokecolor="#006caa">
              <v:path arrowok="t"/>
              <v:stroke dashstyle="solid"/>
            </v:shape>
            <v:line style="position:absolute" from="2817,34" to="2817,224" stroked="true" strokeweight="1.625pt" strokecolor="#006caa">
              <v:stroke dashstyle="solid"/>
            </v:line>
            <v:line style="position:absolute" from="2823,214" to="2835,616" stroked="true" strokeweight="1pt" strokecolor="#006caa">
              <v:stroke dashstyle="solid"/>
            </v:line>
            <v:shape style="position:absolute;left:2825;top:236;width:308;height:795" type="#_x0000_t75" stroked="false">
              <v:imagedata r:id="rId89" o:title=""/>
            </v:shape>
            <v:line style="position:absolute" from="3123,1021" to="3135,399" stroked="true" strokeweight="1pt" strokecolor="#006caa">
              <v:stroke dashstyle="solid"/>
            </v:line>
            <v:shape style="position:absolute;left:3125;top:388;width:168;height:355" type="#_x0000_t75" stroked="false">
              <v:imagedata r:id="rId90" o:title=""/>
            </v:shape>
            <v:line style="position:absolute" from="3283,651" to="3295,214" stroked="true" strokeweight="1pt" strokecolor="#006caa">
              <v:stroke dashstyle="solid"/>
            </v:line>
            <v:line style="position:absolute" from="3302,204" to="3302,491" stroked="true" strokeweight="1.625pt" strokecolor="#006caa">
              <v:stroke dashstyle="solid"/>
            </v:line>
            <v:shape style="position:absolute;left:3307;top:481;width:38;height:320" coordorigin="3308,481" coordsize="38,320" path="m3308,481l3320,801m3320,801l3345,769e" filled="false" stroked="true" strokeweight="1pt" strokecolor="#006caa">
              <v:path arrowok="t"/>
              <v:stroke dashstyle="solid"/>
            </v:shape>
            <v:shape style="position:absolute;left:3351;top:758;width:13;height:408" coordorigin="3352,759" coordsize="13,408" path="m3352,759l3352,914m3364,894l3364,1166e" filled="false" stroked="true" strokeweight="1.625pt" strokecolor="#006caa">
              <v:path arrowok="t"/>
              <v:stroke dashstyle="solid"/>
            </v:shape>
            <v:shape style="position:absolute;left:3370;top:1071;width:50;height:85" coordorigin="3370,1071" coordsize="50,85" path="m3370,1156l3383,1106m3383,1106l3395,1071m3395,1071l3420,1121e" filled="false" stroked="true" strokeweight="1pt" strokecolor="#006caa">
              <v:path arrowok="t"/>
              <v:stroke dashstyle="solid"/>
            </v:shape>
            <v:line style="position:absolute" from="3427,1111" to="3427,1284" stroked="true" strokeweight="1.625pt" strokecolor="#006caa">
              <v:stroke dashstyle="solid"/>
            </v:line>
            <v:shape style="position:absolute;left:3432;top:1256;width:248;height:505" coordorigin="3433,1256" coordsize="248,505" path="m3433,1274l3445,1306m3445,1306l3458,1309m3458,1306l3470,1359m3470,1359l3495,1409m3495,1409l3508,1306m3508,1306l3520,1256m3520,1256l3533,1324m3533,1324l3545,1326m3545,1324l3570,1391m3570,1391l3583,1459m3583,1459l3595,1559m3595,1559l3608,1626m3608,1626l3620,1661m3620,1661l3643,1694m3643,1694l3655,1696m3655,1694l3668,1761m3668,1761l3680,1729e" filled="false" stroked="true" strokeweight="1pt" strokecolor="#006caa">
              <v:path arrowok="t"/>
              <v:stroke dashstyle="solid"/>
            </v:shape>
            <v:line style="position:absolute" from="3687,1719" to="3687,1889" stroked="true" strokeweight="1.625pt" strokecolor="#006caa">
              <v:stroke dashstyle="solid"/>
            </v:line>
            <v:shape style="position:absolute;left:3692;top:1878;width:63;height:135" coordorigin="3693,1879" coordsize="63,135" path="m3693,1879l3705,1946m3705,1946l3730,1931m3730,1931l3743,2014m3743,2014l3755,1981e" filled="false" stroked="true" strokeweight="1pt" strokecolor="#006caa">
              <v:path arrowok="t"/>
              <v:stroke dashstyle="solid"/>
            </v:shape>
            <v:shape style="position:absolute;left:3745;top:1836;width:45;height:155" coordorigin="3745,1836" coordsize="45,155" path="m3790,1836l3778,1836,3758,1836,3745,1836,3745,1991,3758,1991,3778,1991,3790,1991,3790,1836xe" filled="true" fillcolor="#006caa" stroked="false">
              <v:path arrowok="t"/>
              <v:fill type="solid"/>
            </v:shape>
            <v:shape style="position:absolute;left:3780;top:1931;width:50;height:68" coordorigin="3780,1931" coordsize="50,68" path="m3780,1981l3805,1964m3805,1964l3818,1999m3818,1999l3830,1931e" filled="false" stroked="true" strokeweight="1pt" strokecolor="#006caa">
              <v:path arrowok="t"/>
              <v:stroke dashstyle="solid"/>
            </v:shape>
            <v:line style="position:absolute" from="3837,1921" to="3837,2109" stroked="true" strokeweight="1.625pt" strokecolor="#006caa">
              <v:stroke dashstyle="solid"/>
            </v:line>
            <v:shape style="position:absolute;left:3842;top:1981;width:50;height:135" coordorigin="3843,1981" coordsize="50,135" path="m3843,2099l3855,2116m3855,2116l3880,2031m3880,2031l3893,1981e" filled="false" stroked="true" strokeweight="1pt" strokecolor="#006caa">
              <v:path arrowok="t"/>
              <v:stroke dashstyle="solid"/>
            </v:shape>
            <v:shape style="position:absolute;left:852;top:43;width:3190;height:1730" coordorigin="852,44" coordsize="3190,1730" path="m852,620l939,620m852,1196l939,1196m852,1772l939,1772m852,44l939,44m3955,621l4042,621m3955,1197l4042,1197m3955,1773l4042,1773m3955,45l4042,45e" filled="false" stroked="true" strokeweight=".5pt" strokecolor="#000000">
              <v:path arrowok="t"/>
              <v:stroke dashstyle="solid"/>
            </v:shape>
            <v:shape style="position:absolute;left:1223;top:195;width:1108;height:241" type="#_x0000_t202" filled="false" stroked="false">
              <v:textbox inset="0,0,0,0">
                <w:txbxContent>
                  <w:p>
                    <w:pPr>
                      <w:spacing w:line="106" w:lineRule="exact" w:before="0"/>
                      <w:ind w:left="0" w:right="0" w:firstLine="0"/>
                      <w:jc w:val="left"/>
                      <w:rPr>
                        <w:sz w:val="12"/>
                      </w:rPr>
                    </w:pPr>
                    <w:r>
                      <w:rPr>
                        <w:w w:val="110"/>
                        <w:sz w:val="12"/>
                      </w:rPr>
                      <w:t>Gross debt to market</w:t>
                    </w:r>
                  </w:p>
                  <w:p>
                    <w:pPr>
                      <w:spacing w:line="129" w:lineRule="exact" w:before="0"/>
                      <w:ind w:left="91" w:right="0" w:firstLine="0"/>
                      <w:jc w:val="left"/>
                      <w:rPr>
                        <w:sz w:val="12"/>
                      </w:rPr>
                    </w:pPr>
                    <w:r>
                      <w:rPr>
                        <w:w w:val="105"/>
                        <w:sz w:val="12"/>
                      </w:rPr>
                      <w:t>value of equity</w:t>
                    </w:r>
                  </w:p>
                </w:txbxContent>
              </v:textbox>
              <w10:wrap type="none"/>
            </v:shape>
            <v:shape style="position:absolute;left:2386;top:2018;width:780;height:241" type="#_x0000_t202" filled="false" stroked="false">
              <v:textbox inset="0,0,0,0">
                <w:txbxContent>
                  <w:p>
                    <w:pPr>
                      <w:spacing w:line="106" w:lineRule="exact" w:before="0"/>
                      <w:ind w:left="0" w:right="0" w:firstLine="0"/>
                      <w:jc w:val="left"/>
                      <w:rPr>
                        <w:sz w:val="12"/>
                      </w:rPr>
                    </w:pPr>
                    <w:r>
                      <w:rPr>
                        <w:w w:val="110"/>
                        <w:sz w:val="12"/>
                      </w:rPr>
                      <w:t>Gross debt to</w:t>
                    </w:r>
                  </w:p>
                  <w:p>
                    <w:pPr>
                      <w:spacing w:line="129" w:lineRule="exact" w:before="0"/>
                      <w:ind w:left="91" w:right="0" w:firstLine="0"/>
                      <w:jc w:val="left"/>
                      <w:rPr>
                        <w:sz w:val="12"/>
                      </w:rPr>
                    </w:pPr>
                    <w:r>
                      <w:rPr>
                        <w:w w:val="110"/>
                        <w:sz w:val="12"/>
                      </w:rPr>
                      <w:t>net assets (a)</w:t>
                    </w:r>
                  </w:p>
                </w:txbxContent>
              </v:textbox>
              <w10:wrap type="none"/>
            </v:shape>
            <w10:wrap type="none"/>
          </v:group>
        </w:pict>
      </w:r>
      <w:r>
        <w:rPr>
          <w:w w:val="120"/>
          <w:sz w:val="12"/>
        </w:rPr>
        <w:t>100</w:t>
      </w:r>
    </w:p>
    <w:p>
      <w:pPr>
        <w:pStyle w:val="BodyText"/>
        <w:spacing w:line="292" w:lineRule="auto"/>
        <w:ind w:left="184" w:right="75"/>
      </w:pPr>
      <w:r>
        <w:rPr/>
        <w:br w:type="column"/>
      </w:r>
      <w:r>
        <w:rPr>
          <w:spacing w:val="-3"/>
          <w:w w:val="110"/>
        </w:rPr>
        <w:t>Survey</w:t>
      </w:r>
      <w:r>
        <w:rPr>
          <w:spacing w:val="-30"/>
          <w:w w:val="110"/>
        </w:rPr>
        <w:t> </w:t>
      </w:r>
      <w:r>
        <w:rPr>
          <w:w w:val="110"/>
        </w:rPr>
        <w:t>information</w:t>
      </w:r>
      <w:r>
        <w:rPr>
          <w:spacing w:val="-30"/>
          <w:w w:val="110"/>
        </w:rPr>
        <w:t> </w:t>
      </w:r>
      <w:r>
        <w:rPr>
          <w:w w:val="110"/>
        </w:rPr>
        <w:t>suggests</w:t>
      </w:r>
      <w:r>
        <w:rPr>
          <w:spacing w:val="-30"/>
          <w:w w:val="110"/>
        </w:rPr>
        <w:t> </w:t>
      </w:r>
      <w:r>
        <w:rPr>
          <w:w w:val="110"/>
        </w:rPr>
        <w:t>that</w:t>
      </w:r>
      <w:r>
        <w:rPr>
          <w:spacing w:val="-30"/>
          <w:w w:val="110"/>
        </w:rPr>
        <w:t> </w:t>
      </w:r>
      <w:r>
        <w:rPr>
          <w:w w:val="110"/>
        </w:rPr>
        <w:t>loan</w:t>
      </w:r>
      <w:r>
        <w:rPr>
          <w:spacing w:val="-29"/>
          <w:w w:val="110"/>
        </w:rPr>
        <w:t> </w:t>
      </w:r>
      <w:r>
        <w:rPr>
          <w:w w:val="110"/>
        </w:rPr>
        <w:t>officers</w:t>
      </w:r>
      <w:r>
        <w:rPr>
          <w:spacing w:val="-30"/>
          <w:w w:val="110"/>
        </w:rPr>
        <w:t> </w:t>
      </w:r>
      <w:r>
        <w:rPr>
          <w:w w:val="110"/>
        </w:rPr>
        <w:t>at</w:t>
      </w:r>
      <w:r>
        <w:rPr>
          <w:spacing w:val="-30"/>
          <w:w w:val="110"/>
        </w:rPr>
        <w:t> </w:t>
      </w:r>
      <w:r>
        <w:rPr>
          <w:w w:val="110"/>
        </w:rPr>
        <w:t>commercial banks</w:t>
      </w:r>
      <w:r>
        <w:rPr>
          <w:spacing w:val="-15"/>
          <w:w w:val="110"/>
        </w:rPr>
        <w:t> </w:t>
      </w:r>
      <w:r>
        <w:rPr>
          <w:spacing w:val="-3"/>
          <w:w w:val="110"/>
        </w:rPr>
        <w:t>have</w:t>
      </w:r>
      <w:r>
        <w:rPr>
          <w:spacing w:val="-15"/>
          <w:w w:val="110"/>
        </w:rPr>
        <w:t> </w:t>
      </w:r>
      <w:r>
        <w:rPr>
          <w:spacing w:val="-3"/>
          <w:w w:val="110"/>
        </w:rPr>
        <w:t>reacted</w:t>
      </w:r>
      <w:r>
        <w:rPr>
          <w:spacing w:val="-15"/>
          <w:w w:val="110"/>
        </w:rPr>
        <w:t> </w:t>
      </w:r>
      <w:r>
        <w:rPr>
          <w:spacing w:val="-3"/>
          <w:w w:val="110"/>
        </w:rPr>
        <w:t>by</w:t>
      </w:r>
      <w:r>
        <w:rPr>
          <w:spacing w:val="-14"/>
          <w:w w:val="110"/>
        </w:rPr>
        <w:t> </w:t>
      </w:r>
      <w:r>
        <w:rPr>
          <w:w w:val="110"/>
        </w:rPr>
        <w:t>tightening</w:t>
      </w:r>
      <w:r>
        <w:rPr>
          <w:spacing w:val="-15"/>
          <w:w w:val="110"/>
        </w:rPr>
        <w:t> </w:t>
      </w:r>
      <w:r>
        <w:rPr>
          <w:w w:val="110"/>
        </w:rPr>
        <w:t>lending</w:t>
      </w:r>
      <w:r>
        <w:rPr>
          <w:spacing w:val="-15"/>
          <w:w w:val="110"/>
        </w:rPr>
        <w:t> </w:t>
      </w:r>
      <w:r>
        <w:rPr>
          <w:w w:val="110"/>
        </w:rPr>
        <w:t>standards.</w:t>
      </w:r>
      <w:r>
        <w:rPr>
          <w:spacing w:val="27"/>
          <w:w w:val="110"/>
        </w:rPr>
        <w:t> </w:t>
      </w:r>
      <w:r>
        <w:rPr>
          <w:spacing w:val="-3"/>
          <w:w w:val="110"/>
        </w:rPr>
        <w:t>Tighter </w:t>
      </w:r>
      <w:r>
        <w:rPr>
          <w:w w:val="110"/>
        </w:rPr>
        <w:t>credit conditions, together with a re-evaluation of the expected</w:t>
      </w:r>
      <w:r>
        <w:rPr>
          <w:spacing w:val="-13"/>
          <w:w w:val="110"/>
        </w:rPr>
        <w:t> </w:t>
      </w:r>
      <w:r>
        <w:rPr>
          <w:w w:val="110"/>
        </w:rPr>
        <w:t>returns</w:t>
      </w:r>
      <w:r>
        <w:rPr>
          <w:spacing w:val="-12"/>
          <w:w w:val="110"/>
        </w:rPr>
        <w:t> </w:t>
      </w:r>
      <w:r>
        <w:rPr>
          <w:w w:val="110"/>
        </w:rPr>
        <w:t>on</w:t>
      </w:r>
      <w:r>
        <w:rPr>
          <w:spacing w:val="-13"/>
          <w:w w:val="110"/>
        </w:rPr>
        <w:t> </w:t>
      </w:r>
      <w:r>
        <w:rPr>
          <w:w w:val="110"/>
        </w:rPr>
        <w:t>capital,</w:t>
      </w:r>
      <w:r>
        <w:rPr>
          <w:spacing w:val="-12"/>
          <w:w w:val="110"/>
        </w:rPr>
        <w:t> </w:t>
      </w:r>
      <w:r>
        <w:rPr>
          <w:w w:val="110"/>
        </w:rPr>
        <w:t>can</w:t>
      </w:r>
      <w:r>
        <w:rPr>
          <w:spacing w:val="-12"/>
          <w:w w:val="110"/>
        </w:rPr>
        <w:t> </w:t>
      </w:r>
      <w:r>
        <w:rPr>
          <w:w w:val="110"/>
        </w:rPr>
        <w:t>be</w:t>
      </w:r>
      <w:r>
        <w:rPr>
          <w:spacing w:val="-13"/>
          <w:w w:val="110"/>
        </w:rPr>
        <w:t> </w:t>
      </w:r>
      <w:r>
        <w:rPr>
          <w:w w:val="110"/>
        </w:rPr>
        <w:t>expected</w:t>
      </w:r>
      <w:r>
        <w:rPr>
          <w:spacing w:val="-12"/>
          <w:w w:val="110"/>
        </w:rPr>
        <w:t> </w:t>
      </w:r>
      <w:r>
        <w:rPr>
          <w:spacing w:val="-4"/>
          <w:w w:val="110"/>
        </w:rPr>
        <w:t>to</w:t>
      </w:r>
      <w:r>
        <w:rPr>
          <w:spacing w:val="-13"/>
          <w:w w:val="110"/>
        </w:rPr>
        <w:t> </w:t>
      </w:r>
      <w:r>
        <w:rPr>
          <w:w w:val="110"/>
        </w:rPr>
        <w:t>lead</w:t>
      </w:r>
      <w:r>
        <w:rPr>
          <w:spacing w:val="-12"/>
          <w:w w:val="110"/>
        </w:rPr>
        <w:t> </w:t>
      </w:r>
      <w:r>
        <w:rPr>
          <w:w w:val="110"/>
        </w:rPr>
        <w:t>firms</w:t>
      </w:r>
      <w:r>
        <w:rPr>
          <w:spacing w:val="-12"/>
          <w:w w:val="110"/>
        </w:rPr>
        <w:t> </w:t>
      </w:r>
      <w:r>
        <w:rPr>
          <w:spacing w:val="-4"/>
          <w:w w:val="110"/>
        </w:rPr>
        <w:t>to </w:t>
      </w:r>
      <w:r>
        <w:rPr>
          <w:w w:val="110"/>
        </w:rPr>
        <w:t>reduce their gearing levels </w:t>
      </w:r>
      <w:r>
        <w:rPr>
          <w:spacing w:val="-3"/>
          <w:w w:val="110"/>
        </w:rPr>
        <w:t>by </w:t>
      </w:r>
      <w:r>
        <w:rPr>
          <w:w w:val="110"/>
        </w:rPr>
        <w:t>cutting back further on </w:t>
      </w:r>
      <w:r>
        <w:rPr>
          <w:spacing w:val="-3"/>
          <w:w w:val="110"/>
        </w:rPr>
        <w:t>investment</w:t>
      </w:r>
      <w:r>
        <w:rPr>
          <w:spacing w:val="-6"/>
          <w:w w:val="110"/>
        </w:rPr>
        <w:t> </w:t>
      </w:r>
      <w:r>
        <w:rPr>
          <w:w w:val="110"/>
        </w:rPr>
        <w:t>expenditure.</w:t>
      </w:r>
    </w:p>
    <w:p>
      <w:pPr>
        <w:spacing w:after="0" w:line="292" w:lineRule="auto"/>
        <w:sectPr>
          <w:type w:val="continuous"/>
          <w:pgSz w:w="11900" w:h="16840"/>
          <w:pgMar w:top="1260" w:bottom="280" w:left="640" w:right="640"/>
          <w:cols w:num="3" w:equalWidth="0">
            <w:col w:w="2697" w:space="91"/>
            <w:col w:w="884" w:space="1247"/>
            <w:col w:w="5701"/>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after="1"/>
        <w:rPr>
          <w:sz w:val="19"/>
        </w:rPr>
      </w:pPr>
    </w:p>
    <w:p>
      <w:pPr>
        <w:pStyle w:val="BodyText"/>
        <w:spacing w:line="20" w:lineRule="exact"/>
        <w:ind w:left="207"/>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p>
    <w:p>
      <w:pPr>
        <w:pStyle w:val="BodyText"/>
        <w:rPr>
          <w:sz w:val="12"/>
        </w:rPr>
      </w:pPr>
    </w:p>
    <w:p>
      <w:pPr>
        <w:pStyle w:val="BodyText"/>
        <w:rPr>
          <w:sz w:val="12"/>
        </w:rPr>
      </w:pPr>
    </w:p>
    <w:p>
      <w:pPr>
        <w:pStyle w:val="BodyText"/>
        <w:spacing w:before="3"/>
        <w:rPr>
          <w:sz w:val="14"/>
        </w:rPr>
      </w:pPr>
    </w:p>
    <w:p>
      <w:pPr>
        <w:tabs>
          <w:tab w:pos="766" w:val="left" w:leader="none"/>
          <w:tab w:pos="1251" w:val="left" w:leader="none"/>
        </w:tabs>
        <w:spacing w:before="1"/>
        <w:ind w:left="233" w:right="0" w:firstLine="0"/>
        <w:jc w:val="left"/>
        <w:rPr>
          <w:sz w:val="12"/>
        </w:rPr>
      </w:pPr>
      <w:r>
        <w:rPr>
          <w:w w:val="120"/>
          <w:sz w:val="12"/>
        </w:rPr>
        <w:t>1952</w:t>
        <w:tab/>
        <w:t>60</w:t>
        <w:tab/>
        <w:t>68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703" w:val="left" w:leader="none"/>
        </w:tabs>
        <w:spacing w:before="90"/>
        <w:ind w:left="233" w:right="0" w:firstLine="0"/>
        <w:jc w:val="left"/>
        <w:rPr>
          <w:sz w:val="12"/>
        </w:rPr>
      </w:pPr>
      <w:r>
        <w:rPr>
          <w:w w:val="120"/>
          <w:sz w:val="12"/>
        </w:rPr>
        <w:t>76</w:t>
        <w:tab/>
        <w:t>84</w:t>
      </w:r>
    </w:p>
    <w:p>
      <w:pPr>
        <w:spacing w:before="52"/>
        <w:ind w:left="0" w:right="38" w:firstLine="0"/>
        <w:jc w:val="right"/>
        <w:rPr>
          <w:sz w:val="12"/>
        </w:rPr>
      </w:pPr>
      <w:r>
        <w:rPr/>
        <w:br w:type="column"/>
      </w:r>
      <w:r>
        <w:rPr>
          <w:w w:val="120"/>
          <w:sz w:val="12"/>
        </w:rPr>
        <w:t>80</w:t>
      </w: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w w:val="120"/>
          <w:sz w:val="12"/>
        </w:rPr>
        <w:t>60</w:t>
      </w: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w w:val="120"/>
          <w:sz w:val="12"/>
        </w:rPr>
        <w:t>40</w:t>
      </w: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pict>
          <v:line style="position:absolute;mso-position-horizontal-relative:page;mso-position-vertical-relative:paragraph;z-index:15937024" from="197.764999pt,3.164428pt" to="202.098999pt,3.164428pt" stroked="true" strokeweight=".5pt" strokecolor="#000000">
            <v:stroke dashstyle="solid"/>
            <w10:wrap type="none"/>
          </v:line>
        </w:pict>
      </w:r>
      <w:r>
        <w:rPr>
          <w:w w:val="120"/>
          <w:sz w:val="12"/>
        </w:rPr>
        <w:t>20</w:t>
      </w:r>
    </w:p>
    <w:p>
      <w:pPr>
        <w:pStyle w:val="BodyText"/>
        <w:rPr>
          <w:sz w:val="12"/>
        </w:rPr>
      </w:pPr>
    </w:p>
    <w:p>
      <w:pPr>
        <w:pStyle w:val="BodyText"/>
        <w:rPr>
          <w:sz w:val="12"/>
        </w:rPr>
      </w:pPr>
    </w:p>
    <w:p>
      <w:pPr>
        <w:pStyle w:val="BodyText"/>
        <w:spacing w:before="1"/>
        <w:rPr>
          <w:sz w:val="14"/>
        </w:rPr>
      </w:pPr>
    </w:p>
    <w:p>
      <w:pPr>
        <w:tabs>
          <w:tab w:pos="646" w:val="left" w:leader="none"/>
        </w:tabs>
        <w:spacing w:before="0"/>
        <w:ind w:left="233" w:right="0" w:firstLine="0"/>
        <w:jc w:val="left"/>
        <w:rPr>
          <w:sz w:val="12"/>
        </w:rPr>
      </w:pPr>
      <w:r>
        <w:rPr/>
        <w:pict>
          <v:shape style="position:absolute;margin-left:42.610001pt;margin-top:-.18656pt;width:159.5pt;height:3.4pt;mso-position-horizontal-relative:page;mso-position-vertical-relative:paragraph;z-index:-23393280" coordorigin="852,-4" coordsize="3190,68" path="m1011,63l3904,63m1008,-4l1008,63m1483,-4l1483,63m1958,-4l1958,63m2433,-4l2433,63m2908,-4l2908,63m3383,-4l3383,63m3858,-4l3858,63m852,62l939,62m3955,63l4042,63e" filled="false" stroked="true" strokeweight=".5pt" strokecolor="#000000">
            <v:path arrowok="t"/>
            <v:stroke dashstyle="solid"/>
            <w10:wrap type="none"/>
          </v:shape>
        </w:pict>
      </w:r>
      <w:r>
        <w:rPr>
          <w:w w:val="120"/>
          <w:sz w:val="12"/>
        </w:rPr>
        <w:t>92</w:t>
        <w:tab/>
        <w:t>2000    </w:t>
      </w:r>
      <w:r>
        <w:rPr>
          <w:spacing w:val="12"/>
          <w:w w:val="120"/>
          <w:sz w:val="12"/>
        </w:rPr>
        <w:t> </w:t>
      </w:r>
      <w:r>
        <w:rPr>
          <w:w w:val="120"/>
          <w:position w:val="8"/>
          <w:sz w:val="12"/>
        </w:rPr>
        <w:t>0</w:t>
      </w:r>
    </w:p>
    <w:p>
      <w:pPr>
        <w:pStyle w:val="BodyText"/>
        <w:spacing w:before="1"/>
        <w:rPr>
          <w:sz w:val="24"/>
        </w:rPr>
      </w:pPr>
      <w:r>
        <w:rPr/>
        <w:br w:type="column"/>
      </w:r>
      <w:r>
        <w:rPr>
          <w:sz w:val="24"/>
        </w:rPr>
      </w:r>
    </w:p>
    <w:p>
      <w:pPr>
        <w:pStyle w:val="BodyText"/>
        <w:spacing w:line="280" w:lineRule="atLeast"/>
        <w:ind w:left="233" w:right="214"/>
      </w:pPr>
      <w:r>
        <w:rPr>
          <w:w w:val="110"/>
        </w:rPr>
        <w:t>The decline in share prices has been associated with a </w:t>
      </w:r>
      <w:r>
        <w:rPr>
          <w:spacing w:val="-2"/>
          <w:w w:val="110"/>
        </w:rPr>
        <w:t>marked </w:t>
      </w:r>
      <w:r>
        <w:rPr>
          <w:w w:val="110"/>
        </w:rPr>
        <w:t>deterioration in measures of US consumer confidence.</w:t>
      </w:r>
      <w:r>
        <w:rPr>
          <w:spacing w:val="13"/>
          <w:w w:val="110"/>
        </w:rPr>
        <w:t> </w:t>
      </w:r>
      <w:r>
        <w:rPr>
          <w:w w:val="110"/>
        </w:rPr>
        <w:t>That</w:t>
      </w:r>
      <w:r>
        <w:rPr>
          <w:spacing w:val="-22"/>
          <w:w w:val="110"/>
        </w:rPr>
        <w:t> </w:t>
      </w:r>
      <w:r>
        <w:rPr>
          <w:spacing w:val="-3"/>
          <w:w w:val="110"/>
        </w:rPr>
        <w:t>may</w:t>
      </w:r>
      <w:r>
        <w:rPr>
          <w:spacing w:val="-21"/>
          <w:w w:val="110"/>
        </w:rPr>
        <w:t> </w:t>
      </w:r>
      <w:r>
        <w:rPr>
          <w:w w:val="110"/>
        </w:rPr>
        <w:t>lead</w:t>
      </w:r>
      <w:r>
        <w:rPr>
          <w:spacing w:val="-21"/>
          <w:w w:val="110"/>
        </w:rPr>
        <w:t> </w:t>
      </w:r>
      <w:r>
        <w:rPr>
          <w:w w:val="110"/>
        </w:rPr>
        <w:t>consumers</w:t>
      </w:r>
      <w:r>
        <w:rPr>
          <w:spacing w:val="-21"/>
          <w:w w:val="110"/>
        </w:rPr>
        <w:t> </w:t>
      </w:r>
      <w:r>
        <w:rPr>
          <w:spacing w:val="-4"/>
          <w:w w:val="110"/>
        </w:rPr>
        <w:t>to</w:t>
      </w:r>
      <w:r>
        <w:rPr>
          <w:spacing w:val="-22"/>
          <w:w w:val="110"/>
        </w:rPr>
        <w:t> </w:t>
      </w:r>
      <w:r>
        <w:rPr>
          <w:w w:val="110"/>
        </w:rPr>
        <w:t>increase</w:t>
      </w:r>
      <w:r>
        <w:rPr>
          <w:spacing w:val="-21"/>
          <w:w w:val="110"/>
        </w:rPr>
        <w:t> </w:t>
      </w:r>
      <w:r>
        <w:rPr>
          <w:w w:val="110"/>
        </w:rPr>
        <w:t>their</w:t>
      </w:r>
      <w:r>
        <w:rPr>
          <w:spacing w:val="-21"/>
          <w:w w:val="110"/>
        </w:rPr>
        <w:t> </w:t>
      </w:r>
      <w:r>
        <w:rPr>
          <w:w w:val="110"/>
        </w:rPr>
        <w:t>saving out</w:t>
      </w:r>
      <w:r>
        <w:rPr>
          <w:spacing w:val="-19"/>
          <w:w w:val="110"/>
        </w:rPr>
        <w:t> </w:t>
      </w:r>
      <w:r>
        <w:rPr>
          <w:w w:val="110"/>
        </w:rPr>
        <w:t>of</w:t>
      </w:r>
      <w:r>
        <w:rPr>
          <w:spacing w:val="-19"/>
          <w:w w:val="110"/>
        </w:rPr>
        <w:t> </w:t>
      </w:r>
      <w:r>
        <w:rPr>
          <w:w w:val="110"/>
        </w:rPr>
        <w:t>current</w:t>
      </w:r>
      <w:r>
        <w:rPr>
          <w:spacing w:val="-19"/>
          <w:w w:val="110"/>
        </w:rPr>
        <w:t> </w:t>
      </w:r>
      <w:r>
        <w:rPr>
          <w:w w:val="110"/>
        </w:rPr>
        <w:t>income,</w:t>
      </w:r>
      <w:r>
        <w:rPr>
          <w:spacing w:val="-18"/>
          <w:w w:val="110"/>
        </w:rPr>
        <w:t> </w:t>
      </w:r>
      <w:r>
        <w:rPr>
          <w:w w:val="110"/>
        </w:rPr>
        <w:t>possibly</w:t>
      </w:r>
      <w:r>
        <w:rPr>
          <w:spacing w:val="-19"/>
          <w:w w:val="110"/>
        </w:rPr>
        <w:t> </w:t>
      </w:r>
      <w:r>
        <w:rPr>
          <w:w w:val="110"/>
        </w:rPr>
        <w:t>quite</w:t>
      </w:r>
      <w:r>
        <w:rPr>
          <w:spacing w:val="-19"/>
          <w:w w:val="110"/>
        </w:rPr>
        <w:t> </w:t>
      </w:r>
      <w:r>
        <w:rPr>
          <w:spacing w:val="-3"/>
          <w:w w:val="110"/>
        </w:rPr>
        <w:t>sharply,</w:t>
      </w:r>
      <w:r>
        <w:rPr>
          <w:spacing w:val="-18"/>
          <w:w w:val="110"/>
        </w:rPr>
        <w:t> </w:t>
      </w:r>
      <w:r>
        <w:rPr>
          <w:w w:val="110"/>
        </w:rPr>
        <w:t>since</w:t>
      </w:r>
      <w:r>
        <w:rPr>
          <w:spacing w:val="-19"/>
          <w:w w:val="110"/>
        </w:rPr>
        <w:t> </w:t>
      </w:r>
      <w:r>
        <w:rPr>
          <w:w w:val="110"/>
        </w:rPr>
        <w:t>increases in</w:t>
      </w:r>
      <w:r>
        <w:rPr>
          <w:spacing w:val="-14"/>
          <w:w w:val="110"/>
        </w:rPr>
        <w:t> </w:t>
      </w:r>
      <w:r>
        <w:rPr>
          <w:w w:val="110"/>
        </w:rPr>
        <w:t>asset</w:t>
      </w:r>
      <w:r>
        <w:rPr>
          <w:spacing w:val="-14"/>
          <w:w w:val="110"/>
        </w:rPr>
        <w:t> </w:t>
      </w:r>
      <w:r>
        <w:rPr>
          <w:w w:val="110"/>
        </w:rPr>
        <w:t>prices</w:t>
      </w:r>
      <w:r>
        <w:rPr>
          <w:spacing w:val="-14"/>
          <w:w w:val="110"/>
        </w:rPr>
        <w:t> </w:t>
      </w:r>
      <w:r>
        <w:rPr>
          <w:spacing w:val="-3"/>
          <w:w w:val="110"/>
        </w:rPr>
        <w:t>over</w:t>
      </w:r>
      <w:r>
        <w:rPr>
          <w:spacing w:val="-13"/>
          <w:w w:val="110"/>
        </w:rPr>
        <w:t> </w:t>
      </w:r>
      <w:r>
        <w:rPr>
          <w:w w:val="110"/>
        </w:rPr>
        <w:t>recent</w:t>
      </w:r>
      <w:r>
        <w:rPr>
          <w:spacing w:val="-14"/>
          <w:w w:val="110"/>
        </w:rPr>
        <w:t> </w:t>
      </w:r>
      <w:r>
        <w:rPr>
          <w:spacing w:val="-3"/>
          <w:w w:val="110"/>
        </w:rPr>
        <w:t>years</w:t>
      </w:r>
      <w:r>
        <w:rPr>
          <w:spacing w:val="-14"/>
          <w:w w:val="110"/>
        </w:rPr>
        <w:t> </w:t>
      </w:r>
      <w:r>
        <w:rPr>
          <w:spacing w:val="-3"/>
          <w:w w:val="110"/>
        </w:rPr>
        <w:t>have</w:t>
      </w:r>
      <w:r>
        <w:rPr>
          <w:spacing w:val="-13"/>
          <w:w w:val="110"/>
        </w:rPr>
        <w:t> </w:t>
      </w:r>
      <w:r>
        <w:rPr>
          <w:w w:val="110"/>
        </w:rPr>
        <w:t>been</w:t>
      </w:r>
      <w:r>
        <w:rPr>
          <w:spacing w:val="-14"/>
          <w:w w:val="110"/>
        </w:rPr>
        <w:t> </w:t>
      </w:r>
      <w:r>
        <w:rPr>
          <w:w w:val="110"/>
        </w:rPr>
        <w:t>accompanied</w:t>
      </w:r>
      <w:r>
        <w:rPr>
          <w:spacing w:val="-14"/>
          <w:w w:val="110"/>
        </w:rPr>
        <w:t> </w:t>
      </w:r>
      <w:r>
        <w:rPr>
          <w:spacing w:val="-3"/>
          <w:w w:val="110"/>
        </w:rPr>
        <w:t>by</w:t>
      </w:r>
      <w:r>
        <w:rPr>
          <w:spacing w:val="-14"/>
          <w:w w:val="110"/>
        </w:rPr>
        <w:t> </w:t>
      </w:r>
      <w:r>
        <w:rPr>
          <w:w w:val="110"/>
        </w:rPr>
        <w:t>a decline in the US household sector saving ratio </w:t>
      </w:r>
      <w:r>
        <w:rPr>
          <w:spacing w:val="-4"/>
          <w:w w:val="110"/>
        </w:rPr>
        <w:t>to </w:t>
      </w:r>
      <w:r>
        <w:rPr>
          <w:spacing w:val="-3"/>
          <w:w w:val="110"/>
        </w:rPr>
        <w:t>record </w:t>
      </w:r>
      <w:r>
        <w:rPr>
          <w:w w:val="110"/>
        </w:rPr>
        <w:t>lows. </w:t>
      </w:r>
      <w:r>
        <w:rPr>
          <w:spacing w:val="-3"/>
          <w:w w:val="110"/>
        </w:rPr>
        <w:t>Lower </w:t>
      </w:r>
      <w:r>
        <w:rPr>
          <w:w w:val="110"/>
        </w:rPr>
        <w:t>saving </w:t>
      </w:r>
      <w:r>
        <w:rPr>
          <w:spacing w:val="-3"/>
          <w:w w:val="110"/>
        </w:rPr>
        <w:t>by </w:t>
      </w:r>
      <w:r>
        <w:rPr>
          <w:w w:val="110"/>
        </w:rPr>
        <w:t>households combined with very high </w:t>
      </w:r>
      <w:r>
        <w:rPr>
          <w:spacing w:val="-3"/>
          <w:w w:val="110"/>
        </w:rPr>
        <w:t>levels </w:t>
      </w:r>
      <w:r>
        <w:rPr>
          <w:w w:val="110"/>
        </w:rPr>
        <w:t>of business </w:t>
      </w:r>
      <w:r>
        <w:rPr>
          <w:spacing w:val="-3"/>
          <w:w w:val="110"/>
        </w:rPr>
        <w:t>investment </w:t>
      </w:r>
      <w:r>
        <w:rPr>
          <w:w w:val="110"/>
        </w:rPr>
        <w:t>account for the </w:t>
      </w:r>
      <w:r>
        <w:rPr>
          <w:spacing w:val="-3"/>
          <w:w w:val="110"/>
        </w:rPr>
        <w:t>record private </w:t>
      </w:r>
      <w:r>
        <w:rPr>
          <w:w w:val="110"/>
        </w:rPr>
        <w:t>sector</w:t>
      </w:r>
      <w:r>
        <w:rPr>
          <w:spacing w:val="-13"/>
          <w:w w:val="110"/>
        </w:rPr>
        <w:t> </w:t>
      </w:r>
      <w:r>
        <w:rPr>
          <w:w w:val="110"/>
        </w:rPr>
        <w:t>financial</w:t>
      </w:r>
      <w:r>
        <w:rPr>
          <w:spacing w:val="-13"/>
          <w:w w:val="110"/>
        </w:rPr>
        <w:t> </w:t>
      </w:r>
      <w:r>
        <w:rPr>
          <w:w w:val="110"/>
        </w:rPr>
        <w:t>deficit,</w:t>
      </w:r>
      <w:r>
        <w:rPr>
          <w:spacing w:val="-13"/>
          <w:w w:val="110"/>
        </w:rPr>
        <w:t> </w:t>
      </w:r>
      <w:r>
        <w:rPr>
          <w:w w:val="110"/>
        </w:rPr>
        <w:t>which</w:t>
      </w:r>
      <w:r>
        <w:rPr>
          <w:spacing w:val="-13"/>
          <w:w w:val="110"/>
        </w:rPr>
        <w:t> </w:t>
      </w:r>
      <w:r>
        <w:rPr>
          <w:w w:val="110"/>
        </w:rPr>
        <w:t>measures</w:t>
      </w:r>
      <w:r>
        <w:rPr>
          <w:spacing w:val="-12"/>
          <w:w w:val="110"/>
        </w:rPr>
        <w:t> </w:t>
      </w:r>
      <w:r>
        <w:rPr>
          <w:w w:val="110"/>
        </w:rPr>
        <w:t>the</w:t>
      </w:r>
      <w:r>
        <w:rPr>
          <w:spacing w:val="-13"/>
          <w:w w:val="110"/>
        </w:rPr>
        <w:t> </w:t>
      </w:r>
      <w:r>
        <w:rPr>
          <w:w w:val="110"/>
        </w:rPr>
        <w:t>imbalance</w:t>
      </w:r>
    </w:p>
    <w:p>
      <w:pPr>
        <w:spacing w:after="0" w:line="280" w:lineRule="atLeast"/>
        <w:sectPr>
          <w:type w:val="continuous"/>
          <w:pgSz w:w="11900" w:h="16840"/>
          <w:pgMar w:top="1260" w:bottom="280" w:left="640" w:right="640"/>
          <w:cols w:num="4" w:equalWidth="0">
            <w:col w:w="1437" w:space="53"/>
            <w:col w:w="890" w:space="53"/>
            <w:col w:w="1240" w:space="1197"/>
            <w:col w:w="5750"/>
          </w:cols>
        </w:sectPr>
      </w:pPr>
    </w:p>
    <w:p>
      <w:pPr>
        <w:spacing w:line="78" w:lineRule="exact" w:before="0"/>
        <w:ind w:left="173" w:right="0" w:firstLine="0"/>
        <w:jc w:val="left"/>
        <w:rPr>
          <w:sz w:val="12"/>
        </w:rPr>
      </w:pPr>
      <w:r>
        <w:rPr>
          <w:w w:val="105"/>
          <w:sz w:val="12"/>
        </w:rPr>
        <w:t>Source: Board of Governors of the Federal Reserve System:</w:t>
      </w:r>
    </w:p>
    <w:p>
      <w:pPr>
        <w:spacing w:line="129" w:lineRule="exact" w:before="0"/>
        <w:ind w:left="598" w:right="0" w:firstLine="0"/>
        <w:jc w:val="left"/>
        <w:rPr>
          <w:sz w:val="12"/>
        </w:rPr>
      </w:pPr>
      <w:r>
        <w:rPr>
          <w:w w:val="105"/>
          <w:sz w:val="12"/>
        </w:rPr>
        <w:t>‘Flow of Funds Accounts of the United States’.</w:t>
      </w:r>
    </w:p>
    <w:p>
      <w:pPr>
        <w:spacing w:before="102"/>
        <w:ind w:left="173" w:right="0" w:firstLine="0"/>
        <w:jc w:val="left"/>
        <w:rPr>
          <w:sz w:val="12"/>
        </w:rPr>
      </w:pPr>
      <w:r>
        <w:rPr>
          <w:w w:val="110"/>
          <w:sz w:val="12"/>
        </w:rPr>
        <w:t>(a) Net financial assets plus tangible assets at replacement cost.</w:t>
      </w:r>
    </w:p>
    <w:p>
      <w:pPr>
        <w:pStyle w:val="BodyText"/>
        <w:spacing w:line="292" w:lineRule="auto" w:before="50"/>
        <w:ind w:left="173" w:right="568"/>
      </w:pPr>
      <w:r>
        <w:rPr/>
        <w:br w:type="column"/>
      </w:r>
      <w:r>
        <w:rPr>
          <w:spacing w:val="-3"/>
          <w:w w:val="110"/>
        </w:rPr>
        <w:t>between</w:t>
      </w:r>
      <w:r>
        <w:rPr>
          <w:spacing w:val="-22"/>
          <w:w w:val="110"/>
        </w:rPr>
        <w:t> </w:t>
      </w:r>
      <w:r>
        <w:rPr>
          <w:spacing w:val="-3"/>
          <w:w w:val="110"/>
        </w:rPr>
        <w:t>private</w:t>
      </w:r>
      <w:r>
        <w:rPr>
          <w:spacing w:val="-21"/>
          <w:w w:val="110"/>
        </w:rPr>
        <w:t> </w:t>
      </w:r>
      <w:r>
        <w:rPr>
          <w:w w:val="110"/>
        </w:rPr>
        <w:t>domestic</w:t>
      </w:r>
      <w:r>
        <w:rPr>
          <w:spacing w:val="-22"/>
          <w:w w:val="110"/>
        </w:rPr>
        <w:t> </w:t>
      </w:r>
      <w:r>
        <w:rPr>
          <w:w w:val="110"/>
        </w:rPr>
        <w:t>saving</w:t>
      </w:r>
      <w:r>
        <w:rPr>
          <w:spacing w:val="-21"/>
          <w:w w:val="110"/>
        </w:rPr>
        <w:t> </w:t>
      </w:r>
      <w:r>
        <w:rPr>
          <w:w w:val="110"/>
        </w:rPr>
        <w:t>and</w:t>
      </w:r>
      <w:r>
        <w:rPr>
          <w:spacing w:val="-21"/>
          <w:w w:val="110"/>
        </w:rPr>
        <w:t> </w:t>
      </w:r>
      <w:r>
        <w:rPr>
          <w:spacing w:val="-3"/>
          <w:w w:val="110"/>
        </w:rPr>
        <w:t>investment</w:t>
      </w:r>
      <w:r>
        <w:rPr>
          <w:spacing w:val="-22"/>
          <w:w w:val="110"/>
        </w:rPr>
        <w:t> </w:t>
      </w:r>
      <w:r>
        <w:rPr>
          <w:w w:val="110"/>
        </w:rPr>
        <w:t>(see Chart</w:t>
      </w:r>
      <w:r>
        <w:rPr>
          <w:spacing w:val="-6"/>
          <w:w w:val="110"/>
        </w:rPr>
        <w:t> </w:t>
      </w:r>
      <w:r>
        <w:rPr>
          <w:w w:val="110"/>
        </w:rPr>
        <w:t>2.4).</w:t>
      </w:r>
    </w:p>
    <w:p>
      <w:pPr>
        <w:spacing w:after="0" w:line="292" w:lineRule="auto"/>
        <w:sectPr>
          <w:type w:val="continuous"/>
          <w:pgSz w:w="11900" w:h="16840"/>
          <w:pgMar w:top="1260" w:bottom="280" w:left="640" w:right="640"/>
          <w:cols w:num="2" w:equalWidth="0">
            <w:col w:w="3539" w:space="1392"/>
            <w:col w:w="5689"/>
          </w:cols>
        </w:sectPr>
      </w:pPr>
    </w:p>
    <w:p>
      <w:pPr>
        <w:pStyle w:val="BodyText"/>
        <w:spacing w:before="6"/>
        <w:rPr>
          <w:sz w:val="18"/>
        </w:rPr>
      </w:pPr>
    </w:p>
    <w:p>
      <w:pPr>
        <w:spacing w:after="0"/>
        <w:rPr>
          <w:sz w:val="18"/>
        </w:rPr>
        <w:sectPr>
          <w:type w:val="continuous"/>
          <w:pgSz w:w="11900" w:h="16840"/>
          <w:pgMar w:top="1260" w:bottom="280" w:left="640" w:right="640"/>
        </w:sectPr>
      </w:pPr>
    </w:p>
    <w:p>
      <w:pPr>
        <w:pStyle w:val="Heading6"/>
        <w:spacing w:before="97"/>
        <w:ind w:left="188"/>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7"/>
        </w:rPr>
        <w:t>2.4</w:t>
      </w:r>
    </w:p>
    <w:p>
      <w:pPr>
        <w:spacing w:before="8"/>
        <w:ind w:left="188" w:right="0" w:firstLine="0"/>
        <w:jc w:val="left"/>
        <w:rPr>
          <w:rFonts w:ascii="Trebuchet MS"/>
          <w:b/>
          <w:sz w:val="20"/>
        </w:rPr>
      </w:pPr>
      <w:r>
        <w:rPr>
          <w:rFonts w:ascii="Trebuchet MS"/>
          <w:b/>
          <w:color w:val="89C6DC"/>
          <w:w w:val="95"/>
          <w:sz w:val="20"/>
        </w:rPr>
        <w:t>US sectoral balances</w:t>
      </w:r>
    </w:p>
    <w:p>
      <w:pPr>
        <w:pStyle w:val="BodyText"/>
        <w:spacing w:before="7" w:after="39"/>
        <w:rPr>
          <w:rFonts w:ascii="Trebuchet MS"/>
          <w:b/>
          <w:sz w:val="12"/>
        </w:rPr>
      </w:pPr>
    </w:p>
    <w:p>
      <w:pPr>
        <w:pStyle w:val="BodyText"/>
        <w:spacing w:line="20" w:lineRule="exact"/>
        <w:ind w:left="212"/>
        <w:rPr>
          <w:rFonts w:ascii="Trebuchet MS"/>
          <w:sz w:val="2"/>
        </w:rPr>
      </w:pPr>
      <w:r>
        <w:rPr>
          <w:rFonts w:ascii="Trebuchet MS"/>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rFonts w:ascii="Trebuchet MS"/>
          <w:sz w:val="2"/>
        </w:rPr>
      </w:r>
    </w:p>
    <w:p>
      <w:pPr>
        <w:pStyle w:val="BodyText"/>
        <w:rPr>
          <w:rFonts w:ascii="Trebuchet MS"/>
          <w:b/>
          <w:sz w:val="18"/>
        </w:rPr>
      </w:pPr>
      <w:r>
        <w:rPr/>
        <w:br w:type="column"/>
      </w:r>
      <w:r>
        <w:rPr>
          <w:rFonts w:ascii="Trebuchet MS"/>
          <w:b/>
          <w:sz w:val="18"/>
        </w:rPr>
      </w:r>
    </w:p>
    <w:p>
      <w:pPr>
        <w:pStyle w:val="BodyText"/>
        <w:rPr>
          <w:rFonts w:ascii="Trebuchet MS"/>
          <w:b/>
          <w:sz w:val="18"/>
        </w:rPr>
      </w:pPr>
    </w:p>
    <w:p>
      <w:pPr>
        <w:pStyle w:val="BodyText"/>
        <w:spacing w:before="9"/>
        <w:rPr>
          <w:rFonts w:ascii="Trebuchet MS"/>
          <w:b/>
          <w:sz w:val="16"/>
        </w:rPr>
      </w:pPr>
    </w:p>
    <w:p>
      <w:pPr>
        <w:spacing w:before="0"/>
        <w:ind w:left="188" w:right="0" w:firstLine="0"/>
        <w:jc w:val="left"/>
        <w:rPr>
          <w:sz w:val="12"/>
        </w:rPr>
      </w:pPr>
      <w:r>
        <w:rPr>
          <w:w w:val="110"/>
          <w:sz w:val="12"/>
        </w:rPr>
        <w:t>Percentages of GD</w:t>
      </w:r>
      <w:r>
        <w:rPr>
          <w:w w:val="110"/>
          <w:sz w:val="12"/>
          <w:u w:val="single"/>
        </w:rPr>
        <w:t>P</w:t>
      </w:r>
      <w:r>
        <w:rPr>
          <w:w w:val="110"/>
          <w:sz w:val="12"/>
        </w:rPr>
        <w:t> </w:t>
      </w:r>
      <w:r>
        <w:rPr>
          <w:w w:val="110"/>
          <w:position w:val="-6"/>
          <w:sz w:val="12"/>
        </w:rPr>
        <w:t>8</w:t>
      </w:r>
    </w:p>
    <w:p>
      <w:pPr>
        <w:pStyle w:val="BodyText"/>
        <w:spacing w:line="292" w:lineRule="auto" w:before="126"/>
        <w:ind w:left="188" w:right="156"/>
      </w:pPr>
      <w:r>
        <w:rPr/>
        <w:br w:type="column"/>
      </w:r>
      <w:r>
        <w:rPr>
          <w:w w:val="105"/>
        </w:rPr>
        <w:t>Some rebuilding of household saving, together with weaker corporate investment, is likely to be associated with a period of below-trend growth in the United States. Output growth in</w:t>
      </w:r>
    </w:p>
    <w:p>
      <w:pPr>
        <w:spacing w:after="0" w:line="292" w:lineRule="auto"/>
        <w:sectPr>
          <w:type w:val="continuous"/>
          <w:pgSz w:w="11900" w:h="16840"/>
          <w:pgMar w:top="1260" w:bottom="280" w:left="640" w:right="640"/>
          <w:cols w:num="3" w:equalWidth="0">
            <w:col w:w="2012" w:space="197"/>
            <w:col w:w="1394" w:space="1312"/>
            <w:col w:w="5705"/>
          </w:cols>
        </w:sectPr>
      </w:pPr>
    </w:p>
    <w:p>
      <w:pPr>
        <w:pStyle w:val="BodyText"/>
        <w:spacing w:before="10"/>
        <w:rPr>
          <w:sz w:val="12"/>
        </w:rPr>
      </w:pPr>
    </w:p>
    <w:p>
      <w:pPr>
        <w:pStyle w:val="BodyText"/>
        <w:spacing w:line="20" w:lineRule="exact"/>
        <w:ind w:left="21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3"/>
        <w:rPr>
          <w:sz w:val="26"/>
        </w:rPr>
      </w:pPr>
      <w:r>
        <w:rPr/>
        <w:pict>
          <v:shape style="position:absolute;margin-left:42.873001pt;margin-top:17.312pt;width:4.350pt;height:.1pt;mso-position-horizontal-relative:page;mso-position-vertical-relative:paragraph;z-index:-15525376;mso-wrap-distance-left:0;mso-wrap-distance-right:0" coordorigin="857,346" coordsize="87,0" path="m857,346l944,346e" filled="false" stroked="true" strokeweight=".5pt" strokecolor="#000000">
            <v:path arrowok="t"/>
            <v:stroke dashstyle="solid"/>
            <w10:wrap type="topAndBottom"/>
          </v:shape>
        </w:pict>
      </w:r>
      <w:r>
        <w:rPr/>
        <w:pict>
          <v:shape style="position:absolute;margin-left:42.873001pt;margin-top:35.375pt;width:4.350pt;height:.1pt;mso-position-horizontal-relative:page;mso-position-vertical-relative:paragraph;z-index:-15524864;mso-wrap-distance-left:0;mso-wrap-distance-right:0" coordorigin="857,708" coordsize="87,0" path="m857,708l944,708e" filled="false" stroked="true" strokeweight=".5pt" strokecolor="#000000">
            <v:path arrowok="t"/>
            <v:stroke dashstyle="solid"/>
            <w10:wrap type="topAndBottom"/>
          </v:shape>
        </w:pict>
      </w:r>
      <w:r>
        <w:rPr/>
        <w:pict>
          <v:shape style="position:absolute;margin-left:42.873001pt;margin-top:53.437pt;width:4.350pt;height:.1pt;mso-position-horizontal-relative:page;mso-position-vertical-relative:paragraph;z-index:-15524352;mso-wrap-distance-left:0;mso-wrap-distance-right:0" coordorigin="857,1069" coordsize="87,0" path="m857,1069l944,1069e" filled="false" stroked="true" strokeweight=".5pt" strokecolor="#000000">
            <v:path arrowok="t"/>
            <v:stroke dashstyle="solid"/>
            <w10:wrap type="topAndBottom"/>
          </v:shape>
        </w:pict>
      </w:r>
      <w:r>
        <w:rPr/>
        <w:pict>
          <v:shape style="position:absolute;margin-left:42.873001pt;margin-top:71.5pt;width:4.350pt;height:.1pt;mso-position-horizontal-relative:page;mso-position-vertical-relative:paragraph;z-index:-15523840;mso-wrap-distance-left:0;mso-wrap-distance-right:0" coordorigin="857,1430" coordsize="87,0" path="m857,1430l944,1430e" filled="false" stroked="true" strokeweight=".5pt" strokecolor="#000000">
            <v:path arrowok="t"/>
            <v:stroke dashstyle="solid"/>
            <w10:wrap type="topAndBottom"/>
          </v:shape>
        </w:pict>
      </w:r>
      <w:r>
        <w:rPr/>
        <w:pict>
          <v:shape style="position:absolute;margin-left:42.873001pt;margin-top:89.563004pt;width:4.350pt;height:.1pt;mso-position-horizontal-relative:page;mso-position-vertical-relative:paragraph;z-index:-15523328;mso-wrap-distance-left:0;mso-wrap-distance-right:0" coordorigin="857,1791" coordsize="87,0" path="m857,1791l944,1791e" filled="false" stroked="true" strokeweight=".5pt" strokecolor="#000000">
            <v:path arrowok="t"/>
            <v:stroke dashstyle="solid"/>
            <w10:wrap type="topAndBottom"/>
          </v:shape>
        </w:pict>
      </w:r>
    </w:p>
    <w:p>
      <w:pPr>
        <w:pStyle w:val="BodyText"/>
        <w:spacing w:before="7"/>
        <w:rPr>
          <w:sz w:val="24"/>
        </w:rPr>
      </w:pPr>
    </w:p>
    <w:p>
      <w:pPr>
        <w:pStyle w:val="BodyText"/>
        <w:spacing w:before="7"/>
        <w:rPr>
          <w:sz w:val="24"/>
        </w:rPr>
      </w:pPr>
    </w:p>
    <w:p>
      <w:pPr>
        <w:pStyle w:val="BodyText"/>
        <w:spacing w:before="7"/>
        <w:rPr>
          <w:sz w:val="24"/>
        </w:rPr>
      </w:pPr>
    </w:p>
    <w:p>
      <w:pPr>
        <w:pStyle w:val="BodyText"/>
        <w:spacing w:before="7"/>
        <w:rPr>
          <w:sz w:val="24"/>
        </w:rPr>
      </w:pPr>
    </w:p>
    <w:p>
      <w:pPr>
        <w:spacing w:line="129" w:lineRule="exact" w:before="21"/>
        <w:ind w:left="424" w:right="0" w:firstLine="0"/>
        <w:jc w:val="left"/>
        <w:rPr>
          <w:sz w:val="12"/>
        </w:rPr>
      </w:pPr>
      <w:r>
        <w:rPr>
          <w:w w:val="105"/>
          <w:sz w:val="12"/>
        </w:rPr>
        <w:t>External</w:t>
      </w:r>
    </w:p>
    <w:p>
      <w:pPr>
        <w:spacing w:line="129" w:lineRule="exact" w:before="0"/>
        <w:ind w:left="455" w:right="0" w:firstLine="0"/>
        <w:jc w:val="left"/>
        <w:rPr>
          <w:sz w:val="12"/>
        </w:rPr>
      </w:pPr>
      <w:r>
        <w:rPr>
          <w:w w:val="110"/>
          <w:sz w:val="12"/>
        </w:rPr>
        <w:t>(current account)</w:t>
      </w:r>
    </w:p>
    <w:p>
      <w:pPr>
        <w:pStyle w:val="BodyText"/>
        <w:spacing w:before="8"/>
        <w:rPr>
          <w:sz w:val="3"/>
        </w:rPr>
      </w:pPr>
    </w:p>
    <w:p>
      <w:pPr>
        <w:pStyle w:val="BodyText"/>
        <w:spacing w:line="20" w:lineRule="exact"/>
        <w:ind w:left="21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88" w:lineRule="exact" w:before="0"/>
        <w:ind w:left="133" w:right="0" w:firstLine="0"/>
        <w:jc w:val="left"/>
        <w:rPr>
          <w:sz w:val="12"/>
        </w:rPr>
      </w:pPr>
      <w:r>
        <w:rPr/>
        <w:br w:type="column"/>
      </w:r>
      <w:r>
        <w:rPr>
          <w:w w:val="105"/>
          <w:sz w:val="12"/>
        </w:rPr>
        <w:t>Private sector (a)</w:t>
      </w:r>
    </w:p>
    <w:p>
      <w:pPr>
        <w:spacing w:line="127" w:lineRule="exact" w:before="0"/>
        <w:ind w:left="2082" w:right="0" w:firstLine="0"/>
        <w:jc w:val="left"/>
        <w:rPr>
          <w:sz w:val="12"/>
        </w:rPr>
      </w:pPr>
      <w:r>
        <w:rPr/>
        <w:pict>
          <v:group style="position:absolute;margin-left:51.033001pt;margin-top:-2.644585pt;width:151.85pt;height:117.9pt;mso-position-horizontal-relative:page;mso-position-vertical-relative:paragraph;z-index:-23382528" coordorigin="1021,-53" coordsize="3037,2358">
            <v:rect style="position:absolute;left:1033;top:1052;width:52;height:110" filled="true" fillcolor="#fdeecc" stroked="false">
              <v:fill type="solid"/>
            </v:rect>
            <v:rect style="position:absolute;left:1033;top:1052;width:52;height:110" filled="false" stroked="true" strokeweight=".5pt" strokecolor="#000000">
              <v:stroke dashstyle="solid"/>
            </v:rect>
            <v:rect style="position:absolute;left:1105;top:1027;width:52;height:135" filled="true" fillcolor="#fdeecc" stroked="false">
              <v:fill type="solid"/>
            </v:rect>
            <v:rect style="position:absolute;left:1105;top:1027;width:52;height:135" filled="false" stroked="true" strokeweight=".5pt" strokecolor="#000000">
              <v:stroke dashstyle="solid"/>
            </v:rect>
            <v:rect style="position:absolute;left:1177;top:1052;width:52;height:110" filled="true" fillcolor="#fdeecc" stroked="false">
              <v:fill type="solid"/>
            </v:rect>
            <v:rect style="position:absolute;left:1177;top:1052;width:52;height:110" filled="false" stroked="true" strokeweight=".5pt" strokecolor="#000000">
              <v:stroke dashstyle="solid"/>
            </v:rect>
            <v:rect style="position:absolute;left:1249;top:1027;width:52;height:135" filled="true" fillcolor="#fdeecc" stroked="false">
              <v:fill type="solid"/>
            </v:rect>
            <v:rect style="position:absolute;left:1249;top:1027;width:52;height:135" filled="false" stroked="true" strokeweight=".5pt" strokecolor="#000000">
              <v:stroke dashstyle="solid"/>
            </v:rect>
            <v:rect style="position:absolute;left:1321;top:972;width:52;height:190" filled="true" fillcolor="#fdeecc" stroked="false">
              <v:fill type="solid"/>
            </v:rect>
            <v:rect style="position:absolute;left:1321;top:972;width:52;height:190" filled="false" stroked="true" strokeweight=".5pt" strokecolor="#000000">
              <v:stroke dashstyle="solid"/>
            </v:rect>
            <v:rect style="position:absolute;left:1398;top:1012;width:52;height:150" filled="true" fillcolor="#fdeecc" stroked="false">
              <v:fill type="solid"/>
            </v:rect>
            <v:rect style="position:absolute;left:1398;top:1012;width:52;height:150" filled="false" stroked="true" strokeweight=".5pt" strokecolor="#000000">
              <v:stroke dashstyle="solid"/>
            </v:rect>
            <v:rect style="position:absolute;left:1469;top:1079;width:52;height:83" filled="true" fillcolor="#fdeecc" stroked="false">
              <v:fill type="solid"/>
            </v:rect>
            <v:rect style="position:absolute;left:1469;top:1079;width:52;height:83" filled="false" stroked="true" strokeweight=".5pt" strokecolor="#000000">
              <v:stroke dashstyle="solid"/>
            </v:rect>
            <v:rect style="position:absolute;left:1539;top:1094;width:52;height:68" filled="true" fillcolor="#fdeecc" stroked="false">
              <v:fill type="solid"/>
            </v:rect>
            <v:rect style="position:absolute;left:1539;top:1094;width:52;height:68" filled="false" stroked="true" strokeweight=".5pt" strokecolor="#000000">
              <v:stroke dashstyle="solid"/>
            </v:rect>
            <v:rect style="position:absolute;left:1610;top:1147;width:52;height:15" filled="true" fillcolor="#fdeecc" stroked="false">
              <v:fill type="solid"/>
            </v:rect>
            <v:rect style="position:absolute;left:1610;top:1147;width:52;height:15" filled="false" stroked="true" strokeweight=".5pt" strokecolor="#000000">
              <v:stroke dashstyle="solid"/>
            </v:rect>
            <v:rect style="position:absolute;left:1681;top:1147;width:52;height:15" filled="true" fillcolor="#fdeecc" stroked="false">
              <v:fill type="solid"/>
            </v:rect>
            <v:rect style="position:absolute;left:1681;top:1147;width:52;height:15" filled="false" stroked="true" strokeweight=".5pt" strokecolor="#000000">
              <v:stroke dashstyle="solid"/>
            </v:rect>
            <v:rect style="position:absolute;left:1751;top:1107;width:50;height:55" filled="true" fillcolor="#fdeecc" stroked="false">
              <v:fill type="solid"/>
            </v:rect>
            <v:rect style="position:absolute;left:1751;top:1107;width:50;height:55" filled="false" stroked="true" strokeweight=".5pt" strokecolor="#000000">
              <v:stroke dashstyle="solid"/>
            </v:rect>
            <v:rect style="position:absolute;left:1824;top:1164;width:50;height:18" filled="true" fillcolor="#fdeecc" stroked="false">
              <v:fill type="solid"/>
            </v:rect>
            <v:rect style="position:absolute;left:1824;top:1164;width:50;height:18" filled="false" stroked="true" strokeweight=".5pt" strokecolor="#000000">
              <v:stroke dashstyle="solid"/>
            </v:rect>
            <v:rect style="position:absolute;left:1894;top:1164;width:50;height:85" filled="true" fillcolor="#fdeecc" stroked="false">
              <v:fill type="solid"/>
            </v:rect>
            <v:rect style="position:absolute;left:1894;top:1164;width:50;height:85" filled="false" stroked="true" strokeweight=".5pt" strokecolor="#000000">
              <v:stroke dashstyle="solid"/>
            </v:rect>
            <v:rect style="position:absolute;left:1964;top:1067;width:50;height:95" filled="true" fillcolor="#fdeecc" stroked="false">
              <v:fill type="solid"/>
            </v:rect>
            <v:rect style="position:absolute;left:1964;top:1067;width:50;height:95" filled="false" stroked="true" strokeweight=".5pt" strokecolor="#000000">
              <v:stroke dashstyle="solid"/>
            </v:rect>
            <v:rect style="position:absolute;left:2036;top:1134;width:60;height:28" filled="true" fillcolor="#fdeecc" stroked="false">
              <v:fill type="solid"/>
            </v:rect>
            <v:rect style="position:absolute;left:2036;top:1134;width:60;height:28" filled="false" stroked="true" strokeweight=".5pt" strokecolor="#000000">
              <v:stroke dashstyle="solid"/>
            </v:rect>
            <v:rect style="position:absolute;left:2118;top:959;width:52;height:203" filled="true" fillcolor="#fdeecc" stroked="false">
              <v:fill type="solid"/>
            </v:rect>
            <v:rect style="position:absolute;left:2118;top:959;width:52;height:203" filled="false" stroked="true" strokeweight=".5pt" strokecolor="#000000">
              <v:stroke dashstyle="solid"/>
            </v:rect>
            <v:rect style="position:absolute;left:2189;top:1107;width:50;height:55" filled="true" fillcolor="#fdeecc" stroked="false">
              <v:fill type="solid"/>
            </v:rect>
            <v:rect style="position:absolute;left:2189;top:1107;width:50;height:55" filled="false" stroked="true" strokeweight=".5pt" strokecolor="#000000">
              <v:stroke dashstyle="solid"/>
            </v:rect>
            <v:rect style="position:absolute;left:2259;top:1164;width:50;height:125" filled="true" fillcolor="#fdeecc" stroked="false">
              <v:fill type="solid"/>
            </v:rect>
            <v:rect style="position:absolute;left:2259;top:1164;width:50;height:125" filled="false" stroked="true" strokeweight=".5pt" strokecolor="#000000">
              <v:stroke dashstyle="solid"/>
            </v:rect>
            <v:rect style="position:absolute;left:2331;top:1164;width:50;height:110" filled="true" fillcolor="#fdeecc" stroked="false">
              <v:fill type="solid"/>
            </v:rect>
            <v:rect style="position:absolute;left:2331;top:1164;width:50;height:110" filled="false" stroked="true" strokeweight=".5pt" strokecolor="#000000">
              <v:stroke dashstyle="solid"/>
            </v:rect>
            <v:shape style="position:absolute;left:1056;top:1259;width:1298;height:900" coordorigin="1057,1260" coordsize="1298,900" path="m1057,1312l1127,1555m1127,1555l1199,1487m1199,1487l1269,1380m1269,1380l1339,1447m1339,1447l1422,1340m1422,1340l1494,1380m1494,1380l1564,1662m1564,1662l1634,1515m1634,1515l1707,1287m1707,1287l1777,1635m1777,1635l1847,1770m1847,1770l1919,1502m1919,1502l1989,1260m1989,1260l2059,1435m2059,1435l2142,2160m2142,2160l2214,1837m2214,1837l2284,1622m2284,1622l2354,1502e" filled="false" stroked="true" strokeweight="1pt" strokecolor="#972140">
              <v:path arrowok="t"/>
              <v:stroke dashstyle="solid"/>
            </v:shape>
            <v:rect style="position:absolute;left:2471;top:1134;width:50;height:28" filled="true" fillcolor="#fdeecc" stroked="false">
              <v:fill type="solid"/>
            </v:rect>
            <v:rect style="position:absolute;left:2471;top:1134;width:50;height:28" filled="false" stroked="true" strokeweight=".5pt" strokecolor="#000000">
              <v:stroke dashstyle="solid"/>
            </v:rect>
            <v:rect style="position:absolute;left:2544;top:1119;width:50;height:43" filled="true" fillcolor="#fdeecc" stroked="false">
              <v:fill type="solid"/>
            </v:rect>
            <v:rect style="position:absolute;left:2544;top:1119;width:50;height:43" filled="false" stroked="true" strokeweight=".5pt" strokecolor="#000000">
              <v:stroke dashstyle="solid"/>
            </v:rect>
            <v:rect style="position:absolute;left:2614;top:1164;width:50;height:30" filled="true" fillcolor="#fdeecc" stroked="false">
              <v:fill type="solid"/>
            </v:rect>
            <v:rect style="position:absolute;left:2614;top:1164;width:50;height:30" filled="false" stroked="true" strokeweight=".5pt" strokecolor="#000000">
              <v:stroke dashstyle="solid"/>
            </v:rect>
            <v:rect style="position:absolute;left:2683;top:1164;width:52;height:193" filled="true" fillcolor="#fdeecc" stroked="false">
              <v:fill type="solid"/>
            </v:rect>
            <v:rect style="position:absolute;left:2683;top:1164;width:52;height:193" filled="false" stroked="true" strokeweight=".5pt" strokecolor="#000000">
              <v:stroke dashstyle="solid"/>
            </v:rect>
            <v:rect style="position:absolute;left:2761;top:1164;width:52;height:433" filled="true" fillcolor="#fdeecc" stroked="false">
              <v:fill type="solid"/>
            </v:rect>
            <v:rect style="position:absolute;left:2761;top:1164;width:52;height:433" filled="false" stroked="true" strokeweight=".5pt" strokecolor="#000000">
              <v:stroke dashstyle="solid"/>
            </v:rect>
            <v:rect style="position:absolute;left:2837;top:1164;width:52;height:500" filled="true" fillcolor="#fdeecc" stroked="false">
              <v:fill type="solid"/>
            </v:rect>
            <v:rect style="position:absolute;left:2837;top:1164;width:52;height:500" filled="false" stroked="true" strokeweight=".5pt" strokecolor="#000000">
              <v:stroke dashstyle="solid"/>
            </v:rect>
            <v:rect style="position:absolute;left:2908;top:1164;width:52;height:595" filled="true" fillcolor="#fdeecc" stroked="false">
              <v:fill type="solid"/>
            </v:rect>
            <v:rect style="position:absolute;left:2908;top:1164;width:52;height:595" filled="false" stroked="true" strokeweight=".5pt" strokecolor="#000000">
              <v:stroke dashstyle="solid"/>
            </v:rect>
            <v:rect style="position:absolute;left:2978;top:1164;width:52;height:608" filled="true" fillcolor="#fdeecc" stroked="false">
              <v:fill type="solid"/>
            </v:rect>
            <v:rect style="position:absolute;left:2978;top:1164;width:52;height:608" filled="false" stroked="true" strokeweight=".5pt" strokecolor="#000000">
              <v:stroke dashstyle="solid"/>
            </v:rect>
            <v:rect style="position:absolute;left:3049;top:1164;width:52;height:420" filled="true" fillcolor="#fdeecc" stroked="false">
              <v:fill type="solid"/>
            </v:rect>
            <v:rect style="position:absolute;left:3049;top:1164;width:52;height:420" filled="false" stroked="true" strokeweight=".5pt" strokecolor="#000000">
              <v:stroke dashstyle="solid"/>
            </v:rect>
            <v:rect style="position:absolute;left:3121;top:1164;width:50;height:313" filled="true" fillcolor="#fdeecc" stroked="false">
              <v:fill type="solid"/>
            </v:rect>
            <v:rect style="position:absolute;left:3121;top:1164;width:50;height:313" filled="false" stroked="true" strokeweight=".5pt" strokecolor="#000000">
              <v:stroke dashstyle="solid"/>
            </v:rect>
            <v:rect style="position:absolute;left:3191;top:1164;width:50;height:233" filled="true" fillcolor="#fdeecc" stroked="false">
              <v:fill type="solid"/>
            </v:rect>
            <v:rect style="position:absolute;left:3191;top:1164;width:50;height:233" filled="false" stroked="true" strokeweight=".5pt" strokecolor="#000000">
              <v:stroke dashstyle="solid"/>
            </v:rect>
            <v:rect style="position:absolute;left:3261;top:1134;width:50;height:28" filled="true" fillcolor="#fdeecc" stroked="false">
              <v:fill type="solid"/>
            </v:rect>
            <v:rect style="position:absolute;left:3261;top:1134;width:50;height:28" filled="false" stroked="true" strokeweight=".5pt" strokecolor="#000000">
              <v:stroke dashstyle="solid"/>
            </v:rect>
            <v:rect style="position:absolute;left:3334;top:1164;width:50;height:138" filled="true" fillcolor="#fdeecc" stroked="false">
              <v:fill type="solid"/>
            </v:rect>
            <v:rect style="position:absolute;left:3334;top:1164;width:50;height:138" filled="false" stroked="true" strokeweight=".5pt" strokecolor="#000000">
              <v:stroke dashstyle="solid"/>
            </v:rect>
            <v:rect style="position:absolute;left:3403;top:1164;width:52;height:218" filled="true" fillcolor="#fdeecc" stroked="false">
              <v:fill type="solid"/>
            </v:rect>
            <v:rect style="position:absolute;left:3403;top:1164;width:52;height:218" filled="false" stroked="true" strokeweight=".5pt" strokecolor="#000000">
              <v:stroke dashstyle="solid"/>
            </v:rect>
            <v:rect style="position:absolute;left:3479;top:1164;width:52;height:300" filled="true" fillcolor="#fdeecc" stroked="false">
              <v:fill type="solid"/>
            </v:rect>
            <v:rect style="position:absolute;left:3479;top:1164;width:52;height:300" filled="false" stroked="true" strokeweight=".5pt" strokecolor="#000000">
              <v:stroke dashstyle="solid"/>
            </v:rect>
            <v:rect style="position:absolute;left:3556;top:1164;width:52;height:258" filled="true" fillcolor="#fdeecc" stroked="false">
              <v:fill type="solid"/>
            </v:rect>
            <v:rect style="position:absolute;left:3556;top:1164;width:52;height:258" filled="false" stroked="true" strokeweight=".5pt" strokecolor="#000000">
              <v:stroke dashstyle="solid"/>
            </v:rect>
            <v:rect style="position:absolute;left:3628;top:1164;width:52;height:285" filled="true" fillcolor="#fdeecc" stroked="false">
              <v:fill type="solid"/>
            </v:rect>
            <v:rect style="position:absolute;left:3628;top:1164;width:52;height:285" filled="false" stroked="true" strokeweight=".5pt" strokecolor="#000000">
              <v:stroke dashstyle="solid"/>
            </v:rect>
            <v:rect style="position:absolute;left:3699;top:1164;width:50;height:300" filled="true" fillcolor="#fdeecc" stroked="false">
              <v:fill type="solid"/>
            </v:rect>
            <v:rect style="position:absolute;left:3699;top:1164;width:50;height:300" filled="false" stroked="true" strokeweight=".5pt" strokecolor="#000000">
              <v:stroke dashstyle="solid"/>
            </v:rect>
            <v:rect style="position:absolute;left:3768;top:1164;width:52;height:448" filled="true" fillcolor="#fdeecc" stroked="false">
              <v:fill type="solid"/>
            </v:rect>
            <v:rect style="position:absolute;left:3768;top:1164;width:52;height:448" filled="false" stroked="true" strokeweight=".5pt" strokecolor="#000000">
              <v:stroke dashstyle="solid"/>
            </v:rect>
            <v:rect style="position:absolute;left:3841;top:1164;width:52;height:635" filled="true" fillcolor="#fdeecc" stroked="false">
              <v:fill type="solid"/>
            </v:rect>
            <v:rect style="position:absolute;left:3841;top:1164;width:52;height:635" filled="false" stroked="true" strokeweight=".5pt" strokecolor="#000000">
              <v:stroke dashstyle="solid"/>
            </v:rect>
            <v:shape style="position:absolute;left:2354;top:1367;width:508;height:885" coordorigin="2354,1367" coordsize="508,885" path="m2354,1502l2424,1367m2424,1367l2497,1662m2497,1662l2567,1690m2567,1690l2637,2172m2637,2172l2709,2252m2709,2252l2779,2092m2779,2092l2862,2240e" filled="false" stroked="true" strokeweight="1pt" strokecolor="#972140">
              <v:path arrowok="t"/>
              <v:stroke dashstyle="solid"/>
            </v:shape>
            <v:line style="position:absolute" from="2852,2241" to="2942,2241" stroked="true" strokeweight="1.125pt" strokecolor="#972140">
              <v:stroke dashstyle="solid"/>
            </v:line>
            <v:shape style="position:absolute;left:2931;top:924;width:933;height:1370" coordorigin="2932,925" coordsize="933,1370" path="m2932,2240l3004,1985m3004,1985l3074,2025m3074,2025l3144,1837m3144,1837l3217,1825m3217,1825l3287,2120m3287,2120l3357,2295m3357,2295l3429,2092m3429,2092l3499,1917m3499,1917l3582,1610m3582,1610l3652,1650m3652,1650l3724,1435m3724,1435l3794,1045m3794,1045l3864,925e" filled="false" stroked="true" strokeweight="1pt" strokecolor="#972140">
              <v:path arrowok="t"/>
              <v:stroke dashstyle="solid"/>
            </v:shape>
            <v:shape style="position:absolute;left:1056;top:-43;width:1723;height:1060" coordorigin="1057,-43" coordsize="1723,1060" path="m1057,910l1127,630m1127,630l1199,722m1199,722l1269,802m1269,802l1339,695m1339,695l1422,842m1422,842l1494,870m1494,870l1564,602m1564,602l1634,790m1634,790l1707,1017m1707,1017l1777,642m1777,642l1847,575m1847,575l1919,910m1919,910l1989,965m1989,965l2059,870m2059,870l2142,-43m2142,-43l2214,440m2214,440l2284,830m2284,830l2354,937m2354,937l2424,950m2424,950l2497,642m2497,642l2567,602m2567,602l2637,172m2637,172l2709,267m2709,267l2779,655e" filled="false" stroked="true" strokeweight="1pt" strokecolor="#0092c6">
              <v:path arrowok="t"/>
              <v:stroke dashstyle="solid"/>
            </v:shape>
            <v:shape style="position:absolute;left:2769;top:564;width:458;height:383" type="#_x0000_t75" stroked="false">
              <v:imagedata r:id="rId91" o:title=""/>
            </v:shape>
            <v:shape style="position:absolute;left:3216;top:159;width:648;height:1880" coordorigin="3217,160" coordsize="648,1880" path="m3217,737l3287,185m3287,185l3357,160m3357,160l3429,440m3429,440l3499,695m3499,695l3582,977m3582,977l3652,950m3652,950l3724,1180m3724,1180l3794,1717m3794,1717l3864,2040e" filled="false" stroked="true" strokeweight="1pt" strokecolor="#0092c6">
              <v:path arrowok="t"/>
              <v:stroke dashstyle="solid"/>
            </v:shape>
            <v:shape style="position:absolute;left:1020;top:1148;width:3037;height:787" coordorigin="1021,1149" coordsize="3037,787" path="m3971,1149l4058,1149m1021,1162l3907,1162m1407,1249l1254,1935e" filled="false" stroked="true" strokeweight=".5pt" strokecolor="#000000">
              <v:path arrowok="t"/>
              <v:stroke dashstyle="solid"/>
            </v:shape>
            <v:shape style="position:absolute;left:1379;top:1182;width:50;height:89" coordorigin="1379,1183" coordsize="50,89" path="m1422,1183l1379,1260,1428,1271,1421,1202,1422,1192,1422,1183xe" filled="true" fillcolor="#000000" stroked="false">
              <v:path arrowok="t"/>
              <v:fill type="solid"/>
            </v:shape>
            <w10:wrap type="none"/>
          </v:group>
        </w:pict>
      </w:r>
      <w:r>
        <w:rPr/>
        <w:pict>
          <v:line style="position:absolute;mso-position-horizontal-relative:page;mso-position-vertical-relative:paragraph;z-index:15948288" from="198.544006pt,3.254415pt" to="202.876006pt,3.254415pt" stroked="true" strokeweight=".5pt" strokecolor="#000000">
            <v:stroke dashstyle="solid"/>
            <w10:wrap type="none"/>
          </v:line>
        </w:pict>
      </w:r>
      <w:r>
        <w:rPr>
          <w:w w:val="121"/>
          <w:sz w:val="12"/>
        </w:rPr>
        <w:t>6</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948800" from="198.544006pt,8.094362pt" to="202.876006pt,8.094362pt" stroked="true" strokeweight=".5pt" strokecolor="#000000">
            <v:stroke dashstyle="solid"/>
            <w10:wrap type="none"/>
          </v:line>
        </w:pict>
      </w:r>
      <w:r>
        <w:rPr>
          <w:w w:val="121"/>
          <w:sz w:val="12"/>
        </w:rPr>
        <w:t>4</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949312" from="198.544006pt,8.109564pt" to="202.876006pt,8.109564pt" stroked="true" strokeweight=".5pt" strokecolor="#000000">
            <v:stroke dashstyle="solid"/>
            <w10:wrap type="none"/>
          </v:line>
        </w:pict>
      </w:r>
      <w:r>
        <w:rPr>
          <w:w w:val="121"/>
          <w:sz w:val="12"/>
        </w:rPr>
        <w:t>2</w:t>
      </w:r>
    </w:p>
    <w:p>
      <w:pPr>
        <w:spacing w:before="35"/>
        <w:ind w:left="1990" w:right="0" w:firstLine="0"/>
        <w:jc w:val="left"/>
        <w:rPr>
          <w:sz w:val="16"/>
        </w:rPr>
      </w:pPr>
      <w:r>
        <w:rPr>
          <w:w w:val="107"/>
          <w:sz w:val="16"/>
        </w:rPr>
        <w:t>+</w:t>
      </w:r>
    </w:p>
    <w:p>
      <w:pPr>
        <w:spacing w:line="115" w:lineRule="exact" w:before="4"/>
        <w:ind w:left="2082" w:right="0" w:firstLine="0"/>
        <w:jc w:val="left"/>
        <w:rPr>
          <w:sz w:val="12"/>
        </w:rPr>
      </w:pPr>
      <w:r>
        <w:rPr>
          <w:w w:val="121"/>
          <w:sz w:val="12"/>
        </w:rPr>
        <w:t>0</w:t>
      </w:r>
    </w:p>
    <w:p>
      <w:pPr>
        <w:spacing w:line="161" w:lineRule="exact" w:before="0"/>
        <w:ind w:left="1992" w:right="0" w:firstLine="0"/>
        <w:jc w:val="left"/>
        <w:rPr>
          <w:sz w:val="16"/>
        </w:rPr>
      </w:pPr>
      <w:r>
        <w:rPr>
          <w:w w:val="117"/>
          <w:sz w:val="16"/>
        </w:rPr>
        <w:t>–</w:t>
      </w:r>
    </w:p>
    <w:p>
      <w:pPr>
        <w:spacing w:before="85"/>
        <w:ind w:left="0" w:right="38" w:firstLine="0"/>
        <w:jc w:val="right"/>
        <w:rPr>
          <w:sz w:val="12"/>
        </w:rPr>
      </w:pPr>
      <w:r>
        <w:rPr/>
        <w:pict>
          <v:line style="position:absolute;mso-position-horizontal-relative:page;mso-position-vertical-relative:paragraph;z-index:15949824" from="198.544006pt,8.140966pt" to="202.876006pt,8.140966pt" stroked="true" strokeweight=".5pt" strokecolor="#000000">
            <v:stroke dashstyle="solid"/>
            <w10:wrap type="none"/>
          </v:line>
        </w:pict>
      </w:r>
      <w:r>
        <w:rPr>
          <w:w w:val="121"/>
          <w:sz w:val="12"/>
        </w:rPr>
        <w:t>2</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950848" from="198.544006pt,8.157167pt" to="202.876006pt,8.157167pt" stroked="true" strokeweight=".5pt" strokecolor="#000000">
            <v:stroke dashstyle="solid"/>
            <w10:wrap type="none"/>
          </v:line>
        </w:pict>
      </w:r>
      <w:r>
        <w:rPr>
          <w:w w:val="121"/>
          <w:sz w:val="12"/>
        </w:rPr>
        <w:t>4</w:t>
      </w:r>
    </w:p>
    <w:p>
      <w:pPr>
        <w:pStyle w:val="BodyText"/>
        <w:rPr>
          <w:sz w:val="12"/>
        </w:rPr>
      </w:pPr>
    </w:p>
    <w:p>
      <w:pPr>
        <w:spacing w:line="127" w:lineRule="exact" w:before="85"/>
        <w:ind w:left="2082" w:right="0" w:firstLine="0"/>
        <w:jc w:val="left"/>
        <w:rPr>
          <w:sz w:val="12"/>
        </w:rPr>
      </w:pPr>
      <w:r>
        <w:rPr/>
        <w:pict>
          <v:line style="position:absolute;mso-position-horizontal-relative:page;mso-position-vertical-relative:paragraph;z-index:15950336" from="198.544006pt,8.172361pt" to="202.876006pt,8.172361pt" stroked="true" strokeweight=".5pt" strokecolor="#000000">
            <v:stroke dashstyle="solid"/>
            <w10:wrap type="none"/>
          </v:line>
        </w:pict>
      </w:r>
      <w:r>
        <w:rPr>
          <w:w w:val="121"/>
          <w:sz w:val="12"/>
        </w:rPr>
        <w:t>6</w:t>
      </w:r>
    </w:p>
    <w:p>
      <w:pPr>
        <w:spacing w:line="127" w:lineRule="exact" w:before="0"/>
        <w:ind w:left="872" w:right="0" w:firstLine="0"/>
        <w:jc w:val="left"/>
        <w:rPr>
          <w:sz w:val="12"/>
        </w:rPr>
      </w:pPr>
      <w:r>
        <w:rPr>
          <w:w w:val="110"/>
          <w:sz w:val="12"/>
        </w:rPr>
        <w:t>Public sector</w:t>
      </w:r>
    </w:p>
    <w:p>
      <w:pPr>
        <w:spacing w:before="106"/>
        <w:ind w:left="0" w:right="38" w:firstLine="0"/>
        <w:jc w:val="right"/>
        <w:rPr>
          <w:sz w:val="12"/>
        </w:rPr>
      </w:pPr>
      <w:r>
        <w:rPr/>
        <w:pict>
          <v:shape style="position:absolute;margin-left:42.873001pt;margin-top:5.884562pt;width:160.050pt;height:3.4pt;mso-position-horizontal-relative:page;mso-position-vertical-relative:paragraph;z-index:15947776" coordorigin="857,118" coordsize="3201,68" path="m1017,185l3901,185m1014,118l1014,185m1375,118l1375,185m1736,118l1736,185m2097,118l2097,185m2458,118l2458,185m2819,118l2819,185m3180,118l3180,185m3541,118l3541,185m3902,118l3902,185m857,185l944,185m3971,185l4058,185e" filled="false" stroked="true" strokeweight=".5pt" strokecolor="#000000">
            <v:path arrowok="t"/>
            <v:stroke dashstyle="solid"/>
            <w10:wrap type="none"/>
          </v:shape>
        </w:pict>
      </w:r>
      <w:r>
        <w:rPr>
          <w:w w:val="121"/>
          <w:sz w:val="12"/>
        </w:rPr>
        <w:t>8</w:t>
      </w:r>
    </w:p>
    <w:p>
      <w:pPr>
        <w:pStyle w:val="BodyText"/>
        <w:spacing w:line="292" w:lineRule="auto"/>
        <w:ind w:left="424" w:right="125"/>
      </w:pPr>
      <w:r>
        <w:rPr/>
        <w:br w:type="column"/>
      </w:r>
      <w:r>
        <w:rPr>
          <w:spacing w:val="-11"/>
          <w:w w:val="110"/>
        </w:rPr>
        <w:t>2001 </w:t>
      </w:r>
      <w:r>
        <w:rPr>
          <w:w w:val="110"/>
        </w:rPr>
        <w:t>H1 is likely </w:t>
      </w:r>
      <w:r>
        <w:rPr>
          <w:spacing w:val="-4"/>
          <w:w w:val="110"/>
        </w:rPr>
        <w:t>to </w:t>
      </w:r>
      <w:r>
        <w:rPr>
          <w:w w:val="110"/>
        </w:rPr>
        <w:t>be depressed as </w:t>
      </w:r>
      <w:r>
        <w:rPr>
          <w:spacing w:val="-3"/>
          <w:w w:val="110"/>
        </w:rPr>
        <w:t>inventories </w:t>
      </w:r>
      <w:r>
        <w:rPr>
          <w:w w:val="110"/>
        </w:rPr>
        <w:t>are run down, but should then </w:t>
      </w:r>
      <w:r>
        <w:rPr>
          <w:spacing w:val="-4"/>
          <w:w w:val="110"/>
        </w:rPr>
        <w:t>recover. </w:t>
      </w:r>
      <w:r>
        <w:rPr>
          <w:w w:val="110"/>
        </w:rPr>
        <w:t>Asset prices </w:t>
      </w:r>
      <w:r>
        <w:rPr>
          <w:spacing w:val="-3"/>
          <w:w w:val="110"/>
        </w:rPr>
        <w:t>have </w:t>
      </w:r>
      <w:r>
        <w:rPr>
          <w:w w:val="110"/>
        </w:rPr>
        <w:t>risen somewhat since the cuts in official </w:t>
      </w:r>
      <w:r>
        <w:rPr>
          <w:spacing w:val="-3"/>
          <w:w w:val="110"/>
        </w:rPr>
        <w:t>interest </w:t>
      </w:r>
      <w:r>
        <w:rPr>
          <w:spacing w:val="-4"/>
          <w:w w:val="110"/>
        </w:rPr>
        <w:t>rates </w:t>
      </w:r>
      <w:r>
        <w:rPr>
          <w:spacing w:val="-3"/>
          <w:w w:val="110"/>
        </w:rPr>
        <w:t>by </w:t>
      </w:r>
      <w:r>
        <w:rPr>
          <w:w w:val="110"/>
        </w:rPr>
        <w:t>the </w:t>
      </w:r>
      <w:r>
        <w:rPr>
          <w:spacing w:val="-3"/>
          <w:w w:val="110"/>
        </w:rPr>
        <w:t>Federal Reserve, </w:t>
      </w:r>
      <w:r>
        <w:rPr>
          <w:w w:val="110"/>
        </w:rPr>
        <w:t>and</w:t>
      </w:r>
      <w:r>
        <w:rPr>
          <w:spacing w:val="-20"/>
          <w:w w:val="110"/>
        </w:rPr>
        <w:t> </w:t>
      </w:r>
      <w:r>
        <w:rPr>
          <w:spacing w:val="-3"/>
          <w:w w:val="110"/>
        </w:rPr>
        <w:t>corporate</w:t>
      </w:r>
      <w:r>
        <w:rPr>
          <w:spacing w:val="-19"/>
          <w:w w:val="110"/>
        </w:rPr>
        <w:t> </w:t>
      </w:r>
      <w:r>
        <w:rPr>
          <w:w w:val="110"/>
        </w:rPr>
        <w:t>bond</w:t>
      </w:r>
      <w:r>
        <w:rPr>
          <w:spacing w:val="-20"/>
          <w:w w:val="110"/>
        </w:rPr>
        <w:t> </w:t>
      </w:r>
      <w:r>
        <w:rPr>
          <w:w w:val="110"/>
        </w:rPr>
        <w:t>issuance</w:t>
      </w:r>
      <w:r>
        <w:rPr>
          <w:spacing w:val="-19"/>
          <w:w w:val="110"/>
        </w:rPr>
        <w:t> </w:t>
      </w:r>
      <w:r>
        <w:rPr>
          <w:w w:val="110"/>
        </w:rPr>
        <w:t>has</w:t>
      </w:r>
      <w:r>
        <w:rPr>
          <w:spacing w:val="-20"/>
          <w:w w:val="110"/>
        </w:rPr>
        <w:t> </w:t>
      </w:r>
      <w:r>
        <w:rPr>
          <w:w w:val="110"/>
        </w:rPr>
        <w:t>picked</w:t>
      </w:r>
      <w:r>
        <w:rPr>
          <w:spacing w:val="-19"/>
          <w:w w:val="110"/>
        </w:rPr>
        <w:t> </w:t>
      </w:r>
      <w:r>
        <w:rPr>
          <w:w w:val="110"/>
        </w:rPr>
        <w:t>up.</w:t>
      </w:r>
      <w:r>
        <w:rPr>
          <w:spacing w:val="17"/>
          <w:w w:val="110"/>
        </w:rPr>
        <w:t> </w:t>
      </w:r>
      <w:r>
        <w:rPr>
          <w:w w:val="110"/>
        </w:rPr>
        <w:t>A</w:t>
      </w:r>
      <w:r>
        <w:rPr>
          <w:spacing w:val="-20"/>
          <w:w w:val="110"/>
        </w:rPr>
        <w:t> </w:t>
      </w:r>
      <w:r>
        <w:rPr>
          <w:w w:val="110"/>
        </w:rPr>
        <w:t>fiscal</w:t>
      </w:r>
      <w:r>
        <w:rPr>
          <w:spacing w:val="-19"/>
          <w:w w:val="110"/>
        </w:rPr>
        <w:t> </w:t>
      </w:r>
      <w:r>
        <w:rPr>
          <w:w w:val="110"/>
        </w:rPr>
        <w:t>expansion is also possible, and exports are likely </w:t>
      </w:r>
      <w:r>
        <w:rPr>
          <w:spacing w:val="-4"/>
          <w:w w:val="110"/>
        </w:rPr>
        <w:t>to </w:t>
      </w:r>
      <w:r>
        <w:rPr>
          <w:w w:val="110"/>
        </w:rPr>
        <w:t>benefit from the depreciation of the </w:t>
      </w:r>
      <w:r>
        <w:rPr>
          <w:spacing w:val="-3"/>
          <w:w w:val="110"/>
        </w:rPr>
        <w:t>dollar. </w:t>
      </w:r>
      <w:r>
        <w:rPr>
          <w:w w:val="110"/>
        </w:rPr>
        <w:t>Underlying productivity trends are </w:t>
      </w:r>
      <w:r>
        <w:rPr>
          <w:spacing w:val="-3"/>
          <w:w w:val="110"/>
        </w:rPr>
        <w:t>expected</w:t>
      </w:r>
      <w:r>
        <w:rPr>
          <w:spacing w:val="-23"/>
          <w:w w:val="110"/>
        </w:rPr>
        <w:t> </w:t>
      </w:r>
      <w:r>
        <w:rPr>
          <w:spacing w:val="-4"/>
          <w:w w:val="110"/>
        </w:rPr>
        <w:t>to</w:t>
      </w:r>
      <w:r>
        <w:rPr>
          <w:spacing w:val="-23"/>
          <w:w w:val="110"/>
        </w:rPr>
        <w:t> </w:t>
      </w:r>
      <w:r>
        <w:rPr>
          <w:w w:val="110"/>
        </w:rPr>
        <w:t>remain</w:t>
      </w:r>
      <w:r>
        <w:rPr>
          <w:spacing w:val="-22"/>
          <w:w w:val="110"/>
        </w:rPr>
        <w:t> </w:t>
      </w:r>
      <w:r>
        <w:rPr>
          <w:w w:val="110"/>
        </w:rPr>
        <w:t>favourable.</w:t>
      </w:r>
      <w:r>
        <w:rPr>
          <w:spacing w:val="11"/>
          <w:w w:val="110"/>
        </w:rPr>
        <w:t> </w:t>
      </w:r>
      <w:r>
        <w:rPr>
          <w:spacing w:val="-4"/>
          <w:w w:val="110"/>
        </w:rPr>
        <w:t>However,</w:t>
      </w:r>
      <w:r>
        <w:rPr>
          <w:spacing w:val="-23"/>
          <w:w w:val="110"/>
        </w:rPr>
        <w:t> </w:t>
      </w:r>
      <w:r>
        <w:rPr>
          <w:w w:val="110"/>
        </w:rPr>
        <w:t>the</w:t>
      </w:r>
      <w:r>
        <w:rPr>
          <w:spacing w:val="-22"/>
          <w:w w:val="110"/>
        </w:rPr>
        <w:t> </w:t>
      </w:r>
      <w:r>
        <w:rPr>
          <w:w w:val="110"/>
        </w:rPr>
        <w:t>MPC</w:t>
      </w:r>
      <w:r>
        <w:rPr>
          <w:spacing w:val="-23"/>
          <w:w w:val="110"/>
        </w:rPr>
        <w:t> </w:t>
      </w:r>
      <w:r>
        <w:rPr>
          <w:w w:val="110"/>
        </w:rPr>
        <w:t>judges</w:t>
      </w:r>
      <w:r>
        <w:rPr>
          <w:spacing w:val="-23"/>
          <w:w w:val="110"/>
        </w:rPr>
        <w:t> </w:t>
      </w:r>
      <w:r>
        <w:rPr>
          <w:w w:val="110"/>
        </w:rPr>
        <w:t>that the</w:t>
      </w:r>
      <w:r>
        <w:rPr>
          <w:spacing w:val="-16"/>
          <w:w w:val="110"/>
        </w:rPr>
        <w:t> </w:t>
      </w:r>
      <w:r>
        <w:rPr>
          <w:w w:val="110"/>
        </w:rPr>
        <w:t>balance</w:t>
      </w:r>
      <w:r>
        <w:rPr>
          <w:spacing w:val="-15"/>
          <w:w w:val="110"/>
        </w:rPr>
        <w:t> </w:t>
      </w:r>
      <w:r>
        <w:rPr>
          <w:w w:val="110"/>
        </w:rPr>
        <w:t>of</w:t>
      </w:r>
      <w:r>
        <w:rPr>
          <w:spacing w:val="-15"/>
          <w:w w:val="110"/>
        </w:rPr>
        <w:t> </w:t>
      </w:r>
      <w:r>
        <w:rPr>
          <w:w w:val="110"/>
        </w:rPr>
        <w:t>risks</w:t>
      </w:r>
      <w:r>
        <w:rPr>
          <w:spacing w:val="-15"/>
          <w:w w:val="110"/>
        </w:rPr>
        <w:t> </w:t>
      </w:r>
      <w:r>
        <w:rPr>
          <w:w w:val="110"/>
        </w:rPr>
        <w:t>around</w:t>
      </w:r>
      <w:r>
        <w:rPr>
          <w:spacing w:val="-15"/>
          <w:w w:val="110"/>
        </w:rPr>
        <w:t> </w:t>
      </w:r>
      <w:r>
        <w:rPr>
          <w:w w:val="110"/>
        </w:rPr>
        <w:t>this</w:t>
      </w:r>
      <w:r>
        <w:rPr>
          <w:spacing w:val="-15"/>
          <w:w w:val="110"/>
        </w:rPr>
        <w:t> </w:t>
      </w:r>
      <w:r>
        <w:rPr>
          <w:w w:val="110"/>
        </w:rPr>
        <w:t>central</w:t>
      </w:r>
      <w:r>
        <w:rPr>
          <w:spacing w:val="-15"/>
          <w:w w:val="110"/>
        </w:rPr>
        <w:t> </w:t>
      </w:r>
      <w:r>
        <w:rPr>
          <w:w w:val="110"/>
        </w:rPr>
        <w:t>projection</w:t>
      </w:r>
      <w:r>
        <w:rPr>
          <w:spacing w:val="-15"/>
          <w:w w:val="110"/>
        </w:rPr>
        <w:t> </w:t>
      </w:r>
      <w:r>
        <w:rPr>
          <w:w w:val="110"/>
        </w:rPr>
        <w:t>is</w:t>
      </w:r>
      <w:r>
        <w:rPr>
          <w:spacing w:val="-15"/>
          <w:w w:val="110"/>
        </w:rPr>
        <w:t> </w:t>
      </w:r>
      <w:r>
        <w:rPr>
          <w:w w:val="110"/>
        </w:rPr>
        <w:t>firmly</w:t>
      </w:r>
      <w:r>
        <w:rPr>
          <w:spacing w:val="-15"/>
          <w:w w:val="110"/>
        </w:rPr>
        <w:t> </w:t>
      </w:r>
      <w:r>
        <w:rPr>
          <w:w w:val="110"/>
        </w:rPr>
        <w:t>on the</w:t>
      </w:r>
      <w:r>
        <w:rPr>
          <w:spacing w:val="-23"/>
          <w:w w:val="110"/>
        </w:rPr>
        <w:t> </w:t>
      </w:r>
      <w:r>
        <w:rPr>
          <w:w w:val="110"/>
        </w:rPr>
        <w:t>downside.</w:t>
      </w:r>
      <w:r>
        <w:rPr>
          <w:spacing w:val="11"/>
          <w:w w:val="110"/>
        </w:rPr>
        <w:t> </w:t>
      </w:r>
      <w:r>
        <w:rPr>
          <w:w w:val="110"/>
        </w:rPr>
        <w:t>That</w:t>
      </w:r>
      <w:r>
        <w:rPr>
          <w:spacing w:val="-22"/>
          <w:w w:val="110"/>
        </w:rPr>
        <w:t> </w:t>
      </w:r>
      <w:r>
        <w:rPr>
          <w:w w:val="110"/>
        </w:rPr>
        <w:t>downside</w:t>
      </w:r>
      <w:r>
        <w:rPr>
          <w:spacing w:val="-23"/>
          <w:w w:val="110"/>
        </w:rPr>
        <w:t> </w:t>
      </w:r>
      <w:r>
        <w:rPr>
          <w:w w:val="110"/>
        </w:rPr>
        <w:t>risk</w:t>
      </w:r>
      <w:r>
        <w:rPr>
          <w:spacing w:val="-22"/>
          <w:w w:val="110"/>
        </w:rPr>
        <w:t> </w:t>
      </w:r>
      <w:r>
        <w:rPr>
          <w:w w:val="110"/>
        </w:rPr>
        <w:t>is</w:t>
      </w:r>
      <w:r>
        <w:rPr>
          <w:spacing w:val="-22"/>
          <w:w w:val="110"/>
        </w:rPr>
        <w:t> </w:t>
      </w:r>
      <w:r>
        <w:rPr>
          <w:w w:val="110"/>
        </w:rPr>
        <w:t>also</w:t>
      </w:r>
      <w:r>
        <w:rPr>
          <w:spacing w:val="-23"/>
          <w:w w:val="110"/>
        </w:rPr>
        <w:t> </w:t>
      </w:r>
      <w:r>
        <w:rPr>
          <w:w w:val="110"/>
        </w:rPr>
        <w:t>evident</w:t>
      </w:r>
      <w:r>
        <w:rPr>
          <w:spacing w:val="-22"/>
          <w:w w:val="110"/>
        </w:rPr>
        <w:t> </w:t>
      </w:r>
      <w:r>
        <w:rPr>
          <w:w w:val="110"/>
        </w:rPr>
        <w:t>in</w:t>
      </w:r>
      <w:r>
        <w:rPr>
          <w:spacing w:val="-22"/>
          <w:w w:val="110"/>
        </w:rPr>
        <w:t> </w:t>
      </w:r>
      <w:r>
        <w:rPr>
          <w:w w:val="110"/>
        </w:rPr>
        <w:t>Consensus forecasts:</w:t>
      </w:r>
      <w:r>
        <w:rPr>
          <w:spacing w:val="20"/>
          <w:w w:val="110"/>
        </w:rPr>
        <w:t> </w:t>
      </w:r>
      <w:r>
        <w:rPr>
          <w:w w:val="110"/>
        </w:rPr>
        <w:t>in</w:t>
      </w:r>
      <w:r>
        <w:rPr>
          <w:spacing w:val="-18"/>
          <w:w w:val="110"/>
        </w:rPr>
        <w:t> </w:t>
      </w:r>
      <w:r>
        <w:rPr>
          <w:w w:val="110"/>
        </w:rPr>
        <w:t>the</w:t>
      </w:r>
      <w:r>
        <w:rPr>
          <w:spacing w:val="-17"/>
          <w:w w:val="110"/>
        </w:rPr>
        <w:t> </w:t>
      </w:r>
      <w:r>
        <w:rPr>
          <w:w w:val="110"/>
        </w:rPr>
        <w:t>January</w:t>
      </w:r>
      <w:r>
        <w:rPr>
          <w:spacing w:val="-18"/>
          <w:w w:val="110"/>
        </w:rPr>
        <w:t> </w:t>
      </w:r>
      <w:r>
        <w:rPr>
          <w:spacing w:val="-3"/>
          <w:w w:val="110"/>
        </w:rPr>
        <w:t>survey</w:t>
      </w:r>
      <w:r>
        <w:rPr>
          <w:spacing w:val="-17"/>
          <w:w w:val="110"/>
        </w:rPr>
        <w:t> </w:t>
      </w:r>
      <w:r>
        <w:rPr>
          <w:w w:val="110"/>
        </w:rPr>
        <w:t>the</w:t>
      </w:r>
      <w:r>
        <w:rPr>
          <w:spacing w:val="-18"/>
          <w:w w:val="110"/>
        </w:rPr>
        <w:t> </w:t>
      </w:r>
      <w:r>
        <w:rPr>
          <w:spacing w:val="-3"/>
          <w:w w:val="110"/>
        </w:rPr>
        <w:t>average</w:t>
      </w:r>
      <w:r>
        <w:rPr>
          <w:spacing w:val="-18"/>
          <w:w w:val="110"/>
        </w:rPr>
        <w:t> </w:t>
      </w:r>
      <w:r>
        <w:rPr>
          <w:w w:val="110"/>
        </w:rPr>
        <w:t>central</w:t>
      </w:r>
      <w:r>
        <w:rPr>
          <w:spacing w:val="-17"/>
          <w:w w:val="110"/>
        </w:rPr>
        <w:t> </w:t>
      </w:r>
      <w:r>
        <w:rPr>
          <w:w w:val="110"/>
        </w:rPr>
        <w:t>projection</w:t>
      </w:r>
    </w:p>
    <w:p>
      <w:pPr>
        <w:spacing w:after="0" w:line="292" w:lineRule="auto"/>
        <w:sectPr>
          <w:type w:val="continuous"/>
          <w:pgSz w:w="11900" w:h="16840"/>
          <w:pgMar w:top="1260" w:bottom="280" w:left="640" w:right="640"/>
          <w:cols w:num="3" w:equalWidth="0">
            <w:col w:w="1368" w:space="40"/>
            <w:col w:w="2196" w:space="1075"/>
            <w:col w:w="5941"/>
          </w:cols>
        </w:sectPr>
      </w:pPr>
    </w:p>
    <w:p>
      <w:pPr>
        <w:tabs>
          <w:tab w:pos="1013" w:val="left" w:leader="none"/>
          <w:tab w:pos="1381" w:val="left" w:leader="none"/>
          <w:tab w:pos="1733" w:val="left" w:leader="none"/>
          <w:tab w:pos="2098" w:val="left" w:leader="none"/>
          <w:tab w:pos="2453" w:val="left" w:leader="none"/>
          <w:tab w:pos="2818" w:val="left" w:leader="none"/>
        </w:tabs>
        <w:spacing w:line="55" w:lineRule="exact" w:before="0"/>
        <w:ind w:left="221" w:right="0" w:firstLine="0"/>
        <w:jc w:val="left"/>
        <w:rPr>
          <w:sz w:val="12"/>
        </w:rPr>
      </w:pPr>
      <w:r>
        <w:rPr>
          <w:w w:val="120"/>
          <w:sz w:val="12"/>
        </w:rPr>
        <w:t>1960   </w:t>
      </w:r>
      <w:r>
        <w:rPr>
          <w:spacing w:val="7"/>
          <w:w w:val="120"/>
          <w:sz w:val="12"/>
        </w:rPr>
        <w:t> </w:t>
      </w:r>
      <w:r>
        <w:rPr>
          <w:w w:val="120"/>
          <w:sz w:val="12"/>
        </w:rPr>
        <w:t>65</w:t>
        <w:tab/>
        <w:t>70</w:t>
        <w:tab/>
        <w:t>75</w:t>
        <w:tab/>
        <w:t>80</w:t>
        <w:tab/>
        <w:t>85</w:t>
        <w:tab/>
        <w:t>90</w:t>
        <w:tab/>
        <w:t>95</w:t>
      </w:r>
      <w:r>
        <w:rPr>
          <w:spacing w:val="32"/>
          <w:w w:val="120"/>
          <w:sz w:val="12"/>
        </w:rPr>
        <w:t> </w:t>
      </w:r>
      <w:r>
        <w:rPr>
          <w:w w:val="120"/>
          <w:sz w:val="12"/>
        </w:rPr>
        <w:t>2000</w:t>
      </w:r>
    </w:p>
    <w:p>
      <w:pPr>
        <w:pStyle w:val="BodyText"/>
        <w:spacing w:before="6"/>
        <w:rPr>
          <w:sz w:val="9"/>
        </w:rPr>
      </w:pPr>
    </w:p>
    <w:p>
      <w:pPr>
        <w:spacing w:line="208" w:lineRule="auto" w:before="0"/>
        <w:ind w:left="608" w:right="0" w:hanging="426"/>
        <w:jc w:val="left"/>
        <w:rPr>
          <w:sz w:val="12"/>
        </w:rPr>
      </w:pPr>
      <w:r>
        <w:rPr>
          <w:w w:val="105"/>
          <w:sz w:val="12"/>
        </w:rPr>
        <w:t>Source: Board of Governors of the Federal Reserve System: ‘Flow of Funds Accounts of the United States’.</w:t>
      </w:r>
    </w:p>
    <w:p>
      <w:pPr>
        <w:pStyle w:val="BodyText"/>
        <w:spacing w:before="4"/>
        <w:rPr>
          <w:sz w:val="10"/>
        </w:rPr>
      </w:pPr>
    </w:p>
    <w:p>
      <w:pPr>
        <w:spacing w:line="208" w:lineRule="auto" w:before="1"/>
        <w:ind w:left="423" w:right="31" w:hanging="240"/>
        <w:jc w:val="left"/>
        <w:rPr>
          <w:sz w:val="12"/>
        </w:rPr>
      </w:pPr>
      <w:r>
        <w:rPr>
          <w:w w:val="110"/>
          <w:sz w:val="12"/>
        </w:rPr>
        <w:t>(a) Includes a statistical adjustment to reconcile the financial and non-financial accounts.</w:t>
      </w:r>
    </w:p>
    <w:p>
      <w:pPr>
        <w:pStyle w:val="BodyText"/>
        <w:spacing w:line="292" w:lineRule="auto"/>
        <w:ind w:left="183" w:right="152"/>
      </w:pPr>
      <w:r>
        <w:rPr/>
        <w:br w:type="column"/>
      </w:r>
      <w:r>
        <w:rPr>
          <w:spacing w:val="-3"/>
          <w:w w:val="110"/>
        </w:rPr>
        <w:t>was </w:t>
      </w:r>
      <w:r>
        <w:rPr>
          <w:w w:val="110"/>
        </w:rPr>
        <w:t>for growth of 2.6% in </w:t>
      </w:r>
      <w:r>
        <w:rPr>
          <w:spacing w:val="-9"/>
          <w:w w:val="110"/>
        </w:rPr>
        <w:t>2001, </w:t>
      </w:r>
      <w:r>
        <w:rPr>
          <w:w w:val="110"/>
        </w:rPr>
        <w:t>but the </w:t>
      </w:r>
      <w:r>
        <w:rPr>
          <w:spacing w:val="-3"/>
          <w:w w:val="110"/>
        </w:rPr>
        <w:t>average probability </w:t>
      </w:r>
      <w:r>
        <w:rPr>
          <w:w w:val="110"/>
        </w:rPr>
        <w:t>attached</w:t>
      </w:r>
      <w:r>
        <w:rPr>
          <w:spacing w:val="-16"/>
          <w:w w:val="110"/>
        </w:rPr>
        <w:t> </w:t>
      </w:r>
      <w:r>
        <w:rPr>
          <w:spacing w:val="-3"/>
          <w:w w:val="110"/>
        </w:rPr>
        <w:t>by</w:t>
      </w:r>
      <w:r>
        <w:rPr>
          <w:spacing w:val="-15"/>
          <w:w w:val="110"/>
        </w:rPr>
        <w:t> </w:t>
      </w:r>
      <w:r>
        <w:rPr>
          <w:w w:val="110"/>
        </w:rPr>
        <w:t>respondents</w:t>
      </w:r>
      <w:r>
        <w:rPr>
          <w:spacing w:val="-15"/>
          <w:w w:val="110"/>
        </w:rPr>
        <w:t> </w:t>
      </w:r>
      <w:r>
        <w:rPr>
          <w:spacing w:val="-4"/>
          <w:w w:val="110"/>
        </w:rPr>
        <w:t>to</w:t>
      </w:r>
      <w:r>
        <w:rPr>
          <w:spacing w:val="-15"/>
          <w:w w:val="110"/>
        </w:rPr>
        <w:t> </w:t>
      </w:r>
      <w:r>
        <w:rPr>
          <w:w w:val="110"/>
        </w:rPr>
        <w:t>GDP</w:t>
      </w:r>
      <w:r>
        <w:rPr>
          <w:spacing w:val="-15"/>
          <w:w w:val="110"/>
        </w:rPr>
        <w:t> </w:t>
      </w:r>
      <w:r>
        <w:rPr>
          <w:w w:val="110"/>
        </w:rPr>
        <w:t>growth</w:t>
      </w:r>
      <w:r>
        <w:rPr>
          <w:spacing w:val="-15"/>
          <w:w w:val="110"/>
        </w:rPr>
        <w:t> </w:t>
      </w:r>
      <w:r>
        <w:rPr>
          <w:w w:val="110"/>
        </w:rPr>
        <w:t>being</w:t>
      </w:r>
      <w:r>
        <w:rPr>
          <w:spacing w:val="-15"/>
          <w:w w:val="110"/>
        </w:rPr>
        <w:t> </w:t>
      </w:r>
      <w:r>
        <w:rPr>
          <w:w w:val="110"/>
        </w:rPr>
        <w:t>at</w:t>
      </w:r>
      <w:r>
        <w:rPr>
          <w:spacing w:val="-15"/>
          <w:w w:val="110"/>
        </w:rPr>
        <w:t> </w:t>
      </w:r>
      <w:r>
        <w:rPr>
          <w:w w:val="110"/>
        </w:rPr>
        <w:t>or</w:t>
      </w:r>
      <w:r>
        <w:rPr>
          <w:spacing w:val="-15"/>
          <w:w w:val="110"/>
        </w:rPr>
        <w:t> </w:t>
      </w:r>
      <w:r>
        <w:rPr>
          <w:w w:val="110"/>
        </w:rPr>
        <w:t>below</w:t>
      </w:r>
      <w:r>
        <w:rPr>
          <w:spacing w:val="-15"/>
          <w:w w:val="110"/>
        </w:rPr>
        <w:t> </w:t>
      </w:r>
      <w:r>
        <w:rPr>
          <w:w w:val="110"/>
        </w:rPr>
        <w:t>that </w:t>
      </w:r>
      <w:r>
        <w:rPr>
          <w:spacing w:val="-4"/>
          <w:w w:val="110"/>
        </w:rPr>
        <w:t>rate </w:t>
      </w:r>
      <w:r>
        <w:rPr>
          <w:spacing w:val="-3"/>
          <w:w w:val="110"/>
        </w:rPr>
        <w:t>was </w:t>
      </w:r>
      <w:r>
        <w:rPr>
          <w:w w:val="110"/>
        </w:rPr>
        <w:t>just </w:t>
      </w:r>
      <w:r>
        <w:rPr>
          <w:spacing w:val="-3"/>
          <w:w w:val="110"/>
        </w:rPr>
        <w:t>over</w:t>
      </w:r>
      <w:r>
        <w:rPr>
          <w:spacing w:val="-16"/>
          <w:w w:val="110"/>
        </w:rPr>
        <w:t> </w:t>
      </w:r>
      <w:r>
        <w:rPr>
          <w:spacing w:val="-3"/>
          <w:w w:val="110"/>
        </w:rPr>
        <w:t>60%.</w:t>
      </w:r>
    </w:p>
    <w:p>
      <w:pPr>
        <w:spacing w:after="0" w:line="292" w:lineRule="auto"/>
        <w:sectPr>
          <w:type w:val="continuous"/>
          <w:pgSz w:w="11900" w:h="16840"/>
          <w:pgMar w:top="1260" w:bottom="280" w:left="640" w:right="640"/>
          <w:cols w:num="2" w:equalWidth="0">
            <w:col w:w="3438" w:space="1482"/>
            <w:col w:w="5700"/>
          </w:cols>
        </w:sectPr>
      </w:pPr>
    </w:p>
    <w:p>
      <w:pPr>
        <w:pStyle w:val="BodyText"/>
        <w:spacing w:line="20" w:lineRule="exact"/>
        <w:ind w:left="152"/>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pPr>
    </w:p>
    <w:p>
      <w:pPr>
        <w:pStyle w:val="BodyText"/>
        <w:spacing w:before="5"/>
        <w:rPr>
          <w:sz w:val="16"/>
        </w:rPr>
      </w:pPr>
    </w:p>
    <w:p>
      <w:pPr>
        <w:pStyle w:val="BodyText"/>
        <w:spacing w:line="292" w:lineRule="auto" w:before="61"/>
        <w:ind w:left="5114" w:right="195"/>
      </w:pPr>
      <w:r>
        <w:rPr>
          <w:w w:val="105"/>
        </w:rPr>
        <w:t>Growth in euro-area activity has also eased a little more than expected in the November </w:t>
      </w:r>
      <w:r>
        <w:rPr>
          <w:i/>
          <w:w w:val="105"/>
        </w:rPr>
        <w:t>Report</w:t>
      </w:r>
      <w:r>
        <w:rPr>
          <w:w w:val="105"/>
        </w:rPr>
        <w:t>, and euro-area business </w:t>
      </w:r>
      <w:r>
        <w:rPr>
          <w:spacing w:val="-3"/>
          <w:w w:val="105"/>
        </w:rPr>
        <w:t>surveys </w:t>
      </w:r>
      <w:r>
        <w:rPr>
          <w:w w:val="105"/>
        </w:rPr>
        <w:t>indicate a further moderation in output growth. But </w:t>
      </w:r>
      <w:r>
        <w:rPr>
          <w:spacing w:val="-3"/>
          <w:w w:val="105"/>
        </w:rPr>
        <w:t>private </w:t>
      </w:r>
      <w:r>
        <w:rPr>
          <w:w w:val="105"/>
        </w:rPr>
        <w:t>consumption in the euro area is </w:t>
      </w:r>
      <w:r>
        <w:rPr>
          <w:spacing w:val="-3"/>
          <w:w w:val="105"/>
        </w:rPr>
        <w:t>expected </w:t>
      </w:r>
      <w:r>
        <w:rPr>
          <w:spacing w:val="-4"/>
          <w:w w:val="105"/>
        </w:rPr>
        <w:t>to </w:t>
      </w:r>
      <w:r>
        <w:rPr>
          <w:w w:val="105"/>
        </w:rPr>
        <w:t>be  supported by the income tax cuts in </w:t>
      </w:r>
      <w:r>
        <w:rPr>
          <w:spacing w:val="-4"/>
          <w:w w:val="105"/>
        </w:rPr>
        <w:t>Germany,  </w:t>
      </w:r>
      <w:r>
        <w:rPr>
          <w:spacing w:val="-3"/>
          <w:w w:val="105"/>
        </w:rPr>
        <w:t>France, </w:t>
      </w:r>
      <w:r>
        <w:rPr>
          <w:w w:val="105"/>
        </w:rPr>
        <w:t>and  </w:t>
      </w:r>
      <w:r>
        <w:rPr>
          <w:spacing w:val="-5"/>
          <w:w w:val="105"/>
        </w:rPr>
        <w:t>Italy.   </w:t>
      </w:r>
      <w:r>
        <w:rPr>
          <w:w w:val="105"/>
        </w:rPr>
        <w:t>Unemployment is falling and the decline in oil prices will boost consumers’ purchasing </w:t>
      </w:r>
      <w:r>
        <w:rPr>
          <w:spacing w:val="-4"/>
          <w:w w:val="105"/>
        </w:rPr>
        <w:t>power.   </w:t>
      </w:r>
      <w:r>
        <w:rPr>
          <w:w w:val="105"/>
        </w:rPr>
        <w:t>Consistent with these </w:t>
      </w:r>
      <w:r>
        <w:rPr>
          <w:spacing w:val="-3"/>
          <w:w w:val="105"/>
        </w:rPr>
        <w:t>factors, </w:t>
      </w:r>
      <w:r>
        <w:rPr>
          <w:w w:val="105"/>
        </w:rPr>
        <w:t>consumer confidence remains at very high levels. And measures of capacity utilisation suggest that </w:t>
      </w:r>
      <w:r>
        <w:rPr>
          <w:spacing w:val="-3"/>
          <w:w w:val="105"/>
        </w:rPr>
        <w:t>investment </w:t>
      </w:r>
      <w:r>
        <w:rPr>
          <w:w w:val="105"/>
        </w:rPr>
        <w:t>should remain relatively robust. The much more modest </w:t>
      </w:r>
      <w:r>
        <w:rPr>
          <w:spacing w:val="-3"/>
          <w:w w:val="105"/>
        </w:rPr>
        <w:t>downward </w:t>
      </w:r>
      <w:r>
        <w:rPr>
          <w:w w:val="105"/>
        </w:rPr>
        <w:t>revisions </w:t>
      </w:r>
      <w:r>
        <w:rPr>
          <w:spacing w:val="-4"/>
          <w:w w:val="105"/>
        </w:rPr>
        <w:t>to </w:t>
      </w:r>
      <w:r>
        <w:rPr>
          <w:w w:val="105"/>
        </w:rPr>
        <w:t>forecasts of activity in the euro area relative </w:t>
      </w:r>
      <w:r>
        <w:rPr>
          <w:spacing w:val="-4"/>
          <w:w w:val="105"/>
        </w:rPr>
        <w:t>to </w:t>
      </w:r>
      <w:r>
        <w:rPr>
          <w:w w:val="105"/>
        </w:rPr>
        <w:t>those for the United </w:t>
      </w:r>
      <w:r>
        <w:rPr>
          <w:spacing w:val="-3"/>
          <w:w w:val="105"/>
        </w:rPr>
        <w:t>States </w:t>
      </w:r>
      <w:r>
        <w:rPr>
          <w:w w:val="105"/>
        </w:rPr>
        <w:t>(see Chart 2.2) </w:t>
      </w:r>
      <w:r>
        <w:rPr>
          <w:spacing w:val="-3"/>
          <w:w w:val="105"/>
        </w:rPr>
        <w:t>may have </w:t>
      </w:r>
      <w:r>
        <w:rPr>
          <w:w w:val="105"/>
        </w:rPr>
        <w:t>been reflected in the appreciation of the euro against the   dollar </w:t>
      </w:r>
      <w:hyperlink w:history="true" w:anchor="_bookmark2">
        <w:r>
          <w:rPr>
            <w:w w:val="105"/>
          </w:rPr>
          <w:t>(see </w:t>
        </w:r>
        <w:r>
          <w:rPr>
            <w:color w:val="FF0000"/>
            <w:w w:val="105"/>
          </w:rPr>
          <w:t>Section</w:t>
        </w:r>
        <w:r>
          <w:rPr>
            <w:color w:val="FF0000"/>
            <w:spacing w:val="-7"/>
            <w:w w:val="105"/>
          </w:rPr>
          <w:t> </w:t>
        </w:r>
        <w:r>
          <w:rPr>
            <w:color w:val="FF0000"/>
            <w:w w:val="105"/>
          </w:rPr>
          <w:t>1</w:t>
        </w:r>
        <w:r>
          <w:rPr>
            <w:w w:val="105"/>
          </w:rPr>
          <w:t>).</w:t>
        </w:r>
      </w:hyperlink>
    </w:p>
    <w:p>
      <w:pPr>
        <w:pStyle w:val="BodyText"/>
        <w:spacing w:before="2"/>
      </w:pPr>
    </w:p>
    <w:p>
      <w:pPr>
        <w:pStyle w:val="BodyText"/>
        <w:spacing w:line="292" w:lineRule="auto"/>
        <w:ind w:left="5114" w:right="130"/>
      </w:pPr>
      <w:r>
        <w:rPr>
          <w:w w:val="110"/>
        </w:rPr>
        <w:t>Recent data for Japan suggest that output growth remains subdued, with consumption </w:t>
      </w:r>
      <w:r>
        <w:rPr>
          <w:spacing w:val="-3"/>
          <w:w w:val="110"/>
        </w:rPr>
        <w:t>restrained by </w:t>
      </w:r>
      <w:r>
        <w:rPr>
          <w:w w:val="110"/>
        </w:rPr>
        <w:t>weak </w:t>
      </w:r>
      <w:r>
        <w:rPr>
          <w:spacing w:val="-2"/>
          <w:w w:val="110"/>
        </w:rPr>
        <w:t>growth </w:t>
      </w:r>
      <w:r>
        <w:rPr>
          <w:w w:val="110"/>
        </w:rPr>
        <w:t>in household incomes, </w:t>
      </w:r>
      <w:r>
        <w:rPr>
          <w:spacing w:val="-3"/>
          <w:w w:val="110"/>
        </w:rPr>
        <w:t>renewed </w:t>
      </w:r>
      <w:r>
        <w:rPr>
          <w:w w:val="110"/>
        </w:rPr>
        <w:t>declines in asset prices, and continuing retail price deflation. Growth in industrial production in other Asian and in Latin American economies has slowed. Overall, revisions </w:t>
      </w:r>
      <w:r>
        <w:rPr>
          <w:spacing w:val="-4"/>
          <w:w w:val="110"/>
        </w:rPr>
        <w:t>to </w:t>
      </w:r>
      <w:r>
        <w:rPr>
          <w:w w:val="110"/>
        </w:rPr>
        <w:t>forecasts of GDP </w:t>
      </w:r>
      <w:r>
        <w:rPr>
          <w:spacing w:val="-3"/>
          <w:w w:val="110"/>
        </w:rPr>
        <w:t>growth </w:t>
      </w:r>
      <w:r>
        <w:rPr>
          <w:w w:val="110"/>
        </w:rPr>
        <w:t>outside the United </w:t>
      </w:r>
      <w:r>
        <w:rPr>
          <w:spacing w:val="-3"/>
          <w:w w:val="110"/>
        </w:rPr>
        <w:t>States have </w:t>
      </w:r>
      <w:r>
        <w:rPr>
          <w:w w:val="110"/>
        </w:rPr>
        <w:t>been </w:t>
      </w:r>
      <w:r>
        <w:rPr>
          <w:spacing w:val="-3"/>
          <w:w w:val="110"/>
        </w:rPr>
        <w:t>moderate </w:t>
      </w:r>
      <w:r>
        <w:rPr>
          <w:w w:val="110"/>
        </w:rPr>
        <w:t>(see Chart 2.2). But there is considerable uncertainty about the impact of a </w:t>
      </w:r>
      <w:r>
        <w:rPr>
          <w:spacing w:val="-3"/>
          <w:w w:val="110"/>
        </w:rPr>
        <w:t>slowdown </w:t>
      </w:r>
      <w:r>
        <w:rPr>
          <w:w w:val="110"/>
        </w:rPr>
        <w:t>in the United </w:t>
      </w:r>
      <w:r>
        <w:rPr>
          <w:spacing w:val="-3"/>
          <w:w w:val="110"/>
        </w:rPr>
        <w:t>States </w:t>
      </w:r>
      <w:r>
        <w:rPr>
          <w:w w:val="110"/>
        </w:rPr>
        <w:t>on other economies. The potential channels </w:t>
      </w:r>
      <w:r>
        <w:rPr>
          <w:spacing w:val="-3"/>
          <w:w w:val="110"/>
        </w:rPr>
        <w:t>relevant </w:t>
      </w:r>
      <w:r>
        <w:rPr>
          <w:spacing w:val="-4"/>
          <w:w w:val="110"/>
        </w:rPr>
        <w:t>to </w:t>
      </w:r>
      <w:r>
        <w:rPr>
          <w:w w:val="110"/>
        </w:rPr>
        <w:t>the UK economy are discussed </w:t>
      </w:r>
      <w:hyperlink w:history="true" w:anchor="_bookmark20">
        <w:r>
          <w:rPr>
            <w:w w:val="110"/>
          </w:rPr>
          <w:t>in the </w:t>
        </w:r>
        <w:r>
          <w:rPr>
            <w:color w:val="FF0000"/>
            <w:spacing w:val="-3"/>
            <w:w w:val="110"/>
          </w:rPr>
          <w:t>box </w:t>
        </w:r>
        <w:r>
          <w:rPr>
            <w:w w:val="110"/>
          </w:rPr>
          <w:t>on pages </w:t>
        </w:r>
        <w:r>
          <w:rPr>
            <w:spacing w:val="-12"/>
            <w:w w:val="110"/>
          </w:rPr>
          <w:t>18–19.</w:t>
        </w:r>
      </w:hyperlink>
    </w:p>
    <w:p>
      <w:pPr>
        <w:pStyle w:val="BodyText"/>
        <w:rPr>
          <w:sz w:val="13"/>
        </w:rPr>
      </w:pPr>
    </w:p>
    <w:p>
      <w:pPr>
        <w:spacing w:after="0"/>
        <w:rPr>
          <w:sz w:val="13"/>
        </w:rPr>
        <w:sectPr>
          <w:pgSz w:w="11900" w:h="16840"/>
          <w:pgMar w:header="580" w:footer="575" w:top="76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
        <w:rPr>
          <w:sz w:val="32"/>
        </w:rPr>
      </w:pPr>
    </w:p>
    <w:p>
      <w:pPr>
        <w:pStyle w:val="Heading6"/>
      </w:pPr>
      <w:r>
        <w:rPr>
          <w:color w:val="89C6DC"/>
          <w:spacing w:val="-15"/>
          <w:w w:val="81"/>
        </w:rPr>
        <w:t>T</w:t>
      </w:r>
      <w:r>
        <w:rPr>
          <w:color w:val="89C6DC"/>
          <w:spacing w:val="-1"/>
          <w:w w:val="91"/>
        </w:rPr>
        <w:t>abl</w:t>
      </w:r>
      <w:r>
        <w:rPr>
          <w:color w:val="89C6DC"/>
          <w:w w:val="91"/>
        </w:rPr>
        <w:t>e</w:t>
      </w:r>
      <w:r>
        <w:rPr>
          <w:color w:val="89C6DC"/>
          <w:spacing w:val="6"/>
        </w:rPr>
        <w:t> </w:t>
      </w:r>
      <w:r>
        <w:rPr>
          <w:smallCaps/>
          <w:color w:val="89C6DC"/>
          <w:spacing w:val="-1"/>
          <w:w w:val="86"/>
        </w:rPr>
        <w:t>2.A</w:t>
      </w:r>
    </w:p>
    <w:p>
      <w:pPr>
        <w:spacing w:before="8"/>
        <w:ind w:left="178" w:right="0" w:firstLine="0"/>
        <w:jc w:val="left"/>
        <w:rPr>
          <w:sz w:val="12"/>
        </w:rPr>
      </w:pPr>
      <w:r>
        <w:rPr>
          <w:rFonts w:ascii="Trebuchet MS"/>
          <w:b/>
          <w:color w:val="89C6DC"/>
          <w:sz w:val="20"/>
        </w:rPr>
        <w:t>UK export outlook</w:t>
      </w:r>
      <w:r>
        <w:rPr>
          <w:position w:val="4"/>
          <w:sz w:val="12"/>
        </w:rPr>
        <w:t>(a)</w:t>
      </w:r>
    </w:p>
    <w:p>
      <w:pPr>
        <w:tabs>
          <w:tab w:pos="4298" w:val="right" w:leader="none"/>
        </w:tabs>
        <w:spacing w:line="150" w:lineRule="exact" w:before="104"/>
        <w:ind w:left="1848" w:right="0" w:firstLine="0"/>
        <w:jc w:val="left"/>
        <w:rPr>
          <w:sz w:val="14"/>
        </w:rPr>
      </w:pPr>
      <w:r>
        <w:rPr>
          <w:w w:val="115"/>
          <w:sz w:val="14"/>
        </w:rPr>
        <w:t>Series</w:t>
        <w:tab/>
      </w:r>
      <w:r>
        <w:rPr>
          <w:spacing w:val="-3"/>
          <w:w w:val="115"/>
          <w:sz w:val="14"/>
          <w:u w:val="single"/>
        </w:rPr>
        <w:t>2000</w:t>
      </w:r>
      <w:r>
        <w:rPr>
          <w:spacing w:val="-3"/>
          <w:sz w:val="14"/>
          <w:u w:val="single"/>
        </w:rPr>
        <w:tab/>
      </w:r>
    </w:p>
    <w:p>
      <w:pPr>
        <w:tabs>
          <w:tab w:pos="3038" w:val="left" w:leader="none"/>
          <w:tab w:pos="3558" w:val="left" w:leader="none"/>
          <w:tab w:pos="4058" w:val="left" w:leader="none"/>
        </w:tabs>
        <w:spacing w:line="150" w:lineRule="exact" w:before="0"/>
        <w:ind w:left="1848" w:right="0" w:firstLine="0"/>
        <w:jc w:val="left"/>
        <w:rPr>
          <w:sz w:val="14"/>
        </w:rPr>
      </w:pPr>
      <w:r>
        <w:rPr>
          <w:w w:val="110"/>
          <w:sz w:val="14"/>
        </w:rPr>
        <w:t>average</w:t>
      </w:r>
      <w:r>
        <w:rPr>
          <w:spacing w:val="-11"/>
          <w:w w:val="110"/>
          <w:sz w:val="14"/>
        </w:rPr>
        <w:t> </w:t>
      </w:r>
      <w:r>
        <w:rPr>
          <w:w w:val="110"/>
          <w:sz w:val="12"/>
        </w:rPr>
        <w:t>(b)</w:t>
      </w:r>
      <w:r>
        <w:rPr>
          <w:spacing w:val="31"/>
          <w:w w:val="110"/>
          <w:sz w:val="12"/>
        </w:rPr>
        <w:t> </w:t>
      </w:r>
      <w:r>
        <w:rPr>
          <w:w w:val="110"/>
          <w:sz w:val="14"/>
        </w:rPr>
        <w:t>Q1</w:t>
        <w:tab/>
        <w:t>Q2</w:t>
        <w:tab/>
        <w:t>Q3</w:t>
        <w:tab/>
        <w:t>Q4</w:t>
      </w:r>
    </w:p>
    <w:p>
      <w:pPr>
        <w:pStyle w:val="BodyText"/>
        <w:spacing w:before="8"/>
        <w:rPr>
          <w:sz w:val="2"/>
        </w:rPr>
      </w:pPr>
    </w:p>
    <w:p>
      <w:pPr>
        <w:tabs>
          <w:tab w:pos="3037" w:val="left" w:leader="none"/>
          <w:tab w:pos="3557" w:val="left" w:leader="none"/>
          <w:tab w:pos="4057" w:val="left" w:leader="none"/>
        </w:tabs>
        <w:spacing w:line="20" w:lineRule="exact"/>
        <w:ind w:left="1857" w:right="-44" w:firstLine="0"/>
        <w:rPr>
          <w:sz w:val="2"/>
        </w:rPr>
      </w:pPr>
      <w:r>
        <w:rPr>
          <w:sz w:val="2"/>
        </w:rPr>
        <w:pict>
          <v:group style="width:47pt;height:.15pt;mso-position-horizontal-relative:char;mso-position-vertical-relative:line" coordorigin="0,0" coordsize="940,3">
            <v:shape style="position:absolute;left:0;top:1;width:940;height:2" coordorigin="0,1" coordsize="940,0" path="m0,1l650,1m700,1l940,1e" filled="false" stroked="true" strokeweight=".125pt" strokecolor="#000000">
              <v:path arrowok="t"/>
              <v:stroke dashstyle="solid"/>
            </v:shape>
          </v:group>
        </w:pict>
      </w:r>
      <w:r>
        <w:rPr>
          <w:sz w:val="2"/>
        </w:rPr>
      </w:r>
      <w:r>
        <w:rPr>
          <w:sz w:val="2"/>
        </w:rPr>
        <w:tab/>
      </w:r>
      <w:r>
        <w:rPr>
          <w:sz w:val="2"/>
        </w:rPr>
        <w:pict>
          <v:group style="width:12pt;height:.15pt;mso-position-horizontal-relative:char;mso-position-vertical-relative:line" coordorigin="0,0" coordsize="240,3">
            <v:line style="position:absolute" from="0,1" to="240,1" stroked="true" strokeweight=".125pt" strokecolor="#000000">
              <v:stroke dashstyle="solid"/>
            </v:line>
          </v:group>
        </w:pict>
      </w:r>
      <w:r>
        <w:rPr>
          <w:sz w:val="2"/>
        </w:rPr>
      </w:r>
      <w:r>
        <w:rPr>
          <w:sz w:val="2"/>
        </w:rPr>
        <w:tab/>
      </w:r>
      <w:r>
        <w:rPr>
          <w:sz w:val="2"/>
        </w:rPr>
        <w:pict>
          <v:group style="width:12pt;height:.15pt;mso-position-horizontal-relative:char;mso-position-vertical-relative:line" coordorigin="0,0" coordsize="240,3">
            <v:line style="position:absolute" from="0,1" to="240,1" stroked="true" strokeweight=".125pt" strokecolor="#000000">
              <v:stroke dashstyle="solid"/>
            </v:line>
          </v:group>
        </w:pict>
      </w:r>
      <w:r>
        <w:rPr>
          <w:sz w:val="2"/>
        </w:rPr>
      </w:r>
      <w:r>
        <w:rPr>
          <w:sz w:val="2"/>
        </w:rPr>
        <w:tab/>
      </w:r>
      <w:r>
        <w:rPr>
          <w:sz w:val="2"/>
        </w:rPr>
        <w:pict>
          <v:group style="width:12pt;height:.15pt;mso-position-horizontal-relative:char;mso-position-vertical-relative:line" coordorigin="0,0" coordsize="240,3">
            <v:line style="position:absolute" from="0,1" to="240,1" stroked="true" strokeweight=".125pt" strokecolor="#000000">
              <v:stroke dashstyle="solid"/>
            </v:line>
          </v:group>
        </w:pict>
      </w:r>
      <w:r>
        <w:rPr>
          <w:sz w:val="2"/>
        </w:rPr>
      </w:r>
    </w:p>
    <w:p>
      <w:pPr>
        <w:pStyle w:val="BodyText"/>
        <w:spacing w:line="292" w:lineRule="auto" w:before="65"/>
        <w:ind w:left="178" w:right="141"/>
      </w:pPr>
      <w:r>
        <w:rPr/>
        <w:br w:type="column"/>
      </w:r>
      <w:r>
        <w:rPr>
          <w:w w:val="110"/>
        </w:rPr>
        <w:t>The current </w:t>
      </w:r>
      <w:r>
        <w:rPr>
          <w:i/>
          <w:w w:val="110"/>
        </w:rPr>
        <w:t>Inflation Report </w:t>
      </w:r>
      <w:r>
        <w:rPr>
          <w:w w:val="110"/>
        </w:rPr>
        <w:t>projections incorporate a relatively </w:t>
      </w:r>
      <w:r>
        <w:rPr>
          <w:spacing w:val="-3"/>
          <w:w w:val="110"/>
        </w:rPr>
        <w:t>moderate slowdown </w:t>
      </w:r>
      <w:r>
        <w:rPr>
          <w:w w:val="110"/>
        </w:rPr>
        <w:t>in activity outside the United </w:t>
      </w:r>
      <w:r>
        <w:rPr>
          <w:spacing w:val="-3"/>
          <w:w w:val="110"/>
        </w:rPr>
        <w:t>States. </w:t>
      </w:r>
      <w:r>
        <w:rPr>
          <w:w w:val="110"/>
        </w:rPr>
        <w:t>Some </w:t>
      </w:r>
      <w:r>
        <w:rPr>
          <w:spacing w:val="-3"/>
          <w:w w:val="110"/>
        </w:rPr>
        <w:t>factors, </w:t>
      </w:r>
      <w:r>
        <w:rPr>
          <w:w w:val="110"/>
        </w:rPr>
        <w:t>that had been acting </w:t>
      </w:r>
      <w:r>
        <w:rPr>
          <w:spacing w:val="-4"/>
          <w:w w:val="110"/>
        </w:rPr>
        <w:t>to </w:t>
      </w:r>
      <w:r>
        <w:rPr>
          <w:spacing w:val="-3"/>
          <w:w w:val="110"/>
        </w:rPr>
        <w:t>restrain world </w:t>
      </w:r>
      <w:r>
        <w:rPr>
          <w:w w:val="110"/>
        </w:rPr>
        <w:t>demand,</w:t>
      </w:r>
      <w:r>
        <w:rPr>
          <w:spacing w:val="-20"/>
          <w:w w:val="110"/>
        </w:rPr>
        <w:t> </w:t>
      </w:r>
      <w:r>
        <w:rPr>
          <w:w w:val="110"/>
        </w:rPr>
        <w:t>have</w:t>
      </w:r>
      <w:r>
        <w:rPr>
          <w:spacing w:val="-19"/>
          <w:w w:val="110"/>
        </w:rPr>
        <w:t> </w:t>
      </w:r>
      <w:r>
        <w:rPr>
          <w:spacing w:val="-3"/>
          <w:w w:val="110"/>
        </w:rPr>
        <w:t>reversed</w:t>
      </w:r>
      <w:r>
        <w:rPr>
          <w:spacing w:val="-19"/>
          <w:w w:val="110"/>
        </w:rPr>
        <w:t> </w:t>
      </w:r>
      <w:r>
        <w:rPr>
          <w:w w:val="110"/>
        </w:rPr>
        <w:t>since</w:t>
      </w:r>
      <w:r>
        <w:rPr>
          <w:spacing w:val="-19"/>
          <w:w w:val="110"/>
        </w:rPr>
        <w:t> </w:t>
      </w:r>
      <w:r>
        <w:rPr>
          <w:w w:val="110"/>
        </w:rPr>
        <w:t>the</w:t>
      </w:r>
      <w:r>
        <w:rPr>
          <w:spacing w:val="-19"/>
          <w:w w:val="110"/>
        </w:rPr>
        <w:t> </w:t>
      </w:r>
      <w:r>
        <w:rPr>
          <w:w w:val="110"/>
        </w:rPr>
        <w:t>November</w:t>
      </w:r>
      <w:r>
        <w:rPr>
          <w:spacing w:val="-19"/>
          <w:w w:val="110"/>
        </w:rPr>
        <w:t> </w:t>
      </w:r>
      <w:r>
        <w:rPr>
          <w:i/>
          <w:w w:val="110"/>
        </w:rPr>
        <w:t>Report</w:t>
      </w:r>
      <w:r>
        <w:rPr>
          <w:w w:val="110"/>
        </w:rPr>
        <w:t>:</w:t>
      </w:r>
      <w:r>
        <w:rPr>
          <w:spacing w:val="18"/>
          <w:w w:val="110"/>
        </w:rPr>
        <w:t> </w:t>
      </w:r>
      <w:r>
        <w:rPr>
          <w:w w:val="110"/>
        </w:rPr>
        <w:t>oil</w:t>
      </w:r>
      <w:r>
        <w:rPr>
          <w:spacing w:val="-19"/>
          <w:w w:val="110"/>
        </w:rPr>
        <w:t> </w:t>
      </w:r>
      <w:r>
        <w:rPr>
          <w:w w:val="110"/>
        </w:rPr>
        <w:t>prices </w:t>
      </w:r>
      <w:r>
        <w:rPr>
          <w:spacing w:val="-3"/>
          <w:w w:val="110"/>
        </w:rPr>
        <w:t>have </w:t>
      </w:r>
      <w:r>
        <w:rPr>
          <w:w w:val="110"/>
        </w:rPr>
        <w:t>fallen, and estimates of real </w:t>
      </w:r>
      <w:r>
        <w:rPr>
          <w:spacing w:val="-4"/>
          <w:w w:val="110"/>
        </w:rPr>
        <w:t>risk-free </w:t>
      </w:r>
      <w:r>
        <w:rPr>
          <w:spacing w:val="-3"/>
          <w:w w:val="110"/>
        </w:rPr>
        <w:t>interest </w:t>
      </w:r>
      <w:r>
        <w:rPr>
          <w:spacing w:val="-4"/>
          <w:w w:val="110"/>
        </w:rPr>
        <w:t>rates </w:t>
      </w:r>
      <w:r>
        <w:rPr>
          <w:spacing w:val="-3"/>
          <w:w w:val="110"/>
        </w:rPr>
        <w:t>have </w:t>
      </w:r>
      <w:r>
        <w:rPr>
          <w:w w:val="110"/>
        </w:rPr>
        <w:t>declined </w:t>
      </w:r>
      <w:r>
        <w:rPr>
          <w:spacing w:val="-3"/>
          <w:w w:val="110"/>
        </w:rPr>
        <w:t>sharply, </w:t>
      </w:r>
      <w:r>
        <w:rPr>
          <w:w w:val="110"/>
        </w:rPr>
        <w:t>partly in anticipation of further cuts in official </w:t>
      </w:r>
      <w:r>
        <w:rPr>
          <w:spacing w:val="-3"/>
          <w:w w:val="110"/>
        </w:rPr>
        <w:t>interest </w:t>
      </w:r>
      <w:r>
        <w:rPr>
          <w:spacing w:val="-4"/>
          <w:w w:val="110"/>
        </w:rPr>
        <w:t>rates. </w:t>
      </w:r>
      <w:r>
        <w:rPr>
          <w:w w:val="110"/>
        </w:rPr>
        <w:t>Growth in UK export markets can be proxied </w:t>
      </w:r>
      <w:r>
        <w:rPr>
          <w:spacing w:val="-3"/>
          <w:w w:val="110"/>
        </w:rPr>
        <w:t>by </w:t>
      </w:r>
      <w:r>
        <w:rPr>
          <w:w w:val="110"/>
        </w:rPr>
        <w:t>the increase in UK </w:t>
      </w:r>
      <w:r>
        <w:rPr>
          <w:spacing w:val="-3"/>
          <w:w w:val="110"/>
        </w:rPr>
        <w:t>trade-weighted world </w:t>
      </w:r>
      <w:r>
        <w:rPr>
          <w:w w:val="110"/>
        </w:rPr>
        <w:t>import volumes. The weight of the euro area in this measure is </w:t>
      </w:r>
      <w:r>
        <w:rPr>
          <w:spacing w:val="-3"/>
          <w:w w:val="110"/>
        </w:rPr>
        <w:t>approximately </w:t>
      </w:r>
      <w:r>
        <w:rPr>
          <w:w w:val="110"/>
        </w:rPr>
        <w:t>three times that of the United </w:t>
      </w:r>
      <w:r>
        <w:rPr>
          <w:spacing w:val="-3"/>
          <w:w w:val="110"/>
        </w:rPr>
        <w:t>States. </w:t>
      </w:r>
      <w:r>
        <w:rPr>
          <w:w w:val="110"/>
        </w:rPr>
        <w:t>But UK export markets are projected </w:t>
      </w:r>
      <w:r>
        <w:rPr>
          <w:spacing w:val="-4"/>
          <w:w w:val="110"/>
        </w:rPr>
        <w:t>to </w:t>
      </w:r>
      <w:r>
        <w:rPr>
          <w:spacing w:val="-3"/>
          <w:w w:val="110"/>
        </w:rPr>
        <w:t>grow </w:t>
      </w:r>
      <w:r>
        <w:rPr>
          <w:w w:val="110"/>
        </w:rPr>
        <w:t>more </w:t>
      </w:r>
      <w:r>
        <w:rPr>
          <w:spacing w:val="-3"/>
          <w:w w:val="110"/>
        </w:rPr>
        <w:t>slowly </w:t>
      </w:r>
      <w:r>
        <w:rPr>
          <w:w w:val="110"/>
        </w:rPr>
        <w:t>than expected</w:t>
      </w:r>
      <w:r>
        <w:rPr>
          <w:spacing w:val="-17"/>
          <w:w w:val="110"/>
        </w:rPr>
        <w:t> </w:t>
      </w:r>
      <w:r>
        <w:rPr>
          <w:w w:val="110"/>
        </w:rPr>
        <w:t>in</w:t>
      </w:r>
      <w:r>
        <w:rPr>
          <w:spacing w:val="-16"/>
          <w:w w:val="110"/>
        </w:rPr>
        <w:t> </w:t>
      </w:r>
      <w:r>
        <w:rPr>
          <w:w w:val="110"/>
        </w:rPr>
        <w:t>November</w:t>
      </w:r>
      <w:r>
        <w:rPr>
          <w:spacing w:val="-17"/>
          <w:w w:val="110"/>
        </w:rPr>
        <w:t> </w:t>
      </w:r>
      <w:r>
        <w:rPr>
          <w:w w:val="110"/>
        </w:rPr>
        <w:t>and</w:t>
      </w:r>
      <w:r>
        <w:rPr>
          <w:spacing w:val="-16"/>
          <w:w w:val="110"/>
        </w:rPr>
        <w:t> </w:t>
      </w:r>
      <w:r>
        <w:rPr>
          <w:w w:val="110"/>
        </w:rPr>
        <w:t>the</w:t>
      </w:r>
      <w:r>
        <w:rPr>
          <w:spacing w:val="-17"/>
          <w:w w:val="110"/>
        </w:rPr>
        <w:t> </w:t>
      </w:r>
      <w:r>
        <w:rPr>
          <w:w w:val="110"/>
        </w:rPr>
        <w:t>MPC</w:t>
      </w:r>
      <w:r>
        <w:rPr>
          <w:spacing w:val="-16"/>
          <w:w w:val="110"/>
        </w:rPr>
        <w:t> </w:t>
      </w:r>
      <w:r>
        <w:rPr>
          <w:w w:val="110"/>
        </w:rPr>
        <w:t>judges</w:t>
      </w:r>
      <w:r>
        <w:rPr>
          <w:spacing w:val="-17"/>
          <w:w w:val="110"/>
        </w:rPr>
        <w:t> </w:t>
      </w:r>
      <w:r>
        <w:rPr>
          <w:w w:val="110"/>
        </w:rPr>
        <w:t>that</w:t>
      </w:r>
      <w:r>
        <w:rPr>
          <w:spacing w:val="-16"/>
          <w:w w:val="110"/>
        </w:rPr>
        <w:t> </w:t>
      </w:r>
      <w:r>
        <w:rPr>
          <w:w w:val="110"/>
        </w:rPr>
        <w:t>the</w:t>
      </w:r>
      <w:r>
        <w:rPr>
          <w:spacing w:val="-17"/>
          <w:w w:val="110"/>
        </w:rPr>
        <w:t> </w:t>
      </w:r>
      <w:r>
        <w:rPr>
          <w:w w:val="110"/>
        </w:rPr>
        <w:t>balance</w:t>
      </w:r>
      <w:r>
        <w:rPr>
          <w:spacing w:val="-16"/>
          <w:w w:val="110"/>
        </w:rPr>
        <w:t> </w:t>
      </w:r>
      <w:r>
        <w:rPr>
          <w:w w:val="110"/>
        </w:rPr>
        <w:t>of risks is firmly on the</w:t>
      </w:r>
      <w:r>
        <w:rPr>
          <w:spacing w:val="-37"/>
          <w:w w:val="110"/>
        </w:rPr>
        <w:t> </w:t>
      </w:r>
      <w:r>
        <w:rPr>
          <w:w w:val="110"/>
        </w:rPr>
        <w:t>downside.</w:t>
      </w:r>
    </w:p>
    <w:p>
      <w:pPr>
        <w:pStyle w:val="BodyText"/>
        <w:spacing w:before="2"/>
      </w:pPr>
    </w:p>
    <w:p>
      <w:pPr>
        <w:pStyle w:val="BodyText"/>
        <w:ind w:left="178"/>
      </w:pPr>
      <w:r>
        <w:rPr>
          <w:w w:val="105"/>
        </w:rPr>
        <w:t>Demand for UK exports depends on their relative price as well</w:t>
      </w:r>
    </w:p>
    <w:p>
      <w:pPr>
        <w:spacing w:after="0"/>
        <w:sectPr>
          <w:type w:val="continuous"/>
          <w:pgSz w:w="11900" w:h="16840"/>
          <w:pgMar w:top="1260" w:bottom="280" w:left="640" w:right="640"/>
          <w:cols w:num="2" w:equalWidth="0">
            <w:col w:w="4339" w:space="596"/>
            <w:col w:w="5685"/>
          </w:cols>
        </w:sectPr>
      </w:pPr>
    </w:p>
    <w:p>
      <w:pPr>
        <w:spacing w:line="208" w:lineRule="auto" w:before="0"/>
        <w:ind w:left="249" w:right="2802" w:hanging="71"/>
        <w:jc w:val="left"/>
        <w:rPr>
          <w:i/>
          <w:sz w:val="14"/>
        </w:rPr>
      </w:pPr>
      <w:r>
        <w:rPr/>
        <w:pict>
          <v:shape style="position:absolute;margin-left:128.283997pt;margin-top:7.505736pt;width:123.15pt;height:77pt;mso-position-horizontal-relative:page;mso-position-vertical-relative:paragraph;z-index:159539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5"/>
                    <w:gridCol w:w="536"/>
                    <w:gridCol w:w="519"/>
                    <w:gridCol w:w="500"/>
                    <w:gridCol w:w="433"/>
                  </w:tblGrid>
                  <w:tr>
                    <w:trPr>
                      <w:trHeight w:val="140" w:hRule="atLeast"/>
                    </w:trPr>
                    <w:tc>
                      <w:tcPr>
                        <w:tcW w:w="475" w:type="dxa"/>
                      </w:tcPr>
                      <w:p>
                        <w:pPr>
                          <w:pStyle w:val="TableParagraph"/>
                          <w:spacing w:line="120" w:lineRule="exact"/>
                          <w:ind w:right="150"/>
                          <w:jc w:val="right"/>
                          <w:rPr>
                            <w:sz w:val="14"/>
                          </w:rPr>
                        </w:pPr>
                        <w:r>
                          <w:rPr>
                            <w:w w:val="120"/>
                            <w:sz w:val="14"/>
                          </w:rPr>
                          <w:t>12</w:t>
                        </w:r>
                      </w:p>
                    </w:tc>
                    <w:tc>
                      <w:tcPr>
                        <w:tcW w:w="536" w:type="dxa"/>
                      </w:tcPr>
                      <w:p>
                        <w:pPr>
                          <w:pStyle w:val="TableParagraph"/>
                          <w:spacing w:line="120" w:lineRule="exact"/>
                          <w:ind w:left="235" w:right="90"/>
                          <w:jc w:val="center"/>
                          <w:rPr>
                            <w:sz w:val="14"/>
                          </w:rPr>
                        </w:pPr>
                        <w:r>
                          <w:rPr>
                            <w:w w:val="120"/>
                            <w:sz w:val="14"/>
                          </w:rPr>
                          <w:t>10</w:t>
                        </w:r>
                      </w:p>
                    </w:tc>
                    <w:tc>
                      <w:tcPr>
                        <w:tcW w:w="519" w:type="dxa"/>
                      </w:tcPr>
                      <w:p>
                        <w:pPr>
                          <w:pStyle w:val="TableParagraph"/>
                          <w:spacing w:line="120" w:lineRule="exact"/>
                          <w:ind w:right="147"/>
                          <w:jc w:val="right"/>
                          <w:rPr>
                            <w:sz w:val="14"/>
                          </w:rPr>
                        </w:pPr>
                        <w:r>
                          <w:rPr>
                            <w:w w:val="120"/>
                            <w:sz w:val="14"/>
                          </w:rPr>
                          <w:t>14</w:t>
                        </w:r>
                      </w:p>
                    </w:tc>
                    <w:tc>
                      <w:tcPr>
                        <w:tcW w:w="500" w:type="dxa"/>
                      </w:tcPr>
                      <w:p>
                        <w:pPr>
                          <w:pStyle w:val="TableParagraph"/>
                          <w:spacing w:line="120" w:lineRule="exact"/>
                          <w:ind w:right="127"/>
                          <w:jc w:val="right"/>
                          <w:rPr>
                            <w:sz w:val="14"/>
                          </w:rPr>
                        </w:pPr>
                        <w:r>
                          <w:rPr>
                            <w:w w:val="120"/>
                            <w:sz w:val="14"/>
                          </w:rPr>
                          <w:t>14</w:t>
                        </w:r>
                      </w:p>
                    </w:tc>
                    <w:tc>
                      <w:tcPr>
                        <w:tcW w:w="433" w:type="dxa"/>
                      </w:tcPr>
                      <w:p>
                        <w:pPr>
                          <w:pStyle w:val="TableParagraph"/>
                          <w:spacing w:line="120" w:lineRule="exact"/>
                          <w:ind w:right="48"/>
                          <w:jc w:val="right"/>
                          <w:rPr>
                            <w:sz w:val="14"/>
                          </w:rPr>
                        </w:pPr>
                        <w:r>
                          <w:rPr>
                            <w:w w:val="120"/>
                            <w:sz w:val="14"/>
                          </w:rPr>
                          <w:t>13</w:t>
                        </w:r>
                      </w:p>
                    </w:tc>
                  </w:tr>
                  <w:tr>
                    <w:trPr>
                      <w:trHeight w:val="210" w:hRule="atLeast"/>
                    </w:trPr>
                    <w:tc>
                      <w:tcPr>
                        <w:tcW w:w="475" w:type="dxa"/>
                      </w:tcPr>
                      <w:p>
                        <w:pPr>
                          <w:pStyle w:val="TableParagraph"/>
                          <w:spacing w:line="134" w:lineRule="exact"/>
                          <w:ind w:right="150"/>
                          <w:jc w:val="right"/>
                          <w:rPr>
                            <w:sz w:val="14"/>
                          </w:rPr>
                        </w:pPr>
                        <w:r>
                          <w:rPr>
                            <w:w w:val="121"/>
                            <w:sz w:val="14"/>
                          </w:rPr>
                          <w:t>9</w:t>
                        </w:r>
                      </w:p>
                    </w:tc>
                    <w:tc>
                      <w:tcPr>
                        <w:tcW w:w="536" w:type="dxa"/>
                      </w:tcPr>
                      <w:p>
                        <w:pPr>
                          <w:pStyle w:val="TableParagraph"/>
                          <w:spacing w:line="134" w:lineRule="exact"/>
                          <w:ind w:left="214"/>
                          <w:jc w:val="center"/>
                          <w:rPr>
                            <w:sz w:val="14"/>
                          </w:rPr>
                        </w:pPr>
                        <w:r>
                          <w:rPr>
                            <w:w w:val="121"/>
                            <w:sz w:val="14"/>
                          </w:rPr>
                          <w:t>8</w:t>
                        </w:r>
                      </w:p>
                    </w:tc>
                    <w:tc>
                      <w:tcPr>
                        <w:tcW w:w="519" w:type="dxa"/>
                      </w:tcPr>
                      <w:p>
                        <w:pPr>
                          <w:pStyle w:val="TableParagraph"/>
                          <w:spacing w:line="134" w:lineRule="exact"/>
                          <w:ind w:right="125"/>
                          <w:jc w:val="right"/>
                          <w:rPr>
                            <w:sz w:val="14"/>
                          </w:rPr>
                        </w:pPr>
                        <w:r>
                          <w:rPr>
                            <w:w w:val="110"/>
                            <w:sz w:val="14"/>
                          </w:rPr>
                          <w:t>-7</w:t>
                        </w:r>
                      </w:p>
                    </w:tc>
                    <w:tc>
                      <w:tcPr>
                        <w:tcW w:w="500" w:type="dxa"/>
                      </w:tcPr>
                      <w:p>
                        <w:pPr>
                          <w:pStyle w:val="TableParagraph"/>
                          <w:spacing w:line="134" w:lineRule="exact"/>
                          <w:ind w:right="105"/>
                          <w:jc w:val="right"/>
                          <w:rPr>
                            <w:sz w:val="14"/>
                          </w:rPr>
                        </w:pPr>
                        <w:r>
                          <w:rPr>
                            <w:w w:val="121"/>
                            <w:sz w:val="14"/>
                          </w:rPr>
                          <w:t>7</w:t>
                        </w:r>
                      </w:p>
                    </w:tc>
                    <w:tc>
                      <w:tcPr>
                        <w:tcW w:w="433" w:type="dxa"/>
                      </w:tcPr>
                      <w:p>
                        <w:pPr>
                          <w:pStyle w:val="TableParagraph"/>
                          <w:spacing w:line="134" w:lineRule="exact"/>
                          <w:ind w:right="48"/>
                          <w:jc w:val="right"/>
                          <w:rPr>
                            <w:sz w:val="14"/>
                          </w:rPr>
                        </w:pPr>
                        <w:r>
                          <w:rPr>
                            <w:w w:val="121"/>
                            <w:sz w:val="14"/>
                          </w:rPr>
                          <w:t>0</w:t>
                        </w:r>
                      </w:p>
                    </w:tc>
                  </w:tr>
                  <w:tr>
                    <w:trPr>
                      <w:trHeight w:val="280" w:hRule="atLeast"/>
                    </w:trPr>
                    <w:tc>
                      <w:tcPr>
                        <w:tcW w:w="475" w:type="dxa"/>
                      </w:tcPr>
                      <w:p>
                        <w:pPr>
                          <w:pStyle w:val="TableParagraph"/>
                          <w:spacing w:before="43"/>
                          <w:ind w:right="150"/>
                          <w:jc w:val="right"/>
                          <w:rPr>
                            <w:sz w:val="14"/>
                          </w:rPr>
                        </w:pPr>
                        <w:r>
                          <w:rPr>
                            <w:w w:val="115"/>
                            <w:sz w:val="14"/>
                          </w:rPr>
                          <w:t>49.7</w:t>
                        </w:r>
                      </w:p>
                    </w:tc>
                    <w:tc>
                      <w:tcPr>
                        <w:tcW w:w="536" w:type="dxa"/>
                      </w:tcPr>
                      <w:p>
                        <w:pPr>
                          <w:pStyle w:val="TableParagraph"/>
                          <w:spacing w:before="43"/>
                          <w:ind w:left="123" w:right="90"/>
                          <w:jc w:val="center"/>
                          <w:rPr>
                            <w:sz w:val="14"/>
                          </w:rPr>
                        </w:pPr>
                        <w:r>
                          <w:rPr>
                            <w:w w:val="115"/>
                            <w:sz w:val="14"/>
                          </w:rPr>
                          <w:t>51.9</w:t>
                        </w:r>
                      </w:p>
                    </w:tc>
                    <w:tc>
                      <w:tcPr>
                        <w:tcW w:w="519" w:type="dxa"/>
                      </w:tcPr>
                      <w:p>
                        <w:pPr>
                          <w:pStyle w:val="TableParagraph"/>
                          <w:spacing w:before="43"/>
                          <w:ind w:right="125"/>
                          <w:jc w:val="right"/>
                          <w:rPr>
                            <w:sz w:val="14"/>
                          </w:rPr>
                        </w:pPr>
                        <w:r>
                          <w:rPr>
                            <w:w w:val="115"/>
                            <w:sz w:val="14"/>
                          </w:rPr>
                          <w:t>48.8</w:t>
                        </w:r>
                      </w:p>
                    </w:tc>
                    <w:tc>
                      <w:tcPr>
                        <w:tcW w:w="500" w:type="dxa"/>
                      </w:tcPr>
                      <w:p>
                        <w:pPr>
                          <w:pStyle w:val="TableParagraph"/>
                          <w:spacing w:before="43"/>
                          <w:ind w:right="105"/>
                          <w:jc w:val="right"/>
                          <w:rPr>
                            <w:sz w:val="14"/>
                          </w:rPr>
                        </w:pPr>
                        <w:r>
                          <w:rPr>
                            <w:w w:val="115"/>
                            <w:sz w:val="14"/>
                          </w:rPr>
                          <w:t>51.0</w:t>
                        </w:r>
                      </w:p>
                    </w:tc>
                    <w:tc>
                      <w:tcPr>
                        <w:tcW w:w="433" w:type="dxa"/>
                      </w:tcPr>
                      <w:p>
                        <w:pPr>
                          <w:pStyle w:val="TableParagraph"/>
                          <w:spacing w:before="43"/>
                          <w:ind w:right="48"/>
                          <w:jc w:val="right"/>
                          <w:rPr>
                            <w:sz w:val="14"/>
                          </w:rPr>
                        </w:pPr>
                        <w:r>
                          <w:rPr>
                            <w:w w:val="115"/>
                            <w:sz w:val="14"/>
                          </w:rPr>
                          <w:t>50.7</w:t>
                        </w:r>
                      </w:p>
                    </w:tc>
                  </w:tr>
                  <w:tr>
                    <w:trPr>
                      <w:trHeight w:val="420" w:hRule="atLeast"/>
                    </w:trPr>
                    <w:tc>
                      <w:tcPr>
                        <w:tcW w:w="475" w:type="dxa"/>
                      </w:tcPr>
                      <w:p>
                        <w:pPr>
                          <w:pStyle w:val="TableParagraph"/>
                          <w:spacing w:before="43"/>
                          <w:ind w:right="150"/>
                          <w:jc w:val="right"/>
                          <w:rPr>
                            <w:sz w:val="14"/>
                          </w:rPr>
                        </w:pPr>
                        <w:r>
                          <w:rPr>
                            <w:w w:val="115"/>
                            <w:sz w:val="14"/>
                          </w:rPr>
                          <w:t>-13</w:t>
                        </w:r>
                      </w:p>
                    </w:tc>
                    <w:tc>
                      <w:tcPr>
                        <w:tcW w:w="536" w:type="dxa"/>
                      </w:tcPr>
                      <w:p>
                        <w:pPr>
                          <w:pStyle w:val="TableParagraph"/>
                          <w:spacing w:before="43"/>
                          <w:ind w:left="236" w:right="72"/>
                          <w:jc w:val="center"/>
                          <w:rPr>
                            <w:sz w:val="14"/>
                          </w:rPr>
                        </w:pPr>
                        <w:r>
                          <w:rPr>
                            <w:w w:val="115"/>
                            <w:sz w:val="14"/>
                          </w:rPr>
                          <w:t>-8</w:t>
                        </w:r>
                      </w:p>
                    </w:tc>
                    <w:tc>
                      <w:tcPr>
                        <w:tcW w:w="519" w:type="dxa"/>
                      </w:tcPr>
                      <w:p>
                        <w:pPr>
                          <w:pStyle w:val="TableParagraph"/>
                          <w:spacing w:before="43"/>
                          <w:ind w:right="125"/>
                          <w:jc w:val="right"/>
                          <w:rPr>
                            <w:sz w:val="14"/>
                          </w:rPr>
                        </w:pPr>
                        <w:r>
                          <w:rPr>
                            <w:w w:val="115"/>
                            <w:sz w:val="14"/>
                          </w:rPr>
                          <w:t>-18</w:t>
                        </w:r>
                      </w:p>
                    </w:tc>
                    <w:tc>
                      <w:tcPr>
                        <w:tcW w:w="500" w:type="dxa"/>
                      </w:tcPr>
                      <w:p>
                        <w:pPr>
                          <w:pStyle w:val="TableParagraph"/>
                          <w:spacing w:before="43"/>
                          <w:ind w:right="105"/>
                          <w:jc w:val="right"/>
                          <w:rPr>
                            <w:sz w:val="14"/>
                          </w:rPr>
                        </w:pPr>
                        <w:r>
                          <w:rPr>
                            <w:w w:val="115"/>
                            <w:sz w:val="14"/>
                          </w:rPr>
                          <w:t>-11</w:t>
                        </w:r>
                      </w:p>
                    </w:tc>
                    <w:tc>
                      <w:tcPr>
                        <w:tcW w:w="433" w:type="dxa"/>
                      </w:tcPr>
                      <w:p>
                        <w:pPr>
                          <w:pStyle w:val="TableParagraph"/>
                          <w:spacing w:before="43"/>
                          <w:ind w:right="48"/>
                          <w:jc w:val="right"/>
                          <w:rPr>
                            <w:sz w:val="14"/>
                          </w:rPr>
                        </w:pPr>
                        <w:r>
                          <w:rPr>
                            <w:w w:val="110"/>
                            <w:sz w:val="14"/>
                          </w:rPr>
                          <w:t>-1</w:t>
                        </w:r>
                      </w:p>
                    </w:tc>
                  </w:tr>
                  <w:tr>
                    <w:trPr>
                      <w:trHeight w:val="350" w:hRule="atLeast"/>
                    </w:trPr>
                    <w:tc>
                      <w:tcPr>
                        <w:tcW w:w="475" w:type="dxa"/>
                      </w:tcPr>
                      <w:p>
                        <w:pPr>
                          <w:pStyle w:val="TableParagraph"/>
                          <w:spacing w:before="10"/>
                          <w:rPr>
                            <w:sz w:val="15"/>
                          </w:rPr>
                        </w:pPr>
                      </w:p>
                      <w:p>
                        <w:pPr>
                          <w:pStyle w:val="TableParagraph"/>
                          <w:spacing w:line="147" w:lineRule="exact"/>
                          <w:ind w:right="150"/>
                          <w:jc w:val="right"/>
                          <w:rPr>
                            <w:sz w:val="14"/>
                          </w:rPr>
                        </w:pPr>
                        <w:r>
                          <w:rPr>
                            <w:w w:val="120"/>
                            <w:sz w:val="14"/>
                          </w:rPr>
                          <w:t>32</w:t>
                        </w:r>
                      </w:p>
                    </w:tc>
                    <w:tc>
                      <w:tcPr>
                        <w:tcW w:w="536" w:type="dxa"/>
                      </w:tcPr>
                      <w:p>
                        <w:pPr>
                          <w:pStyle w:val="TableParagraph"/>
                          <w:spacing w:before="10"/>
                          <w:rPr>
                            <w:sz w:val="15"/>
                          </w:rPr>
                        </w:pPr>
                      </w:p>
                      <w:p>
                        <w:pPr>
                          <w:pStyle w:val="TableParagraph"/>
                          <w:spacing w:line="147" w:lineRule="exact"/>
                          <w:ind w:left="236" w:right="89"/>
                          <w:jc w:val="center"/>
                          <w:rPr>
                            <w:sz w:val="14"/>
                          </w:rPr>
                        </w:pPr>
                        <w:r>
                          <w:rPr>
                            <w:w w:val="120"/>
                            <w:sz w:val="14"/>
                          </w:rPr>
                          <w:t>38</w:t>
                        </w:r>
                      </w:p>
                    </w:tc>
                    <w:tc>
                      <w:tcPr>
                        <w:tcW w:w="519" w:type="dxa"/>
                      </w:tcPr>
                      <w:p>
                        <w:pPr>
                          <w:pStyle w:val="TableParagraph"/>
                          <w:spacing w:before="10"/>
                          <w:rPr>
                            <w:sz w:val="15"/>
                          </w:rPr>
                        </w:pPr>
                      </w:p>
                      <w:p>
                        <w:pPr>
                          <w:pStyle w:val="TableParagraph"/>
                          <w:spacing w:line="147" w:lineRule="exact"/>
                          <w:ind w:right="136"/>
                          <w:jc w:val="right"/>
                          <w:rPr>
                            <w:sz w:val="14"/>
                          </w:rPr>
                        </w:pPr>
                        <w:r>
                          <w:rPr>
                            <w:w w:val="120"/>
                            <w:sz w:val="14"/>
                          </w:rPr>
                          <w:t>34</w:t>
                        </w:r>
                      </w:p>
                    </w:tc>
                    <w:tc>
                      <w:tcPr>
                        <w:tcW w:w="500" w:type="dxa"/>
                      </w:tcPr>
                      <w:p>
                        <w:pPr>
                          <w:pStyle w:val="TableParagraph"/>
                          <w:spacing w:before="10"/>
                          <w:rPr>
                            <w:sz w:val="15"/>
                          </w:rPr>
                        </w:pPr>
                      </w:p>
                      <w:p>
                        <w:pPr>
                          <w:pStyle w:val="TableParagraph"/>
                          <w:spacing w:line="147" w:lineRule="exact"/>
                          <w:ind w:right="116"/>
                          <w:jc w:val="right"/>
                          <w:rPr>
                            <w:sz w:val="14"/>
                          </w:rPr>
                        </w:pPr>
                        <w:r>
                          <w:rPr>
                            <w:w w:val="120"/>
                            <w:sz w:val="14"/>
                          </w:rPr>
                          <w:t>34</w:t>
                        </w:r>
                      </w:p>
                    </w:tc>
                    <w:tc>
                      <w:tcPr>
                        <w:tcW w:w="433" w:type="dxa"/>
                      </w:tcPr>
                      <w:p>
                        <w:pPr>
                          <w:pStyle w:val="TableParagraph"/>
                          <w:spacing w:before="10"/>
                          <w:rPr>
                            <w:sz w:val="15"/>
                          </w:rPr>
                        </w:pPr>
                      </w:p>
                      <w:p>
                        <w:pPr>
                          <w:pStyle w:val="TableParagraph"/>
                          <w:spacing w:line="147" w:lineRule="exact"/>
                          <w:ind w:right="48"/>
                          <w:jc w:val="right"/>
                          <w:rPr>
                            <w:sz w:val="14"/>
                          </w:rPr>
                        </w:pPr>
                        <w:r>
                          <w:rPr>
                            <w:w w:val="120"/>
                            <w:sz w:val="14"/>
                          </w:rPr>
                          <w:t>32</w:t>
                        </w:r>
                      </w:p>
                    </w:tc>
                  </w:tr>
                  <w:tr>
                    <w:trPr>
                      <w:trHeight w:val="140" w:hRule="atLeast"/>
                    </w:trPr>
                    <w:tc>
                      <w:tcPr>
                        <w:tcW w:w="475" w:type="dxa"/>
                      </w:tcPr>
                      <w:p>
                        <w:pPr>
                          <w:pStyle w:val="TableParagraph"/>
                          <w:spacing w:line="120" w:lineRule="exact"/>
                          <w:ind w:right="150"/>
                          <w:jc w:val="right"/>
                          <w:rPr>
                            <w:sz w:val="14"/>
                          </w:rPr>
                        </w:pPr>
                        <w:r>
                          <w:rPr>
                            <w:w w:val="110"/>
                            <w:sz w:val="14"/>
                          </w:rPr>
                          <w:t>-1</w:t>
                        </w:r>
                      </w:p>
                    </w:tc>
                    <w:tc>
                      <w:tcPr>
                        <w:tcW w:w="536" w:type="dxa"/>
                      </w:tcPr>
                      <w:p>
                        <w:pPr>
                          <w:pStyle w:val="TableParagraph"/>
                          <w:spacing w:line="120" w:lineRule="exact"/>
                          <w:ind w:left="213"/>
                          <w:jc w:val="center"/>
                          <w:rPr>
                            <w:sz w:val="14"/>
                          </w:rPr>
                        </w:pPr>
                        <w:r>
                          <w:rPr>
                            <w:w w:val="121"/>
                            <w:sz w:val="14"/>
                          </w:rPr>
                          <w:t>0</w:t>
                        </w:r>
                      </w:p>
                    </w:tc>
                    <w:tc>
                      <w:tcPr>
                        <w:tcW w:w="519" w:type="dxa"/>
                      </w:tcPr>
                      <w:p>
                        <w:pPr>
                          <w:pStyle w:val="TableParagraph"/>
                          <w:spacing w:line="120" w:lineRule="exact"/>
                          <w:ind w:right="125"/>
                          <w:jc w:val="right"/>
                          <w:rPr>
                            <w:sz w:val="14"/>
                          </w:rPr>
                        </w:pPr>
                        <w:r>
                          <w:rPr>
                            <w:w w:val="115"/>
                            <w:sz w:val="14"/>
                          </w:rPr>
                          <w:t>-9</w:t>
                        </w:r>
                      </w:p>
                    </w:tc>
                    <w:tc>
                      <w:tcPr>
                        <w:tcW w:w="500" w:type="dxa"/>
                      </w:tcPr>
                      <w:p>
                        <w:pPr>
                          <w:pStyle w:val="TableParagraph"/>
                          <w:spacing w:line="120" w:lineRule="exact"/>
                          <w:ind w:right="105"/>
                          <w:jc w:val="right"/>
                          <w:rPr>
                            <w:sz w:val="14"/>
                          </w:rPr>
                        </w:pPr>
                        <w:r>
                          <w:rPr>
                            <w:w w:val="121"/>
                            <w:sz w:val="14"/>
                          </w:rPr>
                          <w:t>1</w:t>
                        </w:r>
                      </w:p>
                    </w:tc>
                    <w:tc>
                      <w:tcPr>
                        <w:tcW w:w="433" w:type="dxa"/>
                      </w:tcPr>
                      <w:p>
                        <w:pPr>
                          <w:pStyle w:val="TableParagraph"/>
                          <w:spacing w:line="120" w:lineRule="exact"/>
                          <w:ind w:right="48"/>
                          <w:jc w:val="right"/>
                          <w:rPr>
                            <w:sz w:val="14"/>
                          </w:rPr>
                        </w:pPr>
                        <w:r>
                          <w:rPr>
                            <w:w w:val="121"/>
                            <w:sz w:val="14"/>
                          </w:rPr>
                          <w:t>3</w:t>
                        </w:r>
                      </w:p>
                    </w:tc>
                  </w:tr>
                </w:tbl>
                <w:p>
                  <w:pPr>
                    <w:pStyle w:val="BodyText"/>
                  </w:pPr>
                </w:p>
              </w:txbxContent>
            </v:textbox>
            <w10:wrap type="none"/>
          </v:shape>
        </w:pict>
      </w:r>
      <w:r>
        <w:rPr>
          <w:w w:val="105"/>
          <w:sz w:val="14"/>
        </w:rPr>
        <w:t>BCC export orders </w:t>
      </w:r>
      <w:r>
        <w:rPr>
          <w:i/>
          <w:w w:val="105"/>
          <w:sz w:val="14"/>
        </w:rPr>
        <w:t>Services </w:t>
      </w:r>
      <w:r>
        <w:rPr>
          <w:i/>
          <w:w w:val="105"/>
          <w:sz w:val="14"/>
        </w:rPr>
        <w:t>Manufacturing</w:t>
      </w:r>
    </w:p>
    <w:p>
      <w:pPr>
        <w:spacing w:line="133" w:lineRule="exact" w:before="0"/>
        <w:ind w:left="178" w:right="0" w:firstLine="0"/>
        <w:jc w:val="left"/>
        <w:rPr>
          <w:sz w:val="12"/>
        </w:rPr>
      </w:pPr>
      <w:r>
        <w:rPr>
          <w:w w:val="110"/>
          <w:sz w:val="14"/>
        </w:rPr>
        <w:t>CIPS export orders </w:t>
      </w:r>
      <w:r>
        <w:rPr>
          <w:w w:val="110"/>
          <w:sz w:val="12"/>
        </w:rPr>
        <w:t>(c)</w:t>
      </w:r>
    </w:p>
    <w:p>
      <w:pPr>
        <w:spacing w:line="140" w:lineRule="exact" w:before="0"/>
        <w:ind w:left="249" w:right="0" w:firstLine="0"/>
        <w:jc w:val="left"/>
        <w:rPr>
          <w:i/>
          <w:sz w:val="14"/>
        </w:rPr>
      </w:pPr>
      <w:r>
        <w:rPr>
          <w:i/>
          <w:w w:val="105"/>
          <w:sz w:val="14"/>
        </w:rPr>
        <w:t>Manufacturing</w:t>
      </w:r>
    </w:p>
    <w:p>
      <w:pPr>
        <w:spacing w:line="140" w:lineRule="exact" w:before="0"/>
        <w:ind w:left="178" w:right="0" w:firstLine="0"/>
        <w:jc w:val="left"/>
        <w:rPr>
          <w:sz w:val="14"/>
        </w:rPr>
      </w:pPr>
      <w:r>
        <w:rPr>
          <w:w w:val="110"/>
          <w:sz w:val="14"/>
        </w:rPr>
        <w:t>CBI industrial trends</w:t>
      </w:r>
    </w:p>
    <w:p>
      <w:pPr>
        <w:spacing w:line="140" w:lineRule="exact" w:before="0"/>
        <w:ind w:left="249" w:right="0" w:firstLine="0"/>
        <w:jc w:val="left"/>
        <w:rPr>
          <w:i/>
          <w:sz w:val="14"/>
        </w:rPr>
      </w:pPr>
      <w:r>
        <w:rPr>
          <w:i/>
          <w:w w:val="105"/>
          <w:sz w:val="14"/>
        </w:rPr>
        <w:t>Export orders</w:t>
      </w:r>
    </w:p>
    <w:p>
      <w:pPr>
        <w:spacing w:line="208" w:lineRule="auto" w:before="0"/>
        <w:ind w:left="213" w:right="2597" w:hanging="36"/>
        <w:jc w:val="left"/>
        <w:rPr>
          <w:sz w:val="14"/>
        </w:rPr>
      </w:pPr>
      <w:r>
        <w:rPr>
          <w:w w:val="105"/>
          <w:sz w:val="14"/>
        </w:rPr>
        <w:t>DHL manufacturing export </w:t>
      </w:r>
      <w:r>
        <w:rPr>
          <w:w w:val="110"/>
          <w:sz w:val="14"/>
        </w:rPr>
        <w:t>indicator</w:t>
      </w:r>
    </w:p>
    <w:p>
      <w:pPr>
        <w:spacing w:line="208" w:lineRule="auto" w:before="0"/>
        <w:ind w:left="284" w:right="2597" w:hanging="36"/>
        <w:jc w:val="left"/>
        <w:rPr>
          <w:i/>
          <w:sz w:val="14"/>
        </w:rPr>
      </w:pPr>
      <w:r>
        <w:rPr>
          <w:i/>
          <w:w w:val="110"/>
          <w:sz w:val="14"/>
        </w:rPr>
        <w:t>Export confidence, next </w:t>
      </w:r>
      <w:r>
        <w:rPr>
          <w:i/>
          <w:w w:val="110"/>
          <w:sz w:val="14"/>
        </w:rPr>
        <w:t>three months</w:t>
      </w:r>
    </w:p>
    <w:p>
      <w:pPr>
        <w:spacing w:line="144" w:lineRule="exact" w:before="0"/>
        <w:ind w:left="178" w:right="0" w:firstLine="0"/>
        <w:jc w:val="left"/>
        <w:rPr>
          <w:sz w:val="14"/>
        </w:rPr>
      </w:pPr>
      <w:r>
        <w:rPr>
          <w:w w:val="105"/>
          <w:sz w:val="14"/>
        </w:rPr>
        <w:t>EEF export orders</w:t>
      </w:r>
    </w:p>
    <w:p>
      <w:pPr>
        <w:spacing w:before="117"/>
        <w:ind w:left="178" w:right="0" w:firstLine="0"/>
        <w:jc w:val="left"/>
        <w:rPr>
          <w:sz w:val="12"/>
        </w:rPr>
      </w:pPr>
      <w:r>
        <w:rPr>
          <w:sz w:val="12"/>
        </w:rPr>
        <w:t>Sources: BCC, CIPS, CBI, DHL and EEF.</w:t>
      </w:r>
    </w:p>
    <w:p>
      <w:pPr>
        <w:pStyle w:val="BodyText"/>
        <w:spacing w:before="2"/>
        <w:rPr>
          <w:sz w:val="10"/>
        </w:rPr>
      </w:pPr>
    </w:p>
    <w:p>
      <w:pPr>
        <w:pStyle w:val="ListParagraph"/>
        <w:numPr>
          <w:ilvl w:val="0"/>
          <w:numId w:val="9"/>
        </w:numPr>
        <w:tabs>
          <w:tab w:pos="419" w:val="left" w:leader="none"/>
        </w:tabs>
        <w:spacing w:line="208" w:lineRule="auto" w:before="0" w:after="0"/>
        <w:ind w:left="418" w:right="38" w:hanging="240"/>
        <w:jc w:val="left"/>
        <w:rPr>
          <w:sz w:val="12"/>
        </w:rPr>
      </w:pPr>
      <w:r>
        <w:rPr>
          <w:w w:val="110"/>
          <w:sz w:val="12"/>
        </w:rPr>
        <w:t>Numbers</w:t>
      </w:r>
      <w:r>
        <w:rPr>
          <w:spacing w:val="-11"/>
          <w:w w:val="110"/>
          <w:sz w:val="12"/>
        </w:rPr>
        <w:t> </w:t>
      </w:r>
      <w:r>
        <w:rPr>
          <w:w w:val="110"/>
          <w:sz w:val="12"/>
        </w:rPr>
        <w:t>reported</w:t>
      </w:r>
      <w:r>
        <w:rPr>
          <w:spacing w:val="-11"/>
          <w:w w:val="110"/>
          <w:sz w:val="12"/>
        </w:rPr>
        <w:t> </w:t>
      </w:r>
      <w:r>
        <w:rPr>
          <w:w w:val="110"/>
          <w:sz w:val="12"/>
        </w:rPr>
        <w:t>are</w:t>
      </w:r>
      <w:r>
        <w:rPr>
          <w:spacing w:val="-11"/>
          <w:w w:val="110"/>
          <w:sz w:val="12"/>
        </w:rPr>
        <w:t> </w:t>
      </w:r>
      <w:r>
        <w:rPr>
          <w:w w:val="110"/>
          <w:sz w:val="12"/>
        </w:rPr>
        <w:t>percentage</w:t>
      </w:r>
      <w:r>
        <w:rPr>
          <w:spacing w:val="-11"/>
          <w:w w:val="110"/>
          <w:sz w:val="12"/>
        </w:rPr>
        <w:t> </w:t>
      </w:r>
      <w:r>
        <w:rPr>
          <w:w w:val="110"/>
          <w:sz w:val="12"/>
        </w:rPr>
        <w:t>balances</w:t>
      </w:r>
      <w:r>
        <w:rPr>
          <w:spacing w:val="-10"/>
          <w:w w:val="110"/>
          <w:sz w:val="12"/>
        </w:rPr>
        <w:t> </w:t>
      </w:r>
      <w:r>
        <w:rPr>
          <w:w w:val="110"/>
          <w:sz w:val="12"/>
        </w:rPr>
        <w:t>of</w:t>
      </w:r>
      <w:r>
        <w:rPr>
          <w:spacing w:val="-11"/>
          <w:w w:val="110"/>
          <w:sz w:val="12"/>
        </w:rPr>
        <w:t> </w:t>
      </w:r>
      <w:r>
        <w:rPr>
          <w:w w:val="110"/>
          <w:sz w:val="12"/>
        </w:rPr>
        <w:t>respondents</w:t>
      </w:r>
      <w:r>
        <w:rPr>
          <w:spacing w:val="-11"/>
          <w:w w:val="110"/>
          <w:sz w:val="12"/>
        </w:rPr>
        <w:t> </w:t>
      </w:r>
      <w:r>
        <w:rPr>
          <w:w w:val="110"/>
          <w:sz w:val="12"/>
        </w:rPr>
        <w:t>reporting</w:t>
      </w:r>
      <w:r>
        <w:rPr>
          <w:spacing w:val="-11"/>
          <w:w w:val="110"/>
          <w:sz w:val="12"/>
        </w:rPr>
        <w:t> </w:t>
      </w:r>
      <w:r>
        <w:rPr>
          <w:w w:val="110"/>
          <w:sz w:val="12"/>
        </w:rPr>
        <w:t>‘higher’ relative to</w:t>
      </w:r>
      <w:r>
        <w:rPr>
          <w:spacing w:val="-8"/>
          <w:w w:val="110"/>
          <w:sz w:val="12"/>
        </w:rPr>
        <w:t> </w:t>
      </w:r>
      <w:r>
        <w:rPr>
          <w:spacing w:val="-4"/>
          <w:w w:val="110"/>
          <w:sz w:val="12"/>
        </w:rPr>
        <w:t>‘lower’.</w:t>
      </w:r>
    </w:p>
    <w:p>
      <w:pPr>
        <w:pStyle w:val="ListParagraph"/>
        <w:numPr>
          <w:ilvl w:val="0"/>
          <w:numId w:val="9"/>
        </w:numPr>
        <w:tabs>
          <w:tab w:pos="419" w:val="left" w:leader="none"/>
        </w:tabs>
        <w:spacing w:line="208" w:lineRule="auto" w:before="0" w:after="0"/>
        <w:ind w:left="418" w:right="476" w:hanging="240"/>
        <w:jc w:val="left"/>
        <w:rPr>
          <w:sz w:val="12"/>
        </w:rPr>
      </w:pPr>
      <w:r>
        <w:rPr>
          <w:w w:val="110"/>
          <w:sz w:val="12"/>
        </w:rPr>
        <w:t>BCC</w:t>
      </w:r>
      <w:r>
        <w:rPr>
          <w:spacing w:val="-9"/>
          <w:w w:val="110"/>
          <w:sz w:val="12"/>
        </w:rPr>
        <w:t> </w:t>
      </w:r>
      <w:r>
        <w:rPr>
          <w:w w:val="110"/>
          <w:sz w:val="12"/>
        </w:rPr>
        <w:t>since</w:t>
      </w:r>
      <w:r>
        <w:rPr>
          <w:spacing w:val="-9"/>
          <w:w w:val="110"/>
          <w:sz w:val="12"/>
        </w:rPr>
        <w:t> </w:t>
      </w:r>
      <w:r>
        <w:rPr>
          <w:spacing w:val="-10"/>
          <w:w w:val="110"/>
          <w:sz w:val="12"/>
        </w:rPr>
        <w:t>1989;</w:t>
      </w:r>
      <w:r>
        <w:rPr>
          <w:spacing w:val="-7"/>
          <w:w w:val="110"/>
          <w:sz w:val="12"/>
        </w:rPr>
        <w:t> </w:t>
      </w:r>
      <w:r>
        <w:rPr>
          <w:w w:val="110"/>
          <w:sz w:val="12"/>
        </w:rPr>
        <w:t>CIPS</w:t>
      </w:r>
      <w:r>
        <w:rPr>
          <w:spacing w:val="-9"/>
          <w:w w:val="110"/>
          <w:sz w:val="12"/>
        </w:rPr>
        <w:t> </w:t>
      </w:r>
      <w:r>
        <w:rPr>
          <w:w w:val="110"/>
          <w:sz w:val="12"/>
        </w:rPr>
        <w:t>since</w:t>
      </w:r>
      <w:r>
        <w:rPr>
          <w:spacing w:val="-9"/>
          <w:w w:val="110"/>
          <w:sz w:val="12"/>
        </w:rPr>
        <w:t> </w:t>
      </w:r>
      <w:r>
        <w:rPr>
          <w:spacing w:val="-8"/>
          <w:w w:val="110"/>
          <w:sz w:val="12"/>
        </w:rPr>
        <w:t>1996;</w:t>
      </w:r>
      <w:r>
        <w:rPr>
          <w:spacing w:val="16"/>
          <w:w w:val="110"/>
          <w:sz w:val="12"/>
        </w:rPr>
        <w:t> </w:t>
      </w:r>
      <w:r>
        <w:rPr>
          <w:w w:val="110"/>
          <w:sz w:val="12"/>
        </w:rPr>
        <w:t>CBI</w:t>
      </w:r>
      <w:r>
        <w:rPr>
          <w:spacing w:val="-9"/>
          <w:w w:val="110"/>
          <w:sz w:val="12"/>
        </w:rPr>
        <w:t> </w:t>
      </w:r>
      <w:r>
        <w:rPr>
          <w:w w:val="110"/>
          <w:sz w:val="12"/>
        </w:rPr>
        <w:t>since</w:t>
      </w:r>
      <w:r>
        <w:rPr>
          <w:spacing w:val="-9"/>
          <w:w w:val="110"/>
          <w:sz w:val="12"/>
        </w:rPr>
        <w:t> </w:t>
      </w:r>
      <w:r>
        <w:rPr>
          <w:spacing w:val="-11"/>
          <w:w w:val="110"/>
          <w:sz w:val="12"/>
        </w:rPr>
        <w:t>1975;</w:t>
      </w:r>
      <w:r>
        <w:rPr>
          <w:spacing w:val="-6"/>
          <w:w w:val="110"/>
          <w:sz w:val="12"/>
        </w:rPr>
        <w:t> </w:t>
      </w:r>
      <w:r>
        <w:rPr>
          <w:w w:val="110"/>
          <w:sz w:val="12"/>
        </w:rPr>
        <w:t>DHL</w:t>
      </w:r>
      <w:r>
        <w:rPr>
          <w:spacing w:val="-9"/>
          <w:w w:val="110"/>
          <w:sz w:val="12"/>
        </w:rPr>
        <w:t> </w:t>
      </w:r>
      <w:r>
        <w:rPr>
          <w:w w:val="110"/>
          <w:sz w:val="12"/>
        </w:rPr>
        <w:t>since</w:t>
      </w:r>
      <w:r>
        <w:rPr>
          <w:spacing w:val="-8"/>
          <w:w w:val="110"/>
          <w:sz w:val="12"/>
        </w:rPr>
        <w:t> </w:t>
      </w:r>
      <w:r>
        <w:rPr>
          <w:spacing w:val="-9"/>
          <w:w w:val="110"/>
          <w:sz w:val="12"/>
        </w:rPr>
        <w:t>1993; </w:t>
      </w:r>
      <w:r>
        <w:rPr>
          <w:w w:val="110"/>
          <w:sz w:val="12"/>
        </w:rPr>
        <w:t>EEF since</w:t>
      </w:r>
      <w:r>
        <w:rPr>
          <w:spacing w:val="-7"/>
          <w:w w:val="110"/>
          <w:sz w:val="12"/>
        </w:rPr>
        <w:t> </w:t>
      </w:r>
      <w:r>
        <w:rPr>
          <w:spacing w:val="-9"/>
          <w:w w:val="110"/>
          <w:sz w:val="12"/>
        </w:rPr>
        <w:t>1994.</w:t>
      </w:r>
    </w:p>
    <w:p>
      <w:pPr>
        <w:pStyle w:val="ListParagraph"/>
        <w:numPr>
          <w:ilvl w:val="0"/>
          <w:numId w:val="9"/>
        </w:numPr>
        <w:tabs>
          <w:tab w:pos="419" w:val="left" w:leader="none"/>
        </w:tabs>
        <w:spacing w:line="208" w:lineRule="auto" w:before="0" w:after="0"/>
        <w:ind w:left="418" w:right="48" w:hanging="240"/>
        <w:jc w:val="left"/>
        <w:rPr>
          <w:sz w:val="12"/>
        </w:rPr>
      </w:pPr>
      <w:r>
        <w:rPr>
          <w:w w:val="105"/>
          <w:sz w:val="12"/>
        </w:rPr>
        <w:t>Average of seasonally adjusted monthly indices. A reading above </w:t>
      </w:r>
      <w:r>
        <w:rPr>
          <w:spacing w:val="-5"/>
          <w:w w:val="105"/>
          <w:sz w:val="12"/>
        </w:rPr>
        <w:t>50 </w:t>
      </w:r>
      <w:r>
        <w:rPr>
          <w:w w:val="105"/>
          <w:sz w:val="12"/>
        </w:rPr>
        <w:t>suggests expansion, a reading below </w:t>
      </w:r>
      <w:r>
        <w:rPr>
          <w:spacing w:val="-5"/>
          <w:w w:val="105"/>
          <w:sz w:val="12"/>
        </w:rPr>
        <w:t>50 </w:t>
      </w:r>
      <w:r>
        <w:rPr>
          <w:w w:val="105"/>
          <w:sz w:val="12"/>
        </w:rPr>
        <w:t>suggests</w:t>
      </w:r>
      <w:r>
        <w:rPr>
          <w:spacing w:val="-1"/>
          <w:w w:val="105"/>
          <w:sz w:val="12"/>
        </w:rPr>
        <w:t> </w:t>
      </w:r>
      <w:r>
        <w:rPr>
          <w:w w:val="105"/>
          <w:sz w:val="12"/>
        </w:rPr>
        <w:t>contraction.</w:t>
      </w:r>
    </w:p>
    <w:p>
      <w:pPr>
        <w:pStyle w:val="BodyText"/>
        <w:spacing w:line="292" w:lineRule="auto" w:before="50"/>
        <w:ind w:left="178" w:right="151"/>
      </w:pPr>
      <w:r>
        <w:rPr/>
        <w:br w:type="column"/>
      </w:r>
      <w:r>
        <w:rPr>
          <w:w w:val="105"/>
        </w:rPr>
        <w:t>as the prospects for </w:t>
      </w:r>
      <w:r>
        <w:rPr>
          <w:spacing w:val="-3"/>
          <w:w w:val="105"/>
        </w:rPr>
        <w:t>world </w:t>
      </w:r>
      <w:r>
        <w:rPr>
          <w:w w:val="105"/>
        </w:rPr>
        <w:t>demand. The nominal </w:t>
      </w:r>
      <w:r>
        <w:rPr>
          <w:spacing w:val="-3"/>
          <w:w w:val="105"/>
        </w:rPr>
        <w:t>sterling </w:t>
      </w:r>
      <w:r>
        <w:rPr>
          <w:w w:val="105"/>
        </w:rPr>
        <w:t>effective exchange </w:t>
      </w:r>
      <w:r>
        <w:rPr>
          <w:spacing w:val="-4"/>
          <w:w w:val="105"/>
        </w:rPr>
        <w:t>rate  </w:t>
      </w:r>
      <w:r>
        <w:rPr>
          <w:w w:val="105"/>
        </w:rPr>
        <w:t>has depreciated </w:t>
      </w:r>
      <w:r>
        <w:rPr>
          <w:spacing w:val="-3"/>
          <w:w w:val="105"/>
        </w:rPr>
        <w:t>by </w:t>
      </w:r>
      <w:r>
        <w:rPr>
          <w:w w:val="105"/>
        </w:rPr>
        <w:t>around 3% since  the November </w:t>
      </w:r>
      <w:r>
        <w:rPr>
          <w:i/>
          <w:w w:val="105"/>
        </w:rPr>
        <w:t>Report</w:t>
      </w:r>
      <w:r>
        <w:rPr>
          <w:w w:val="105"/>
        </w:rPr>
        <w:t>, which will support export volumes. The combination of a depreciation against the euro area, the   United </w:t>
      </w:r>
      <w:r>
        <w:rPr>
          <w:spacing w:val="-3"/>
          <w:w w:val="105"/>
        </w:rPr>
        <w:t>Kingdom’s </w:t>
      </w:r>
      <w:r>
        <w:rPr>
          <w:w w:val="105"/>
        </w:rPr>
        <w:t>major export market, with an appreciation against the </w:t>
      </w:r>
      <w:r>
        <w:rPr>
          <w:spacing w:val="-3"/>
          <w:w w:val="105"/>
        </w:rPr>
        <w:t>dollar, </w:t>
      </w:r>
      <w:r>
        <w:rPr>
          <w:w w:val="105"/>
        </w:rPr>
        <w:t>in which </w:t>
      </w:r>
      <w:r>
        <w:rPr>
          <w:spacing w:val="-3"/>
          <w:w w:val="105"/>
        </w:rPr>
        <w:t>many </w:t>
      </w:r>
      <w:r>
        <w:rPr>
          <w:spacing w:val="-4"/>
          <w:w w:val="105"/>
        </w:rPr>
        <w:t>raw </w:t>
      </w:r>
      <w:r>
        <w:rPr>
          <w:w w:val="105"/>
        </w:rPr>
        <w:t>materials are priced, </w:t>
      </w:r>
      <w:r>
        <w:rPr>
          <w:spacing w:val="-3"/>
          <w:w w:val="105"/>
        </w:rPr>
        <w:t>may </w:t>
      </w:r>
      <w:r>
        <w:rPr>
          <w:w w:val="105"/>
        </w:rPr>
        <w:t>be particularly beneficial for UK exporters’ price competitiveness in the short run.   </w:t>
      </w:r>
      <w:r>
        <w:rPr>
          <w:spacing w:val="-3"/>
          <w:w w:val="105"/>
        </w:rPr>
        <w:t>Surveys  </w:t>
      </w:r>
      <w:r>
        <w:rPr>
          <w:w w:val="105"/>
        </w:rPr>
        <w:t>indicate resilience in export </w:t>
      </w:r>
      <w:r>
        <w:rPr>
          <w:spacing w:val="-3"/>
          <w:w w:val="105"/>
        </w:rPr>
        <w:t>orders </w:t>
      </w:r>
      <w:r>
        <w:rPr>
          <w:w w:val="105"/>
        </w:rPr>
        <w:t>in recent months (see </w:t>
      </w:r>
      <w:r>
        <w:rPr>
          <w:spacing w:val="-5"/>
          <w:w w:val="105"/>
        </w:rPr>
        <w:t>Table </w:t>
      </w:r>
      <w:r>
        <w:rPr>
          <w:w w:val="105"/>
        </w:rPr>
        <w:t>2.A). In </w:t>
      </w:r>
      <w:r>
        <w:rPr>
          <w:spacing w:val="-4"/>
          <w:w w:val="105"/>
        </w:rPr>
        <w:t>2000 </w:t>
      </w:r>
      <w:r>
        <w:rPr>
          <w:w w:val="105"/>
        </w:rPr>
        <w:t>Q3 export volumes of goods and services </w:t>
      </w:r>
      <w:r>
        <w:rPr>
          <w:spacing w:val="-3"/>
          <w:w w:val="105"/>
        </w:rPr>
        <w:t>were </w:t>
      </w:r>
      <w:r>
        <w:rPr>
          <w:w w:val="105"/>
        </w:rPr>
        <w:t>4.9% higher than</w:t>
      </w:r>
      <w:r>
        <w:rPr>
          <w:spacing w:val="39"/>
          <w:w w:val="105"/>
        </w:rPr>
        <w:t> </w:t>
      </w:r>
      <w:r>
        <w:rPr>
          <w:w w:val="105"/>
        </w:rPr>
        <w:t>a</w:t>
      </w:r>
    </w:p>
    <w:p>
      <w:pPr>
        <w:spacing w:after="0" w:line="292" w:lineRule="auto"/>
        <w:sectPr>
          <w:type w:val="continuous"/>
          <w:pgSz w:w="11900" w:h="16840"/>
          <w:pgMar w:top="1260" w:bottom="280" w:left="640" w:right="640"/>
          <w:cols w:num="2" w:equalWidth="0">
            <w:col w:w="4403" w:space="533"/>
            <w:col w:w="5684"/>
          </w:cols>
        </w:sectPr>
      </w:pPr>
    </w:p>
    <w:p>
      <w:pPr>
        <w:pStyle w:val="BodyText"/>
        <w:spacing w:before="5"/>
        <w:rPr>
          <w:sz w:val="11"/>
        </w:rPr>
      </w:pPr>
    </w:p>
    <w:p>
      <w:pPr>
        <w:pStyle w:val="Heading3"/>
        <w:spacing w:before="96"/>
        <w:ind w:left="58" w:firstLine="0"/>
        <w:jc w:val="center"/>
        <w:rPr>
          <w:u w:val="none"/>
        </w:rPr>
      </w:pPr>
      <w:bookmarkStart w:name="Recent global developments and the UK ec" w:id="42"/>
      <w:bookmarkEnd w:id="42"/>
      <w:r>
        <w:rPr>
          <w:b w:val="0"/>
          <w:u w:val="none"/>
        </w:rPr>
      </w:r>
      <w:bookmarkStart w:name="_bookmark19" w:id="43"/>
      <w:bookmarkEnd w:id="43"/>
      <w:r>
        <w:rPr>
          <w:b w:val="0"/>
          <w:u w:val="none"/>
        </w:rPr>
      </w:r>
      <w:bookmarkStart w:name="_bookmark20" w:id="44"/>
      <w:bookmarkEnd w:id="44"/>
      <w:r>
        <w:rPr>
          <w:b w:val="0"/>
          <w:u w:val="none"/>
        </w:rPr>
      </w:r>
      <w:r>
        <w:rPr>
          <w:color w:val="89C6DC"/>
          <w:u w:val="none"/>
        </w:rPr>
        <w:t>Recent global developments and the UK economy</w:t>
      </w:r>
    </w:p>
    <w:p>
      <w:pPr>
        <w:spacing w:after="0"/>
        <w:jc w:val="center"/>
        <w:sectPr>
          <w:headerReference w:type="even" r:id="rId92"/>
          <w:headerReference w:type="default" r:id="rId93"/>
          <w:footerReference w:type="even" r:id="rId94"/>
          <w:footerReference w:type="default" r:id="rId95"/>
          <w:pgSz w:w="11900" w:h="16840"/>
          <w:pgMar w:header="579" w:footer="575" w:top="760" w:bottom="760" w:left="640" w:right="640"/>
          <w:pgNumType w:start="18"/>
        </w:sectPr>
      </w:pPr>
    </w:p>
    <w:p>
      <w:pPr>
        <w:pStyle w:val="BodyText"/>
        <w:spacing w:line="249" w:lineRule="auto" w:before="84"/>
        <w:ind w:left="448" w:right="4"/>
      </w:pPr>
      <w:r>
        <w:rPr>
          <w:w w:val="105"/>
        </w:rPr>
        <w:t>World GDP prospects have weakened in recent months, as the US economy has slowed more sharply than expected. This box assesses the likely impact on the UK economy.</w:t>
      </w:r>
    </w:p>
    <w:p>
      <w:pPr>
        <w:pStyle w:val="BodyText"/>
        <w:spacing w:before="9"/>
        <w:rPr>
          <w:sz w:val="22"/>
        </w:rPr>
      </w:pPr>
    </w:p>
    <w:p>
      <w:pPr>
        <w:pStyle w:val="Heading6"/>
        <w:spacing w:line="247" w:lineRule="auto" w:before="1"/>
        <w:ind w:left="448" w:right="553"/>
      </w:pPr>
      <w:r>
        <w:rPr>
          <w:color w:val="89C6DC"/>
          <w:w w:val="95"/>
        </w:rPr>
        <w:t>International</w:t>
      </w:r>
      <w:r>
        <w:rPr>
          <w:color w:val="89C6DC"/>
          <w:spacing w:val="-29"/>
          <w:w w:val="95"/>
        </w:rPr>
        <w:t> </w:t>
      </w:r>
      <w:r>
        <w:rPr>
          <w:color w:val="89C6DC"/>
          <w:w w:val="95"/>
        </w:rPr>
        <w:t>transmission</w:t>
      </w:r>
      <w:r>
        <w:rPr>
          <w:color w:val="89C6DC"/>
          <w:spacing w:val="-28"/>
          <w:w w:val="95"/>
        </w:rPr>
        <w:t> </w:t>
      </w:r>
      <w:r>
        <w:rPr>
          <w:color w:val="89C6DC"/>
          <w:w w:val="95"/>
        </w:rPr>
        <w:t>channels</w:t>
      </w:r>
      <w:r>
        <w:rPr>
          <w:color w:val="89C6DC"/>
          <w:spacing w:val="-29"/>
          <w:w w:val="95"/>
        </w:rPr>
        <w:t> </w:t>
      </w:r>
      <w:r>
        <w:rPr>
          <w:color w:val="89C6DC"/>
          <w:w w:val="95"/>
        </w:rPr>
        <w:t>and</w:t>
      </w:r>
      <w:r>
        <w:rPr>
          <w:color w:val="89C6DC"/>
          <w:spacing w:val="-28"/>
          <w:w w:val="95"/>
        </w:rPr>
        <w:t> </w:t>
      </w:r>
      <w:r>
        <w:rPr>
          <w:color w:val="89C6DC"/>
          <w:w w:val="95"/>
        </w:rPr>
        <w:t>the</w:t>
      </w:r>
      <w:r>
        <w:rPr>
          <w:color w:val="89C6DC"/>
          <w:spacing w:val="-28"/>
          <w:w w:val="95"/>
        </w:rPr>
        <w:t> </w:t>
      </w:r>
      <w:r>
        <w:rPr>
          <w:color w:val="89C6DC"/>
          <w:w w:val="95"/>
        </w:rPr>
        <w:t>UK </w:t>
      </w:r>
      <w:r>
        <w:rPr>
          <w:color w:val="89C6DC"/>
        </w:rPr>
        <w:t>economy</w:t>
      </w:r>
    </w:p>
    <w:p>
      <w:pPr>
        <w:pStyle w:val="BodyText"/>
        <w:spacing w:line="249" w:lineRule="auto" w:before="122"/>
        <w:ind w:left="448"/>
      </w:pPr>
      <w:r>
        <w:rPr>
          <w:w w:val="105"/>
        </w:rPr>
        <w:t>For given </w:t>
      </w:r>
      <w:r>
        <w:rPr>
          <w:spacing w:val="-3"/>
          <w:w w:val="105"/>
        </w:rPr>
        <w:t>interest </w:t>
      </w:r>
      <w:r>
        <w:rPr>
          <w:spacing w:val="-4"/>
          <w:w w:val="105"/>
        </w:rPr>
        <w:t>rates </w:t>
      </w:r>
      <w:r>
        <w:rPr>
          <w:w w:val="105"/>
        </w:rPr>
        <w:t>and  </w:t>
      </w:r>
      <w:r>
        <w:rPr>
          <w:spacing w:val="-3"/>
          <w:w w:val="105"/>
        </w:rPr>
        <w:t>exchange  </w:t>
      </w:r>
      <w:r>
        <w:rPr>
          <w:spacing w:val="-4"/>
          <w:w w:val="105"/>
        </w:rPr>
        <w:t>rates,  </w:t>
      </w:r>
      <w:r>
        <w:rPr>
          <w:w w:val="105"/>
        </w:rPr>
        <w:t>a reduction in global growth reduces the demand for   UK goods relative </w:t>
      </w:r>
      <w:r>
        <w:rPr>
          <w:spacing w:val="-4"/>
          <w:w w:val="105"/>
        </w:rPr>
        <w:t>to </w:t>
      </w:r>
      <w:r>
        <w:rPr>
          <w:w w:val="105"/>
        </w:rPr>
        <w:t>supply capacity—and thereby </w:t>
      </w:r>
      <w:r>
        <w:rPr>
          <w:spacing w:val="-3"/>
          <w:w w:val="105"/>
        </w:rPr>
        <w:t>weakens </w:t>
      </w:r>
      <w:r>
        <w:rPr>
          <w:w w:val="105"/>
        </w:rPr>
        <w:t>inflationary </w:t>
      </w:r>
      <w:r>
        <w:rPr>
          <w:spacing w:val="-3"/>
          <w:w w:val="105"/>
        </w:rPr>
        <w:t>pressures.   </w:t>
      </w:r>
      <w:r>
        <w:rPr>
          <w:w w:val="105"/>
        </w:rPr>
        <w:t>A reduction in demand growth in the United </w:t>
      </w:r>
      <w:r>
        <w:rPr>
          <w:spacing w:val="-3"/>
          <w:w w:val="105"/>
        </w:rPr>
        <w:t>States </w:t>
      </w:r>
      <w:r>
        <w:rPr>
          <w:w w:val="105"/>
        </w:rPr>
        <w:t>will </w:t>
      </w:r>
      <w:r>
        <w:rPr>
          <w:spacing w:val="-3"/>
          <w:w w:val="105"/>
        </w:rPr>
        <w:t>lower </w:t>
      </w:r>
      <w:r>
        <w:rPr>
          <w:w w:val="105"/>
        </w:rPr>
        <w:t>exports from other countries and hence will spill </w:t>
      </w:r>
      <w:r>
        <w:rPr>
          <w:spacing w:val="-3"/>
          <w:w w:val="105"/>
        </w:rPr>
        <w:t>over </w:t>
      </w:r>
      <w:r>
        <w:rPr>
          <w:spacing w:val="-4"/>
          <w:w w:val="105"/>
        </w:rPr>
        <w:t>to </w:t>
      </w:r>
      <w:r>
        <w:rPr>
          <w:w w:val="105"/>
        </w:rPr>
        <w:t>the </w:t>
      </w:r>
      <w:r>
        <w:rPr>
          <w:spacing w:val="-3"/>
          <w:w w:val="105"/>
        </w:rPr>
        <w:t>rest </w:t>
      </w:r>
      <w:r>
        <w:rPr>
          <w:w w:val="105"/>
        </w:rPr>
        <w:t>of the world. UK activity will be affected not only </w:t>
      </w:r>
      <w:r>
        <w:rPr>
          <w:spacing w:val="-3"/>
          <w:w w:val="105"/>
        </w:rPr>
        <w:t>by </w:t>
      </w:r>
      <w:r>
        <w:rPr>
          <w:w w:val="105"/>
        </w:rPr>
        <w:t>the direct impact of lower demand for imports into the United </w:t>
      </w:r>
      <w:r>
        <w:rPr>
          <w:spacing w:val="-3"/>
          <w:w w:val="105"/>
        </w:rPr>
        <w:t>States, </w:t>
      </w:r>
      <w:r>
        <w:rPr>
          <w:w w:val="105"/>
        </w:rPr>
        <w:t>but also </w:t>
      </w:r>
      <w:r>
        <w:rPr>
          <w:spacing w:val="-3"/>
          <w:w w:val="105"/>
        </w:rPr>
        <w:t>by lower </w:t>
      </w:r>
      <w:r>
        <w:rPr>
          <w:w w:val="105"/>
        </w:rPr>
        <w:t>demand in other markets. Given UK trade </w:t>
      </w:r>
      <w:r>
        <w:rPr>
          <w:spacing w:val="-3"/>
          <w:w w:val="105"/>
        </w:rPr>
        <w:t>patterns, </w:t>
      </w:r>
      <w:r>
        <w:rPr>
          <w:w w:val="105"/>
        </w:rPr>
        <w:t>such influences are important (see </w:t>
      </w:r>
      <w:r>
        <w:rPr>
          <w:spacing w:val="-5"/>
          <w:w w:val="105"/>
        </w:rPr>
        <w:t>Table </w:t>
      </w:r>
      <w:r>
        <w:rPr>
          <w:w w:val="105"/>
        </w:rPr>
        <w:t>1).</w:t>
      </w:r>
    </w:p>
    <w:p>
      <w:pPr>
        <w:pStyle w:val="BodyText"/>
        <w:rPr>
          <w:sz w:val="21"/>
        </w:rPr>
      </w:pPr>
    </w:p>
    <w:p>
      <w:pPr>
        <w:pStyle w:val="Heading6"/>
        <w:ind w:left="438"/>
      </w:pPr>
      <w:r>
        <w:rPr>
          <w:color w:val="89C6DC"/>
          <w:spacing w:val="-15"/>
          <w:w w:val="81"/>
        </w:rPr>
        <w:t>T</w:t>
      </w:r>
      <w:r>
        <w:rPr>
          <w:color w:val="89C6DC"/>
          <w:spacing w:val="-1"/>
          <w:w w:val="93"/>
        </w:rPr>
        <w:t>a</w:t>
      </w:r>
      <w:r>
        <w:rPr>
          <w:color w:val="89C6DC"/>
          <w:spacing w:val="-1"/>
          <w:w w:val="91"/>
        </w:rPr>
        <w:t>bl</w:t>
      </w:r>
      <w:r>
        <w:rPr>
          <w:color w:val="89C6DC"/>
          <w:w w:val="91"/>
        </w:rPr>
        <w:t>e</w:t>
      </w:r>
      <w:r>
        <w:rPr>
          <w:color w:val="89C6DC"/>
          <w:spacing w:val="6"/>
        </w:rPr>
        <w:t> </w:t>
      </w:r>
      <w:r>
        <w:rPr>
          <w:smallCaps/>
          <w:color w:val="89C6DC"/>
          <w:w w:val="76"/>
        </w:rPr>
        <w:t>1</w:t>
      </w:r>
    </w:p>
    <w:p>
      <w:pPr>
        <w:spacing w:before="8"/>
        <w:ind w:left="438" w:right="0" w:firstLine="0"/>
        <w:jc w:val="left"/>
        <w:rPr>
          <w:rFonts w:ascii="Trebuchet MS"/>
          <w:b/>
          <w:sz w:val="20"/>
        </w:rPr>
      </w:pPr>
      <w:r>
        <w:rPr>
          <w:rFonts w:ascii="Trebuchet MS"/>
          <w:b/>
          <w:color w:val="89C6DC"/>
          <w:sz w:val="20"/>
        </w:rPr>
        <w:t>UK exports of goods and services by region</w:t>
      </w:r>
    </w:p>
    <w:p>
      <w:pPr>
        <w:spacing w:before="105"/>
        <w:ind w:left="438" w:right="0" w:firstLine="0"/>
        <w:jc w:val="left"/>
        <w:rPr>
          <w:sz w:val="14"/>
        </w:rPr>
      </w:pPr>
      <w:r>
        <w:rPr>
          <w:w w:val="110"/>
          <w:sz w:val="14"/>
        </w:rPr>
        <w:t>Per cent of GDP in 1999</w:t>
      </w:r>
    </w:p>
    <w:p>
      <w:pPr>
        <w:pStyle w:val="BodyText"/>
        <w:spacing w:before="9"/>
        <w:rPr>
          <w:sz w:val="11"/>
        </w:rPr>
      </w:pPr>
    </w:p>
    <w:p>
      <w:pPr>
        <w:tabs>
          <w:tab w:pos="1878" w:val="left" w:leader="none"/>
          <w:tab w:pos="2598" w:val="left" w:leader="none"/>
          <w:tab w:pos="3179" w:val="left" w:leader="none"/>
        </w:tabs>
        <w:spacing w:line="208" w:lineRule="auto" w:before="1"/>
        <w:ind w:left="1158" w:right="1327" w:firstLine="720"/>
        <w:jc w:val="left"/>
        <w:rPr>
          <w:sz w:val="14"/>
        </w:rPr>
      </w:pPr>
      <w:r>
        <w:rPr>
          <w:w w:val="105"/>
          <w:sz w:val="14"/>
        </w:rPr>
        <w:t>North</w:t>
        <w:tab/>
        <w:t>European Rest of </w:t>
      </w:r>
      <w:r>
        <w:rPr>
          <w:spacing w:val="-4"/>
          <w:w w:val="105"/>
          <w:sz w:val="14"/>
          <w:u w:val="single"/>
        </w:rPr>
        <w:t>Total</w:t>
      </w:r>
      <w:r>
        <w:rPr>
          <w:spacing w:val="-4"/>
          <w:w w:val="105"/>
          <w:sz w:val="14"/>
        </w:rPr>
        <w:tab/>
      </w:r>
      <w:r>
        <w:rPr>
          <w:w w:val="105"/>
          <w:sz w:val="14"/>
          <w:u w:val="single"/>
        </w:rPr>
        <w:t>America</w:t>
      </w:r>
      <w:r>
        <w:rPr>
          <w:w w:val="105"/>
          <w:sz w:val="14"/>
        </w:rPr>
        <w:tab/>
      </w:r>
      <w:r>
        <w:rPr>
          <w:w w:val="105"/>
          <w:sz w:val="14"/>
          <w:u w:val="single"/>
        </w:rPr>
        <w:t>Union</w:t>
        <w:tab/>
        <w:t>world</w:t>
      </w:r>
      <w:r>
        <w:rPr>
          <w:spacing w:val="-6"/>
          <w:sz w:val="14"/>
          <w:u w:val="single"/>
        </w:rPr>
        <w:t> </w:t>
      </w:r>
    </w:p>
    <w:p>
      <w:pPr>
        <w:pStyle w:val="BodyText"/>
        <w:spacing w:line="249" w:lineRule="auto" w:before="84"/>
        <w:ind w:left="438" w:right="470"/>
      </w:pPr>
      <w:r>
        <w:rPr/>
        <w:br w:type="column"/>
      </w:r>
      <w:r>
        <w:rPr>
          <w:w w:val="105"/>
        </w:rPr>
        <w:t>Financial markets </w:t>
      </w:r>
      <w:r>
        <w:rPr>
          <w:spacing w:val="-3"/>
          <w:w w:val="105"/>
        </w:rPr>
        <w:t>may play </w:t>
      </w:r>
      <w:r>
        <w:rPr>
          <w:w w:val="105"/>
        </w:rPr>
        <w:t>an important role in the transmission mechanism. US </w:t>
      </w:r>
      <w:r>
        <w:rPr>
          <w:spacing w:val="-3"/>
          <w:w w:val="105"/>
        </w:rPr>
        <w:t>equity </w:t>
      </w:r>
      <w:r>
        <w:rPr>
          <w:w w:val="105"/>
        </w:rPr>
        <w:t>prices </w:t>
      </w:r>
      <w:r>
        <w:rPr>
          <w:spacing w:val="-3"/>
          <w:w w:val="105"/>
        </w:rPr>
        <w:t>have </w:t>
      </w:r>
      <w:r>
        <w:rPr>
          <w:w w:val="105"/>
        </w:rPr>
        <w:t>fallen sharply since their peak in March </w:t>
      </w:r>
      <w:r>
        <w:rPr>
          <w:spacing w:val="-4"/>
          <w:w w:val="105"/>
        </w:rPr>
        <w:t>2000, </w:t>
      </w:r>
      <w:r>
        <w:rPr>
          <w:w w:val="105"/>
        </w:rPr>
        <w:t>particularly for high-technology firms. A fall in US equity prices reduces wealth and therefore the expenditure of both US and non-US residents holding these</w:t>
      </w:r>
      <w:r>
        <w:rPr>
          <w:spacing w:val="-5"/>
          <w:w w:val="105"/>
        </w:rPr>
        <w:t> </w:t>
      </w:r>
      <w:r>
        <w:rPr>
          <w:w w:val="105"/>
        </w:rPr>
        <w:t>assets.</w:t>
      </w:r>
    </w:p>
    <w:p>
      <w:pPr>
        <w:pStyle w:val="BodyText"/>
        <w:spacing w:line="249" w:lineRule="auto" w:before="5"/>
        <w:ind w:left="438" w:right="435"/>
      </w:pPr>
      <w:r>
        <w:rPr>
          <w:w w:val="105"/>
        </w:rPr>
        <w:t>US-owned firms </w:t>
      </w:r>
      <w:r>
        <w:rPr>
          <w:spacing w:val="-3"/>
          <w:w w:val="105"/>
        </w:rPr>
        <w:t>may </w:t>
      </w:r>
      <w:r>
        <w:rPr>
          <w:w w:val="105"/>
        </w:rPr>
        <w:t>rein back on </w:t>
      </w:r>
      <w:r>
        <w:rPr>
          <w:spacing w:val="-3"/>
          <w:w w:val="105"/>
        </w:rPr>
        <w:t>investment </w:t>
      </w:r>
      <w:r>
        <w:rPr>
          <w:w w:val="105"/>
        </w:rPr>
        <w:t>in other countries, including the United Kingdom, where they </w:t>
      </w:r>
      <w:r>
        <w:rPr>
          <w:spacing w:val="-3"/>
          <w:w w:val="105"/>
        </w:rPr>
        <w:t>have </w:t>
      </w:r>
      <w:r>
        <w:rPr>
          <w:w w:val="105"/>
        </w:rPr>
        <w:t>a significant presence. UK financial markets are highly </w:t>
      </w:r>
      <w:r>
        <w:rPr>
          <w:spacing w:val="-3"/>
          <w:w w:val="105"/>
        </w:rPr>
        <w:t>integrated </w:t>
      </w:r>
      <w:r>
        <w:rPr>
          <w:w w:val="105"/>
        </w:rPr>
        <w:t>within the global </w:t>
      </w:r>
      <w:r>
        <w:rPr>
          <w:spacing w:val="-4"/>
          <w:w w:val="105"/>
        </w:rPr>
        <w:t>economy, </w:t>
      </w:r>
      <w:r>
        <w:rPr>
          <w:w w:val="105"/>
        </w:rPr>
        <w:t>and around </w:t>
      </w:r>
      <w:r>
        <w:rPr>
          <w:spacing w:val="-8"/>
          <w:w w:val="105"/>
        </w:rPr>
        <w:t>25% </w:t>
      </w:r>
      <w:r>
        <w:rPr>
          <w:w w:val="105"/>
        </w:rPr>
        <w:t>of UK </w:t>
      </w:r>
      <w:r>
        <w:rPr>
          <w:spacing w:val="-3"/>
          <w:w w:val="105"/>
        </w:rPr>
        <w:t>overseas </w:t>
      </w:r>
      <w:r>
        <w:rPr>
          <w:w w:val="105"/>
        </w:rPr>
        <w:t>securities holdings are held in the United </w:t>
      </w:r>
      <w:r>
        <w:rPr>
          <w:spacing w:val="-3"/>
          <w:w w:val="105"/>
        </w:rPr>
        <w:t>States.   </w:t>
      </w:r>
      <w:r>
        <w:rPr>
          <w:w w:val="105"/>
        </w:rPr>
        <w:t>Furthermore, given the close integration of capital markets, </w:t>
      </w:r>
      <w:r>
        <w:rPr>
          <w:spacing w:val="-3"/>
          <w:w w:val="105"/>
        </w:rPr>
        <w:t>equity </w:t>
      </w:r>
      <w:r>
        <w:rPr>
          <w:w w:val="105"/>
        </w:rPr>
        <w:t>prices </w:t>
      </w:r>
      <w:r>
        <w:rPr>
          <w:spacing w:val="-3"/>
          <w:w w:val="105"/>
        </w:rPr>
        <w:t>have </w:t>
      </w:r>
      <w:r>
        <w:rPr>
          <w:w w:val="105"/>
        </w:rPr>
        <w:t>fallen in other countries, including in the United Kingdom (see Chart A). It is possible that activity in financial markets will fall if sentiment weakens. But it is important </w:t>
      </w:r>
      <w:r>
        <w:rPr>
          <w:spacing w:val="-4"/>
          <w:w w:val="105"/>
        </w:rPr>
        <w:t>to </w:t>
      </w:r>
      <w:r>
        <w:rPr>
          <w:w w:val="105"/>
        </w:rPr>
        <w:t>remember that, under the assumption that financial markets process information </w:t>
      </w:r>
      <w:r>
        <w:rPr>
          <w:spacing w:val="-3"/>
          <w:w w:val="105"/>
        </w:rPr>
        <w:t>efficiently, </w:t>
      </w:r>
      <w:r>
        <w:rPr>
          <w:w w:val="105"/>
        </w:rPr>
        <w:t>current asset prices will already fully embody news about recent developments and</w:t>
      </w:r>
      <w:r>
        <w:rPr>
          <w:spacing w:val="8"/>
          <w:w w:val="105"/>
        </w:rPr>
        <w:t> </w:t>
      </w:r>
      <w:r>
        <w:rPr>
          <w:w w:val="105"/>
        </w:rPr>
        <w:t>prospects.</w:t>
      </w:r>
    </w:p>
    <w:p>
      <w:pPr>
        <w:pStyle w:val="BodyText"/>
        <w:rPr>
          <w:sz w:val="23"/>
        </w:rPr>
      </w:pPr>
    </w:p>
    <w:p>
      <w:pPr>
        <w:pStyle w:val="Heading6"/>
        <w:ind w:left="448"/>
      </w:pPr>
      <w:r>
        <w:rPr>
          <w:color w:val="89C6DC"/>
        </w:rPr>
        <w:t>Chart A</w:t>
      </w:r>
    </w:p>
    <w:p>
      <w:pPr>
        <w:spacing w:before="8"/>
        <w:ind w:left="448" w:right="0" w:firstLine="0"/>
        <w:jc w:val="left"/>
        <w:rPr>
          <w:rFonts w:ascii="Trebuchet MS"/>
          <w:b/>
          <w:sz w:val="20"/>
        </w:rPr>
      </w:pPr>
      <w:r>
        <w:rPr>
          <w:rFonts w:ascii="Trebuchet MS"/>
          <w:b/>
          <w:color w:val="89C6DC"/>
          <w:sz w:val="20"/>
        </w:rPr>
        <w:t>US and UK equity prices</w:t>
      </w:r>
    </w:p>
    <w:p>
      <w:pPr>
        <w:spacing w:line="135" w:lineRule="exact" w:before="58"/>
        <w:ind w:left="0" w:right="1080" w:firstLine="0"/>
        <w:jc w:val="right"/>
        <w:rPr>
          <w:sz w:val="12"/>
        </w:rPr>
      </w:pPr>
      <w:r>
        <w:rPr>
          <w:w w:val="105"/>
          <w:sz w:val="12"/>
        </w:rPr>
        <w:t>Three-month moving average of </w:t>
      </w:r>
      <w:r>
        <w:rPr>
          <w:spacing w:val="3"/>
          <w:w w:val="105"/>
          <w:sz w:val="12"/>
        </w:rPr>
        <w:t> </w:t>
      </w:r>
      <w:r>
        <w:rPr>
          <w:w w:val="105"/>
          <w:sz w:val="12"/>
        </w:rPr>
        <w:t>percentage</w:t>
      </w:r>
    </w:p>
    <w:p>
      <w:pPr>
        <w:spacing w:line="114" w:lineRule="exact" w:before="0"/>
        <w:ind w:left="0" w:right="1084" w:firstLine="0"/>
        <w:jc w:val="right"/>
        <w:rPr>
          <w:sz w:val="12"/>
        </w:rPr>
      </w:pPr>
      <w:r>
        <w:rPr>
          <w:w w:val="110"/>
          <w:sz w:val="12"/>
        </w:rPr>
        <w:t>changes</w:t>
      </w:r>
      <w:r>
        <w:rPr>
          <w:spacing w:val="-7"/>
          <w:w w:val="110"/>
          <w:sz w:val="12"/>
        </w:rPr>
        <w:t> </w:t>
      </w:r>
      <w:r>
        <w:rPr>
          <w:w w:val="110"/>
          <w:sz w:val="12"/>
        </w:rPr>
        <w:t>on</w:t>
      </w:r>
      <w:r>
        <w:rPr>
          <w:spacing w:val="-7"/>
          <w:w w:val="110"/>
          <w:sz w:val="12"/>
        </w:rPr>
        <w:t> </w:t>
      </w:r>
      <w:r>
        <w:rPr>
          <w:w w:val="110"/>
          <w:sz w:val="12"/>
        </w:rPr>
        <w:t>a</w:t>
      </w:r>
      <w:r>
        <w:rPr>
          <w:spacing w:val="-7"/>
          <w:w w:val="110"/>
          <w:sz w:val="12"/>
        </w:rPr>
        <w:t> </w:t>
      </w:r>
      <w:r>
        <w:rPr>
          <w:w w:val="110"/>
          <w:sz w:val="12"/>
        </w:rPr>
        <w:t>year</w:t>
      </w:r>
      <w:r>
        <w:rPr>
          <w:spacing w:val="-7"/>
          <w:w w:val="110"/>
          <w:sz w:val="12"/>
        </w:rPr>
        <w:t> </w:t>
      </w:r>
      <w:r>
        <w:rPr>
          <w:w w:val="110"/>
          <w:sz w:val="12"/>
        </w:rPr>
        <w:t>earlier</w:t>
      </w:r>
    </w:p>
    <w:p>
      <w:pPr>
        <w:spacing w:after="0" w:line="114" w:lineRule="exact"/>
        <w:jc w:val="right"/>
        <w:rPr>
          <w:sz w:val="12"/>
        </w:rPr>
        <w:sectPr>
          <w:type w:val="continuous"/>
          <w:pgSz w:w="11900" w:h="16840"/>
          <w:pgMar w:top="1260" w:bottom="280" w:left="640" w:right="640"/>
          <w:cols w:num="2" w:equalWidth="0">
            <w:col w:w="5080" w:space="60"/>
            <w:col w:w="5480"/>
          </w:cols>
        </w:sectPr>
      </w:pPr>
    </w:p>
    <w:p>
      <w:pPr>
        <w:tabs>
          <w:tab w:pos="1878" w:val="left" w:leader="none"/>
          <w:tab w:pos="2598" w:val="left" w:leader="none"/>
          <w:tab w:pos="3318" w:val="left" w:leader="none"/>
        </w:tabs>
        <w:spacing w:before="122"/>
        <w:ind w:left="1158" w:right="0" w:firstLine="0"/>
        <w:jc w:val="left"/>
        <w:rPr>
          <w:sz w:val="14"/>
        </w:rPr>
      </w:pPr>
      <w:r>
        <w:rPr>
          <w:spacing w:val="-5"/>
          <w:w w:val="115"/>
          <w:sz w:val="14"/>
        </w:rPr>
        <w:t>25.9</w:t>
        <w:tab/>
      </w:r>
      <w:r>
        <w:rPr>
          <w:w w:val="115"/>
          <w:sz w:val="14"/>
        </w:rPr>
        <w:t>5.0</w:t>
        <w:tab/>
      </w:r>
      <w:r>
        <w:rPr>
          <w:spacing w:val="-8"/>
          <w:w w:val="115"/>
          <w:sz w:val="14"/>
        </w:rPr>
        <w:t>13.7</w:t>
        <w:tab/>
      </w:r>
      <w:r>
        <w:rPr>
          <w:spacing w:val="-9"/>
          <w:w w:val="115"/>
          <w:sz w:val="14"/>
        </w:rPr>
        <w:t>7.3</w:t>
      </w:r>
    </w:p>
    <w:p>
      <w:pPr>
        <w:pStyle w:val="BodyText"/>
        <w:rPr>
          <w:sz w:val="14"/>
        </w:rPr>
      </w:pPr>
    </w:p>
    <w:p>
      <w:pPr>
        <w:pStyle w:val="BodyText"/>
        <w:rPr>
          <w:sz w:val="14"/>
        </w:rPr>
      </w:pPr>
    </w:p>
    <w:p>
      <w:pPr>
        <w:pStyle w:val="BodyText"/>
        <w:spacing w:before="10"/>
        <w:rPr>
          <w:sz w:val="12"/>
        </w:rPr>
      </w:pPr>
    </w:p>
    <w:p>
      <w:pPr>
        <w:pStyle w:val="BodyText"/>
        <w:spacing w:line="249" w:lineRule="auto"/>
        <w:ind w:left="448" w:right="49"/>
      </w:pPr>
      <w:r>
        <w:rPr>
          <w:w w:val="105"/>
        </w:rPr>
        <w:t>A decline in global demand will reduce global inflationary pressure.  Commodity prices and the prices of manufactured goods and services will be </w:t>
      </w:r>
      <w:r>
        <w:rPr>
          <w:spacing w:val="-3"/>
          <w:w w:val="105"/>
        </w:rPr>
        <w:t>lower </w:t>
      </w:r>
      <w:r>
        <w:rPr>
          <w:w w:val="105"/>
        </w:rPr>
        <w:t>than otherwise, reducing the price of imports in the United Kingdom. </w:t>
      </w:r>
      <w:r>
        <w:rPr>
          <w:spacing w:val="-4"/>
          <w:w w:val="105"/>
        </w:rPr>
        <w:t>Weaker </w:t>
      </w:r>
      <w:r>
        <w:rPr>
          <w:w w:val="105"/>
        </w:rPr>
        <w:t>global demand </w:t>
      </w:r>
      <w:r>
        <w:rPr>
          <w:spacing w:val="-3"/>
          <w:w w:val="105"/>
        </w:rPr>
        <w:t>may</w:t>
      </w:r>
      <w:r>
        <w:rPr>
          <w:spacing w:val="-21"/>
          <w:w w:val="105"/>
        </w:rPr>
        <w:t> </w:t>
      </w:r>
      <w:r>
        <w:rPr>
          <w:w w:val="105"/>
        </w:rPr>
        <w:t>also</w:t>
      </w:r>
    </w:p>
    <w:p>
      <w:pPr>
        <w:pStyle w:val="BodyText"/>
        <w:rPr>
          <w:sz w:val="12"/>
        </w:rPr>
      </w:pPr>
      <w:r>
        <w:rPr/>
        <w:br w:type="column"/>
      </w:r>
      <w:r>
        <w:rPr>
          <w:sz w:val="12"/>
        </w:rPr>
      </w:r>
    </w:p>
    <w:p>
      <w:pPr>
        <w:spacing w:before="96"/>
        <w:ind w:left="448" w:right="0" w:firstLine="0"/>
        <w:jc w:val="left"/>
        <w:rPr>
          <w:sz w:val="12"/>
        </w:rPr>
      </w:pPr>
      <w:r>
        <w:rPr>
          <w:sz w:val="12"/>
        </w:rPr>
        <w:t>FTSE All-Share</w:t>
      </w:r>
    </w:p>
    <w:p>
      <w:pPr>
        <w:spacing w:line="100" w:lineRule="exact" w:before="0"/>
        <w:ind w:left="1255" w:right="887" w:firstLine="0"/>
        <w:jc w:val="center"/>
        <w:rPr>
          <w:sz w:val="12"/>
        </w:rPr>
      </w:pPr>
      <w:r>
        <w:rPr/>
        <w:br w:type="column"/>
      </w:r>
      <w:r>
        <w:rPr>
          <w:w w:val="120"/>
          <w:sz w:val="12"/>
        </w:rPr>
        <w:t>80</w:t>
      </w:r>
    </w:p>
    <w:p>
      <w:pPr>
        <w:pStyle w:val="BodyText"/>
        <w:rPr>
          <w:sz w:val="12"/>
        </w:rPr>
      </w:pPr>
    </w:p>
    <w:p>
      <w:pPr>
        <w:pStyle w:val="BodyText"/>
        <w:rPr>
          <w:sz w:val="12"/>
        </w:rPr>
      </w:pPr>
    </w:p>
    <w:p>
      <w:pPr>
        <w:spacing w:before="71"/>
        <w:ind w:left="1255" w:right="887" w:firstLine="0"/>
        <w:jc w:val="center"/>
        <w:rPr>
          <w:sz w:val="12"/>
        </w:rPr>
      </w:pPr>
      <w:r>
        <w:rPr>
          <w:w w:val="120"/>
          <w:sz w:val="12"/>
        </w:rPr>
        <w:t>60</w:t>
      </w:r>
    </w:p>
    <w:p>
      <w:pPr>
        <w:spacing w:before="90"/>
        <w:ind w:left="448" w:right="0" w:firstLine="0"/>
        <w:jc w:val="left"/>
        <w:rPr>
          <w:sz w:val="12"/>
        </w:rPr>
      </w:pPr>
      <w:r>
        <w:rPr>
          <w:w w:val="110"/>
          <w:sz w:val="12"/>
        </w:rPr>
        <w:t>S&amp;P 500</w:t>
      </w:r>
    </w:p>
    <w:p>
      <w:pPr>
        <w:pStyle w:val="BodyText"/>
        <w:spacing w:before="5"/>
        <w:rPr>
          <w:sz w:val="9"/>
        </w:rPr>
      </w:pPr>
    </w:p>
    <w:p>
      <w:pPr>
        <w:spacing w:before="0"/>
        <w:ind w:left="1255" w:right="887" w:firstLine="0"/>
        <w:jc w:val="center"/>
        <w:rPr>
          <w:sz w:val="12"/>
        </w:rPr>
      </w:pPr>
      <w:r>
        <w:rPr>
          <w:w w:val="120"/>
          <w:sz w:val="12"/>
        </w:rPr>
        <w:t>40</w:t>
      </w:r>
    </w:p>
    <w:p>
      <w:pPr>
        <w:pStyle w:val="BodyText"/>
        <w:rPr>
          <w:sz w:val="12"/>
        </w:rPr>
      </w:pPr>
    </w:p>
    <w:p>
      <w:pPr>
        <w:pStyle w:val="BodyText"/>
        <w:rPr>
          <w:sz w:val="12"/>
        </w:rPr>
      </w:pPr>
    </w:p>
    <w:p>
      <w:pPr>
        <w:spacing w:before="71"/>
        <w:ind w:left="1255" w:right="887" w:firstLine="0"/>
        <w:jc w:val="center"/>
        <w:rPr>
          <w:sz w:val="12"/>
        </w:rPr>
      </w:pPr>
      <w:r>
        <w:rPr>
          <w:w w:val="120"/>
          <w:sz w:val="12"/>
        </w:rPr>
        <w:t>20</w:t>
      </w:r>
    </w:p>
    <w:p>
      <w:pPr>
        <w:spacing w:before="90"/>
        <w:ind w:left="256" w:right="0" w:firstLine="0"/>
        <w:jc w:val="center"/>
        <w:rPr>
          <w:sz w:val="16"/>
        </w:rPr>
      </w:pPr>
      <w:r>
        <w:rPr>
          <w:w w:val="107"/>
          <w:sz w:val="16"/>
        </w:rPr>
        <w:t>+</w:t>
      </w:r>
    </w:p>
    <w:p>
      <w:pPr>
        <w:spacing w:after="0"/>
        <w:jc w:val="center"/>
        <w:rPr>
          <w:sz w:val="16"/>
        </w:rPr>
        <w:sectPr>
          <w:type w:val="continuous"/>
          <w:pgSz w:w="11900" w:h="16840"/>
          <w:pgMar w:top="1260" w:bottom="280" w:left="640" w:right="640"/>
          <w:cols w:num="3" w:equalWidth="0">
            <w:col w:w="5110" w:space="627"/>
            <w:col w:w="1248" w:space="1309"/>
            <w:col w:w="2326"/>
          </w:cols>
        </w:sectPr>
      </w:pPr>
    </w:p>
    <w:p>
      <w:pPr>
        <w:spacing w:line="43" w:lineRule="exact" w:before="0"/>
        <w:ind w:left="0" w:right="903" w:firstLine="0"/>
        <w:jc w:val="right"/>
        <w:rPr>
          <w:sz w:val="12"/>
        </w:rPr>
      </w:pPr>
      <w:r>
        <w:rPr>
          <w:w w:val="121"/>
          <w:sz w:val="12"/>
        </w:rPr>
        <w:t>0</w:t>
      </w:r>
    </w:p>
    <w:p>
      <w:pPr>
        <w:pStyle w:val="BodyText"/>
        <w:tabs>
          <w:tab w:pos="9550" w:val="left" w:leader="none"/>
        </w:tabs>
        <w:spacing w:line="192" w:lineRule="exact"/>
        <w:ind w:left="448"/>
        <w:rPr>
          <w:sz w:val="16"/>
        </w:rPr>
      </w:pPr>
      <w:r>
        <w:rPr>
          <w:w w:val="105"/>
        </w:rPr>
        <w:t>increase the competitive </w:t>
      </w:r>
      <w:r>
        <w:rPr>
          <w:spacing w:val="-3"/>
          <w:w w:val="105"/>
        </w:rPr>
        <w:t>pressure </w:t>
      </w:r>
      <w:r>
        <w:rPr>
          <w:w w:val="105"/>
        </w:rPr>
        <w:t>on UK</w:t>
      </w:r>
      <w:r>
        <w:rPr>
          <w:spacing w:val="50"/>
          <w:w w:val="105"/>
        </w:rPr>
        <w:t> </w:t>
      </w:r>
      <w:r>
        <w:rPr>
          <w:w w:val="105"/>
        </w:rPr>
        <w:t>producers</w:t>
      </w:r>
      <w:r>
        <w:rPr>
          <w:spacing w:val="8"/>
          <w:w w:val="105"/>
        </w:rPr>
        <w:t> </w:t>
      </w:r>
      <w:r>
        <w:rPr>
          <w:w w:val="105"/>
        </w:rPr>
        <w:t>in</w:t>
        <w:tab/>
      </w:r>
      <w:r>
        <w:rPr>
          <w:w w:val="105"/>
          <w:position w:val="2"/>
          <w:sz w:val="16"/>
        </w:rPr>
        <w:t>_</w:t>
      </w:r>
    </w:p>
    <w:p>
      <w:pPr>
        <w:pStyle w:val="BodyText"/>
        <w:spacing w:line="197" w:lineRule="exact" w:before="10"/>
        <w:ind w:left="448"/>
      </w:pPr>
      <w:r>
        <w:rPr>
          <w:w w:val="110"/>
        </w:rPr>
        <w:t>domestic and international markets.</w:t>
      </w:r>
    </w:p>
    <w:p>
      <w:pPr>
        <w:spacing w:line="115" w:lineRule="exact" w:before="0"/>
        <w:ind w:left="0" w:right="903" w:firstLine="0"/>
        <w:jc w:val="right"/>
        <w:rPr>
          <w:sz w:val="12"/>
        </w:rPr>
      </w:pPr>
      <w:r>
        <w:rPr>
          <w:w w:val="120"/>
          <w:sz w:val="12"/>
        </w:rPr>
        <w:t>20</w:t>
      </w:r>
    </w:p>
    <w:p>
      <w:pPr>
        <w:pStyle w:val="BodyText"/>
        <w:rPr>
          <w:sz w:val="11"/>
        </w:rPr>
      </w:pPr>
    </w:p>
    <w:p>
      <w:pPr>
        <w:spacing w:after="0"/>
        <w:rPr>
          <w:sz w:val="11"/>
        </w:rPr>
        <w:sectPr>
          <w:type w:val="continuous"/>
          <w:pgSz w:w="11900" w:h="16840"/>
          <w:pgMar w:top="1260" w:bottom="280" w:left="640" w:right="640"/>
        </w:sectPr>
      </w:pPr>
    </w:p>
    <w:p>
      <w:pPr>
        <w:pStyle w:val="BodyText"/>
        <w:spacing w:line="249" w:lineRule="auto" w:before="61"/>
        <w:ind w:left="448" w:right="52"/>
      </w:pPr>
      <w:r>
        <w:rPr/>
        <w:pict>
          <v:group style="position:absolute;margin-left:39.450001pt;margin-top:40pt;width:517pt;height:741pt;mso-position-horizontal-relative:page;mso-position-vertical-relative:page;z-index:-23375360" coordorigin="789,800" coordsize="10340,14820">
            <v:rect style="position:absolute;left:799;top:810;width:10320;height:14800" filled="true" fillcolor="#eff7f8" stroked="false">
              <v:fill type="solid"/>
            </v:rect>
            <v:rect style="position:absolute;left:799;top:810;width:10320;height:14800" filled="false" stroked="true" strokeweight="1pt" strokecolor="#006cb4">
              <v:stroke dashstyle="solid"/>
            </v:rect>
            <v:line style="position:absolute" from="6561,8135" to="6574,8462" stroked="true" strokeweight="1pt" strokecolor="#008360">
              <v:stroke dashstyle="solid"/>
            </v:line>
            <v:shape style="position:absolute;left:6580;top:8452;width:13;height:360" coordorigin="6580,8452" coordsize="13,360" path="m6580,8452l6580,8655m6593,8635l6593,8812e" filled="false" stroked="true" strokeweight="1.625pt" strokecolor="#008360">
              <v:path arrowok="t"/>
              <v:stroke dashstyle="solid"/>
            </v:shape>
            <v:shape style="position:absolute;left:6598;top:8802;width:23;height:50" coordorigin="6599,8802" coordsize="23,50" path="m6599,8802l6611,8805m6611,8802l6621,8852e" filled="false" stroked="true" strokeweight="1pt" strokecolor="#008360">
              <v:path arrowok="t"/>
              <v:stroke dashstyle="solid"/>
            </v:shape>
            <v:line style="position:absolute" from="6628,8842" to="6628,9092" stroked="true" strokeweight="1.625pt" strokecolor="#008360">
              <v:stroke dashstyle="solid"/>
            </v:line>
            <v:line style="position:absolute" from="6634,9082" to="6646,9410" stroked="true" strokeweight="1pt" strokecolor="#008360">
              <v:stroke dashstyle="solid"/>
            </v:line>
            <v:line style="position:absolute" from="6653,9400" to="6653,9567" stroked="true" strokeweight="1.625pt" strokecolor="#008360">
              <v:stroke dashstyle="solid"/>
            </v:line>
            <v:line style="position:absolute" from="6659,9557" to="6671,9545" stroked="true" strokeweight="1pt" strokecolor="#008360">
              <v:stroke dashstyle="solid"/>
            </v:line>
            <v:line style="position:absolute" from="6678,9377" to="6678,9555" stroked="true" strokeweight="1.625pt" strokecolor="#008360">
              <v:stroke dashstyle="solid"/>
            </v:line>
            <v:line style="position:absolute" from="6685,9242" to="6685,9397" stroked="true" strokeweight="1.125pt" strokecolor="#008360">
              <v:stroke dashstyle="solid"/>
            </v:line>
            <v:shape style="position:absolute;left:6683;top:9082;width:25;height:170" coordorigin="6684,9082" coordsize="25,170" path="m6684,9252l6696,9155m6696,9155l6709,9082e" filled="false" stroked="true" strokeweight="1pt" strokecolor="#008360">
              <v:path arrowok="t"/>
              <v:stroke dashstyle="solid"/>
            </v:shape>
            <v:line style="position:absolute" from="6715,8940" to="6715,9092" stroked="true" strokeweight="1.625pt" strokecolor="#008360">
              <v:stroke dashstyle="solid"/>
            </v:line>
            <v:line style="position:absolute" from="6734,8695" to="6734,8960" stroked="true" strokeweight="2.25pt" strokecolor="#008360">
              <v:stroke dashstyle="solid"/>
            </v:line>
            <v:line style="position:absolute" from="6753,8512" to="6753,8715" stroked="true" strokeweight="1.625pt" strokecolor="#008360">
              <v:stroke dashstyle="solid"/>
            </v:line>
            <v:shape style="position:absolute;left:6758;top:7672;width:23;height:850" coordorigin="6759,7672" coordsize="23,850" path="m6759,8522l6769,8170m6769,8170l6781,7672e" filled="false" stroked="true" strokeweight="1pt" strokecolor="#008360">
              <v:path arrowok="t"/>
              <v:stroke dashstyle="solid"/>
            </v:shape>
            <v:shape style="position:absolute;left:6771;top:7492;width:45;height:203" coordorigin="6771,7492" coordsize="45,203" path="m6816,7492l6804,7492,6784,7492,6771,7492,6771,7682,6784,7682,6784,7695,6816,7695,6816,7492xe" filled="true" fillcolor="#008360" stroked="false">
              <v:path arrowok="t"/>
              <v:fill type="solid"/>
            </v:shape>
            <v:shape style="position:absolute;left:6806;top:7684;width:25;height:900" coordorigin="6806,7685" coordsize="25,900" path="m6806,7685l6819,8195m6819,8195l6831,8585e" filled="false" stroked="true" strokeweight="1pt" strokecolor="#008360">
              <v:path arrowok="t"/>
              <v:stroke dashstyle="solid"/>
            </v:shape>
            <v:shape style="position:absolute;left:6821;top:8574;width:155;height:580" type="#_x0000_t75" stroked="false">
              <v:imagedata r:id="rId96" o:title=""/>
            </v:shape>
            <v:line style="position:absolute" from="6979,8512" to="6979,8947" stroked="true" strokeweight="2.25pt" strokecolor="#008360">
              <v:stroke dashstyle="solid"/>
            </v:line>
            <v:shape style="position:absolute;left:6991;top:8522;width:25;height:98" coordorigin="6991,8522" coordsize="25,98" path="m6991,8522l7004,8535m7004,8535l7016,8620e" filled="false" stroked="true" strokeweight="1pt" strokecolor="#008360">
              <v:path arrowok="t"/>
              <v:stroke dashstyle="solid"/>
            </v:shape>
            <v:shape style="position:absolute;left:7022;top:8609;width:13;height:373" coordorigin="7023,8610" coordsize="13,373" path="m7023,8610l7023,8862m7035,8842l7035,8982e" filled="false" stroked="true" strokeweight="1.625pt" strokecolor="#008360">
              <v:path arrowok="t"/>
              <v:stroke dashstyle="solid"/>
            </v:shape>
            <v:shape style="position:absolute;left:7041;top:8972;width:60;height:110" coordorigin="7041,8972" coordsize="60,110" path="m7041,8972l7054,9022m7054,9022l7064,9010m7064,9010l7066,9035m7064,9035l7076,9082m7076,9082l7089,9035m7089,9035l7101,8972e" filled="false" stroked="true" strokeweight="1pt" strokecolor="#008360">
              <v:path arrowok="t"/>
              <v:stroke dashstyle="solid"/>
            </v:shape>
            <v:shape style="position:absolute;left:7107;top:8962;width:13;height:338" coordorigin="7108,8962" coordsize="13,338" path="m7108,8962l7108,9105m7120,9085l7120,9300e" filled="false" stroked="true" strokeweight="1.625pt" strokecolor="#008360">
              <v:path arrowok="t"/>
              <v:stroke dashstyle="solid"/>
            </v:shape>
            <v:shape style="position:absolute;left:7116;top:9267;width:45;height:178" coordorigin="7116,9267" coordsize="45,178" path="m7161,9267l7129,9267,7129,9280,7116,9280,7116,9445,7129,9445,7149,9445,7161,9445,7161,9267xe" filled="true" fillcolor="#008360" stroked="false">
              <v:path arrowok="t"/>
              <v:fill type="solid"/>
            </v:shape>
            <v:shape style="position:absolute;left:7157;top:8864;width:13;height:423" coordorigin="7158,8865" coordsize="13,423" path="m7158,9025l7158,9287m7170,8865l7170,9045e" filled="false" stroked="true" strokeweight="1.625pt" strokecolor="#008360">
              <v:path arrowok="t"/>
              <v:stroke dashstyle="solid"/>
            </v:shape>
            <v:shape style="position:absolute;left:7176;top:8742;width:25;height:133" coordorigin="7176,8742" coordsize="25,133" path="m7176,8875l7189,8827m7189,8827l7201,8742e" filled="false" stroked="true" strokeweight="1pt" strokecolor="#008360">
              <v:path arrowok="t"/>
              <v:stroke dashstyle="solid"/>
            </v:shape>
            <v:line style="position:absolute" from="7206,8587" to="7206,8752" stroked="true" strokeweight="1.5pt" strokecolor="#008360">
              <v:stroke dashstyle="solid"/>
            </v:line>
            <v:line style="position:absolute" from="7211,8597" to="7224,8500" stroked="true" strokeweight="1pt" strokecolor="#008360">
              <v:stroke dashstyle="solid"/>
            </v:line>
            <v:shape style="position:absolute;left:7230;top:8489;width:13;height:288" coordorigin="7230,8490" coordsize="13,288" path="m7230,8490l7230,8630m7243,8610l7243,8777e" filled="false" stroked="true" strokeweight="1.625pt" strokecolor="#008360">
              <v:path arrowok="t"/>
              <v:stroke dashstyle="solid"/>
            </v:shape>
            <v:line style="position:absolute" from="7249,8767" to="7251,8742" stroked="true" strokeweight="1pt" strokecolor="#008360">
              <v:stroke dashstyle="solid"/>
            </v:line>
            <v:shape style="position:absolute;left:7255;top:8464;width:13;height:288" coordorigin="7255,8465" coordsize="13,288" path="m7255,8587l7255,8752m7268,8465l7268,8607e" filled="false" stroked="true" strokeweight="1.625pt" strokecolor="#008360">
              <v:path arrowok="t"/>
              <v:stroke dashstyle="solid"/>
            </v:shape>
            <v:line style="position:absolute" from="7274,8475" to="7286,8560" stroked="true" strokeweight="1pt" strokecolor="#008360">
              <v:stroke dashstyle="solid"/>
            </v:line>
            <v:line style="position:absolute" from="7293,8550" to="7293,8727" stroked="true" strokeweight="1.625pt" strokecolor="#008360">
              <v:stroke dashstyle="solid"/>
            </v:line>
            <v:line style="position:absolute" from="7299,8717" to="7311,8815" stroked="true" strokeweight="1pt" strokecolor="#008360">
              <v:stroke dashstyle="solid"/>
            </v:line>
            <v:shape style="position:absolute;left:7317;top:8804;width:25;height:495" coordorigin="7318,8805" coordsize="25,495" path="m7318,8805l7318,9007m7330,8987l7330,9165m7343,9145l7343,9300e" filled="false" stroked="true" strokeweight="1.625pt" strokecolor="#008360">
              <v:path arrowok="t"/>
              <v:stroke dashstyle="solid"/>
            </v:shape>
            <v:line style="position:absolute" from="7354,9182" to="7354,9300" stroked="true" strokeweight="1.5pt" strokecolor="#008360">
              <v:stroke dashstyle="solid"/>
            </v:line>
            <v:line style="position:absolute" from="7365,9000" to="7365,9202" stroked="true" strokeweight="1.625pt" strokecolor="#008360">
              <v:stroke dashstyle="solid"/>
            </v:line>
            <v:shape style="position:absolute;left:7371;top:8997;width:25;height:25" coordorigin="7371,8997" coordsize="25,25" path="m7371,9010l7384,8997m7384,8997l7396,9022e" filled="false" stroked="true" strokeweight="1pt" strokecolor="#008360">
              <v:path arrowok="t"/>
              <v:stroke dashstyle="solid"/>
            </v:shape>
            <v:line style="position:absolute" from="7403,9012" to="7403,9152" stroked="true" strokeweight="1.625pt" strokecolor="#008360">
              <v:stroke dashstyle="solid"/>
            </v:line>
            <v:shape style="position:absolute;left:7408;top:9107;width:38;height:48" coordorigin="7409,9107" coordsize="38,48" path="m7409,9142l7421,9120m7421,9120l7434,9155m7434,9155l7446,9107e" filled="false" stroked="true" strokeweight="1pt" strokecolor="#008360">
              <v:path arrowok="t"/>
              <v:stroke dashstyle="solid"/>
            </v:shape>
            <v:line style="position:absolute" from="7448,9097" to="7448,9152" stroked="true" strokeweight="1.125pt" strokecolor="#008360">
              <v:stroke dashstyle="solid"/>
            </v:line>
            <v:shape style="position:absolute;left:7452;top:8574;width:25;height:578" coordorigin="7453,8575" coordsize="25,578" path="m7453,8902l7453,9152m7465,8707l7465,8922m7478,8575l7478,8727e" filled="false" stroked="true" strokeweight="1.625pt" strokecolor="#008360">
              <v:path arrowok="t"/>
              <v:stroke dashstyle="solid"/>
            </v:shape>
            <v:line style="position:absolute" from="7484,8585" to="7496,8645" stroked="true" strokeweight="1pt" strokecolor="#008360">
              <v:stroke dashstyle="solid"/>
            </v:line>
            <v:line style="position:absolute" from="7501,8635" to="7501,8740" stroked="true" strokeweight="1.5pt" strokecolor="#008360">
              <v:stroke dashstyle="solid"/>
            </v:line>
            <v:shape style="position:absolute;left:7506;top:8644;width:25;height:85" coordorigin="7506,8645" coordsize="25,85" path="m7506,8730l7519,8670m7519,8670l7531,8645e" filled="false" stroked="true" strokeweight="1pt" strokecolor="#008360">
              <v:path arrowok="t"/>
              <v:stroke dashstyle="solid"/>
            </v:shape>
            <v:line style="position:absolute" from="7538,8512" to="7538,8655" stroked="true" strokeweight="1.625pt" strokecolor="#008360">
              <v:stroke dashstyle="solid"/>
            </v:line>
            <v:line style="position:absolute" from="7544,8522" to="7556,8487" stroked="true" strokeweight="1pt" strokecolor="#008360">
              <v:stroke dashstyle="solid"/>
            </v:line>
            <v:line style="position:absolute" from="7563,8355" to="7563,8497" stroked="true" strokeweight="1.625pt" strokecolor="#008360">
              <v:stroke dashstyle="solid"/>
            </v:line>
            <v:shape style="position:absolute;left:7568;top:8342;width:25;height:25" coordorigin="7569,8342" coordsize="25,25" path="m7569,8365l7581,8367m7581,8365l7594,8342e" filled="false" stroked="true" strokeweight="1pt" strokecolor="#008360">
              <v:path arrowok="t"/>
              <v:stroke dashstyle="solid"/>
            </v:shape>
            <v:shape style="position:absolute;left:7600;top:8332;width:13;height:310" coordorigin="7600,8332" coordsize="13,310" path="m7600,8332l7600,8510m7613,8490l7613,8642e" filled="false" stroked="true" strokeweight="1.625pt" strokecolor="#008360">
              <v:path arrowok="t"/>
              <v:stroke dashstyle="solid"/>
            </v:shape>
            <v:shape style="position:absolute;left:7618;top:8572;width:60;height:135" coordorigin="7619,8572" coordsize="60,135" path="m7619,8632l7631,8705m7631,8705l7634,8707m7631,8705l7644,8607m7644,8607l7654,8610m7654,8607l7666,8572m7666,8572l7679,8620e" filled="false" stroked="true" strokeweight="1pt" strokecolor="#008360">
              <v:path arrowok="t"/>
              <v:stroke dashstyle="solid"/>
            </v:shape>
            <v:shape style="position:absolute;left:7685;top:8609;width:25;height:435" coordorigin="7685,8610" coordsize="25,435" path="m7685,8610l7685,8740m7698,8720l7698,8910m7710,8890l7710,9045e" filled="false" stroked="true" strokeweight="1.625pt" strokecolor="#008360">
              <v:path arrowok="t"/>
              <v:stroke dashstyle="solid"/>
            </v:shape>
            <v:line style="position:absolute" from="7716,9035" to="7729,9010" stroked="true" strokeweight="1pt" strokecolor="#008360">
              <v:stroke dashstyle="solid"/>
            </v:line>
            <v:shape style="position:absolute;left:7735;top:8719;width:13;height:300" coordorigin="7735,8720" coordsize="13,300" path="m7735,8877l7735,9020m7748,8720l7748,8897e" filled="false" stroked="true" strokeweight="1.625pt" strokecolor="#008360">
              <v:path arrowok="t"/>
              <v:stroke dashstyle="solid"/>
            </v:shape>
            <v:shape style="position:absolute;left:7753;top:8632;width:73;height:123" coordorigin="7754,8632" coordsize="73,123" path="m7754,8730l7766,8670m7766,8670l7779,8632m7779,8632l7791,8657m7791,8657l7801,8645m7801,8645l7814,8705m7814,8705l7826,8755e" filled="false" stroked="true" strokeweight="1pt" strokecolor="#008360">
              <v:path arrowok="t"/>
              <v:stroke dashstyle="solid"/>
            </v:shape>
            <v:line style="position:absolute" from="7828,8672" to="7828,8765" stroked="true" strokeweight="1.125pt" strokecolor="#008360">
              <v:stroke dashstyle="solid"/>
            </v:line>
            <v:shape style="position:absolute;left:7826;top:8547;width:113;height:245" coordorigin="7826,8547" coordsize="113,245" path="m7826,8682l7839,8645m7839,8645l7851,8547m7851,8547l7864,8607m7864,8607l7889,8682m7889,8682l7901,8692m7901,8692l7914,8695m7914,8692l7926,8790m7926,8790l7939,8792e" filled="false" stroked="true" strokeweight="1pt" strokecolor="#008360">
              <v:path arrowok="t"/>
              <v:stroke dashstyle="solid"/>
            </v:shape>
            <v:line style="position:absolute" from="7944,8660" to="7944,8800" stroked="true" strokeweight="1.5pt" strokecolor="#008360">
              <v:stroke dashstyle="solid"/>
            </v:line>
            <v:line style="position:absolute" from="7955,8512" to="7955,8680" stroked="true" strokeweight="1.625pt" strokecolor="#008360">
              <v:stroke dashstyle="solid"/>
            </v:line>
            <v:shape style="position:absolute;left:7961;top:8474;width:50;height:48" coordorigin="7961,8475" coordsize="50,48" path="m7961,8522l7974,8512m7974,8512l7986,8475m7986,8475l7999,8487m7999,8487l8011,8475e" filled="false" stroked="true" strokeweight="1pt" strokecolor="#008360">
              <v:path arrowok="t"/>
              <v:stroke dashstyle="solid"/>
            </v:shape>
            <v:line style="position:absolute" from="8013,8465" to="8013,8595" stroked="true" strokeweight="1.125pt" strokecolor="#008360">
              <v:stroke dashstyle="solid"/>
            </v:line>
            <v:shape style="position:absolute;left:8011;top:8584;width:50;height:158" coordorigin="8011,8585" coordsize="50,158" path="m8011,8585l8036,8730m8036,8730l8049,8742m8049,8742l8061,8657e" filled="false" stroked="true" strokeweight="1pt" strokecolor="#008360">
              <v:path arrowok="t"/>
              <v:stroke dashstyle="solid"/>
            </v:shape>
            <v:line style="position:absolute" from="8068,8537" to="8068,8667" stroked="true" strokeweight="1.625pt" strokecolor="#008360">
              <v:stroke dashstyle="solid"/>
            </v:line>
            <v:shape style="position:absolute;left:8073;top:8499;width:35;height:73" coordorigin="8074,8500" coordsize="35,73" path="m8074,8547l8086,8522m8086,8522l8096,8572m8096,8572l8109,8500e" filled="false" stroked="true" strokeweight="1pt" strokecolor="#008360">
              <v:path arrowok="t"/>
              <v:stroke dashstyle="solid"/>
            </v:shape>
            <v:shape style="position:absolute;left:8115;top:8112;width:13;height:398" coordorigin="8115,8112" coordsize="13,398" path="m8115,8355l8115,8510m8128,8112l8128,8375e" filled="false" stroked="true" strokeweight="1.625pt" strokecolor="#008360">
              <v:path arrowok="t"/>
              <v:stroke dashstyle="solid"/>
            </v:shape>
            <v:line style="position:absolute" from="8134,8122" to="8146,8110" stroked="true" strokeweight="1pt" strokecolor="#008360">
              <v:stroke dashstyle="solid"/>
            </v:line>
            <v:line style="position:absolute" from="8153,7967" to="8153,8120" stroked="true" strokeweight="1.625pt" strokecolor="#008360">
              <v:stroke dashstyle="solid"/>
            </v:line>
            <v:shape style="position:absolute;left:8158;top:7977;width:50;height:1190" coordorigin="8159,7977" coordsize="50,1190" path="m8159,7977l8171,8342m8171,8342l8184,8682m8184,8682l8196,9082m8196,9082l8209,9167e" filled="false" stroked="true" strokeweight="1pt" strokecolor="#008360">
              <v:path arrowok="t"/>
              <v:stroke dashstyle="solid"/>
            </v:shape>
            <v:line style="position:absolute" from="8210,9157" to="8210,9215" stroked="true" strokeweight="1.125pt" strokecolor="#008360">
              <v:stroke dashstyle="solid"/>
            </v:line>
            <v:line style="position:absolute" from="8215,9195" to="8215,9347" stroked="true" strokeweight="1.625pt" strokecolor="#008360">
              <v:stroke dashstyle="solid"/>
            </v:line>
            <v:shape style="position:absolute;left:8221;top:9337;width:73;height:378" coordorigin="8221,9337" coordsize="73,378" path="m8221,9337l8234,9422m8234,9422l8244,9495m8244,9495l8256,9545m8256,9545l8269,9630m8269,9630l8281,9665m8281,9665l8294,9715e" filled="false" stroked="true" strokeweight="1pt" strokecolor="#008360">
              <v:path arrowok="t"/>
              <v:stroke dashstyle="solid"/>
            </v:shape>
            <v:shape style="position:absolute;left:8300;top:8962;width:25;height:763" coordorigin="8300,8962" coordsize="25,763" path="m8300,9472l8300,9725m8313,9170l8313,9492m8325,8962l8325,9190e" filled="false" stroked="true" strokeweight="1.625pt" strokecolor="#008360">
              <v:path arrowok="t"/>
              <v:stroke dashstyle="solid"/>
            </v:shape>
            <v:shape style="position:absolute;left:8331;top:8924;width:25;height:48" coordorigin="8331,8925" coordsize="25,48" path="m8331,8972l8344,8925m8344,8925l8356,8937e" filled="false" stroked="true" strokeweight="1pt" strokecolor="#008360">
              <v:path arrowok="t"/>
              <v:stroke dashstyle="solid"/>
            </v:shape>
            <v:line style="position:absolute" from="8363,8817" to="8363,8947" stroked="true" strokeweight="1.625pt" strokecolor="#008360">
              <v:stroke dashstyle="solid"/>
            </v:line>
            <v:shape style="position:absolute;left:8368;top:8767;width:35;height:60" coordorigin="8369,8767" coordsize="35,60" path="m8369,8827l8381,8815m8381,8815l8391,8780m8391,8780l8394,8802m8391,8802l8404,8767e" filled="false" stroked="true" strokeweight="1pt" strokecolor="#008360">
              <v:path arrowok="t"/>
              <v:stroke dashstyle="solid"/>
            </v:shape>
            <v:line style="position:absolute" from="8410,8647" to="8410,8777" stroked="true" strokeweight="1.625pt" strokecolor="#008360">
              <v:stroke dashstyle="solid"/>
            </v:line>
            <v:shape style="position:absolute;left:8416;top:8584;width:63;height:183" coordorigin="8416,8585" coordsize="63,183" path="m8416,8657l8429,8585m8429,8585l8441,8682m8441,8682l8454,8767m8454,8767l8466,8717m8466,8717l8479,8705e" filled="false" stroked="true" strokeweight="1pt" strokecolor="#008360">
              <v:path arrowok="t"/>
              <v:stroke dashstyle="solid"/>
            </v:shape>
            <v:shape style="position:absolute;left:8485;top:8694;width:25;height:458" coordorigin="8485,8695" coordsize="25,458" path="m8485,8695l8485,8837m8498,8817l8498,9045m8510,9025l8510,9152e" filled="false" stroked="true" strokeweight="1.625pt" strokecolor="#008360">
              <v:path arrowok="t"/>
              <v:stroke dashstyle="solid"/>
            </v:shape>
            <v:shape style="position:absolute;left:8516;top:9142;width:35;height:25" coordorigin="8516,9142" coordsize="35,25" path="m8516,9142l8529,9167m8529,9167l8539,9155m8539,9155l8551,9142e" filled="false" stroked="true" strokeweight="1pt" strokecolor="#008360">
              <v:path arrowok="t"/>
              <v:stroke dashstyle="solid"/>
            </v:shape>
            <v:shape style="position:absolute;left:8557;top:9132;width:13;height:360" coordorigin="8558,9132" coordsize="13,360" path="m8558,9132l8558,9300m8570,9280l8570,9492e" filled="false" stroked="true" strokeweight="1.625pt" strokecolor="#008360">
              <v:path arrowok="t"/>
              <v:stroke dashstyle="solid"/>
            </v:shape>
            <v:line style="position:absolute" from="8578,9472" to="8578,9530" stroked="true" strokeweight="1.125pt" strokecolor="#008360">
              <v:stroke dashstyle="solid"/>
            </v:line>
            <v:shape style="position:absolute;left:8576;top:9397;width:50;height:123" coordorigin="8576,9397" coordsize="50,123" path="m8576,9520l8589,9495m8589,9495l8601,9460m8601,9460l8614,9495m8614,9495l8626,9397e" filled="false" stroked="true" strokeweight="1pt" strokecolor="#008360">
              <v:path arrowok="t"/>
              <v:stroke dashstyle="solid"/>
            </v:shape>
            <v:shape style="position:absolute;left:8632;top:8999;width:13;height:408" coordorigin="8633,9000" coordsize="13,408" path="m8633,9217l8633,9407m8645,9000l8645,9237e" filled="false" stroked="true" strokeweight="1.625pt" strokecolor="#008360">
              <v:path arrowok="t"/>
              <v:stroke dashstyle="solid"/>
            </v:shape>
            <v:shape style="position:absolute;left:8651;top:8997;width:35;height:123" coordorigin="8651,8997" coordsize="35,123" path="m8651,9010l8664,8997m8664,8997l8676,9070m8676,9070l8686,9120e" filled="false" stroked="true" strokeweight="1pt" strokecolor="#008360">
              <v:path arrowok="t"/>
              <v:stroke dashstyle="solid"/>
            </v:shape>
            <v:shape style="position:absolute;left:8692;top:8574;width:25;height:555" coordorigin="8693,8575" coordsize="25,555" path="m8693,8975l8693,9130m8705,8707l8705,8995m8718,8575l8718,8727e" filled="false" stroked="true" strokeweight="1.625pt" strokecolor="#008360">
              <v:path arrowok="t"/>
              <v:stroke dashstyle="solid"/>
            </v:shape>
            <v:line style="position:absolute" from="8724,8585" to="8736,8645" stroked="true" strokeweight="1pt" strokecolor="#008360">
              <v:stroke dashstyle="solid"/>
            </v:line>
            <v:line style="position:absolute" from="8743,8635" to="8743,8812" stroked="true" strokeweight="1.625pt" strokecolor="#008360">
              <v:stroke dashstyle="solid"/>
            </v:line>
            <v:shape style="position:absolute;left:8748;top:8802;width:25;height:110" coordorigin="8749,8802" coordsize="25,110" path="m8749,8802l8761,8865m8761,8865l8774,8912e" filled="false" stroked="true" strokeweight="1pt" strokecolor="#008360">
              <v:path arrowok="t"/>
              <v:stroke dashstyle="solid"/>
            </v:shape>
            <v:line style="position:absolute" from="8775,8902" to="8775,9032" stroked="true" strokeweight="1.125pt" strokecolor="#008360">
              <v:stroke dashstyle="solid"/>
            </v:line>
            <v:shape style="position:absolute;left:8773;top:9022;width:38;height:98" coordorigin="8774,9022" coordsize="38,98" path="m8774,9022l8786,9120m8786,9120l8799,9095m8799,9095l8811,9045e" filled="false" stroked="true" strokeweight="1pt" strokecolor="#008360">
              <v:path arrowok="t"/>
              <v:stroke dashstyle="solid"/>
            </v:shape>
            <v:line style="position:absolute" from="8818,9035" to="8818,9165" stroked="true" strokeweight="1.625pt" strokecolor="#008360">
              <v:stroke dashstyle="solid"/>
            </v:line>
            <v:rect style="position:absolute;left:8813;top:9144;width:30;height:203" filled="true" fillcolor="#008360" stroked="false">
              <v:fill type="solid"/>
            </v:rect>
            <v:shape style="position:absolute;left:8833;top:9337;width:25;height:85" coordorigin="8834,9337" coordsize="25,85" path="m8834,9337l8846,9422m8846,9422l8859,9350e" filled="false" stroked="true" strokeweight="1pt" strokecolor="#008360">
              <v:path arrowok="t"/>
              <v:stroke dashstyle="solid"/>
            </v:shape>
            <v:rect style="position:absolute;left:8848;top:9132;width:33;height:228" filled="true" fillcolor="#008360" stroked="false">
              <v:fill type="solid"/>
            </v:rect>
            <v:line style="position:absolute" from="8878,8950" to="8878,9152" stroked="true" strokeweight="1.625pt" strokecolor="#008360">
              <v:stroke dashstyle="solid"/>
            </v:line>
            <v:shape style="position:absolute;left:8883;top:8852;width:75;height:108" coordorigin="8884,8852" coordsize="75,108" path="m8884,8960l8896,8875m8896,8875l8909,8865m8909,8865l8921,8852m8921,8852l8934,8887m8934,8887l8946,8937m8946,8937l8959,8950e" filled="false" stroked="true" strokeweight="1pt" strokecolor="#008360">
              <v:path arrowok="t"/>
              <v:stroke dashstyle="solid"/>
            </v:shape>
            <v:line style="position:absolute" from="8960,8792" to="8960,8960" stroked="true" strokeweight="1.125pt" strokecolor="#008360">
              <v:stroke dashstyle="solid"/>
            </v:line>
            <v:line style="position:absolute" from="8965,8525" to="8965,8812" stroked="true" strokeweight="1.625pt" strokecolor="#008360">
              <v:stroke dashstyle="solid"/>
            </v:line>
            <v:shape style="position:absolute;left:8971;top:8474;width:23;height:60" coordorigin="8971,8475" coordsize="23,60" path="m8971,8535l8981,8475m8981,8475l8994,8487e" filled="false" stroked="true" strokeweight="1pt" strokecolor="#008360">
              <v:path arrowok="t"/>
              <v:stroke dashstyle="solid"/>
            </v:shape>
            <v:line style="position:absolute" from="9000,8477" to="9000,8680" stroked="true" strokeweight="1.625pt" strokecolor="#008360">
              <v:stroke dashstyle="solid"/>
            </v:line>
            <v:shape style="position:absolute;left:9006;top:8644;width:50;height:98" coordorigin="9006,8645" coordsize="50,98" path="m9006,8670l9019,8672m9019,8670l9044,8645m9044,8645l9056,8742e" filled="false" stroked="true" strokeweight="1pt" strokecolor="#008360">
              <v:path arrowok="t"/>
              <v:stroke dashstyle="solid"/>
            </v:shape>
            <v:line style="position:absolute" from="9063,8732" to="9063,8862" stroked="true" strokeweight="1.625pt" strokecolor="#008360">
              <v:stroke dashstyle="solid"/>
            </v:line>
            <v:shape style="position:absolute;left:9068;top:8852;width:85;height:388" coordorigin="9069,8852" coordsize="85,388" path="m9069,8852l9081,8950m9081,8950l9094,9035m9094,9035l9106,9082m9106,9082l9119,9095m9119,9095l9129,9107m9129,9107l9141,9180m9141,9180l9154,9240e" filled="false" stroked="true" strokeweight="1pt" strokecolor="#008360">
              <v:path arrowok="t"/>
              <v:stroke dashstyle="solid"/>
            </v:shape>
            <v:line style="position:absolute" from="9155,9230" to="9155,9335" stroked="true" strokeweight="1.125pt" strokecolor="#008360">
              <v:stroke dashstyle="solid"/>
            </v:line>
            <v:shape style="position:absolute;left:9153;top:9324;width:38;height:170" coordorigin="9154,9325" coordsize="38,170" path="m9154,9325l9166,9422m9166,9422l9179,9495m9179,9495l9191,9422e" filled="false" stroked="true" strokeweight="1pt" strokecolor="#008360">
              <v:path arrowok="t"/>
              <v:stroke dashstyle="solid"/>
            </v:shape>
            <v:shape style="position:absolute;left:9197;top:9144;width:13;height:288" coordorigin="9198,9145" coordsize="13,288" path="m9198,9302l9198,9432m9210,9145l9210,9322e" filled="false" stroked="true" strokeweight="1.625pt" strokecolor="#008360">
              <v:path arrowok="t"/>
              <v:stroke dashstyle="solid"/>
            </v:shape>
            <v:shape style="position:absolute;left:9216;top:8682;width:148;height:473" coordorigin="9216,8682" coordsize="148,473" path="m9216,9155l9229,9057m9229,9057l9241,8972m9241,8972l9254,8985m9254,8985l9266,8960m9266,8960l9276,8937m9276,8937l9289,8852m9289,8852l9301,8827m9301,8827l9314,8742m9314,8742l9326,8682m9326,8682l9339,8685m9339,8682l9341,8692m9339,8692l9351,8767m9351,8767l9364,8802e" filled="false" stroked="true" strokeweight="1pt" strokecolor="#008360">
              <v:path arrowok="t"/>
              <v:stroke dashstyle="solid"/>
            </v:shape>
            <v:line style="position:absolute" from="9370,8792" to="9370,8922" stroked="true" strokeweight="1.625pt" strokecolor="#008360">
              <v:stroke dashstyle="solid"/>
            </v:line>
            <v:shape style="position:absolute;left:9376;top:8839;width:135;height:133" coordorigin="9376,8840" coordsize="135,133" path="m9376,8912l9389,8950m9389,8950l9401,8972m9401,8972l9414,8925m9414,8925l9424,8927m9424,8925l9436,8927m9436,8925l9449,8927m9449,8925l9474,8875m9474,8875l9486,8887m9486,8887l9499,8875m9499,8875l9511,8840e" filled="false" stroked="true" strokeweight="1pt" strokecolor="#008360">
              <v:path arrowok="t"/>
              <v:stroke dashstyle="solid"/>
            </v:shape>
            <v:line style="position:absolute" from="9518,8707" to="9518,8850" stroked="true" strokeweight="1.625pt" strokecolor="#008360">
              <v:stroke dashstyle="solid"/>
            </v:line>
            <v:shape style="position:absolute;left:9523;top:8644;width:73;height:158" coordorigin="9524,8645" coordsize="73,158" path="m9524,8717l9526,8705m9524,8705l9536,8645m9536,8645l9549,8717m9549,8717l9561,8742m9561,8742l9571,8802m9571,8802l9584,8755m9584,8755l9596,8657e" filled="false" stroked="true" strokeweight="1pt" strokecolor="#008360">
              <v:path arrowok="t"/>
              <v:stroke dashstyle="solid"/>
            </v:shape>
            <v:line style="position:absolute" from="9603,8537" to="9603,8667" stroked="true" strokeweight="1.625pt" strokecolor="#008360">
              <v:stroke dashstyle="solid"/>
            </v:line>
            <v:shape style="position:absolute;left:9608;top:8487;width:50;height:133" coordorigin="9609,8487" coordsize="50,133" path="m9609,8547l9621,8487m9621,8487l9634,8490m9634,8487l9646,8535m9646,8535l9659,8620e" filled="false" stroked="true" strokeweight="1pt" strokecolor="#008360">
              <v:path arrowok="t"/>
              <v:stroke dashstyle="solid"/>
            </v:shape>
            <v:shape style="position:absolute;left:9665;top:8609;width:13;height:435" coordorigin="9665,8610" coordsize="13,435" path="m9665,8610l9665,8800m9678,8780l9678,9045e" filled="false" stroked="true" strokeweight="1.625pt" strokecolor="#008360">
              <v:path arrowok="t"/>
              <v:stroke dashstyle="solid"/>
            </v:shape>
            <v:shape style="position:absolute;left:9683;top:9034;width:25;height:73" coordorigin="9684,9035" coordsize="25,73" path="m9684,9035l9696,9107m9696,9107l9709,9045e" filled="false" stroked="true" strokeweight="1pt" strokecolor="#008360">
              <v:path arrowok="t"/>
              <v:stroke dashstyle="solid"/>
            </v:shape>
            <v:line style="position:absolute" from="9714,8915" to="9714,9055" stroked="true" strokeweight="1.5pt" strokecolor="#008360">
              <v:stroke dashstyle="solid"/>
            </v:line>
            <v:shape style="position:absolute;left:9718;top:8924;width:75;height:158" coordorigin="9719,8925" coordsize="75,158" path="m9719,8925l9721,8950m9719,8950l9731,9035m9731,9035l9744,9082m9744,9082l9756,9070m9756,9070l9769,9082m9769,9082l9781,9057m9781,9057l9794,9082e" filled="false" stroked="true" strokeweight="1pt" strokecolor="#008360">
              <v:path arrowok="t"/>
              <v:stroke dashstyle="solid"/>
            </v:shape>
            <v:shape style="position:absolute;left:9800;top:8804;width:13;height:288" coordorigin="9800,8805" coordsize="13,288" path="m9800,8915l9800,9092m9813,8805l9813,8935e" filled="false" stroked="true" strokeweight="1.625pt" strokecolor="#008360">
              <v:path arrowok="t"/>
              <v:stroke dashstyle="solid"/>
            </v:shape>
            <v:shape style="position:absolute;left:9818;top:8742;width:160;height:425" coordorigin="9819,8742" coordsize="160,425" path="m9819,8815l9831,8742m9831,8742l9844,8780m9844,8780l9856,8767m9856,8767l9866,8802m9866,8802l9879,8900m9879,8900l9904,9120m9904,9120l9906,9130m9904,9130l9916,9167m9916,9167l9929,9120m9929,9120l9941,9107m9941,9107l9954,9070m9954,9070l9966,9057m9966,9057l9979,9155e" filled="false" stroked="true" strokeweight="1pt" strokecolor="#008360">
              <v:path arrowok="t"/>
              <v:stroke dashstyle="solid"/>
            </v:shape>
            <v:line style="position:absolute" from="9985,9145" to="9985,9287" stroked="true" strokeweight="1.625pt" strokecolor="#008360">
              <v:stroke dashstyle="solid"/>
            </v:line>
            <v:line style="position:absolute" from="9991,9277" to="10004,9312" stroked="true" strokeweight="1pt" strokecolor="#008360">
              <v:stroke dashstyle="solid"/>
            </v:line>
            <v:shape style="position:absolute;left:6542;top:8392;width:13;height:335" coordorigin="6543,8392" coordsize="13,335" path="m6543,8392l6543,8607m6555,8587l6555,8727e" filled="false" stroked="true" strokeweight="1.625pt" strokecolor="#006caa">
              <v:path arrowok="t"/>
              <v:stroke dashstyle="solid"/>
            </v:shape>
            <v:line style="position:absolute" from="6561,8717" to="6574,8730" stroked="true" strokeweight="1pt" strokecolor="#006caa">
              <v:stroke dashstyle="solid"/>
            </v:line>
            <v:line style="position:absolute" from="6580,8720" to="6580,8935" stroked="true" strokeweight="1.625pt" strokecolor="#006caa">
              <v:stroke dashstyle="solid"/>
            </v:line>
            <v:shape style="position:absolute;left:6586;top:8899;width:25;height:60" coordorigin="6586,8900" coordsize="25,60" path="m6586,8925l6599,8960m6599,8960l6611,8900e" filled="false" stroked="true" strokeweight="1pt" strokecolor="#006caa">
              <v:path arrowok="t"/>
              <v:stroke dashstyle="solid"/>
            </v:shape>
            <v:line style="position:absolute" from="6616,8707" to="6616,8910" stroked="true" strokeweight="1.5pt" strokecolor="#006caa">
              <v:stroke dashstyle="solid"/>
            </v:line>
            <v:line style="position:absolute" from="6621,8717" to="6634,8632" stroked="true" strokeweight="1pt" strokecolor="#006caa">
              <v:stroke dashstyle="solid"/>
            </v:line>
            <v:line style="position:absolute" from="6640,8622" to="6640,8862" stroked="true" strokeweight="1.625pt" strokecolor="#006caa">
              <v:stroke dashstyle="solid"/>
            </v:line>
            <v:line style="position:absolute" from="6646,8852" to="6659,8912" stroked="true" strokeweight="1pt" strokecolor="#006caa">
              <v:stroke dashstyle="solid"/>
            </v:line>
            <v:shape style="position:absolute;left:6665;top:8769;width:13;height:275" coordorigin="6665,8770" coordsize="13,275" path="m6665,8770l6665,8922m6678,8770l6678,9045e" filled="false" stroked="true" strokeweight="1.625pt" strokecolor="#006caa">
              <v:path arrowok="t"/>
              <v:stroke dashstyle="solid"/>
            </v:shape>
            <v:line style="position:absolute" from="6685,9025" to="6685,9215" stroked="true" strokeweight="1.125pt" strokecolor="#006caa">
              <v:stroke dashstyle="solid"/>
            </v:line>
            <v:shape style="position:absolute;left:6683;top:9204;width:75;height:133" coordorigin="6684,9205" coordsize="75,133" path="m6684,9205l6696,9227m6696,9227l6709,9277m6709,9277l6721,9280m6721,9277l6734,9280m6734,9277l6746,9312m6746,9312l6759,9337e" filled="false" stroked="true" strokeweight="1pt" strokecolor="#006caa">
              <v:path arrowok="t"/>
              <v:stroke dashstyle="solid"/>
            </v:shape>
            <v:line style="position:absolute" from="6764,9327" to="6764,9432" stroked="true" strokeweight="1.5pt" strokecolor="#006caa">
              <v:stroke dashstyle="solid"/>
            </v:line>
            <v:shape style="position:absolute;left:6768;top:9374;width:75;height:145" coordorigin="6769,9375" coordsize="75,145" path="m6769,9422l6781,9410m6781,9410l6794,9375m6794,9375l6806,9460m6806,9460l6819,9520m6819,9520l6831,9495m6831,9495l6844,9497e" filled="false" stroked="true" strokeweight="1pt" strokecolor="#006caa">
              <v:path arrowok="t"/>
              <v:stroke dashstyle="solid"/>
            </v:shape>
            <v:shape style="position:absolute;left:6850;top:9229;width:13;height:275" coordorigin="6850,9230" coordsize="13,275" path="m6850,9352l6850,9505m6863,9230l6863,9372e" filled="false" stroked="true" strokeweight="1.625pt" strokecolor="#006caa">
              <v:path arrowok="t"/>
              <v:stroke dashstyle="solid"/>
            </v:shape>
            <v:line style="position:absolute" from="6869,9240" to="6881,9252" stroked="true" strokeweight="1pt" strokecolor="#006caa">
              <v:stroke dashstyle="solid"/>
            </v:line>
            <v:line style="position:absolute" from="6883,9242" to="6883,9300" stroked="true" strokeweight="1.125pt" strokecolor="#006caa">
              <v:stroke dashstyle="solid"/>
            </v:line>
            <v:line style="position:absolute" from="6888,9047" to="6888,9300" stroked="true" strokeweight="1.625pt" strokecolor="#006caa">
              <v:stroke dashstyle="solid"/>
            </v:line>
            <v:shape style="position:absolute;left:6893;top:9022;width:23;height:35" coordorigin="6894,9022" coordsize="23,35" path="m6894,9057l6906,9022m6906,9022l6916,9035e" filled="false" stroked="true" strokeweight="1pt" strokecolor="#006caa">
              <v:path arrowok="t"/>
              <v:stroke dashstyle="solid"/>
            </v:shape>
            <v:line style="position:absolute" from="6923,9025" to="6923,9215" stroked="true" strokeweight="1.625pt" strokecolor="#006caa">
              <v:stroke dashstyle="solid"/>
            </v:line>
            <v:line style="position:absolute" from="6929,9205" to="6941,9155" stroked="true" strokeweight="1pt" strokecolor="#006caa">
              <v:stroke dashstyle="solid"/>
            </v:line>
            <v:line style="position:absolute" from="6948,8962" to="6948,9165" stroked="true" strokeweight="1.625pt" strokecolor="#006caa">
              <v:stroke dashstyle="solid"/>
            </v:line>
            <v:shape style="position:absolute;left:6953;top:8912;width:38;height:60" coordorigin="6954,8912" coordsize="38,60" path="m6954,8972l6966,8960m6966,8960l6979,8912m6979,8912l6991,8972e" filled="false" stroked="true" strokeweight="1pt" strokecolor="#006caa">
              <v:path arrowok="t"/>
              <v:stroke dashstyle="solid"/>
            </v:shape>
            <v:line style="position:absolute" from="6998,8962" to="6998,9165" stroked="true" strokeweight="1.625pt" strokecolor="#006caa">
              <v:stroke dashstyle="solid"/>
            </v:line>
            <v:shape style="position:absolute;left:7003;top:9069;width:60;height:85" coordorigin="7004,9070" coordsize="60,85" path="m7004,9155l7016,9107m7016,9107l7029,9070m7029,9070l7041,9130m7041,9130l7054,9107m7054,9107l7064,9120e" filled="false" stroked="true" strokeweight="1pt" strokecolor="#006caa">
              <v:path arrowok="t"/>
              <v:stroke dashstyle="solid"/>
            </v:shape>
            <v:line style="position:absolute" from="7065,8975" to="7065,9130" stroked="true" strokeweight="1.125pt" strokecolor="#006caa">
              <v:stroke dashstyle="solid"/>
            </v:line>
            <v:shape style="position:absolute;left:7063;top:8924;width:25;height:60" coordorigin="7064,8925" coordsize="25,60" path="m7064,8985l7076,8925m7076,8925l7089,8937e" filled="false" stroked="true" strokeweight="1pt" strokecolor="#006caa">
              <v:path arrowok="t"/>
              <v:stroke dashstyle="solid"/>
            </v:shape>
            <v:line style="position:absolute" from="7095,8780" to="7095,8947" stroked="true" strokeweight="1.625pt" strokecolor="#006caa">
              <v:stroke dashstyle="solid"/>
            </v:line>
            <v:shape style="position:absolute;left:7101;top:8789;width:25;height:403" coordorigin="7101,8790" coordsize="25,403" path="m7101,8790l7114,9107m7114,9107l7126,9192e" filled="false" stroked="true" strokeweight="1pt" strokecolor="#006caa">
              <v:path arrowok="t"/>
              <v:stroke dashstyle="solid"/>
            </v:shape>
            <v:shape style="position:absolute;left:7132;top:8902;width:13;height:300" coordorigin="7133,8902" coordsize="13,300" path="m7133,9012l7133,9202m7145,8902l7145,9032e" filled="false" stroked="true" strokeweight="1.625pt" strokecolor="#006caa">
              <v:path arrowok="t"/>
              <v:stroke dashstyle="solid"/>
            </v:shape>
            <v:shape style="position:absolute;left:7151;top:8814;width:38;height:98" coordorigin="7151,8815" coordsize="38,98" path="m7151,8912l7164,8815m7164,8815l7176,8852m7176,8852l7189,8815e" filled="false" stroked="true" strokeweight="1pt" strokecolor="#006caa">
              <v:path arrowok="t"/>
              <v:stroke dashstyle="solid"/>
            </v:shape>
            <v:line style="position:absolute" from="7195,8610" to="7195,8825" stroked="true" strokeweight="1.625pt" strokecolor="#006caa">
              <v:stroke dashstyle="solid"/>
            </v:line>
            <v:shape style="position:absolute;left:7191;top:8464;width:43;height:178" coordorigin="7191,8465" coordsize="43,178" path="m7234,8465l7221,8465,7201,8465,7191,8465,7191,8630,7201,8630,7201,8642,7234,8642,7234,8465xe" filled="true" fillcolor="#006caa" stroked="false">
              <v:path arrowok="t"/>
              <v:fill type="solid"/>
            </v:shape>
            <v:line style="position:absolute" from="7224,8632" to="7236,8730" stroked="true" strokeweight="1pt" strokecolor="#006caa">
              <v:stroke dashstyle="solid"/>
            </v:line>
            <v:line style="position:absolute" from="7243,8720" to="7243,8947" stroked="true" strokeweight="1.625pt" strokecolor="#006caa">
              <v:stroke dashstyle="solid"/>
            </v:line>
            <v:shape style="position:absolute;left:7248;top:8474;width:13;height:463" coordorigin="7249,8475" coordsize="13,463" path="m7249,8937l7251,8560m7249,8560l7261,8475e" filled="false" stroked="true" strokeweight="1pt" strokecolor="#006caa">
              <v:path arrowok="t"/>
              <v:stroke dashstyle="solid"/>
            </v:shape>
            <v:shape style="position:absolute;left:7267;top:8464;width:25;height:568" coordorigin="7268,8465" coordsize="25,568" path="m7268,8465l7268,8692m7280,8672l7280,8850m7293,8830l7293,9032e" filled="false" stroked="true" strokeweight="1.625pt" strokecolor="#006caa">
              <v:path arrowok="t"/>
              <v:stroke dashstyle="solid"/>
            </v:shape>
            <v:line style="position:absolute" from="7299,9022" to="7311,9095" stroked="true" strokeweight="1pt" strokecolor="#006caa">
              <v:stroke dashstyle="solid"/>
            </v:line>
            <v:line style="position:absolute" from="7318,9085" to="7318,9372" stroked="true" strokeweight="1.625pt" strokecolor="#006caa">
              <v:stroke dashstyle="solid"/>
            </v:line>
            <v:shape style="position:absolute;left:7323;top:9362;width:35;height:73" coordorigin="7324,9362" coordsize="35,73" path="m7324,9362l7336,9410m7336,9410l7349,9435m7349,9435l7359,9387e" filled="false" stroked="true" strokeweight="1pt" strokecolor="#006caa">
              <v:path arrowok="t"/>
              <v:stroke dashstyle="solid"/>
            </v:shape>
            <v:line style="position:absolute" from="7365,9377" to="7365,9505" stroked="true" strokeweight="1.625pt" strokecolor="#006caa">
              <v:stroke dashstyle="solid"/>
            </v:line>
            <v:line style="position:absolute" from="7371,9495" to="7384,9472" stroked="true" strokeweight="1pt" strokecolor="#006caa">
              <v:stroke dashstyle="solid"/>
            </v:line>
            <v:line style="position:absolute" from="7390,9462" to="7390,9627" stroked="true" strokeweight="1.625pt" strokecolor="#006caa">
              <v:stroke dashstyle="solid"/>
            </v:line>
            <v:shape style="position:absolute;left:7396;top:9494;width:25;height:123" coordorigin="7396,9495" coordsize="25,123" path="m7396,9617l7409,9532m7409,9532l7421,9495e" filled="false" stroked="true" strokeweight="1pt" strokecolor="#006caa">
              <v:path arrowok="t"/>
              <v:stroke dashstyle="solid"/>
            </v:shape>
            <v:line style="position:absolute" from="7428,9485" to="7428,9640" stroked="true" strokeweight="1.625pt" strokecolor="#006caa">
              <v:stroke dashstyle="solid"/>
            </v:line>
            <v:shape style="position:absolute;left:7433;top:9129;width:25;height:500" coordorigin="7434,9130" coordsize="25,500" path="m7434,9630l7446,9580m7446,9580l7449,9582m7446,9580l7459,9130e" filled="false" stroked="true" strokeweight="1pt" strokecolor="#006caa">
              <v:path arrowok="t"/>
              <v:stroke dashstyle="solid"/>
            </v:shape>
            <v:line style="position:absolute" from="7465,8940" to="7465,9140" stroked="true" strokeweight="1.625pt" strokecolor="#006caa">
              <v:stroke dashstyle="solid"/>
            </v:line>
            <v:shape style="position:absolute;left:7471;top:8912;width:25;height:38" coordorigin="7471,8912" coordsize="25,38" path="m7471,8950l7484,8925m7484,8925l7496,8912e" filled="false" stroked="true" strokeweight="1pt" strokecolor="#006caa">
              <v:path arrowok="t"/>
              <v:stroke dashstyle="solid"/>
            </v:shape>
            <v:line style="position:absolute" from="7501,8660" to="7501,8922" stroked="true" strokeweight="1.5pt" strokecolor="#006caa">
              <v:stroke dashstyle="solid"/>
            </v:line>
            <v:shape style="position:absolute;left:7512;top:8307;width:13;height:373" coordorigin="7513,8307" coordsize="13,373" path="m7513,8525l7513,8680m7525,8307l7525,8545e" filled="false" stroked="true" strokeweight="1.625pt" strokecolor="#006caa">
              <v:path arrowok="t"/>
              <v:stroke dashstyle="solid"/>
            </v:shape>
            <v:line style="position:absolute" from="7531,8317" to="7544,8352" stroked="true" strokeweight="1pt" strokecolor="#006caa">
              <v:stroke dashstyle="solid"/>
            </v:line>
            <v:shape style="position:absolute;left:7550;top:7954;width:13;height:408" coordorigin="7550,7955" coordsize="13,408" path="m7550,8210l7550,8362m7563,7955l7563,8230e" filled="false" stroked="true" strokeweight="1.625pt" strokecolor="#006caa">
              <v:path arrowok="t"/>
              <v:stroke dashstyle="solid"/>
            </v:shape>
            <v:line style="position:absolute" from="7569,7965" to="7581,7940" stroked="true" strokeweight="1pt" strokecolor="#006caa">
              <v:stroke dashstyle="solid"/>
            </v:line>
            <v:shape style="position:absolute;left:7587;top:7929;width:38;height:810" coordorigin="7588,7930" coordsize="38,810" path="m7588,7930l7588,8060m7600,8040l7600,8340m7613,8320l7613,8582m7625,8562l7625,8740e" filled="false" stroked="true" strokeweight="1.625pt" strokecolor="#006caa">
              <v:path arrowok="t"/>
              <v:stroke dashstyle="solid"/>
            </v:shape>
            <v:line style="position:absolute" from="7633,8720" to="7633,8790" stroked="true" strokeweight="1.125pt" strokecolor="#006caa">
              <v:stroke dashstyle="solid"/>
            </v:line>
            <v:line style="position:absolute" from="7631,8780" to="7644,8840" stroked="true" strokeweight="1pt" strokecolor="#006caa">
              <v:stroke dashstyle="solid"/>
            </v:line>
            <v:line style="position:absolute" from="7649,8830" to="7649,9055" stroked="true" strokeweight="1.5pt" strokecolor="#006caa">
              <v:stroke dashstyle="solid"/>
            </v:line>
            <v:shape style="position:absolute;left:7653;top:9044;width:25;height:160" coordorigin="7654,9045" coordsize="25,160" path="m7654,9045l7666,9120m7666,9120l7679,9205e" filled="false" stroked="true" strokeweight="1pt" strokecolor="#006caa">
              <v:path arrowok="t"/>
              <v:stroke dashstyle="solid"/>
            </v:shape>
            <v:line style="position:absolute" from="7685,9195" to="7685,9335" stroked="true" strokeweight="1.625pt" strokecolor="#006caa">
              <v:stroke dashstyle="solid"/>
            </v:line>
            <v:shape style="position:absolute;left:7691;top:9324;width:25;height:110" coordorigin="7691,9325" coordsize="25,110" path="m7691,9325l7704,9397m7704,9397l7716,9435e" filled="false" stroked="true" strokeweight="1pt" strokecolor="#006caa">
              <v:path arrowok="t"/>
              <v:stroke dashstyle="solid"/>
            </v:shape>
            <v:line style="position:absolute" from="7723,9170" to="7723,9445" stroked="true" strokeweight="1.625pt" strokecolor="#006caa">
              <v:stroke dashstyle="solid"/>
            </v:line>
            <v:shape style="position:absolute;left:7728;top:8852;width:98;height:400" coordorigin="7729,8852" coordsize="98,400" path="m7729,9180l7741,9227m7741,9227l7754,9252m7754,9252l7766,9205m7766,9205l7779,9207m7779,9205l7791,9142m7791,9142l7801,8852m7801,8852l7814,8875m7814,8875l7826,8865e" filled="false" stroked="true" strokeweight="1pt" strokecolor="#006caa">
              <v:path arrowok="t"/>
              <v:stroke dashstyle="solid"/>
            </v:shape>
            <v:line style="position:absolute" from="7828,8757" to="7828,8875" stroked="true" strokeweight="1.125pt" strokecolor="#006caa">
              <v:stroke dashstyle="solid"/>
            </v:line>
            <v:line style="position:absolute" from="7833,8635" to="7833,8777" stroked="true" strokeweight="1.625pt" strokecolor="#006caa">
              <v:stroke dashstyle="solid"/>
            </v:line>
            <v:shape style="position:absolute;left:7838;top:8547;width:50;height:403" coordorigin="7839,8547" coordsize="50,403" path="m7839,8645l7851,8547m7851,8547l7864,8865m7864,8865l7876,8950m7876,8950l7889,8900e" filled="false" stroked="true" strokeweight="1pt" strokecolor="#006caa">
              <v:path arrowok="t"/>
              <v:stroke dashstyle="solid"/>
            </v:shape>
            <v:shape style="position:absolute;left:7895;top:8574;width:25;height:335" coordorigin="7895,8575" coordsize="25,335" path="m7895,8745l7895,8910m7908,8575l7908,8765m7920,8575l7920,8702e" filled="false" stroked="true" strokeweight="1.625pt" strokecolor="#006caa">
              <v:path arrowok="t"/>
              <v:stroke dashstyle="solid"/>
            </v:shape>
            <v:line style="position:absolute" from="7926,8692" to="7939,8695" stroked="true" strokeweight="1pt" strokecolor="#006caa">
              <v:stroke dashstyle="solid"/>
            </v:line>
            <v:line style="position:absolute" from="7944,8490" to="7944,8702" stroked="true" strokeweight="1.5pt" strokecolor="#006caa">
              <v:stroke dashstyle="solid"/>
            </v:line>
            <v:shape style="position:absolute;left:7948;top:8449;width:38;height:63" coordorigin="7949,8450" coordsize="38,63" path="m7949,8500l7961,8450m7961,8450l7974,8512m7974,8512l7986,8487e" filled="false" stroked="true" strokeweight="1pt" strokecolor="#006caa">
              <v:path arrowok="t"/>
              <v:stroke dashstyle="solid"/>
            </v:shape>
            <v:shape style="position:absolute;left:7976;top:8477;width:45;height:140" coordorigin="7976,8477" coordsize="45,140" path="m8021,8477l8009,8477,7989,8477,7976,8477,7976,8617,7989,8617,8009,8617,8021,8617,8021,8477xe" filled="true" fillcolor="#006caa" stroked="false">
              <v:path arrowok="t"/>
              <v:fill type="solid"/>
            </v:shape>
            <v:shape style="position:absolute;left:8011;top:8487;width:38;height:243" coordorigin="8011,8487" coordsize="38,243" path="m8011,8487l8014,8500m8011,8500l8024,8547m8024,8547l8036,8632m8036,8632l8049,8730e" filled="false" stroked="true" strokeweight="1pt" strokecolor="#006caa">
              <v:path arrowok="t"/>
              <v:stroke dashstyle="solid"/>
            </v:shape>
            <v:line style="position:absolute" from="8055,8562" to="8055,8740" stroked="true" strokeweight="1.625pt" strokecolor="#006caa">
              <v:stroke dashstyle="solid"/>
            </v:line>
            <v:shape style="position:absolute;left:8061;top:8534;width:25;height:63" coordorigin="8061,8535" coordsize="25,63" path="m8061,8572l8074,8535m8074,8535l8086,8597e" filled="false" stroked="true" strokeweight="1pt" strokecolor="#006caa">
              <v:path arrowok="t"/>
              <v:stroke dashstyle="solid"/>
            </v:shape>
            <v:line style="position:absolute" from="8091,8587" to="8091,8702" stroked="true" strokeweight="1.5pt" strokecolor="#006caa">
              <v:stroke dashstyle="solid"/>
            </v:line>
            <v:shape style="position:absolute;left:8096;top:8657;width:25;height:48" coordorigin="8096,8657" coordsize="25,48" path="m8096,8692l8109,8705m8109,8705l8121,8657e" filled="false" stroked="true" strokeweight="1pt" strokecolor="#006caa">
              <v:path arrowok="t"/>
              <v:stroke dashstyle="solid"/>
            </v:shape>
            <v:shape style="position:absolute;left:8127;top:8367;width:13;height:300" coordorigin="8128,8367" coordsize="13,300" path="m8128,8512l8128,8667m8140,8367l8140,8532e" filled="false" stroked="true" strokeweight="1.625pt" strokecolor="#006caa">
              <v:path arrowok="t"/>
              <v:stroke dashstyle="solid"/>
            </v:shape>
            <v:shape style="position:absolute;left:8146;top:8377;width:63;height:960" coordorigin="8146,8377" coordsize="63,960" path="m8146,8377l8159,8415m8159,8415l8171,8780m8171,8780l8184,9215m8184,9215l8196,9277m8196,9277l8209,9337e" filled="false" stroked="true" strokeweight="1pt" strokecolor="#006caa">
              <v:path arrowok="t"/>
              <v:stroke dashstyle="solid"/>
            </v:shape>
            <v:line style="position:absolute" from="8210,9327" to="8210,9420" stroked="true" strokeweight="1.125pt" strokecolor="#006caa">
              <v:stroke dashstyle="solid"/>
            </v:line>
            <v:shape style="position:absolute;left:8208;top:9409;width:60;height:123" coordorigin="8209,9410" coordsize="60,123" path="m8209,9410l8221,9435m8221,9435l8234,9437m8234,9435l8244,9482m8244,9482l8256,9460m8256,9460l8269,9532e" filled="false" stroked="true" strokeweight="1pt" strokecolor="#006caa">
              <v:path arrowok="t"/>
              <v:stroke dashstyle="solid"/>
            </v:shape>
            <v:line style="position:absolute" from="8275,9522" to="8275,9700" stroked="true" strokeweight="1.625pt" strokecolor="#006caa">
              <v:stroke dashstyle="solid"/>
            </v:line>
            <v:shape style="position:absolute;left:8281;top:9239;width:25;height:450" coordorigin="8281,9240" coordsize="25,450" path="m8281,9690l8294,9592m8294,9592l8306,9240e" filled="false" stroked="true" strokeweight="1pt" strokecolor="#006caa">
              <v:path arrowok="t"/>
              <v:stroke dashstyle="solid"/>
            </v:shape>
            <v:line style="position:absolute" from="8313,8950" to="8313,9250" stroked="true" strokeweight="1.625pt" strokecolor="#006caa">
              <v:stroke dashstyle="solid"/>
            </v:line>
            <v:shape style="position:absolute;left:8318;top:8864;width:50;height:108" coordorigin="8319,8865" coordsize="50,108" path="m8319,8960l8331,8865m8331,8865l8344,8875m8344,8875l8356,8877m8356,8875l8369,8972e" filled="false" stroked="true" strokeweight="1pt" strokecolor="#006caa">
              <v:path arrowok="t"/>
              <v:stroke dashstyle="solid"/>
            </v:shape>
            <v:line style="position:absolute" from="8375,8842" to="8375,8982" stroked="true" strokeweight="1.625pt" strokecolor="#006caa">
              <v:stroke dashstyle="solid"/>
            </v:line>
            <v:line style="position:absolute" from="8386,8660" to="8386,8862" stroked="true" strokeweight="1.5pt" strokecolor="#006caa">
              <v:stroke dashstyle="solid"/>
            </v:line>
            <v:line style="position:absolute" from="8393,8660" to="8393,8752" stroked="true" strokeweight="1.125pt" strokecolor="#006caa">
              <v:stroke dashstyle="solid"/>
            </v:line>
            <v:line style="position:absolute" from="8391,8742" to="8404,8657" stroked="true" strokeweight="1pt" strokecolor="#006caa">
              <v:stroke dashstyle="solid"/>
            </v:line>
            <v:line style="position:absolute" from="8410,8440" to="8410,8667" stroked="true" strokeweight="1.625pt" strokecolor="#006caa">
              <v:stroke dashstyle="solid"/>
            </v:line>
            <v:line style="position:absolute" from="8416,8450" to="8429,8500" stroked="true" strokeweight="1pt" strokecolor="#006caa">
              <v:stroke dashstyle="solid"/>
            </v:line>
            <v:line style="position:absolute" from="8435,8490" to="8435,8617" stroked="true" strokeweight="1.625pt" strokecolor="#006caa">
              <v:stroke dashstyle="solid"/>
            </v:line>
            <v:shape style="position:absolute;left:8441;top:8584;width:25;height:23" coordorigin="8441,8585" coordsize="25,23" path="m8441,8607l8454,8597m8454,8597l8466,8585e" filled="false" stroked="true" strokeweight="1pt" strokecolor="#006caa">
              <v:path arrowok="t"/>
              <v:stroke dashstyle="solid"/>
            </v:shape>
            <v:shape style="position:absolute;left:8472;top:8574;width:13;height:348" coordorigin="8473,8575" coordsize="13,348" path="m8473,8575l8473,8752m8485,8732l8485,8922e" filled="false" stroked="true" strokeweight="1.625pt" strokecolor="#006caa">
              <v:path arrowok="t"/>
              <v:stroke dashstyle="solid"/>
            </v:shape>
            <v:shape style="position:absolute;left:8491;top:8839;width:73;height:485" coordorigin="8491,8840" coordsize="73,485" path="m8491,8912l8504,8840m8504,8840l8516,8925m8516,8925l8529,8937m8529,8937l8539,8940m8539,8937l8551,8997m8551,8997l8564,9325e" filled="false" stroked="true" strokeweight="1pt" strokecolor="#006caa">
              <v:path arrowok="t"/>
              <v:stroke dashstyle="solid"/>
            </v:shape>
            <v:line style="position:absolute" from="8570,9315" to="8570,9445" stroked="true" strokeweight="1.625pt" strokecolor="#006caa">
              <v:stroke dashstyle="solid"/>
            </v:line>
            <v:line style="position:absolute" from="8578,9425" to="8578,9505" stroked="true" strokeweight="1.125pt" strokecolor="#006caa">
              <v:stroke dashstyle="solid"/>
            </v:line>
            <v:line style="position:absolute" from="8583,9377" to="8583,9505" stroked="true" strokeweight="1.625pt" strokecolor="#006caa">
              <v:stroke dashstyle="solid"/>
            </v:line>
            <v:shape style="position:absolute;left:8588;top:8924;width:98;height:463" coordorigin="8589,8925" coordsize="98,463" path="m8589,9387l8614,9312m8614,9312l8626,8972m8626,8972l8639,8975m8639,8972l8651,8925m8651,8925l8664,9022m8664,9022l8676,9095m8676,9095l8686,9082e" filled="false" stroked="true" strokeweight="1pt" strokecolor="#006caa">
              <v:path arrowok="t"/>
              <v:stroke dashstyle="solid"/>
            </v:shape>
            <v:shape style="position:absolute;left:8692;top:8659;width:13;height:433" coordorigin="8693,8660" coordsize="13,433" path="m8693,8770l8693,9092m8705,8660l8705,8790e" filled="false" stroked="true" strokeweight="1.625pt" strokecolor="#006caa">
              <v:path arrowok="t"/>
              <v:stroke dashstyle="solid"/>
            </v:shape>
            <v:shape style="position:absolute;left:8711;top:8584;width:38;height:183" coordorigin="8711,8585" coordsize="38,183" path="m8711,8670l8724,8585m8724,8585l8736,8682m8736,8682l8749,8767e" filled="false" stroked="true" strokeweight="1pt" strokecolor="#006caa">
              <v:path arrowok="t"/>
              <v:stroke dashstyle="solid"/>
            </v:shape>
            <v:line style="position:absolute" from="8755,8537" to="8755,8777" stroked="true" strokeweight="1.625pt" strokecolor="#006caa">
              <v:stroke dashstyle="solid"/>
            </v:line>
            <v:line style="position:absolute" from="8761,8547" to="8774,8875" stroked="true" strokeweight="1pt" strokecolor="#006caa">
              <v:stroke dashstyle="solid"/>
            </v:line>
            <v:line style="position:absolute" from="8775,8865" to="8775,8995" stroked="true" strokeweight="1.125pt" strokecolor="#006caa">
              <v:stroke dashstyle="solid"/>
            </v:line>
            <v:shape style="position:absolute;left:8773;top:8924;width:110;height:133" coordorigin="8774,8925" coordsize="110,133" path="m8774,8985l8786,9035m8786,9035l8799,8972m8799,8972l8811,9022m8811,9022l8824,8985m8824,8985l8834,9035m8834,9035l8846,9022m8846,9022l8859,9057m8859,9057l8871,8972m8871,8972l8884,8925e" filled="false" stroked="true" strokeweight="1pt" strokecolor="#006caa">
              <v:path arrowok="t"/>
              <v:stroke dashstyle="solid"/>
            </v:shape>
            <v:line style="position:absolute" from="8890,8915" to="8890,9117" stroked="true" strokeweight="1.625pt" strokecolor="#006caa">
              <v:stroke dashstyle="solid"/>
            </v:line>
            <v:shape style="position:absolute;left:8896;top:8959;width:63;height:148" coordorigin="8896,8960" coordsize="63,148" path="m8896,9107l8909,9045m8909,9045l8921,8960m8921,8960l8934,9010m8934,9010l8946,9035m8946,9035l8959,8972e" filled="false" stroked="true" strokeweight="1pt" strokecolor="#006caa">
              <v:path arrowok="t"/>
              <v:stroke dashstyle="solid"/>
            </v:shape>
            <v:line style="position:absolute" from="8960,8962" to="8960,9032" stroked="true" strokeweight="1.125pt" strokecolor="#006caa">
              <v:stroke dashstyle="solid"/>
            </v:line>
            <v:shape style="position:absolute;left:8958;top:8912;width:195;height:315" coordorigin="8959,8912" coordsize="195,315" path="m8959,9022l8971,8997m8971,8997l8981,8972m8981,8972l8994,8912m8994,8912l9006,8985m9006,8985l9019,9045m9019,9045l9031,8997m9031,8997l9044,9045m9044,9045l9056,9142m9056,9142l9069,9192m9069,9192l9081,9180m9081,9180l9094,9182m9094,9180l9106,9192m9106,9192l9119,9155m9119,9155l9129,9167m9129,9167l9141,9215m9141,9215l9154,9227e" filled="false" stroked="true" strokeweight="1pt" strokecolor="#006caa">
              <v:path arrowok="t"/>
              <v:stroke dashstyle="solid"/>
            </v:shape>
            <v:line style="position:absolute" from="9155,9217" to="9155,9275" stroked="true" strokeweight="1.125pt" strokecolor="#006caa">
              <v:stroke dashstyle="solid"/>
            </v:line>
            <v:shape style="position:absolute;left:9153;top:9057;width:38;height:208" coordorigin="9154,9057" coordsize="38,208" path="m9154,9265l9166,9252m9166,9252l9191,9057e" filled="false" stroked="true" strokeweight="1pt" strokecolor="#006caa">
              <v:path arrowok="t"/>
              <v:stroke dashstyle="solid"/>
            </v:shape>
            <v:line style="position:absolute" from="9198,8877" to="9198,9067" stroked="true" strokeweight="1.625pt" strokecolor="#006caa">
              <v:stroke dashstyle="solid"/>
            </v:line>
            <v:line style="position:absolute" from="9204,8887" to="9229,8767" stroked="true" strokeweight="1pt" strokecolor="#006caa">
              <v:stroke dashstyle="solid"/>
            </v:line>
            <v:line style="position:absolute" from="9235,8635" to="9235,8777" stroked="true" strokeweight="1.625pt" strokecolor="#006caa">
              <v:stroke dashstyle="solid"/>
            </v:line>
            <v:shape style="position:absolute;left:9241;top:8499;width:48;height:218" coordorigin="9241,8500" coordsize="48,218" path="m9241,8645l9254,8717m9254,8717l9266,8645m9266,8645l9276,8597m9276,8597l9289,8500e" filled="false" stroked="true" strokeweight="1pt" strokecolor="#006caa">
              <v:path arrowok="t"/>
              <v:stroke dashstyle="solid"/>
            </v:shape>
            <v:line style="position:absolute" from="9295,8355" to="9295,8510" stroked="true" strokeweight="1.625pt" strokecolor="#006caa">
              <v:stroke dashstyle="solid"/>
            </v:line>
            <v:shape style="position:absolute;left:9301;top:8364;width:38;height:98" coordorigin="9301,8365" coordsize="38,98" path="m9301,8365l9314,8437m9314,8437l9326,8377m9326,8377l9339,8462e" filled="false" stroked="true" strokeweight="1pt" strokecolor="#006caa">
              <v:path arrowok="t"/>
              <v:stroke dashstyle="solid"/>
            </v:shape>
            <v:line style="position:absolute" from="9340,8452" to="9340,8557" stroked="true" strokeweight="1.125pt" strokecolor="#006caa">
              <v:stroke dashstyle="solid"/>
            </v:line>
            <v:shape style="position:absolute;left:9338;top:8547;width:25;height:85" coordorigin="9339,8547" coordsize="25,85" path="m9339,8547l9351,8572m9351,8572l9364,8632e" filled="false" stroked="true" strokeweight="1pt" strokecolor="#006caa">
              <v:path arrowok="t"/>
              <v:stroke dashstyle="solid"/>
            </v:shape>
            <v:line style="position:absolute" from="9370,8622" to="9370,8837" stroked="true" strokeweight="1.625pt" strokecolor="#006caa">
              <v:stroke dashstyle="solid"/>
            </v:line>
            <v:shape style="position:absolute;left:9376;top:8619;width:98;height:208" coordorigin="9376,8620" coordsize="98,208" path="m9376,8827l9389,8767m9389,8767l9401,8815m9401,8815l9414,8717m9414,8717l9424,8645m9424,8645l9436,8705m9436,8705l9449,8620m9449,8620l9461,8657m9461,8657l9474,8670e" filled="false" stroked="true" strokeweight="1pt" strokecolor="#006caa">
              <v:path arrowok="t"/>
              <v:stroke dashstyle="solid"/>
            </v:shape>
            <v:shape style="position:absolute;left:9480;top:8159;width:38;height:630" coordorigin="9480,8160" coordsize="38,630" path="m9480,8660l9480,8790m9493,8575l9493,8790m9505,8452l9505,8595m9518,8160l9518,8472e" filled="false" stroked="true" strokeweight="1.625pt" strokecolor="#006caa">
              <v:path arrowok="t"/>
              <v:stroke dashstyle="solid"/>
            </v:shape>
            <v:line style="position:absolute" from="9525,8160" to="9525,8255" stroked="true" strokeweight="1.125pt" strokecolor="#006caa">
              <v:stroke dashstyle="solid"/>
            </v:line>
            <v:shape style="position:absolute;left:9523;top:8244;width:25;height:108" coordorigin="9524,8245" coordsize="25,108" path="m9524,8245l9536,8280m9536,8280l9549,8352e" filled="false" stroked="true" strokeweight="1pt" strokecolor="#006caa">
              <v:path arrowok="t"/>
              <v:stroke dashstyle="solid"/>
            </v:shape>
            <v:line style="position:absolute" from="9555,8342" to="9555,8557" stroked="true" strokeweight="1.625pt" strokecolor="#006caa">
              <v:stroke dashstyle="solid"/>
            </v:line>
            <v:shape style="position:absolute;left:9561;top:8512;width:35;height:73" coordorigin="9561,8512" coordsize="35,73" path="m9561,8547l9571,8512m9571,8512l9584,8585m9584,8585l9596,8535e" filled="false" stroked="true" strokeweight="1pt" strokecolor="#006caa">
              <v:path arrowok="t"/>
              <v:stroke dashstyle="solid"/>
            </v:shape>
            <v:shape style="position:absolute;left:9602;top:8099;width:38;height:483" coordorigin="9603,8100" coordsize="38,483" path="m9603,8332l9603,8545m9615,8100l9615,8352m9628,8100l9628,8425m9640,8405l9640,8582e" filled="false" stroked="true" strokeweight="1.625pt" strokecolor="#006caa">
              <v:path arrowok="t"/>
              <v:stroke dashstyle="solid"/>
            </v:shape>
            <v:line style="position:absolute" from="9646,8572" to="9659,8607" stroked="true" strokeweight="1pt" strokecolor="#006caa">
              <v:stroke dashstyle="solid"/>
            </v:line>
            <v:shape style="position:absolute;left:9665;top:8597;width:13;height:410" coordorigin="9665,8597" coordsize="13,410" path="m9665,8597l9665,8837m9678,8817l9678,9007e" filled="false" stroked="true" strokeweight="1.625pt" strokecolor="#006caa">
              <v:path arrowok="t"/>
              <v:stroke dashstyle="solid"/>
            </v:shape>
            <v:shape style="position:absolute;left:9683;top:8632;width:35;height:378" coordorigin="9684,8632" coordsize="35,378" path="m9684,8997l9696,9010m9696,9010l9709,8682m9709,8682l9719,8632e" filled="false" stroked="true" strokeweight="1pt" strokecolor="#006caa">
              <v:path arrowok="t"/>
              <v:stroke dashstyle="solid"/>
            </v:shape>
            <v:line style="position:absolute" from="9720,8490" to="9720,8642" stroked="true" strokeweight="1.125pt" strokecolor="#006caa">
              <v:stroke dashstyle="solid"/>
            </v:line>
            <v:line style="position:absolute" from="9725,8490" to="9725,8702" stroked="true" strokeweight="1.625pt" strokecolor="#006caa">
              <v:stroke dashstyle="solid"/>
            </v:line>
            <v:shape style="position:absolute;left:9731;top:8644;width:75;height:110" coordorigin="9731,8645" coordsize="75,110" path="m9731,8692l9744,8755m9744,8755l9756,8730m9756,8730l9769,8732m9769,8730l9781,8742m9781,8742l9794,8745m9794,8742l9806,8645e" filled="false" stroked="true" strokeweight="1pt" strokecolor="#006caa">
              <v:path arrowok="t"/>
              <v:stroke dashstyle="solid"/>
            </v:shape>
            <v:line style="position:absolute" from="9813,8490" to="9813,8655" stroked="true" strokeweight="1.625pt" strokecolor="#006caa">
              <v:stroke dashstyle="solid"/>
            </v:line>
            <v:line style="position:absolute" from="9819,8500" to="9831,8585" stroked="true" strokeweight="1pt" strokecolor="#006caa">
              <v:stroke dashstyle="solid"/>
            </v:line>
            <v:line style="position:absolute" from="9838,8575" to="9838,8702" stroked="true" strokeweight="1.625pt" strokecolor="#006caa">
              <v:stroke dashstyle="solid"/>
            </v:line>
            <v:line style="position:absolute" from="9844,8692" to="9856,8730" stroked="true" strokeweight="1pt" strokecolor="#006caa">
              <v:stroke dashstyle="solid"/>
            </v:line>
            <v:line style="position:absolute" from="9861,8720" to="9861,8875" stroked="true" strokeweight="1.5pt" strokecolor="#006caa">
              <v:stroke dashstyle="solid"/>
            </v:line>
            <v:shape style="position:absolute;left:9866;top:8864;width:38;height:120" coordorigin="9866,8865" coordsize="38,120" path="m9866,8865l9879,8937m9879,8937l9891,8912m9891,8912l9904,8985e" filled="false" stroked="true" strokeweight="1pt" strokecolor="#006caa">
              <v:path arrowok="t"/>
              <v:stroke dashstyle="solid"/>
            </v:shape>
            <v:line style="position:absolute" from="9905,8975" to="9905,9067" stroked="true" strokeweight="1.125pt" strokecolor="#006caa">
              <v:stroke dashstyle="solid"/>
            </v:line>
            <v:shape style="position:absolute;left:9903;top:8959;width:25;height:98" coordorigin="9904,8960" coordsize="25,98" path="m9904,9057l9916,8960m9916,8960l9929,9057e" filled="false" stroked="true" strokeweight="1pt" strokecolor="#006caa">
              <v:path arrowok="t"/>
              <v:stroke dashstyle="solid"/>
            </v:shape>
            <v:rect style="position:absolute;left:9918;top:8914;width:33;height:153" filled="true" fillcolor="#006caa" stroked="false">
              <v:fill type="solid"/>
            </v:rect>
            <v:line style="position:absolute" from="9941,8925" to="9954,8937" stroked="true" strokeweight="1pt" strokecolor="#006caa">
              <v:stroke dashstyle="solid"/>
            </v:line>
            <v:rect style="position:absolute;left:9943;top:8927;width:33;height:128" filled="true" fillcolor="#006caa" stroked="false">
              <v:fill type="solid"/>
            </v:rect>
            <v:shape style="position:absolute;left:9972;top:9034;width:13;height:363" coordorigin="9973,9035" coordsize="13,363" path="m9973,9035l9973,9250m9985,9230l9985,9397e" filled="false" stroked="true" strokeweight="1.625pt" strokecolor="#006caa">
              <v:path arrowok="t"/>
              <v:stroke dashstyle="solid"/>
            </v:shape>
            <v:line style="position:absolute" from="9991,9387" to="10004,9375" stroked="true" strokeweight="1pt" strokecolor="#006caa">
              <v:stroke dashstyle="solid"/>
            </v:line>
            <v:shape style="position:absolute;left:6257;top:7287;width:3907;height:2891" coordorigin="6257,7287" coordsize="3907,2891" path="m6257,7770l6344,7770m6257,8245l6344,8245m6257,8730l6344,8730m6257,9217l6344,9217m6257,9692l6344,9692m6257,10177l6344,10177m6257,7287l6344,7287m10077,7770l10164,7770m10077,8245l10164,8245m10077,8730l10164,8730m10077,9217l10164,9217m10077,9692l10164,9692m10077,10177l10164,10177m10077,7287l10164,7287e" filled="false" stroked="true" strokeweight=".5pt" strokecolor="#000000">
              <v:path arrowok="t"/>
              <v:stroke dashstyle="solid"/>
            </v:shape>
            <v:line style="position:absolute" from="6411,10177" to="10011,10177" stroked="true" strokeweight=".5pt" strokecolor="#000000">
              <v:stroke dashstyle="solid"/>
            </v:line>
            <v:shape style="position:absolute;left:6403;top:10115;width:3603;height:68" coordorigin="6404,10115" coordsize="3603,68" path="m6404,10115l6404,10182m6686,10115l6686,10182m9451,10115l9451,10182m9169,10115l9169,10182m8616,10115l8616,10182m6956,10115l6956,10182m7239,10115l7239,10182m7509,10115l7509,10182m7794,10115l7794,10182m8346,10115l8346,10182m9721,10115l9721,10182m8064,10115l8064,10182m8899,10115l8899,10182m10006,10115l10006,10182e" filled="false" stroked="true" strokeweight=".5pt" strokecolor="#000000">
              <v:path arrowok="t"/>
              <v:stroke dashstyle="solid"/>
            </v:shape>
            <v:line style="position:absolute" from="6396,9217" to="9996,9217" stroked="true" strokeweight=".5pt" strokecolor="#000000">
              <v:stroke dashstyle="solid"/>
            </v:line>
            <w10:wrap type="none"/>
          </v:group>
        </w:pict>
      </w:r>
      <w:r>
        <w:rPr>
          <w:w w:val="105"/>
        </w:rPr>
        <w:t>The </w:t>
      </w:r>
      <w:r>
        <w:rPr>
          <w:spacing w:val="-3"/>
          <w:w w:val="105"/>
        </w:rPr>
        <w:t>pattern </w:t>
      </w:r>
      <w:r>
        <w:rPr>
          <w:w w:val="105"/>
        </w:rPr>
        <w:t>of changes in demand and prices across countries </w:t>
      </w:r>
      <w:r>
        <w:rPr>
          <w:spacing w:val="-3"/>
          <w:w w:val="105"/>
        </w:rPr>
        <w:t>may </w:t>
      </w:r>
      <w:r>
        <w:rPr>
          <w:w w:val="105"/>
        </w:rPr>
        <w:t>be affected </w:t>
      </w:r>
      <w:r>
        <w:rPr>
          <w:spacing w:val="-3"/>
          <w:w w:val="105"/>
        </w:rPr>
        <w:t>by </w:t>
      </w:r>
      <w:r>
        <w:rPr>
          <w:w w:val="105"/>
        </w:rPr>
        <w:t>exchange </w:t>
      </w:r>
      <w:r>
        <w:rPr>
          <w:spacing w:val="-4"/>
          <w:w w:val="105"/>
        </w:rPr>
        <w:t>rate </w:t>
      </w:r>
      <w:r>
        <w:rPr>
          <w:w w:val="105"/>
        </w:rPr>
        <w:t>movements. The dollar has fallen substantially since the November </w:t>
      </w:r>
      <w:r>
        <w:rPr>
          <w:i/>
          <w:w w:val="105"/>
        </w:rPr>
        <w:t>Inflation Report</w:t>
      </w:r>
      <w:r>
        <w:rPr>
          <w:w w:val="105"/>
        </w:rPr>
        <w:t>.  Currency appreciation against the dollar has amplified the disinflationary impact of </w:t>
      </w:r>
      <w:r>
        <w:rPr>
          <w:spacing w:val="-3"/>
          <w:w w:val="105"/>
        </w:rPr>
        <w:t>weaker </w:t>
      </w:r>
      <w:r>
        <w:rPr>
          <w:w w:val="105"/>
        </w:rPr>
        <w:t>US demand in some cases, for example in the euro area. But in others, where </w:t>
      </w:r>
      <w:r>
        <w:rPr>
          <w:spacing w:val="-3"/>
          <w:w w:val="105"/>
        </w:rPr>
        <w:t>exchange </w:t>
      </w:r>
      <w:r>
        <w:rPr>
          <w:spacing w:val="-4"/>
          <w:w w:val="105"/>
        </w:rPr>
        <w:t>rates </w:t>
      </w:r>
      <w:r>
        <w:rPr>
          <w:w w:val="105"/>
        </w:rPr>
        <w:t>are closely linked </w:t>
      </w:r>
      <w:r>
        <w:rPr>
          <w:spacing w:val="-4"/>
          <w:w w:val="105"/>
        </w:rPr>
        <w:t>to </w:t>
      </w:r>
      <w:r>
        <w:rPr>
          <w:w w:val="105"/>
        </w:rPr>
        <w:t>the dollar such as Argentina, China and Hong </w:t>
      </w:r>
      <w:r>
        <w:rPr>
          <w:spacing w:val="-3"/>
          <w:w w:val="105"/>
        </w:rPr>
        <w:t>Kong, </w:t>
      </w:r>
      <w:r>
        <w:rPr>
          <w:w w:val="105"/>
        </w:rPr>
        <w:t>competitiveness in third markets </w:t>
      </w:r>
      <w:r>
        <w:rPr>
          <w:spacing w:val="-3"/>
          <w:w w:val="105"/>
        </w:rPr>
        <w:t>may have improved, </w:t>
      </w:r>
      <w:r>
        <w:rPr>
          <w:w w:val="105"/>
        </w:rPr>
        <w:t>reducing the impact of lower US demand. In recent months, the sterling effective exchange </w:t>
      </w:r>
      <w:r>
        <w:rPr>
          <w:spacing w:val="-4"/>
          <w:w w:val="105"/>
        </w:rPr>
        <w:t>rate </w:t>
      </w:r>
      <w:r>
        <w:rPr>
          <w:w w:val="105"/>
        </w:rPr>
        <w:t>has depreciated, and this </w:t>
      </w:r>
      <w:r>
        <w:rPr>
          <w:spacing w:val="-3"/>
          <w:w w:val="105"/>
        </w:rPr>
        <w:t>may </w:t>
      </w:r>
      <w:r>
        <w:rPr>
          <w:w w:val="105"/>
        </w:rPr>
        <w:t>partly mitigate the impact  of weaker world activity on the demand for and prices of UK</w:t>
      </w:r>
      <w:r>
        <w:rPr>
          <w:spacing w:val="-7"/>
          <w:w w:val="105"/>
        </w:rPr>
        <w:t> </w:t>
      </w:r>
      <w:r>
        <w:rPr>
          <w:w w:val="105"/>
        </w:rPr>
        <w:t>goods.</w:t>
      </w:r>
    </w:p>
    <w:p>
      <w:pPr>
        <w:pStyle w:val="BodyText"/>
        <w:spacing w:before="8"/>
        <w:rPr>
          <w:sz w:val="23"/>
        </w:rPr>
      </w:pPr>
    </w:p>
    <w:p>
      <w:pPr>
        <w:pStyle w:val="BodyText"/>
        <w:spacing w:line="249" w:lineRule="auto"/>
        <w:ind w:left="448" w:right="17"/>
      </w:pPr>
      <w:r>
        <w:rPr>
          <w:w w:val="105"/>
        </w:rPr>
        <w:t>Over time, a reduction in demand </w:t>
      </w:r>
      <w:r>
        <w:rPr>
          <w:spacing w:val="-3"/>
          <w:w w:val="105"/>
        </w:rPr>
        <w:t>pressures </w:t>
      </w:r>
      <w:r>
        <w:rPr>
          <w:w w:val="105"/>
        </w:rPr>
        <w:t>relative </w:t>
      </w:r>
      <w:r>
        <w:rPr>
          <w:spacing w:val="-4"/>
          <w:w w:val="105"/>
        </w:rPr>
        <w:t>to </w:t>
      </w:r>
      <w:r>
        <w:rPr>
          <w:w w:val="105"/>
        </w:rPr>
        <w:t>global supply capacity </w:t>
      </w:r>
      <w:r>
        <w:rPr>
          <w:spacing w:val="-3"/>
          <w:w w:val="105"/>
        </w:rPr>
        <w:t>may </w:t>
      </w:r>
      <w:r>
        <w:rPr>
          <w:w w:val="105"/>
        </w:rPr>
        <w:t>be offset </w:t>
      </w:r>
      <w:r>
        <w:rPr>
          <w:spacing w:val="-3"/>
          <w:w w:val="105"/>
        </w:rPr>
        <w:t>by </w:t>
      </w:r>
      <w:r>
        <w:rPr>
          <w:w w:val="105"/>
        </w:rPr>
        <w:t>a loosening of the macroeconomic policy stance.  Market expectations of the </w:t>
      </w:r>
      <w:r>
        <w:rPr>
          <w:spacing w:val="-3"/>
          <w:w w:val="105"/>
        </w:rPr>
        <w:t>level </w:t>
      </w:r>
      <w:r>
        <w:rPr>
          <w:w w:val="105"/>
        </w:rPr>
        <w:t>of future </w:t>
      </w:r>
      <w:r>
        <w:rPr>
          <w:spacing w:val="-3"/>
          <w:w w:val="105"/>
        </w:rPr>
        <w:t>interest </w:t>
      </w:r>
      <w:r>
        <w:rPr>
          <w:spacing w:val="-4"/>
          <w:w w:val="105"/>
        </w:rPr>
        <w:t>rates </w:t>
      </w:r>
      <w:r>
        <w:rPr>
          <w:spacing w:val="-3"/>
          <w:w w:val="105"/>
        </w:rPr>
        <w:t>have </w:t>
      </w:r>
      <w:r>
        <w:rPr>
          <w:w w:val="105"/>
        </w:rPr>
        <w:t>fallen since </w:t>
      </w:r>
      <w:r>
        <w:rPr>
          <w:spacing w:val="-3"/>
          <w:w w:val="105"/>
        </w:rPr>
        <w:t>November, </w:t>
      </w:r>
      <w:r>
        <w:rPr>
          <w:w w:val="105"/>
        </w:rPr>
        <w:t>with a particularly sharp reduction in the United </w:t>
      </w:r>
      <w:r>
        <w:rPr>
          <w:spacing w:val="-3"/>
          <w:w w:val="105"/>
        </w:rPr>
        <w:t>States </w:t>
      </w:r>
      <w:r>
        <w:rPr>
          <w:w w:val="105"/>
        </w:rPr>
        <w:t>where official </w:t>
      </w:r>
      <w:r>
        <w:rPr>
          <w:spacing w:val="-3"/>
          <w:w w:val="105"/>
        </w:rPr>
        <w:t>interest </w:t>
      </w:r>
      <w:r>
        <w:rPr>
          <w:spacing w:val="-4"/>
          <w:w w:val="105"/>
        </w:rPr>
        <w:t>rates </w:t>
      </w:r>
      <w:r>
        <w:rPr>
          <w:spacing w:val="-3"/>
          <w:w w:val="105"/>
        </w:rPr>
        <w:t>were lowered by </w:t>
      </w:r>
      <w:r>
        <w:rPr>
          <w:spacing w:val="-9"/>
          <w:w w:val="105"/>
        </w:rPr>
        <w:t>100 </w:t>
      </w:r>
      <w:r>
        <w:rPr>
          <w:w w:val="105"/>
        </w:rPr>
        <w:t>basis points in</w:t>
      </w:r>
      <w:r>
        <w:rPr>
          <w:spacing w:val="49"/>
          <w:w w:val="105"/>
        </w:rPr>
        <w:t> </w:t>
      </w:r>
      <w:r>
        <w:rPr>
          <w:spacing w:val="-3"/>
          <w:w w:val="105"/>
        </w:rPr>
        <w:t>January.</w:t>
      </w:r>
    </w:p>
    <w:p>
      <w:pPr>
        <w:pStyle w:val="BodyText"/>
        <w:rPr>
          <w:sz w:val="12"/>
        </w:rPr>
      </w:pPr>
      <w:r>
        <w:rPr/>
        <w:br w:type="column"/>
      </w:r>
      <w:r>
        <w:rPr>
          <w:sz w:val="12"/>
        </w:rPr>
      </w:r>
    </w:p>
    <w:p>
      <w:pPr>
        <w:spacing w:line="116" w:lineRule="exact" w:before="82"/>
        <w:ind w:left="4438" w:right="0" w:firstLine="0"/>
        <w:jc w:val="left"/>
        <w:rPr>
          <w:sz w:val="12"/>
        </w:rPr>
      </w:pPr>
      <w:r>
        <w:rPr>
          <w:w w:val="120"/>
          <w:sz w:val="12"/>
        </w:rPr>
        <w:t>40</w:t>
      </w:r>
    </w:p>
    <w:p>
      <w:pPr>
        <w:spacing w:line="116" w:lineRule="exact" w:before="0"/>
        <w:ind w:left="500" w:right="0" w:firstLine="0"/>
        <w:jc w:val="left"/>
        <w:rPr>
          <w:sz w:val="12"/>
        </w:rPr>
      </w:pPr>
      <w:r>
        <w:rPr>
          <w:w w:val="120"/>
          <w:sz w:val="12"/>
        </w:rPr>
        <w:t>1975 77 79 81 83 85 87 89 91 93 95 97 99 2001</w:t>
      </w:r>
    </w:p>
    <w:p>
      <w:pPr>
        <w:pStyle w:val="BodyText"/>
        <w:spacing w:before="5"/>
        <w:rPr>
          <w:sz w:val="16"/>
        </w:rPr>
      </w:pPr>
    </w:p>
    <w:p>
      <w:pPr>
        <w:pStyle w:val="BodyText"/>
        <w:spacing w:line="249" w:lineRule="auto"/>
        <w:ind w:left="448" w:right="465"/>
      </w:pPr>
      <w:r>
        <w:rPr>
          <w:w w:val="105"/>
        </w:rPr>
        <w:t>Financial institutions </w:t>
      </w:r>
      <w:r>
        <w:rPr>
          <w:spacing w:val="-3"/>
          <w:w w:val="105"/>
        </w:rPr>
        <w:t>may </w:t>
      </w:r>
      <w:r>
        <w:rPr>
          <w:w w:val="105"/>
        </w:rPr>
        <w:t>tighten lending criteria </w:t>
      </w:r>
      <w:r>
        <w:rPr>
          <w:spacing w:val="-4"/>
          <w:w w:val="105"/>
        </w:rPr>
        <w:t>to </w:t>
      </w:r>
      <w:r>
        <w:rPr>
          <w:w w:val="105"/>
        </w:rPr>
        <w:t>potential </w:t>
      </w:r>
      <w:r>
        <w:rPr>
          <w:spacing w:val="-3"/>
          <w:w w:val="105"/>
        </w:rPr>
        <w:t>borrowers </w:t>
      </w:r>
      <w:r>
        <w:rPr>
          <w:w w:val="105"/>
        </w:rPr>
        <w:t>they perceive </w:t>
      </w:r>
      <w:r>
        <w:rPr>
          <w:spacing w:val="-4"/>
          <w:w w:val="105"/>
        </w:rPr>
        <w:t>to </w:t>
      </w:r>
      <w:r>
        <w:rPr>
          <w:w w:val="105"/>
        </w:rPr>
        <w:t>have become more </w:t>
      </w:r>
      <w:r>
        <w:rPr>
          <w:spacing w:val="-4"/>
          <w:w w:val="105"/>
        </w:rPr>
        <w:t>risky. </w:t>
      </w:r>
      <w:r>
        <w:rPr>
          <w:w w:val="105"/>
        </w:rPr>
        <w:t>Spreads on high-yielding US corporate bonds increased markedly in the second half of </w:t>
      </w:r>
      <w:r>
        <w:rPr>
          <w:spacing w:val="-4"/>
          <w:w w:val="105"/>
        </w:rPr>
        <w:t>2000, </w:t>
      </w:r>
      <w:r>
        <w:rPr>
          <w:w w:val="105"/>
        </w:rPr>
        <w:t>though they eased back following the </w:t>
      </w:r>
      <w:r>
        <w:rPr>
          <w:spacing w:val="-3"/>
          <w:w w:val="105"/>
        </w:rPr>
        <w:t>Federal  </w:t>
      </w:r>
      <w:r>
        <w:rPr>
          <w:spacing w:val="-4"/>
          <w:w w:val="105"/>
        </w:rPr>
        <w:t>Reserve’s </w:t>
      </w:r>
      <w:r>
        <w:rPr>
          <w:w w:val="105"/>
        </w:rPr>
        <w:t>first </w:t>
      </w:r>
      <w:r>
        <w:rPr>
          <w:spacing w:val="-4"/>
          <w:w w:val="105"/>
        </w:rPr>
        <w:t>rate </w:t>
      </w:r>
      <w:r>
        <w:rPr>
          <w:w w:val="105"/>
        </w:rPr>
        <w:t>cut at the beginning of </w:t>
      </w:r>
      <w:r>
        <w:rPr>
          <w:spacing w:val="-3"/>
          <w:w w:val="105"/>
        </w:rPr>
        <w:t>January. </w:t>
      </w:r>
      <w:r>
        <w:rPr>
          <w:w w:val="105"/>
        </w:rPr>
        <w:t>A similar </w:t>
      </w:r>
      <w:r>
        <w:rPr>
          <w:spacing w:val="-3"/>
          <w:w w:val="105"/>
        </w:rPr>
        <w:t>pattern was </w:t>
      </w:r>
      <w:r>
        <w:rPr>
          <w:w w:val="105"/>
        </w:rPr>
        <w:t>seen for spreads on emerging market debt, since lower expected borrowing costs </w:t>
      </w:r>
      <w:r>
        <w:rPr>
          <w:spacing w:val="-3"/>
          <w:w w:val="105"/>
        </w:rPr>
        <w:t>may </w:t>
      </w:r>
      <w:r>
        <w:rPr>
          <w:w w:val="105"/>
        </w:rPr>
        <w:t>reduce credit risk.  European banks </w:t>
      </w:r>
      <w:r>
        <w:rPr>
          <w:spacing w:val="-3"/>
          <w:w w:val="105"/>
        </w:rPr>
        <w:t>have played </w:t>
      </w:r>
      <w:r>
        <w:rPr>
          <w:w w:val="105"/>
        </w:rPr>
        <w:t>an important role in financing the high </w:t>
      </w:r>
      <w:r>
        <w:rPr>
          <w:spacing w:val="-4"/>
          <w:w w:val="105"/>
        </w:rPr>
        <w:t>rate </w:t>
      </w:r>
      <w:r>
        <w:rPr>
          <w:w w:val="105"/>
        </w:rPr>
        <w:t>of </w:t>
      </w:r>
      <w:r>
        <w:rPr>
          <w:spacing w:val="-3"/>
          <w:w w:val="105"/>
        </w:rPr>
        <w:t>investment </w:t>
      </w:r>
      <w:r>
        <w:rPr>
          <w:w w:val="105"/>
        </w:rPr>
        <w:t>growth in the United </w:t>
      </w:r>
      <w:r>
        <w:rPr>
          <w:spacing w:val="-3"/>
          <w:w w:val="105"/>
        </w:rPr>
        <w:t>States  </w:t>
      </w:r>
      <w:r>
        <w:rPr>
          <w:w w:val="105"/>
        </w:rPr>
        <w:t>in  recent </w:t>
      </w:r>
      <w:r>
        <w:rPr>
          <w:spacing w:val="-3"/>
          <w:w w:val="105"/>
        </w:rPr>
        <w:t>years. </w:t>
      </w:r>
      <w:r>
        <w:rPr>
          <w:spacing w:val="-7"/>
          <w:w w:val="105"/>
        </w:rPr>
        <w:t>Yet </w:t>
      </w:r>
      <w:r>
        <w:rPr>
          <w:spacing w:val="-4"/>
          <w:w w:val="105"/>
        </w:rPr>
        <w:t>to </w:t>
      </w:r>
      <w:r>
        <w:rPr>
          <w:w w:val="105"/>
        </w:rPr>
        <w:t>the </w:t>
      </w:r>
      <w:r>
        <w:rPr>
          <w:spacing w:val="-3"/>
          <w:w w:val="105"/>
        </w:rPr>
        <w:t>extent </w:t>
      </w:r>
      <w:r>
        <w:rPr>
          <w:w w:val="105"/>
        </w:rPr>
        <w:t>that relatively few of those European banks with the highest concentration of US assets </w:t>
      </w:r>
      <w:r>
        <w:rPr>
          <w:spacing w:val="-3"/>
          <w:w w:val="105"/>
        </w:rPr>
        <w:t>have extensive </w:t>
      </w:r>
      <w:r>
        <w:rPr>
          <w:spacing w:val="-4"/>
          <w:w w:val="105"/>
        </w:rPr>
        <w:t>UK-based </w:t>
      </w:r>
      <w:r>
        <w:rPr>
          <w:w w:val="105"/>
        </w:rPr>
        <w:t>operations, the impact on the UK economy of </w:t>
      </w:r>
      <w:r>
        <w:rPr>
          <w:spacing w:val="-3"/>
          <w:w w:val="105"/>
        </w:rPr>
        <w:t>any </w:t>
      </w:r>
      <w:r>
        <w:rPr>
          <w:w w:val="105"/>
        </w:rPr>
        <w:t>tightening of credit conditions </w:t>
      </w:r>
      <w:r>
        <w:rPr>
          <w:spacing w:val="-3"/>
          <w:w w:val="105"/>
        </w:rPr>
        <w:t>by </w:t>
      </w:r>
      <w:r>
        <w:rPr>
          <w:w w:val="105"/>
        </w:rPr>
        <w:t>these banks will be relatively</w:t>
      </w:r>
      <w:r>
        <w:rPr>
          <w:spacing w:val="-16"/>
          <w:w w:val="105"/>
        </w:rPr>
        <w:t> </w:t>
      </w:r>
      <w:r>
        <w:rPr>
          <w:w w:val="105"/>
        </w:rPr>
        <w:t>limited.</w:t>
      </w:r>
    </w:p>
    <w:p>
      <w:pPr>
        <w:pStyle w:val="BodyText"/>
        <w:spacing w:line="249" w:lineRule="auto" w:before="13"/>
        <w:ind w:left="448" w:right="565"/>
      </w:pPr>
      <w:r>
        <w:rPr>
          <w:w w:val="110"/>
        </w:rPr>
        <w:t>There</w:t>
      </w:r>
      <w:r>
        <w:rPr>
          <w:spacing w:val="-20"/>
          <w:w w:val="110"/>
        </w:rPr>
        <w:t> </w:t>
      </w:r>
      <w:r>
        <w:rPr>
          <w:w w:val="110"/>
        </w:rPr>
        <w:t>are</w:t>
      </w:r>
      <w:r>
        <w:rPr>
          <w:spacing w:val="-19"/>
          <w:w w:val="110"/>
        </w:rPr>
        <w:t> </w:t>
      </w:r>
      <w:r>
        <w:rPr>
          <w:w w:val="110"/>
        </w:rPr>
        <w:t>few</w:t>
      </w:r>
      <w:r>
        <w:rPr>
          <w:spacing w:val="-20"/>
          <w:w w:val="110"/>
        </w:rPr>
        <w:t> </w:t>
      </w:r>
      <w:r>
        <w:rPr>
          <w:w w:val="110"/>
        </w:rPr>
        <w:t>signs</w:t>
      </w:r>
      <w:r>
        <w:rPr>
          <w:spacing w:val="-19"/>
          <w:w w:val="110"/>
        </w:rPr>
        <w:t> </w:t>
      </w:r>
      <w:r>
        <w:rPr>
          <w:spacing w:val="-4"/>
          <w:w w:val="110"/>
        </w:rPr>
        <w:t>to</w:t>
      </w:r>
      <w:r>
        <w:rPr>
          <w:spacing w:val="-20"/>
          <w:w w:val="110"/>
        </w:rPr>
        <w:t> </w:t>
      </w:r>
      <w:r>
        <w:rPr>
          <w:w w:val="110"/>
        </w:rPr>
        <w:t>date</w:t>
      </w:r>
      <w:r>
        <w:rPr>
          <w:spacing w:val="-19"/>
          <w:w w:val="110"/>
        </w:rPr>
        <w:t> </w:t>
      </w:r>
      <w:r>
        <w:rPr>
          <w:w w:val="110"/>
        </w:rPr>
        <w:t>of</w:t>
      </w:r>
      <w:r>
        <w:rPr>
          <w:spacing w:val="-20"/>
          <w:w w:val="110"/>
        </w:rPr>
        <w:t> </w:t>
      </w:r>
      <w:r>
        <w:rPr>
          <w:spacing w:val="-3"/>
          <w:w w:val="110"/>
        </w:rPr>
        <w:t>any</w:t>
      </w:r>
      <w:r>
        <w:rPr>
          <w:spacing w:val="-19"/>
          <w:w w:val="110"/>
        </w:rPr>
        <w:t> </w:t>
      </w:r>
      <w:r>
        <w:rPr>
          <w:w w:val="110"/>
        </w:rPr>
        <w:t>marked</w:t>
      </w:r>
      <w:r>
        <w:rPr>
          <w:spacing w:val="-19"/>
          <w:w w:val="110"/>
        </w:rPr>
        <w:t> </w:t>
      </w:r>
      <w:r>
        <w:rPr>
          <w:w w:val="110"/>
        </w:rPr>
        <w:t>tightening in</w:t>
      </w:r>
      <w:r>
        <w:rPr>
          <w:spacing w:val="-9"/>
          <w:w w:val="110"/>
        </w:rPr>
        <w:t> </w:t>
      </w:r>
      <w:r>
        <w:rPr>
          <w:w w:val="110"/>
        </w:rPr>
        <w:t>credit</w:t>
      </w:r>
      <w:r>
        <w:rPr>
          <w:spacing w:val="-9"/>
          <w:w w:val="110"/>
        </w:rPr>
        <w:t> </w:t>
      </w:r>
      <w:r>
        <w:rPr>
          <w:w w:val="110"/>
        </w:rPr>
        <w:t>conditions</w:t>
      </w:r>
      <w:r>
        <w:rPr>
          <w:spacing w:val="-9"/>
          <w:w w:val="110"/>
        </w:rPr>
        <w:t> </w:t>
      </w:r>
      <w:r>
        <w:rPr>
          <w:w w:val="110"/>
        </w:rPr>
        <w:t>in</w:t>
      </w:r>
      <w:r>
        <w:rPr>
          <w:spacing w:val="-9"/>
          <w:w w:val="110"/>
        </w:rPr>
        <w:t> </w:t>
      </w:r>
      <w:r>
        <w:rPr>
          <w:w w:val="110"/>
        </w:rPr>
        <w:t>the</w:t>
      </w:r>
      <w:r>
        <w:rPr>
          <w:spacing w:val="-9"/>
          <w:w w:val="110"/>
        </w:rPr>
        <w:t> </w:t>
      </w:r>
      <w:r>
        <w:rPr>
          <w:w w:val="110"/>
        </w:rPr>
        <w:t>United</w:t>
      </w:r>
      <w:r>
        <w:rPr>
          <w:spacing w:val="-9"/>
          <w:w w:val="110"/>
        </w:rPr>
        <w:t> </w:t>
      </w:r>
      <w:r>
        <w:rPr>
          <w:w w:val="110"/>
        </w:rPr>
        <w:t>Kingdom.</w:t>
      </w:r>
    </w:p>
    <w:p>
      <w:pPr>
        <w:pStyle w:val="BodyText"/>
        <w:spacing w:line="249" w:lineRule="auto" w:before="162"/>
        <w:ind w:left="448"/>
      </w:pPr>
      <w:r>
        <w:rPr>
          <w:w w:val="110"/>
        </w:rPr>
        <w:t>Consumer</w:t>
      </w:r>
      <w:r>
        <w:rPr>
          <w:spacing w:val="-24"/>
          <w:w w:val="110"/>
        </w:rPr>
        <w:t> </w:t>
      </w:r>
      <w:r>
        <w:rPr>
          <w:w w:val="110"/>
        </w:rPr>
        <w:t>and</w:t>
      </w:r>
      <w:r>
        <w:rPr>
          <w:spacing w:val="-23"/>
          <w:w w:val="110"/>
        </w:rPr>
        <w:t> </w:t>
      </w:r>
      <w:r>
        <w:rPr>
          <w:w w:val="110"/>
        </w:rPr>
        <w:t>business</w:t>
      </w:r>
      <w:r>
        <w:rPr>
          <w:spacing w:val="-23"/>
          <w:w w:val="110"/>
        </w:rPr>
        <w:t> </w:t>
      </w:r>
      <w:r>
        <w:rPr>
          <w:w w:val="110"/>
        </w:rPr>
        <w:t>confidence</w:t>
      </w:r>
      <w:r>
        <w:rPr>
          <w:spacing w:val="-23"/>
          <w:w w:val="110"/>
        </w:rPr>
        <w:t> </w:t>
      </w:r>
      <w:r>
        <w:rPr>
          <w:w w:val="110"/>
        </w:rPr>
        <w:t>indicators</w:t>
      </w:r>
      <w:r>
        <w:rPr>
          <w:spacing w:val="-23"/>
          <w:w w:val="110"/>
        </w:rPr>
        <w:t> </w:t>
      </w:r>
      <w:r>
        <w:rPr>
          <w:spacing w:val="-3"/>
          <w:w w:val="110"/>
        </w:rPr>
        <w:t>have </w:t>
      </w:r>
      <w:r>
        <w:rPr>
          <w:w w:val="110"/>
        </w:rPr>
        <w:t>weakened</w:t>
      </w:r>
      <w:r>
        <w:rPr>
          <w:spacing w:val="-17"/>
          <w:w w:val="110"/>
        </w:rPr>
        <w:t> </w:t>
      </w:r>
      <w:r>
        <w:rPr>
          <w:w w:val="110"/>
        </w:rPr>
        <w:t>markedly</w:t>
      </w:r>
      <w:r>
        <w:rPr>
          <w:spacing w:val="-16"/>
          <w:w w:val="110"/>
        </w:rPr>
        <w:t> </w:t>
      </w:r>
      <w:r>
        <w:rPr>
          <w:w w:val="110"/>
        </w:rPr>
        <w:t>in</w:t>
      </w:r>
      <w:r>
        <w:rPr>
          <w:spacing w:val="-17"/>
          <w:w w:val="110"/>
        </w:rPr>
        <w:t> </w:t>
      </w:r>
      <w:r>
        <w:rPr>
          <w:w w:val="110"/>
        </w:rPr>
        <w:t>the</w:t>
      </w:r>
      <w:r>
        <w:rPr>
          <w:spacing w:val="-16"/>
          <w:w w:val="110"/>
        </w:rPr>
        <w:t> </w:t>
      </w:r>
      <w:r>
        <w:rPr>
          <w:w w:val="110"/>
        </w:rPr>
        <w:t>United</w:t>
      </w:r>
      <w:r>
        <w:rPr>
          <w:spacing w:val="-16"/>
          <w:w w:val="110"/>
        </w:rPr>
        <w:t> </w:t>
      </w:r>
      <w:r>
        <w:rPr>
          <w:spacing w:val="-3"/>
          <w:w w:val="110"/>
        </w:rPr>
        <w:t>States</w:t>
      </w:r>
      <w:r>
        <w:rPr>
          <w:spacing w:val="-17"/>
          <w:w w:val="110"/>
        </w:rPr>
        <w:t> </w:t>
      </w:r>
      <w:r>
        <w:rPr>
          <w:w w:val="110"/>
        </w:rPr>
        <w:t>in</w:t>
      </w:r>
      <w:r>
        <w:rPr>
          <w:spacing w:val="-16"/>
          <w:w w:val="110"/>
        </w:rPr>
        <w:t> </w:t>
      </w:r>
      <w:r>
        <w:rPr>
          <w:w w:val="110"/>
        </w:rPr>
        <w:t>recent</w:t>
      </w:r>
    </w:p>
    <w:p>
      <w:pPr>
        <w:spacing w:after="0" w:line="249" w:lineRule="auto"/>
        <w:sectPr>
          <w:type w:val="continuous"/>
          <w:pgSz w:w="11900" w:h="16840"/>
          <w:pgMar w:top="1260" w:bottom="280" w:left="640" w:right="640"/>
          <w:cols w:num="2" w:equalWidth="0">
            <w:col w:w="5084" w:space="46"/>
            <w:col w:w="5490"/>
          </w:cols>
        </w:sectPr>
      </w:pPr>
    </w:p>
    <w:p>
      <w:pPr>
        <w:pStyle w:val="BodyText"/>
      </w:pPr>
    </w:p>
    <w:p>
      <w:pPr>
        <w:pStyle w:val="BodyText"/>
        <w:spacing w:before="7"/>
        <w:rPr>
          <w:sz w:val="17"/>
        </w:rPr>
      </w:pPr>
    </w:p>
    <w:p>
      <w:pPr>
        <w:spacing w:after="0"/>
        <w:rPr>
          <w:sz w:val="17"/>
        </w:rPr>
        <w:sectPr>
          <w:pgSz w:w="11900" w:h="16840"/>
          <w:pgMar w:header="580" w:footer="575" w:top="760" w:bottom="760" w:left="640" w:right="640"/>
        </w:sectPr>
      </w:pPr>
    </w:p>
    <w:p>
      <w:pPr>
        <w:pStyle w:val="BodyText"/>
        <w:spacing w:line="249" w:lineRule="auto" w:before="62"/>
        <w:ind w:left="460" w:right="-16"/>
      </w:pPr>
      <w:r>
        <w:rPr>
          <w:w w:val="110"/>
        </w:rPr>
        <w:t>months. Could this change in sentiment lead </w:t>
      </w:r>
      <w:r>
        <w:rPr>
          <w:spacing w:val="-4"/>
          <w:w w:val="110"/>
        </w:rPr>
        <w:t>to </w:t>
      </w:r>
      <w:r>
        <w:rPr>
          <w:w w:val="110"/>
        </w:rPr>
        <w:t>a marked change in confidence in other countries </w:t>
      </w:r>
      <w:r>
        <w:rPr>
          <w:spacing w:val="-6"/>
          <w:w w:val="110"/>
        </w:rPr>
        <w:t>over </w:t>
      </w:r>
      <w:r>
        <w:rPr>
          <w:w w:val="110"/>
        </w:rPr>
        <w:t>and </w:t>
      </w:r>
      <w:r>
        <w:rPr>
          <w:spacing w:val="-3"/>
          <w:w w:val="110"/>
        </w:rPr>
        <w:t>above any </w:t>
      </w:r>
      <w:r>
        <w:rPr>
          <w:w w:val="110"/>
        </w:rPr>
        <w:t>decline linked </w:t>
      </w:r>
      <w:r>
        <w:rPr>
          <w:spacing w:val="-4"/>
          <w:w w:val="110"/>
        </w:rPr>
        <w:t>to </w:t>
      </w:r>
      <w:r>
        <w:rPr>
          <w:spacing w:val="-3"/>
          <w:w w:val="110"/>
        </w:rPr>
        <w:t>weaker </w:t>
      </w:r>
      <w:r>
        <w:rPr>
          <w:w w:val="110"/>
        </w:rPr>
        <w:t>global demand? An increase in business uncertainty could reduce </w:t>
      </w:r>
      <w:r>
        <w:rPr>
          <w:spacing w:val="-3"/>
          <w:w w:val="110"/>
        </w:rPr>
        <w:t>corporate </w:t>
      </w:r>
      <w:r>
        <w:rPr>
          <w:w w:val="110"/>
        </w:rPr>
        <w:t>investment, which is lumpy and costly </w:t>
      </w:r>
      <w:r>
        <w:rPr>
          <w:spacing w:val="-4"/>
          <w:w w:val="110"/>
        </w:rPr>
        <w:t>to </w:t>
      </w:r>
      <w:r>
        <w:rPr>
          <w:spacing w:val="-3"/>
          <w:w w:val="110"/>
        </w:rPr>
        <w:t>reverse. </w:t>
      </w:r>
      <w:r>
        <w:rPr>
          <w:w w:val="110"/>
        </w:rPr>
        <w:t>And a loss in consumer confidence could lead consumers </w:t>
      </w:r>
      <w:r>
        <w:rPr>
          <w:spacing w:val="-4"/>
          <w:w w:val="110"/>
        </w:rPr>
        <w:t>to </w:t>
      </w:r>
      <w:r>
        <w:rPr>
          <w:w w:val="110"/>
        </w:rPr>
        <w:t>raise precautionary savings and </w:t>
      </w:r>
      <w:r>
        <w:rPr>
          <w:spacing w:val="-4"/>
          <w:w w:val="110"/>
        </w:rPr>
        <w:t>to </w:t>
      </w:r>
      <w:r>
        <w:rPr>
          <w:w w:val="110"/>
        </w:rPr>
        <w:t>lower expenditure.</w:t>
      </w:r>
    </w:p>
    <w:p>
      <w:pPr>
        <w:pStyle w:val="BodyText"/>
        <w:spacing w:before="11"/>
        <w:rPr>
          <w:sz w:val="17"/>
        </w:rPr>
      </w:pPr>
    </w:p>
    <w:p>
      <w:pPr>
        <w:pStyle w:val="BodyText"/>
        <w:spacing w:line="249" w:lineRule="auto"/>
        <w:ind w:left="460" w:right="-16"/>
      </w:pPr>
      <w:r>
        <w:rPr>
          <w:w w:val="110"/>
        </w:rPr>
        <w:t>In</w:t>
      </w:r>
      <w:r>
        <w:rPr>
          <w:spacing w:val="-24"/>
          <w:w w:val="110"/>
        </w:rPr>
        <w:t> </w:t>
      </w:r>
      <w:r>
        <w:rPr>
          <w:w w:val="110"/>
        </w:rPr>
        <w:t>practice,</w:t>
      </w:r>
      <w:r>
        <w:rPr>
          <w:spacing w:val="-24"/>
          <w:w w:val="110"/>
        </w:rPr>
        <w:t> </w:t>
      </w:r>
      <w:r>
        <w:rPr>
          <w:w w:val="110"/>
        </w:rPr>
        <w:t>although</w:t>
      </w:r>
      <w:r>
        <w:rPr>
          <w:spacing w:val="-24"/>
          <w:w w:val="110"/>
        </w:rPr>
        <w:t> </w:t>
      </w:r>
      <w:r>
        <w:rPr>
          <w:w w:val="110"/>
        </w:rPr>
        <w:t>broad</w:t>
      </w:r>
      <w:r>
        <w:rPr>
          <w:spacing w:val="-24"/>
          <w:w w:val="110"/>
        </w:rPr>
        <w:t> </w:t>
      </w:r>
      <w:r>
        <w:rPr>
          <w:w w:val="110"/>
        </w:rPr>
        <w:t>movements</w:t>
      </w:r>
      <w:r>
        <w:rPr>
          <w:spacing w:val="-24"/>
          <w:w w:val="110"/>
        </w:rPr>
        <w:t> </w:t>
      </w:r>
      <w:r>
        <w:rPr>
          <w:w w:val="110"/>
        </w:rPr>
        <w:t>in</w:t>
      </w:r>
      <w:r>
        <w:rPr>
          <w:spacing w:val="-24"/>
          <w:w w:val="110"/>
        </w:rPr>
        <w:t> </w:t>
      </w:r>
      <w:r>
        <w:rPr>
          <w:w w:val="110"/>
        </w:rPr>
        <w:t>US</w:t>
      </w:r>
      <w:r>
        <w:rPr>
          <w:spacing w:val="-23"/>
          <w:w w:val="110"/>
        </w:rPr>
        <w:t> </w:t>
      </w:r>
      <w:r>
        <w:rPr>
          <w:w w:val="110"/>
        </w:rPr>
        <w:t>and</w:t>
      </w:r>
      <w:r>
        <w:rPr>
          <w:spacing w:val="-24"/>
          <w:w w:val="110"/>
        </w:rPr>
        <w:t> </w:t>
      </w:r>
      <w:r>
        <w:rPr>
          <w:w w:val="110"/>
        </w:rPr>
        <w:t>UK confidence measures are correlated, there is much less</w:t>
      </w:r>
      <w:r>
        <w:rPr>
          <w:spacing w:val="-23"/>
          <w:w w:val="110"/>
        </w:rPr>
        <w:t> </w:t>
      </w:r>
      <w:r>
        <w:rPr>
          <w:w w:val="110"/>
        </w:rPr>
        <w:t>correlation</w:t>
      </w:r>
      <w:r>
        <w:rPr>
          <w:spacing w:val="-22"/>
          <w:w w:val="110"/>
        </w:rPr>
        <w:t> </w:t>
      </w:r>
      <w:r>
        <w:rPr>
          <w:w w:val="110"/>
        </w:rPr>
        <w:t>in</w:t>
      </w:r>
      <w:r>
        <w:rPr>
          <w:spacing w:val="-22"/>
          <w:w w:val="110"/>
        </w:rPr>
        <w:t> </w:t>
      </w:r>
      <w:r>
        <w:rPr>
          <w:w w:val="110"/>
        </w:rPr>
        <w:t>terms</w:t>
      </w:r>
      <w:r>
        <w:rPr>
          <w:spacing w:val="-23"/>
          <w:w w:val="110"/>
        </w:rPr>
        <w:t> </w:t>
      </w:r>
      <w:r>
        <w:rPr>
          <w:w w:val="110"/>
        </w:rPr>
        <w:t>of</w:t>
      </w:r>
      <w:r>
        <w:rPr>
          <w:spacing w:val="-22"/>
          <w:w w:val="110"/>
        </w:rPr>
        <w:t> </w:t>
      </w:r>
      <w:r>
        <w:rPr>
          <w:w w:val="110"/>
        </w:rPr>
        <w:t>high-frequency</w:t>
      </w:r>
      <w:r>
        <w:rPr>
          <w:spacing w:val="-22"/>
          <w:w w:val="110"/>
        </w:rPr>
        <w:t> </w:t>
      </w:r>
      <w:r>
        <w:rPr>
          <w:w w:val="110"/>
        </w:rPr>
        <w:t>changes</w:t>
      </w:r>
      <w:r>
        <w:rPr>
          <w:spacing w:val="-23"/>
          <w:w w:val="110"/>
        </w:rPr>
        <w:t> </w:t>
      </w:r>
      <w:r>
        <w:rPr>
          <w:w w:val="110"/>
        </w:rPr>
        <w:t>in the recent past (see Charts B and C). Linkages through trade and financial markets mean that some spillover is quite </w:t>
      </w:r>
      <w:r>
        <w:rPr>
          <w:spacing w:val="-4"/>
          <w:w w:val="110"/>
        </w:rPr>
        <w:t>likely, </w:t>
      </w:r>
      <w:r>
        <w:rPr>
          <w:w w:val="110"/>
        </w:rPr>
        <w:t>particularly </w:t>
      </w:r>
      <w:r>
        <w:rPr>
          <w:spacing w:val="-4"/>
          <w:w w:val="110"/>
        </w:rPr>
        <w:t>to </w:t>
      </w:r>
      <w:r>
        <w:rPr>
          <w:w w:val="110"/>
        </w:rPr>
        <w:t>business sentiment. But there is little sign </w:t>
      </w:r>
      <w:r>
        <w:rPr>
          <w:spacing w:val="-4"/>
          <w:w w:val="110"/>
        </w:rPr>
        <w:t>to </w:t>
      </w:r>
      <w:r>
        <w:rPr>
          <w:spacing w:val="-3"/>
          <w:w w:val="110"/>
        </w:rPr>
        <w:t>date </w:t>
      </w:r>
      <w:r>
        <w:rPr>
          <w:w w:val="110"/>
        </w:rPr>
        <w:t>of an additional channel of transmission through a major change of</w:t>
      </w:r>
      <w:r>
        <w:rPr>
          <w:spacing w:val="-12"/>
          <w:w w:val="110"/>
        </w:rPr>
        <w:t> </w:t>
      </w:r>
      <w:r>
        <w:rPr>
          <w:w w:val="110"/>
        </w:rPr>
        <w:t>confidence.</w:t>
      </w:r>
    </w:p>
    <w:p>
      <w:pPr>
        <w:pStyle w:val="Heading6"/>
        <w:spacing w:before="160"/>
        <w:ind w:left="464"/>
      </w:pPr>
      <w:r>
        <w:rPr>
          <w:color w:val="89C6DC"/>
        </w:rPr>
        <w:t>Chart B</w:t>
      </w:r>
    </w:p>
    <w:p>
      <w:pPr>
        <w:spacing w:before="7"/>
        <w:ind w:left="464" w:right="0" w:firstLine="0"/>
        <w:jc w:val="left"/>
        <w:rPr>
          <w:rFonts w:ascii="Trebuchet MS"/>
          <w:b/>
          <w:sz w:val="20"/>
        </w:rPr>
      </w:pPr>
      <w:r>
        <w:rPr>
          <w:rFonts w:ascii="Trebuchet MS"/>
          <w:b/>
          <w:color w:val="89C6DC"/>
          <w:sz w:val="20"/>
        </w:rPr>
        <w:t>US and UK business confidence</w:t>
      </w:r>
    </w:p>
    <w:p>
      <w:pPr>
        <w:tabs>
          <w:tab w:pos="3849" w:val="left" w:leader="none"/>
        </w:tabs>
        <w:spacing w:line="117" w:lineRule="exact" w:before="64"/>
        <w:ind w:left="176" w:right="0" w:firstLine="0"/>
        <w:jc w:val="center"/>
        <w:rPr>
          <w:sz w:val="12"/>
        </w:rPr>
      </w:pPr>
      <w:r>
        <w:rPr>
          <w:w w:val="110"/>
          <w:sz w:val="12"/>
        </w:rPr>
        <w:t>Percentage</w:t>
      </w:r>
      <w:r>
        <w:rPr>
          <w:spacing w:val="-4"/>
          <w:w w:val="110"/>
          <w:sz w:val="12"/>
        </w:rPr>
        <w:t> </w:t>
      </w:r>
      <w:r>
        <w:rPr>
          <w:w w:val="110"/>
          <w:sz w:val="12"/>
        </w:rPr>
        <w:t>point</w:t>
      </w:r>
      <w:r>
        <w:rPr>
          <w:spacing w:val="-3"/>
          <w:w w:val="110"/>
          <w:sz w:val="12"/>
        </w:rPr>
        <w:t> </w:t>
      </w:r>
      <w:r>
        <w:rPr>
          <w:w w:val="110"/>
          <w:sz w:val="12"/>
        </w:rPr>
        <w:t>balance</w:t>
        <w:tab/>
        <w:t>Level</w:t>
      </w:r>
    </w:p>
    <w:p>
      <w:pPr>
        <w:tabs>
          <w:tab w:pos="4344" w:val="left" w:leader="none"/>
        </w:tabs>
        <w:spacing w:line="117" w:lineRule="exact" w:before="0"/>
        <w:ind w:left="187" w:right="0" w:firstLine="0"/>
        <w:jc w:val="center"/>
        <w:rPr>
          <w:sz w:val="12"/>
        </w:rPr>
      </w:pPr>
      <w:r>
        <w:rPr>
          <w:w w:val="120"/>
          <w:sz w:val="12"/>
        </w:rPr>
        <w:t>80</w:t>
        <w:tab/>
        <w:t>80</w:t>
      </w:r>
    </w:p>
    <w:p>
      <w:pPr>
        <w:pStyle w:val="BodyText"/>
        <w:spacing w:before="4"/>
        <w:rPr>
          <w:sz w:val="12"/>
        </w:rPr>
      </w:pPr>
    </w:p>
    <w:p>
      <w:pPr>
        <w:spacing w:line="107" w:lineRule="exact" w:before="0"/>
        <w:ind w:left="176" w:right="348" w:firstLine="0"/>
        <w:jc w:val="center"/>
        <w:rPr>
          <w:sz w:val="12"/>
        </w:rPr>
      </w:pPr>
      <w:r>
        <w:rPr>
          <w:w w:val="105"/>
          <w:sz w:val="12"/>
        </w:rPr>
        <w:t>US NAPM (right-hand scale)</w:t>
      </w:r>
    </w:p>
    <w:p>
      <w:pPr>
        <w:pStyle w:val="BodyText"/>
        <w:spacing w:line="249" w:lineRule="auto" w:before="62"/>
        <w:ind w:left="460" w:right="430"/>
      </w:pPr>
      <w:r>
        <w:rPr/>
        <w:br w:type="column"/>
      </w:r>
      <w:r>
        <w:rPr>
          <w:w w:val="110"/>
        </w:rPr>
        <w:t>US consumer confidence </w:t>
      </w:r>
      <w:r>
        <w:rPr>
          <w:spacing w:val="-3"/>
          <w:w w:val="110"/>
        </w:rPr>
        <w:t>grew </w:t>
      </w:r>
      <w:r>
        <w:rPr>
          <w:w w:val="110"/>
        </w:rPr>
        <w:t>sharply during the </w:t>
      </w:r>
      <w:r>
        <w:rPr>
          <w:spacing w:val="-12"/>
          <w:w w:val="110"/>
        </w:rPr>
        <w:t>1990s </w:t>
      </w:r>
      <w:r>
        <w:rPr>
          <w:w w:val="110"/>
        </w:rPr>
        <w:t>and at its peak in September </w:t>
      </w:r>
      <w:r>
        <w:rPr>
          <w:spacing w:val="-4"/>
          <w:w w:val="110"/>
        </w:rPr>
        <w:t>2000 </w:t>
      </w:r>
      <w:r>
        <w:rPr>
          <w:w w:val="110"/>
        </w:rPr>
        <w:t>the Conference Board measure </w:t>
      </w:r>
      <w:r>
        <w:rPr>
          <w:spacing w:val="-3"/>
          <w:w w:val="110"/>
        </w:rPr>
        <w:t>was </w:t>
      </w:r>
      <w:r>
        <w:rPr>
          <w:w w:val="110"/>
        </w:rPr>
        <w:t>well </w:t>
      </w:r>
      <w:r>
        <w:rPr>
          <w:spacing w:val="-3"/>
          <w:w w:val="110"/>
        </w:rPr>
        <w:t>above </w:t>
      </w:r>
      <w:r>
        <w:rPr>
          <w:w w:val="110"/>
        </w:rPr>
        <w:t>historic norms.</w:t>
      </w:r>
      <w:r>
        <w:rPr>
          <w:spacing w:val="10"/>
          <w:w w:val="110"/>
        </w:rPr>
        <w:t> </w:t>
      </w:r>
      <w:r>
        <w:rPr>
          <w:w w:val="110"/>
        </w:rPr>
        <w:t>In</w:t>
      </w:r>
      <w:r>
        <w:rPr>
          <w:spacing w:val="-23"/>
          <w:w w:val="110"/>
        </w:rPr>
        <w:t> </w:t>
      </w:r>
      <w:r>
        <w:rPr>
          <w:w w:val="110"/>
        </w:rPr>
        <w:t>contrast,</w:t>
      </w:r>
      <w:r>
        <w:rPr>
          <w:spacing w:val="-23"/>
          <w:w w:val="110"/>
        </w:rPr>
        <w:t> </w:t>
      </w:r>
      <w:r>
        <w:rPr>
          <w:w w:val="110"/>
        </w:rPr>
        <w:t>the</w:t>
      </w:r>
      <w:r>
        <w:rPr>
          <w:spacing w:val="-23"/>
          <w:w w:val="110"/>
        </w:rPr>
        <w:t> </w:t>
      </w:r>
      <w:r>
        <w:rPr>
          <w:w w:val="110"/>
        </w:rPr>
        <w:t>GfK</w:t>
      </w:r>
      <w:r>
        <w:rPr>
          <w:spacing w:val="-22"/>
          <w:w w:val="110"/>
        </w:rPr>
        <w:t> </w:t>
      </w:r>
      <w:r>
        <w:rPr>
          <w:w w:val="110"/>
        </w:rPr>
        <w:t>measure</w:t>
      </w:r>
      <w:r>
        <w:rPr>
          <w:spacing w:val="-23"/>
          <w:w w:val="110"/>
        </w:rPr>
        <w:t> </w:t>
      </w:r>
      <w:r>
        <w:rPr>
          <w:w w:val="110"/>
        </w:rPr>
        <w:t>of</w:t>
      </w:r>
      <w:r>
        <w:rPr>
          <w:spacing w:val="-23"/>
          <w:w w:val="110"/>
        </w:rPr>
        <w:t> </w:t>
      </w:r>
      <w:r>
        <w:rPr>
          <w:w w:val="110"/>
        </w:rPr>
        <w:t>UK</w:t>
      </w:r>
      <w:r>
        <w:rPr>
          <w:spacing w:val="-22"/>
          <w:w w:val="110"/>
        </w:rPr>
        <w:t> </w:t>
      </w:r>
      <w:r>
        <w:rPr>
          <w:w w:val="110"/>
        </w:rPr>
        <w:t>consumer confidence </w:t>
      </w:r>
      <w:r>
        <w:rPr>
          <w:spacing w:val="-3"/>
          <w:w w:val="110"/>
        </w:rPr>
        <w:t>was </w:t>
      </w:r>
      <w:r>
        <w:rPr>
          <w:w w:val="110"/>
        </w:rPr>
        <w:t>at the same time close </w:t>
      </w:r>
      <w:r>
        <w:rPr>
          <w:spacing w:val="-4"/>
          <w:w w:val="110"/>
        </w:rPr>
        <w:t>to </w:t>
      </w:r>
      <w:r>
        <w:rPr>
          <w:w w:val="110"/>
        </w:rPr>
        <w:t>its historic average.</w:t>
      </w:r>
      <w:r>
        <w:rPr>
          <w:spacing w:val="3"/>
          <w:w w:val="110"/>
        </w:rPr>
        <w:t> </w:t>
      </w:r>
      <w:r>
        <w:rPr>
          <w:i/>
          <w:w w:val="110"/>
        </w:rPr>
        <w:t>A</w:t>
      </w:r>
      <w:r>
        <w:rPr>
          <w:i/>
          <w:spacing w:val="-27"/>
          <w:w w:val="110"/>
        </w:rPr>
        <w:t> </w:t>
      </w:r>
      <w:r>
        <w:rPr>
          <w:i/>
          <w:w w:val="110"/>
        </w:rPr>
        <w:t>priori</w:t>
      </w:r>
      <w:r>
        <w:rPr>
          <w:w w:val="110"/>
        </w:rPr>
        <w:t>,</w:t>
      </w:r>
      <w:r>
        <w:rPr>
          <w:spacing w:val="-26"/>
          <w:w w:val="110"/>
        </w:rPr>
        <w:t> </w:t>
      </w:r>
      <w:r>
        <w:rPr>
          <w:w w:val="110"/>
        </w:rPr>
        <w:t>since</w:t>
      </w:r>
      <w:r>
        <w:rPr>
          <w:spacing w:val="-26"/>
          <w:w w:val="110"/>
        </w:rPr>
        <w:t> </w:t>
      </w:r>
      <w:r>
        <w:rPr>
          <w:w w:val="110"/>
        </w:rPr>
        <w:t>UK</w:t>
      </w:r>
      <w:r>
        <w:rPr>
          <w:spacing w:val="-26"/>
          <w:w w:val="110"/>
        </w:rPr>
        <w:t> </w:t>
      </w:r>
      <w:r>
        <w:rPr>
          <w:w w:val="110"/>
        </w:rPr>
        <w:t>confidence</w:t>
      </w:r>
      <w:r>
        <w:rPr>
          <w:spacing w:val="-27"/>
          <w:w w:val="110"/>
        </w:rPr>
        <w:t> </w:t>
      </w:r>
      <w:r>
        <w:rPr>
          <w:w w:val="110"/>
        </w:rPr>
        <w:t>measures</w:t>
      </w:r>
      <w:r>
        <w:rPr>
          <w:spacing w:val="-26"/>
          <w:w w:val="110"/>
        </w:rPr>
        <w:t> </w:t>
      </w:r>
      <w:r>
        <w:rPr>
          <w:w w:val="110"/>
        </w:rPr>
        <w:t>did not</w:t>
      </w:r>
      <w:r>
        <w:rPr>
          <w:spacing w:val="-26"/>
          <w:w w:val="110"/>
        </w:rPr>
        <w:t> </w:t>
      </w:r>
      <w:r>
        <w:rPr>
          <w:w w:val="110"/>
        </w:rPr>
        <w:t>follow</w:t>
      </w:r>
      <w:r>
        <w:rPr>
          <w:spacing w:val="-26"/>
          <w:w w:val="110"/>
        </w:rPr>
        <w:t> </w:t>
      </w:r>
      <w:r>
        <w:rPr>
          <w:w w:val="110"/>
        </w:rPr>
        <w:t>US</w:t>
      </w:r>
      <w:r>
        <w:rPr>
          <w:spacing w:val="-26"/>
          <w:w w:val="110"/>
        </w:rPr>
        <w:t> </w:t>
      </w:r>
      <w:r>
        <w:rPr>
          <w:w w:val="110"/>
        </w:rPr>
        <w:t>confidence</w:t>
      </w:r>
      <w:r>
        <w:rPr>
          <w:spacing w:val="-26"/>
          <w:w w:val="110"/>
        </w:rPr>
        <w:t> </w:t>
      </w:r>
      <w:r>
        <w:rPr>
          <w:w w:val="110"/>
        </w:rPr>
        <w:t>sharply</w:t>
      </w:r>
      <w:r>
        <w:rPr>
          <w:spacing w:val="-26"/>
          <w:w w:val="110"/>
        </w:rPr>
        <w:t> </w:t>
      </w:r>
      <w:r>
        <w:rPr>
          <w:w w:val="110"/>
        </w:rPr>
        <w:t>upwards,</w:t>
      </w:r>
      <w:r>
        <w:rPr>
          <w:spacing w:val="-26"/>
          <w:w w:val="110"/>
        </w:rPr>
        <w:t> </w:t>
      </w:r>
      <w:r>
        <w:rPr>
          <w:w w:val="110"/>
        </w:rPr>
        <w:t>there</w:t>
      </w:r>
      <w:r>
        <w:rPr>
          <w:spacing w:val="-26"/>
          <w:w w:val="110"/>
        </w:rPr>
        <w:t> </w:t>
      </w:r>
      <w:r>
        <w:rPr>
          <w:w w:val="110"/>
        </w:rPr>
        <w:t>is</w:t>
      </w:r>
      <w:r>
        <w:rPr>
          <w:spacing w:val="-26"/>
          <w:w w:val="110"/>
        </w:rPr>
        <w:t> </w:t>
      </w:r>
      <w:r>
        <w:rPr>
          <w:spacing w:val="-6"/>
          <w:w w:val="110"/>
        </w:rPr>
        <w:t>no </w:t>
      </w:r>
      <w:r>
        <w:rPr>
          <w:w w:val="110"/>
        </w:rPr>
        <w:t>clear reason </w:t>
      </w:r>
      <w:r>
        <w:rPr>
          <w:spacing w:val="-3"/>
          <w:w w:val="110"/>
        </w:rPr>
        <w:t>why </w:t>
      </w:r>
      <w:r>
        <w:rPr>
          <w:w w:val="110"/>
        </w:rPr>
        <w:t>they should necessarily follow the recent sharp reductions in the United </w:t>
      </w:r>
      <w:r>
        <w:rPr>
          <w:spacing w:val="-3"/>
          <w:w w:val="110"/>
        </w:rPr>
        <w:t>States, </w:t>
      </w:r>
      <w:r>
        <w:rPr>
          <w:w w:val="110"/>
        </w:rPr>
        <w:t>though a wider or more prolonged weakening of the world economic outlook </w:t>
      </w:r>
      <w:r>
        <w:rPr>
          <w:spacing w:val="-3"/>
          <w:w w:val="110"/>
        </w:rPr>
        <w:t>may </w:t>
      </w:r>
      <w:r>
        <w:rPr>
          <w:w w:val="110"/>
        </w:rPr>
        <w:t>prompt a sharper </w:t>
      </w:r>
      <w:r>
        <w:rPr>
          <w:spacing w:val="-3"/>
          <w:w w:val="110"/>
        </w:rPr>
        <w:t>downward </w:t>
      </w:r>
      <w:r>
        <w:rPr>
          <w:w w:val="110"/>
        </w:rPr>
        <w:t>movement in UK confidence</w:t>
      </w:r>
      <w:r>
        <w:rPr>
          <w:spacing w:val="-40"/>
          <w:w w:val="110"/>
        </w:rPr>
        <w:t> </w:t>
      </w:r>
      <w:r>
        <w:rPr>
          <w:w w:val="110"/>
        </w:rPr>
        <w:t>measures.</w:t>
      </w:r>
    </w:p>
    <w:p>
      <w:pPr>
        <w:pStyle w:val="BodyText"/>
        <w:spacing w:before="1"/>
        <w:rPr>
          <w:sz w:val="25"/>
        </w:rPr>
      </w:pPr>
    </w:p>
    <w:p>
      <w:pPr>
        <w:pStyle w:val="Heading6"/>
        <w:ind w:left="460"/>
      </w:pPr>
      <w:r>
        <w:rPr>
          <w:color w:val="89C6DC"/>
        </w:rPr>
        <w:t>Quantifying</w:t>
      </w:r>
      <w:r>
        <w:rPr>
          <w:color w:val="89C6DC"/>
          <w:spacing w:val="-31"/>
        </w:rPr>
        <w:t> </w:t>
      </w:r>
      <w:r>
        <w:rPr>
          <w:color w:val="89C6DC"/>
        </w:rPr>
        <w:t>the</w:t>
      </w:r>
      <w:r>
        <w:rPr>
          <w:color w:val="89C6DC"/>
          <w:spacing w:val="-31"/>
        </w:rPr>
        <w:t> </w:t>
      </w:r>
      <w:r>
        <w:rPr>
          <w:color w:val="89C6DC"/>
        </w:rPr>
        <w:t>overall</w:t>
      </w:r>
      <w:r>
        <w:rPr>
          <w:color w:val="89C6DC"/>
          <w:spacing w:val="-31"/>
        </w:rPr>
        <w:t> </w:t>
      </w:r>
      <w:r>
        <w:rPr>
          <w:color w:val="89C6DC"/>
        </w:rPr>
        <w:t>impact</w:t>
      </w:r>
      <w:r>
        <w:rPr>
          <w:color w:val="89C6DC"/>
          <w:spacing w:val="-31"/>
        </w:rPr>
        <w:t> </w:t>
      </w:r>
      <w:r>
        <w:rPr>
          <w:color w:val="89C6DC"/>
        </w:rPr>
        <w:t>on</w:t>
      </w:r>
      <w:r>
        <w:rPr>
          <w:color w:val="89C6DC"/>
          <w:spacing w:val="-31"/>
        </w:rPr>
        <w:t> </w:t>
      </w:r>
      <w:r>
        <w:rPr>
          <w:color w:val="89C6DC"/>
        </w:rPr>
        <w:t>the</w:t>
      </w:r>
      <w:r>
        <w:rPr>
          <w:color w:val="89C6DC"/>
          <w:spacing w:val="-31"/>
        </w:rPr>
        <w:t> </w:t>
      </w:r>
      <w:r>
        <w:rPr>
          <w:color w:val="89C6DC"/>
          <w:spacing w:val="-2"/>
        </w:rPr>
        <w:t>United</w:t>
      </w:r>
      <w:r>
        <w:rPr>
          <w:color w:val="89C6DC"/>
          <w:spacing w:val="-31"/>
        </w:rPr>
        <w:t> </w:t>
      </w:r>
      <w:r>
        <w:rPr>
          <w:color w:val="89C6DC"/>
        </w:rPr>
        <w:t>Kingdom</w:t>
      </w:r>
    </w:p>
    <w:p>
      <w:pPr>
        <w:pStyle w:val="BodyText"/>
        <w:spacing w:line="249" w:lineRule="auto" w:before="129"/>
        <w:ind w:left="460"/>
      </w:pPr>
      <w:r>
        <w:rPr>
          <w:w w:val="105"/>
        </w:rPr>
        <w:t>Models of the global and UK economies suggest that a temporary reduction in US growth of</w:t>
      </w:r>
      <w:r>
        <w:rPr>
          <w:spacing w:val="1"/>
          <w:w w:val="105"/>
        </w:rPr>
        <w:t> </w:t>
      </w:r>
      <w:r>
        <w:rPr>
          <w:w w:val="105"/>
        </w:rPr>
        <w:t>around</w:t>
      </w:r>
    </w:p>
    <w:p>
      <w:pPr>
        <w:pStyle w:val="BodyText"/>
        <w:spacing w:line="249" w:lineRule="auto" w:before="1"/>
        <w:ind w:left="460" w:right="465"/>
      </w:pPr>
      <w:r>
        <w:rPr>
          <w:w w:val="110"/>
        </w:rPr>
        <w:t>1 percentage point combined with a </w:t>
      </w:r>
      <w:r>
        <w:rPr>
          <w:spacing w:val="-3"/>
          <w:w w:val="110"/>
        </w:rPr>
        <w:t>moderate </w:t>
      </w:r>
      <w:r>
        <w:rPr>
          <w:w w:val="110"/>
        </w:rPr>
        <w:t>reduction in UK </w:t>
      </w:r>
      <w:r>
        <w:rPr>
          <w:spacing w:val="-3"/>
          <w:w w:val="110"/>
        </w:rPr>
        <w:t>equity </w:t>
      </w:r>
      <w:r>
        <w:rPr>
          <w:w w:val="110"/>
        </w:rPr>
        <w:t>prices </w:t>
      </w:r>
      <w:r>
        <w:rPr>
          <w:spacing w:val="-6"/>
          <w:w w:val="110"/>
        </w:rPr>
        <w:t>may, </w:t>
      </w:r>
      <w:r>
        <w:rPr>
          <w:w w:val="110"/>
        </w:rPr>
        <w:t>assuming no change in </w:t>
      </w:r>
      <w:r>
        <w:rPr>
          <w:spacing w:val="-3"/>
          <w:w w:val="110"/>
        </w:rPr>
        <w:t>interest </w:t>
      </w:r>
      <w:r>
        <w:rPr>
          <w:spacing w:val="-4"/>
          <w:w w:val="110"/>
        </w:rPr>
        <w:t>rates </w:t>
      </w:r>
      <w:r>
        <w:rPr>
          <w:w w:val="110"/>
        </w:rPr>
        <w:t>or </w:t>
      </w:r>
      <w:r>
        <w:rPr>
          <w:spacing w:val="-3"/>
          <w:w w:val="110"/>
        </w:rPr>
        <w:t>exchange </w:t>
      </w:r>
      <w:r>
        <w:rPr>
          <w:spacing w:val="-4"/>
          <w:w w:val="110"/>
        </w:rPr>
        <w:t>rates, </w:t>
      </w:r>
      <w:r>
        <w:rPr>
          <w:w w:val="110"/>
        </w:rPr>
        <w:t>result in</w:t>
      </w:r>
      <w:r>
        <w:rPr>
          <w:spacing w:val="-39"/>
          <w:w w:val="110"/>
        </w:rPr>
        <w:t> </w:t>
      </w:r>
      <w:r>
        <w:rPr>
          <w:w w:val="110"/>
        </w:rPr>
        <w:t>a reduction</w:t>
      </w:r>
      <w:r>
        <w:rPr>
          <w:spacing w:val="-10"/>
          <w:w w:val="110"/>
        </w:rPr>
        <w:t> </w:t>
      </w:r>
      <w:r>
        <w:rPr>
          <w:w w:val="110"/>
        </w:rPr>
        <w:t>in</w:t>
      </w:r>
      <w:r>
        <w:rPr>
          <w:spacing w:val="-9"/>
          <w:w w:val="110"/>
        </w:rPr>
        <w:t> </w:t>
      </w:r>
      <w:r>
        <w:rPr>
          <w:w w:val="110"/>
        </w:rPr>
        <w:t>UK</w:t>
      </w:r>
      <w:r>
        <w:rPr>
          <w:spacing w:val="-9"/>
          <w:w w:val="110"/>
        </w:rPr>
        <w:t> </w:t>
      </w:r>
      <w:r>
        <w:rPr>
          <w:w w:val="110"/>
        </w:rPr>
        <w:t>inflation</w:t>
      </w:r>
      <w:r>
        <w:rPr>
          <w:spacing w:val="-9"/>
          <w:w w:val="110"/>
        </w:rPr>
        <w:t> </w:t>
      </w:r>
      <w:r>
        <w:rPr>
          <w:w w:val="110"/>
        </w:rPr>
        <w:t>of</w:t>
      </w:r>
      <w:r>
        <w:rPr>
          <w:spacing w:val="-9"/>
          <w:w w:val="110"/>
        </w:rPr>
        <w:t> </w:t>
      </w:r>
      <w:r>
        <w:rPr>
          <w:spacing w:val="-3"/>
          <w:w w:val="110"/>
        </w:rPr>
        <w:t>between</w:t>
      </w:r>
      <w:r>
        <w:rPr>
          <w:spacing w:val="-9"/>
          <w:w w:val="110"/>
        </w:rPr>
        <w:t> </w:t>
      </w:r>
      <w:r>
        <w:rPr>
          <w:w w:val="110"/>
        </w:rPr>
        <w:t>0.2</w:t>
      </w:r>
      <w:r>
        <w:rPr>
          <w:spacing w:val="-9"/>
          <w:w w:val="110"/>
        </w:rPr>
        <w:t> </w:t>
      </w:r>
      <w:r>
        <w:rPr>
          <w:w w:val="110"/>
        </w:rPr>
        <w:t>and</w:t>
      </w:r>
    </w:p>
    <w:p>
      <w:pPr>
        <w:pStyle w:val="BodyText"/>
        <w:spacing w:line="249" w:lineRule="auto" w:before="4"/>
        <w:ind w:left="460" w:right="492"/>
      </w:pPr>
      <w:r>
        <w:rPr>
          <w:w w:val="110"/>
        </w:rPr>
        <w:t>0.4 percentage points after </w:t>
      </w:r>
      <w:r>
        <w:rPr>
          <w:spacing w:val="-5"/>
          <w:w w:val="110"/>
        </w:rPr>
        <w:t>two </w:t>
      </w:r>
      <w:r>
        <w:rPr>
          <w:w w:val="110"/>
        </w:rPr>
        <w:t>years.</w:t>
      </w:r>
      <w:r>
        <w:rPr>
          <w:w w:val="110"/>
          <w:position w:val="5"/>
          <w:sz w:val="14"/>
        </w:rPr>
        <w:t>(1) </w:t>
      </w:r>
      <w:r>
        <w:rPr>
          <w:w w:val="110"/>
        </w:rPr>
        <w:t>The bulk of the impact comes through the effects on world</w:t>
      </w:r>
    </w:p>
    <w:p>
      <w:pPr>
        <w:spacing w:after="0" w:line="249" w:lineRule="auto"/>
        <w:sectPr>
          <w:type w:val="continuous"/>
          <w:pgSz w:w="11900" w:h="16840"/>
          <w:pgMar w:top="1260" w:bottom="280" w:left="640" w:right="640"/>
          <w:cols w:num="2" w:equalWidth="0">
            <w:col w:w="5065" w:space="65"/>
            <w:col w:w="5490"/>
          </w:cols>
        </w:sectPr>
      </w:pPr>
    </w:p>
    <w:p>
      <w:pPr>
        <w:spacing w:line="115" w:lineRule="exact" w:before="0"/>
        <w:ind w:left="474" w:right="0" w:firstLine="0"/>
        <w:jc w:val="left"/>
        <w:rPr>
          <w:sz w:val="12"/>
        </w:rPr>
      </w:pPr>
      <w:r>
        <w:rPr>
          <w:w w:val="120"/>
          <w:sz w:val="12"/>
        </w:rPr>
        <w:t>60</w:t>
      </w:r>
    </w:p>
    <w:p>
      <w:pPr>
        <w:pStyle w:val="BodyText"/>
        <w:rPr>
          <w:sz w:val="12"/>
        </w:rPr>
      </w:pPr>
    </w:p>
    <w:p>
      <w:pPr>
        <w:spacing w:before="79"/>
        <w:ind w:left="474" w:right="0" w:firstLine="0"/>
        <w:jc w:val="left"/>
        <w:rPr>
          <w:sz w:val="12"/>
        </w:rPr>
      </w:pPr>
      <w:r>
        <w:rPr>
          <w:w w:val="120"/>
          <w:sz w:val="12"/>
        </w:rPr>
        <w:t>40</w:t>
      </w:r>
    </w:p>
    <w:p>
      <w:pPr>
        <w:pStyle w:val="BodyText"/>
        <w:rPr>
          <w:sz w:val="12"/>
        </w:rPr>
      </w:pPr>
    </w:p>
    <w:p>
      <w:pPr>
        <w:spacing w:before="91"/>
        <w:ind w:left="474" w:right="0" w:firstLine="0"/>
        <w:jc w:val="left"/>
        <w:rPr>
          <w:sz w:val="12"/>
        </w:rPr>
      </w:pPr>
      <w:r>
        <w:rPr>
          <w:w w:val="120"/>
          <w:sz w:val="12"/>
        </w:rPr>
        <w:t>20</w:t>
      </w:r>
    </w:p>
    <w:p>
      <w:pPr>
        <w:spacing w:before="29"/>
        <w:ind w:left="597" w:right="0" w:firstLine="0"/>
        <w:jc w:val="left"/>
        <w:rPr>
          <w:sz w:val="16"/>
        </w:rPr>
      </w:pPr>
      <w:r>
        <w:rPr>
          <w:w w:val="107"/>
          <w:sz w:val="16"/>
        </w:rPr>
        <w:t>+</w:t>
      </w:r>
    </w:p>
    <w:p>
      <w:pPr>
        <w:spacing w:line="115" w:lineRule="exact" w:before="14"/>
        <w:ind w:left="547" w:right="0" w:firstLine="0"/>
        <w:jc w:val="left"/>
        <w:rPr>
          <w:sz w:val="12"/>
        </w:rPr>
      </w:pPr>
      <w:r>
        <w:rPr>
          <w:w w:val="121"/>
          <w:sz w:val="12"/>
        </w:rPr>
        <w:t>0</w:t>
      </w:r>
    </w:p>
    <w:p>
      <w:pPr>
        <w:spacing w:line="161" w:lineRule="exact" w:before="0"/>
        <w:ind w:left="611" w:right="0" w:firstLine="0"/>
        <w:jc w:val="left"/>
        <w:rPr>
          <w:sz w:val="16"/>
        </w:rPr>
      </w:pPr>
      <w:r>
        <w:rPr>
          <w:w w:val="87"/>
          <w:sz w:val="16"/>
        </w:rPr>
        <w:t>_</w:t>
      </w:r>
    </w:p>
    <w:p>
      <w:pPr>
        <w:spacing w:before="79"/>
        <w:ind w:left="474" w:right="0" w:firstLine="0"/>
        <w:jc w:val="left"/>
        <w:rPr>
          <w:sz w:val="12"/>
        </w:rPr>
      </w:pPr>
      <w:r>
        <w:rPr>
          <w:w w:val="120"/>
          <w:sz w:val="12"/>
        </w:rPr>
        <w:t>20</w:t>
      </w:r>
    </w:p>
    <w:p>
      <w:pPr>
        <w:pStyle w:val="BodyText"/>
        <w:rPr>
          <w:sz w:val="12"/>
        </w:rPr>
      </w:pPr>
    </w:p>
    <w:p>
      <w:pPr>
        <w:spacing w:line="132" w:lineRule="exact" w:before="89"/>
        <w:ind w:left="474" w:right="0" w:firstLine="0"/>
        <w:jc w:val="left"/>
        <w:rPr>
          <w:sz w:val="12"/>
        </w:rPr>
      </w:pPr>
      <w:r>
        <w:rPr>
          <w:w w:val="120"/>
          <w:sz w:val="12"/>
        </w:rPr>
        <w:t>40</w:t>
      </w:r>
    </w:p>
    <w:p>
      <w:pPr>
        <w:spacing w:line="132" w:lineRule="exact" w:before="0"/>
        <w:ind w:left="1662" w:right="0" w:firstLine="0"/>
        <w:jc w:val="left"/>
        <w:rPr>
          <w:sz w:val="12"/>
        </w:rPr>
      </w:pPr>
      <w:r>
        <w:rPr>
          <w:w w:val="105"/>
          <w:sz w:val="12"/>
        </w:rPr>
        <w:t>UK CBI expected volume of output</w:t>
      </w:r>
    </w:p>
    <w:p>
      <w:pPr>
        <w:spacing w:line="109" w:lineRule="exact" w:before="11"/>
        <w:ind w:left="1742" w:right="0" w:firstLine="0"/>
        <w:jc w:val="left"/>
        <w:rPr>
          <w:sz w:val="12"/>
        </w:rPr>
      </w:pPr>
      <w:r>
        <w:rPr>
          <w:w w:val="105"/>
          <w:sz w:val="12"/>
        </w:rPr>
        <w:t>(left-hand scale)</w:t>
      </w:r>
    </w:p>
    <w:p>
      <w:pPr>
        <w:spacing w:line="109" w:lineRule="exact" w:before="0"/>
        <w:ind w:left="474" w:right="0" w:firstLine="0"/>
        <w:jc w:val="left"/>
        <w:rPr>
          <w:sz w:val="12"/>
        </w:rPr>
      </w:pPr>
      <w:r>
        <w:rPr>
          <w:w w:val="120"/>
          <w:sz w:val="12"/>
        </w:rPr>
        <w:t>60</w:t>
      </w:r>
    </w:p>
    <w:p>
      <w:pPr>
        <w:pStyle w:val="BodyText"/>
        <w:tabs>
          <w:tab w:pos="1432" w:val="left" w:leader="none"/>
        </w:tabs>
        <w:spacing w:line="220" w:lineRule="exact"/>
        <w:ind w:left="474"/>
      </w:pPr>
      <w:r>
        <w:rPr/>
        <w:br w:type="column"/>
      </w:r>
      <w:r>
        <w:rPr>
          <w:w w:val="110"/>
          <w:vertAlign w:val="superscript"/>
        </w:rPr>
        <w:t>70</w:t>
      </w:r>
      <w:r>
        <w:rPr>
          <w:w w:val="110"/>
          <w:vertAlign w:val="baseline"/>
        </w:rPr>
        <w:tab/>
        <w:t>demand</w:t>
      </w:r>
      <w:r>
        <w:rPr>
          <w:spacing w:val="-9"/>
          <w:w w:val="110"/>
          <w:vertAlign w:val="baseline"/>
        </w:rPr>
        <w:t> </w:t>
      </w:r>
      <w:r>
        <w:rPr>
          <w:w w:val="110"/>
          <w:vertAlign w:val="baseline"/>
        </w:rPr>
        <w:t>and</w:t>
      </w:r>
      <w:r>
        <w:rPr>
          <w:spacing w:val="-8"/>
          <w:w w:val="110"/>
          <w:vertAlign w:val="baseline"/>
        </w:rPr>
        <w:t> </w:t>
      </w:r>
      <w:r>
        <w:rPr>
          <w:w w:val="110"/>
          <w:vertAlign w:val="baseline"/>
        </w:rPr>
        <w:t>prices,</w:t>
      </w:r>
      <w:r>
        <w:rPr>
          <w:spacing w:val="-8"/>
          <w:w w:val="110"/>
          <w:vertAlign w:val="baseline"/>
        </w:rPr>
        <w:t> </w:t>
      </w:r>
      <w:r>
        <w:rPr>
          <w:w w:val="110"/>
          <w:vertAlign w:val="baseline"/>
        </w:rPr>
        <w:t>with</w:t>
      </w:r>
      <w:r>
        <w:rPr>
          <w:spacing w:val="-8"/>
          <w:w w:val="110"/>
          <w:vertAlign w:val="baseline"/>
        </w:rPr>
        <w:t> </w:t>
      </w:r>
      <w:r>
        <w:rPr>
          <w:w w:val="110"/>
          <w:vertAlign w:val="baseline"/>
        </w:rPr>
        <w:t>the</w:t>
      </w:r>
      <w:r>
        <w:rPr>
          <w:spacing w:val="-9"/>
          <w:w w:val="110"/>
          <w:vertAlign w:val="baseline"/>
        </w:rPr>
        <w:t> </w:t>
      </w:r>
      <w:r>
        <w:rPr>
          <w:w w:val="110"/>
          <w:vertAlign w:val="baseline"/>
        </w:rPr>
        <w:t>decline</w:t>
      </w:r>
      <w:r>
        <w:rPr>
          <w:spacing w:val="-8"/>
          <w:w w:val="110"/>
          <w:vertAlign w:val="baseline"/>
        </w:rPr>
        <w:t> </w:t>
      </w:r>
      <w:r>
        <w:rPr>
          <w:w w:val="110"/>
          <w:vertAlign w:val="baseline"/>
        </w:rPr>
        <w:t>in</w:t>
      </w:r>
      <w:r>
        <w:rPr>
          <w:spacing w:val="-8"/>
          <w:w w:val="110"/>
          <w:vertAlign w:val="baseline"/>
        </w:rPr>
        <w:t> </w:t>
      </w:r>
      <w:r>
        <w:rPr>
          <w:w w:val="110"/>
          <w:vertAlign w:val="baseline"/>
        </w:rPr>
        <w:t>UK</w:t>
      </w:r>
      <w:r>
        <w:rPr>
          <w:spacing w:val="-8"/>
          <w:w w:val="110"/>
          <w:vertAlign w:val="baseline"/>
        </w:rPr>
        <w:t> </w:t>
      </w:r>
      <w:r>
        <w:rPr>
          <w:w w:val="110"/>
          <w:vertAlign w:val="baseline"/>
        </w:rPr>
        <w:t>net</w:t>
      </w:r>
    </w:p>
    <w:p>
      <w:pPr>
        <w:pStyle w:val="BodyText"/>
        <w:tabs>
          <w:tab w:pos="1432" w:val="left" w:leader="none"/>
        </w:tabs>
        <w:spacing w:line="249" w:lineRule="auto" w:before="10"/>
        <w:ind w:left="1432" w:right="632" w:hanging="959"/>
      </w:pPr>
      <w:r>
        <w:rPr>
          <w:w w:val="110"/>
          <w:vertAlign w:val="subscript"/>
        </w:rPr>
        <w:t>60</w:t>
      </w:r>
      <w:r>
        <w:rPr>
          <w:w w:val="110"/>
          <w:vertAlign w:val="baseline"/>
        </w:rPr>
        <w:tab/>
        <w:t>financial</w:t>
      </w:r>
      <w:r>
        <w:rPr>
          <w:spacing w:val="-19"/>
          <w:w w:val="110"/>
          <w:vertAlign w:val="baseline"/>
        </w:rPr>
        <w:t> </w:t>
      </w:r>
      <w:r>
        <w:rPr>
          <w:w w:val="110"/>
          <w:vertAlign w:val="baseline"/>
        </w:rPr>
        <w:t>wealth</w:t>
      </w:r>
      <w:r>
        <w:rPr>
          <w:spacing w:val="-18"/>
          <w:w w:val="110"/>
          <w:vertAlign w:val="baseline"/>
        </w:rPr>
        <w:t> </w:t>
      </w:r>
      <w:r>
        <w:rPr>
          <w:w w:val="110"/>
          <w:vertAlign w:val="baseline"/>
        </w:rPr>
        <w:t>from</w:t>
      </w:r>
      <w:r>
        <w:rPr>
          <w:spacing w:val="-18"/>
          <w:w w:val="110"/>
          <w:vertAlign w:val="baseline"/>
        </w:rPr>
        <w:t> </w:t>
      </w:r>
      <w:r>
        <w:rPr>
          <w:w w:val="110"/>
          <w:vertAlign w:val="baseline"/>
        </w:rPr>
        <w:t>the</w:t>
      </w:r>
      <w:r>
        <w:rPr>
          <w:spacing w:val="-19"/>
          <w:w w:val="110"/>
          <w:vertAlign w:val="baseline"/>
        </w:rPr>
        <w:t> </w:t>
      </w:r>
      <w:r>
        <w:rPr>
          <w:w w:val="110"/>
          <w:vertAlign w:val="baseline"/>
        </w:rPr>
        <w:t>reduction</w:t>
      </w:r>
      <w:r>
        <w:rPr>
          <w:spacing w:val="-18"/>
          <w:w w:val="110"/>
          <w:vertAlign w:val="baseline"/>
        </w:rPr>
        <w:t> </w:t>
      </w:r>
      <w:r>
        <w:rPr>
          <w:w w:val="110"/>
          <w:vertAlign w:val="baseline"/>
        </w:rPr>
        <w:t>in</w:t>
      </w:r>
      <w:r>
        <w:rPr>
          <w:spacing w:val="-18"/>
          <w:w w:val="110"/>
          <w:vertAlign w:val="baseline"/>
        </w:rPr>
        <w:t> </w:t>
      </w:r>
      <w:r>
        <w:rPr>
          <w:spacing w:val="-3"/>
          <w:w w:val="110"/>
          <w:vertAlign w:val="baseline"/>
        </w:rPr>
        <w:t>equity</w:t>
      </w:r>
      <w:r>
        <w:rPr>
          <w:spacing w:val="-18"/>
          <w:w w:val="110"/>
          <w:vertAlign w:val="baseline"/>
        </w:rPr>
        <w:t> </w:t>
      </w:r>
      <w:r>
        <w:rPr>
          <w:w w:val="110"/>
          <w:vertAlign w:val="baseline"/>
        </w:rPr>
        <w:t>prices having a relatively smaller</w:t>
      </w:r>
      <w:r>
        <w:rPr>
          <w:spacing w:val="-40"/>
          <w:w w:val="110"/>
          <w:vertAlign w:val="baseline"/>
        </w:rPr>
        <w:t> </w:t>
      </w:r>
      <w:r>
        <w:rPr>
          <w:w w:val="110"/>
          <w:vertAlign w:val="baseline"/>
        </w:rPr>
        <w:t>impact.</w:t>
      </w:r>
    </w:p>
    <w:p>
      <w:pPr>
        <w:spacing w:line="130" w:lineRule="exact" w:before="0"/>
        <w:ind w:left="474" w:right="0" w:firstLine="0"/>
        <w:jc w:val="left"/>
        <w:rPr>
          <w:sz w:val="12"/>
        </w:rPr>
      </w:pPr>
      <w:r>
        <w:rPr>
          <w:w w:val="120"/>
          <w:sz w:val="12"/>
        </w:rPr>
        <w:t>50</w:t>
      </w:r>
    </w:p>
    <w:p>
      <w:pPr>
        <w:pStyle w:val="BodyText"/>
        <w:spacing w:before="4"/>
        <w:rPr>
          <w:sz w:val="11"/>
        </w:rPr>
      </w:pPr>
    </w:p>
    <w:p>
      <w:pPr>
        <w:tabs>
          <w:tab w:pos="1432" w:val="left" w:leader="none"/>
        </w:tabs>
        <w:spacing w:before="0"/>
        <w:ind w:left="474" w:right="0" w:firstLine="0"/>
        <w:jc w:val="left"/>
        <w:rPr>
          <w:rFonts w:ascii="Trebuchet MS"/>
          <w:b/>
          <w:sz w:val="20"/>
        </w:rPr>
      </w:pPr>
      <w:r>
        <w:rPr>
          <w:w w:val="115"/>
          <w:sz w:val="20"/>
          <w:vertAlign w:val="subscript"/>
        </w:rPr>
        <w:t>40</w:t>
      </w:r>
      <w:r>
        <w:rPr>
          <w:w w:val="115"/>
          <w:sz w:val="20"/>
          <w:vertAlign w:val="baseline"/>
        </w:rPr>
        <w:tab/>
      </w:r>
      <w:r>
        <w:rPr>
          <w:rFonts w:ascii="Trebuchet MS"/>
          <w:b/>
          <w:color w:val="89C6DC"/>
          <w:w w:val="115"/>
          <w:sz w:val="20"/>
          <w:vertAlign w:val="baseline"/>
        </w:rPr>
        <w:t>Risks</w:t>
      </w:r>
    </w:p>
    <w:p>
      <w:pPr>
        <w:pStyle w:val="BodyText"/>
        <w:tabs>
          <w:tab w:pos="1432" w:val="left" w:leader="none"/>
        </w:tabs>
        <w:spacing w:line="252" w:lineRule="auto" w:before="124"/>
        <w:ind w:left="1432" w:right="663" w:hanging="959"/>
      </w:pPr>
      <w:r>
        <w:rPr>
          <w:w w:val="110"/>
          <w:sz w:val="12"/>
        </w:rPr>
        <w:t>30</w:t>
        <w:tab/>
      </w:r>
      <w:r>
        <w:rPr>
          <w:w w:val="110"/>
          <w:position w:val="2"/>
        </w:rPr>
        <w:t>The</w:t>
      </w:r>
      <w:r>
        <w:rPr>
          <w:spacing w:val="-16"/>
          <w:w w:val="110"/>
          <w:position w:val="2"/>
        </w:rPr>
        <w:t> </w:t>
      </w:r>
      <w:r>
        <w:rPr>
          <w:w w:val="110"/>
          <w:position w:val="2"/>
        </w:rPr>
        <w:t>analysis</w:t>
      </w:r>
      <w:r>
        <w:rPr>
          <w:spacing w:val="-15"/>
          <w:w w:val="110"/>
          <w:position w:val="2"/>
        </w:rPr>
        <w:t> </w:t>
      </w:r>
      <w:r>
        <w:rPr>
          <w:w w:val="110"/>
          <w:position w:val="2"/>
        </w:rPr>
        <w:t>is</w:t>
      </w:r>
      <w:r>
        <w:rPr>
          <w:spacing w:val="-15"/>
          <w:w w:val="110"/>
          <w:position w:val="2"/>
        </w:rPr>
        <w:t> </w:t>
      </w:r>
      <w:r>
        <w:rPr>
          <w:w w:val="110"/>
          <w:position w:val="2"/>
        </w:rPr>
        <w:t>based</w:t>
      </w:r>
      <w:r>
        <w:rPr>
          <w:spacing w:val="-15"/>
          <w:w w:val="110"/>
          <w:position w:val="2"/>
        </w:rPr>
        <w:t> </w:t>
      </w:r>
      <w:r>
        <w:rPr>
          <w:w w:val="110"/>
          <w:position w:val="2"/>
        </w:rPr>
        <w:t>on</w:t>
      </w:r>
      <w:r>
        <w:rPr>
          <w:spacing w:val="-16"/>
          <w:w w:val="110"/>
          <w:position w:val="2"/>
        </w:rPr>
        <w:t> </w:t>
      </w:r>
      <w:r>
        <w:rPr>
          <w:w w:val="110"/>
          <w:position w:val="2"/>
        </w:rPr>
        <w:t>the</w:t>
      </w:r>
      <w:r>
        <w:rPr>
          <w:spacing w:val="-15"/>
          <w:w w:val="110"/>
          <w:position w:val="2"/>
        </w:rPr>
        <w:t> </w:t>
      </w:r>
      <w:r>
        <w:rPr>
          <w:w w:val="110"/>
          <w:position w:val="2"/>
        </w:rPr>
        <w:t>broad</w:t>
      </w:r>
      <w:r>
        <w:rPr>
          <w:spacing w:val="-15"/>
          <w:w w:val="110"/>
          <w:position w:val="2"/>
        </w:rPr>
        <w:t> </w:t>
      </w:r>
      <w:r>
        <w:rPr>
          <w:w w:val="110"/>
          <w:position w:val="2"/>
        </w:rPr>
        <w:t>assumption</w:t>
      </w:r>
      <w:r>
        <w:rPr>
          <w:spacing w:val="-15"/>
          <w:w w:val="110"/>
          <w:position w:val="2"/>
        </w:rPr>
        <w:t> </w:t>
      </w:r>
      <w:r>
        <w:rPr>
          <w:w w:val="110"/>
          <w:position w:val="2"/>
        </w:rPr>
        <w:t>that </w:t>
      </w:r>
      <w:r>
        <w:rPr>
          <w:w w:val="110"/>
        </w:rPr>
        <w:t>the</w:t>
      </w:r>
      <w:r>
        <w:rPr>
          <w:spacing w:val="-15"/>
          <w:w w:val="110"/>
        </w:rPr>
        <w:t> </w:t>
      </w:r>
      <w:r>
        <w:rPr>
          <w:w w:val="110"/>
        </w:rPr>
        <w:t>transmission</w:t>
      </w:r>
      <w:r>
        <w:rPr>
          <w:spacing w:val="-15"/>
          <w:w w:val="110"/>
        </w:rPr>
        <w:t> </w:t>
      </w:r>
      <w:r>
        <w:rPr>
          <w:w w:val="110"/>
        </w:rPr>
        <w:t>channels</w:t>
      </w:r>
      <w:r>
        <w:rPr>
          <w:spacing w:val="-15"/>
          <w:w w:val="110"/>
        </w:rPr>
        <w:t> </w:t>
      </w:r>
      <w:r>
        <w:rPr>
          <w:w w:val="110"/>
        </w:rPr>
        <w:t>are</w:t>
      </w:r>
      <w:r>
        <w:rPr>
          <w:spacing w:val="-15"/>
          <w:w w:val="110"/>
        </w:rPr>
        <w:t> </w:t>
      </w:r>
      <w:r>
        <w:rPr>
          <w:w w:val="110"/>
        </w:rPr>
        <w:t>in</w:t>
      </w:r>
      <w:r>
        <w:rPr>
          <w:spacing w:val="-15"/>
          <w:w w:val="110"/>
        </w:rPr>
        <w:t> </w:t>
      </w:r>
      <w:r>
        <w:rPr>
          <w:w w:val="110"/>
        </w:rPr>
        <w:t>line</w:t>
      </w:r>
      <w:r>
        <w:rPr>
          <w:spacing w:val="-14"/>
          <w:w w:val="110"/>
        </w:rPr>
        <w:t> </w:t>
      </w:r>
      <w:r>
        <w:rPr>
          <w:w w:val="110"/>
        </w:rPr>
        <w:t>with</w:t>
      </w:r>
      <w:r>
        <w:rPr>
          <w:spacing w:val="-15"/>
          <w:w w:val="110"/>
        </w:rPr>
        <w:t> </w:t>
      </w:r>
      <w:r>
        <w:rPr>
          <w:spacing w:val="-3"/>
          <w:w w:val="110"/>
        </w:rPr>
        <w:t>average</w:t>
      </w:r>
    </w:p>
    <w:p>
      <w:pPr>
        <w:pStyle w:val="BodyText"/>
        <w:tabs>
          <w:tab w:pos="1432" w:val="left" w:leader="none"/>
        </w:tabs>
        <w:spacing w:line="229" w:lineRule="exact"/>
        <w:ind w:left="474"/>
      </w:pPr>
      <w:r>
        <w:rPr>
          <w:w w:val="110"/>
          <w:vertAlign w:val="superscript"/>
        </w:rPr>
        <w:t>20</w:t>
      </w:r>
      <w:r>
        <w:rPr>
          <w:w w:val="110"/>
          <w:vertAlign w:val="baseline"/>
        </w:rPr>
        <w:tab/>
        <w:t>historic relationships. The risks in terms of</w:t>
      </w:r>
      <w:r>
        <w:rPr>
          <w:spacing w:val="-17"/>
          <w:w w:val="110"/>
          <w:vertAlign w:val="baseline"/>
        </w:rPr>
        <w:t> </w:t>
      </w:r>
      <w:r>
        <w:rPr>
          <w:w w:val="110"/>
          <w:vertAlign w:val="baseline"/>
        </w:rPr>
        <w:t>the</w:t>
      </w:r>
    </w:p>
    <w:p>
      <w:pPr>
        <w:pStyle w:val="BodyText"/>
        <w:tabs>
          <w:tab w:pos="1432" w:val="left" w:leader="none"/>
        </w:tabs>
        <w:spacing w:line="252" w:lineRule="auto" w:before="6"/>
        <w:ind w:left="1432" w:right="659" w:hanging="959"/>
      </w:pPr>
      <w:r>
        <w:rPr>
          <w:w w:val="110"/>
          <w:sz w:val="12"/>
        </w:rPr>
        <w:t>10</w:t>
        <w:tab/>
      </w:r>
      <w:r>
        <w:rPr>
          <w:w w:val="110"/>
          <w:position w:val="2"/>
        </w:rPr>
        <w:t>transmission</w:t>
      </w:r>
      <w:r>
        <w:rPr>
          <w:spacing w:val="-21"/>
          <w:w w:val="110"/>
          <w:position w:val="2"/>
        </w:rPr>
        <w:t> </w:t>
      </w:r>
      <w:r>
        <w:rPr>
          <w:spacing w:val="-4"/>
          <w:w w:val="110"/>
          <w:position w:val="2"/>
        </w:rPr>
        <w:t>to</w:t>
      </w:r>
      <w:r>
        <w:rPr>
          <w:spacing w:val="-21"/>
          <w:w w:val="110"/>
          <w:position w:val="2"/>
        </w:rPr>
        <w:t> </w:t>
      </w:r>
      <w:r>
        <w:rPr>
          <w:w w:val="110"/>
          <w:position w:val="2"/>
        </w:rPr>
        <w:t>the</w:t>
      </w:r>
      <w:r>
        <w:rPr>
          <w:spacing w:val="-20"/>
          <w:w w:val="110"/>
          <w:position w:val="2"/>
        </w:rPr>
        <w:t> </w:t>
      </w:r>
      <w:r>
        <w:rPr>
          <w:w w:val="110"/>
          <w:position w:val="2"/>
        </w:rPr>
        <w:t>United</w:t>
      </w:r>
      <w:r>
        <w:rPr>
          <w:spacing w:val="-21"/>
          <w:w w:val="110"/>
          <w:position w:val="2"/>
        </w:rPr>
        <w:t> </w:t>
      </w:r>
      <w:r>
        <w:rPr>
          <w:w w:val="110"/>
          <w:position w:val="2"/>
        </w:rPr>
        <w:t>Kingdom</w:t>
      </w:r>
      <w:r>
        <w:rPr>
          <w:spacing w:val="-21"/>
          <w:w w:val="110"/>
          <w:position w:val="2"/>
        </w:rPr>
        <w:t> </w:t>
      </w:r>
      <w:r>
        <w:rPr>
          <w:w w:val="110"/>
          <w:position w:val="2"/>
        </w:rPr>
        <w:t>are</w:t>
      </w:r>
      <w:r>
        <w:rPr>
          <w:spacing w:val="-20"/>
          <w:w w:val="110"/>
          <w:position w:val="2"/>
        </w:rPr>
        <w:t> </w:t>
      </w:r>
      <w:r>
        <w:rPr>
          <w:w w:val="110"/>
          <w:position w:val="2"/>
        </w:rPr>
        <w:t>mainly</w:t>
      </w:r>
      <w:r>
        <w:rPr>
          <w:spacing w:val="-21"/>
          <w:w w:val="110"/>
          <w:position w:val="2"/>
        </w:rPr>
        <w:t> </w:t>
      </w:r>
      <w:r>
        <w:rPr>
          <w:w w:val="110"/>
          <w:position w:val="2"/>
        </w:rPr>
        <w:t>on </w:t>
      </w:r>
      <w:r>
        <w:rPr>
          <w:w w:val="110"/>
        </w:rPr>
        <w:t>the</w:t>
      </w:r>
      <w:r>
        <w:rPr>
          <w:spacing w:val="-31"/>
          <w:w w:val="110"/>
        </w:rPr>
        <w:t> </w:t>
      </w:r>
      <w:r>
        <w:rPr>
          <w:w w:val="110"/>
        </w:rPr>
        <w:t>downside.</w:t>
      </w:r>
      <w:r>
        <w:rPr>
          <w:spacing w:val="-4"/>
          <w:w w:val="110"/>
        </w:rPr>
        <w:t> </w:t>
      </w:r>
      <w:r>
        <w:rPr>
          <w:w w:val="110"/>
        </w:rPr>
        <w:t>Risks</w:t>
      </w:r>
      <w:r>
        <w:rPr>
          <w:spacing w:val="-30"/>
          <w:w w:val="110"/>
        </w:rPr>
        <w:t> </w:t>
      </w:r>
      <w:r>
        <w:rPr>
          <w:spacing w:val="-4"/>
          <w:w w:val="110"/>
        </w:rPr>
        <w:t>to</w:t>
      </w:r>
      <w:r>
        <w:rPr>
          <w:spacing w:val="-30"/>
          <w:w w:val="110"/>
        </w:rPr>
        <w:t> </w:t>
      </w:r>
      <w:r>
        <w:rPr>
          <w:w w:val="110"/>
        </w:rPr>
        <w:t>US</w:t>
      </w:r>
      <w:r>
        <w:rPr>
          <w:spacing w:val="-30"/>
          <w:w w:val="110"/>
        </w:rPr>
        <w:t> </w:t>
      </w:r>
      <w:r>
        <w:rPr>
          <w:w w:val="110"/>
        </w:rPr>
        <w:t>growth</w:t>
      </w:r>
      <w:r>
        <w:rPr>
          <w:spacing w:val="-30"/>
          <w:w w:val="110"/>
        </w:rPr>
        <w:t> </w:t>
      </w:r>
      <w:r>
        <w:rPr>
          <w:w w:val="110"/>
        </w:rPr>
        <w:t>prospects</w:t>
      </w:r>
      <w:r>
        <w:rPr>
          <w:spacing w:val="-30"/>
          <w:w w:val="110"/>
        </w:rPr>
        <w:t> </w:t>
      </w:r>
      <w:r>
        <w:rPr>
          <w:w w:val="110"/>
        </w:rPr>
        <w:t>clearly</w:t>
      </w:r>
    </w:p>
    <w:p>
      <w:pPr>
        <w:spacing w:after="0" w:line="252" w:lineRule="auto"/>
        <w:sectPr>
          <w:type w:val="continuous"/>
          <w:pgSz w:w="11900" w:h="16840"/>
          <w:pgMar w:top="1260" w:bottom="280" w:left="640" w:right="640"/>
          <w:cols w:num="2" w:equalWidth="0">
            <w:col w:w="3491" w:space="666"/>
            <w:col w:w="6463"/>
          </w:cols>
        </w:sectPr>
      </w:pPr>
    </w:p>
    <w:p>
      <w:pPr>
        <w:tabs>
          <w:tab w:pos="4664" w:val="left" w:leader="none"/>
        </w:tabs>
        <w:spacing w:line="104" w:lineRule="exact" w:before="0"/>
        <w:ind w:left="434" w:right="0" w:firstLine="0"/>
        <w:jc w:val="center"/>
        <w:rPr>
          <w:sz w:val="12"/>
        </w:rPr>
      </w:pPr>
      <w:r>
        <w:rPr>
          <w:w w:val="120"/>
          <w:sz w:val="12"/>
        </w:rPr>
        <w:t>80</w:t>
        <w:tab/>
        <w:t>0</w:t>
      </w:r>
    </w:p>
    <w:p>
      <w:pPr>
        <w:spacing w:line="127" w:lineRule="exact" w:before="0"/>
        <w:ind w:left="401" w:right="0" w:firstLine="0"/>
        <w:jc w:val="center"/>
        <w:rPr>
          <w:sz w:val="12"/>
        </w:rPr>
      </w:pPr>
      <w:r>
        <w:rPr>
          <w:w w:val="120"/>
          <w:sz w:val="12"/>
        </w:rPr>
        <w:t>1975 77 79 81 83 85 87 89 91 93 95 97 99 2001</w:t>
      </w:r>
    </w:p>
    <w:p>
      <w:pPr>
        <w:pStyle w:val="BodyText"/>
        <w:spacing w:before="1"/>
        <w:rPr>
          <w:sz w:val="14"/>
        </w:rPr>
      </w:pPr>
    </w:p>
    <w:p>
      <w:pPr>
        <w:pStyle w:val="Heading6"/>
        <w:ind w:left="469"/>
      </w:pPr>
      <w:r>
        <w:rPr>
          <w:color w:val="89C6DC"/>
          <w:w w:val="95"/>
        </w:rPr>
        <w:t>Chart C</w:t>
      </w:r>
    </w:p>
    <w:p>
      <w:pPr>
        <w:spacing w:before="8"/>
        <w:ind w:left="469" w:right="0" w:firstLine="0"/>
        <w:jc w:val="left"/>
        <w:rPr>
          <w:rFonts w:ascii="Trebuchet MS"/>
          <w:b/>
          <w:sz w:val="20"/>
        </w:rPr>
      </w:pPr>
      <w:r>
        <w:rPr>
          <w:rFonts w:ascii="Trebuchet MS"/>
          <w:b/>
          <w:color w:val="89C6DC"/>
          <w:sz w:val="20"/>
        </w:rPr>
        <w:t>US and UK consumer confidence</w:t>
      </w:r>
    </w:p>
    <w:p>
      <w:pPr>
        <w:pStyle w:val="BodyText"/>
        <w:spacing w:line="249" w:lineRule="auto"/>
        <w:ind w:left="469" w:right="1159"/>
      </w:pPr>
      <w:r>
        <w:rPr/>
        <w:br w:type="column"/>
      </w:r>
      <w:r>
        <w:rPr>
          <w:w w:val="110"/>
        </w:rPr>
        <w:t>lie</w:t>
      </w:r>
      <w:r>
        <w:rPr>
          <w:spacing w:val="-11"/>
          <w:w w:val="110"/>
        </w:rPr>
        <w:t> </w:t>
      </w:r>
      <w:r>
        <w:rPr>
          <w:spacing w:val="-4"/>
          <w:w w:val="110"/>
        </w:rPr>
        <w:t>to</w:t>
      </w:r>
      <w:r>
        <w:rPr>
          <w:spacing w:val="-11"/>
          <w:w w:val="110"/>
        </w:rPr>
        <w:t> </w:t>
      </w:r>
      <w:r>
        <w:rPr>
          <w:w w:val="110"/>
        </w:rPr>
        <w:t>the</w:t>
      </w:r>
      <w:r>
        <w:rPr>
          <w:spacing w:val="-11"/>
          <w:w w:val="110"/>
        </w:rPr>
        <w:t> </w:t>
      </w:r>
      <w:r>
        <w:rPr>
          <w:w w:val="110"/>
        </w:rPr>
        <w:t>downside</w:t>
      </w:r>
      <w:r>
        <w:rPr>
          <w:spacing w:val="-10"/>
          <w:w w:val="110"/>
        </w:rPr>
        <w:t> </w:t>
      </w:r>
      <w:r>
        <w:rPr>
          <w:w w:val="110"/>
        </w:rPr>
        <w:t>of</w:t>
      </w:r>
      <w:r>
        <w:rPr>
          <w:spacing w:val="-11"/>
          <w:w w:val="110"/>
        </w:rPr>
        <w:t> </w:t>
      </w:r>
      <w:r>
        <w:rPr>
          <w:w w:val="110"/>
        </w:rPr>
        <w:t>the</w:t>
      </w:r>
      <w:r>
        <w:rPr>
          <w:spacing w:val="-11"/>
          <w:w w:val="110"/>
        </w:rPr>
        <w:t> </w:t>
      </w:r>
      <w:r>
        <w:rPr>
          <w:w w:val="110"/>
        </w:rPr>
        <w:t>central</w:t>
      </w:r>
      <w:r>
        <w:rPr>
          <w:spacing w:val="-10"/>
          <w:w w:val="110"/>
        </w:rPr>
        <w:t> </w:t>
      </w:r>
      <w:r>
        <w:rPr>
          <w:w w:val="110"/>
        </w:rPr>
        <w:t>projection. </w:t>
      </w:r>
      <w:r>
        <w:rPr>
          <w:spacing w:val="-3"/>
          <w:w w:val="110"/>
        </w:rPr>
        <w:t>Moreover,</w:t>
      </w:r>
      <w:r>
        <w:rPr>
          <w:spacing w:val="-17"/>
          <w:w w:val="110"/>
        </w:rPr>
        <w:t> </w:t>
      </w:r>
      <w:r>
        <w:rPr>
          <w:w w:val="110"/>
        </w:rPr>
        <w:t>in</w:t>
      </w:r>
      <w:r>
        <w:rPr>
          <w:spacing w:val="-17"/>
          <w:w w:val="110"/>
        </w:rPr>
        <w:t> </w:t>
      </w:r>
      <w:r>
        <w:rPr>
          <w:w w:val="110"/>
        </w:rPr>
        <w:t>the</w:t>
      </w:r>
      <w:r>
        <w:rPr>
          <w:spacing w:val="-17"/>
          <w:w w:val="110"/>
        </w:rPr>
        <w:t> </w:t>
      </w:r>
      <w:r>
        <w:rPr>
          <w:w w:val="110"/>
        </w:rPr>
        <w:t>event</w:t>
      </w:r>
      <w:r>
        <w:rPr>
          <w:spacing w:val="-16"/>
          <w:w w:val="110"/>
        </w:rPr>
        <w:t> </w:t>
      </w:r>
      <w:r>
        <w:rPr>
          <w:w w:val="110"/>
        </w:rPr>
        <w:t>of</w:t>
      </w:r>
      <w:r>
        <w:rPr>
          <w:spacing w:val="-17"/>
          <w:w w:val="110"/>
        </w:rPr>
        <w:t> </w:t>
      </w:r>
      <w:r>
        <w:rPr>
          <w:w w:val="110"/>
        </w:rPr>
        <w:t>a</w:t>
      </w:r>
      <w:r>
        <w:rPr>
          <w:spacing w:val="-17"/>
          <w:w w:val="110"/>
        </w:rPr>
        <w:t> </w:t>
      </w:r>
      <w:r>
        <w:rPr>
          <w:w w:val="110"/>
        </w:rPr>
        <w:t>more</w:t>
      </w:r>
      <w:r>
        <w:rPr>
          <w:spacing w:val="-17"/>
          <w:w w:val="110"/>
        </w:rPr>
        <w:t> </w:t>
      </w:r>
      <w:r>
        <w:rPr>
          <w:w w:val="110"/>
        </w:rPr>
        <w:t>pronounced</w:t>
      </w:r>
    </w:p>
    <w:p>
      <w:pPr>
        <w:pStyle w:val="BodyText"/>
        <w:spacing w:line="249" w:lineRule="auto"/>
        <w:ind w:left="469" w:right="228"/>
      </w:pPr>
      <w:r>
        <w:rPr>
          <w:w w:val="110"/>
        </w:rPr>
        <w:t>US</w:t>
      </w:r>
      <w:r>
        <w:rPr>
          <w:spacing w:val="-28"/>
          <w:w w:val="110"/>
        </w:rPr>
        <w:t> </w:t>
      </w:r>
      <w:r>
        <w:rPr>
          <w:w w:val="110"/>
        </w:rPr>
        <w:t>downturn,</w:t>
      </w:r>
      <w:r>
        <w:rPr>
          <w:spacing w:val="-27"/>
          <w:w w:val="110"/>
        </w:rPr>
        <w:t> </w:t>
      </w:r>
      <w:r>
        <w:rPr>
          <w:w w:val="110"/>
        </w:rPr>
        <w:t>the</w:t>
      </w:r>
      <w:r>
        <w:rPr>
          <w:spacing w:val="-28"/>
          <w:w w:val="110"/>
        </w:rPr>
        <w:t> </w:t>
      </w:r>
      <w:r>
        <w:rPr>
          <w:w w:val="110"/>
        </w:rPr>
        <w:t>transmission</w:t>
      </w:r>
      <w:r>
        <w:rPr>
          <w:spacing w:val="-27"/>
          <w:w w:val="110"/>
        </w:rPr>
        <w:t> </w:t>
      </w:r>
      <w:r>
        <w:rPr>
          <w:w w:val="110"/>
        </w:rPr>
        <w:t>channels</w:t>
      </w:r>
      <w:r>
        <w:rPr>
          <w:spacing w:val="-27"/>
          <w:w w:val="110"/>
        </w:rPr>
        <w:t> </w:t>
      </w:r>
      <w:r>
        <w:rPr>
          <w:w w:val="110"/>
        </w:rPr>
        <w:t>discussed </w:t>
      </w:r>
      <w:r>
        <w:rPr>
          <w:spacing w:val="-3"/>
          <w:w w:val="110"/>
        </w:rPr>
        <w:t>above</w:t>
      </w:r>
      <w:r>
        <w:rPr>
          <w:spacing w:val="-11"/>
          <w:w w:val="110"/>
        </w:rPr>
        <w:t> </w:t>
      </w:r>
      <w:r>
        <w:rPr>
          <w:w w:val="110"/>
        </w:rPr>
        <w:t>would</w:t>
      </w:r>
      <w:r>
        <w:rPr>
          <w:spacing w:val="-10"/>
          <w:w w:val="110"/>
        </w:rPr>
        <w:t> </w:t>
      </w:r>
      <w:r>
        <w:rPr>
          <w:w w:val="110"/>
        </w:rPr>
        <w:t>be</w:t>
      </w:r>
      <w:r>
        <w:rPr>
          <w:spacing w:val="-10"/>
          <w:w w:val="110"/>
        </w:rPr>
        <w:t> </w:t>
      </w:r>
      <w:r>
        <w:rPr>
          <w:w w:val="110"/>
        </w:rPr>
        <w:t>stronger</w:t>
      </w:r>
      <w:r>
        <w:rPr>
          <w:spacing w:val="-10"/>
          <w:w w:val="110"/>
        </w:rPr>
        <w:t> </w:t>
      </w:r>
      <w:r>
        <w:rPr>
          <w:w w:val="110"/>
        </w:rPr>
        <w:t>and</w:t>
      </w:r>
      <w:r>
        <w:rPr>
          <w:spacing w:val="-10"/>
          <w:w w:val="110"/>
        </w:rPr>
        <w:t> </w:t>
      </w:r>
      <w:r>
        <w:rPr>
          <w:w w:val="110"/>
        </w:rPr>
        <w:t>could</w:t>
      </w:r>
      <w:r>
        <w:rPr>
          <w:spacing w:val="-10"/>
          <w:w w:val="110"/>
        </w:rPr>
        <w:t> </w:t>
      </w:r>
      <w:r>
        <w:rPr>
          <w:w w:val="110"/>
        </w:rPr>
        <w:t>become</w:t>
      </w:r>
    </w:p>
    <w:p>
      <w:pPr>
        <w:spacing w:after="0" w:line="249" w:lineRule="auto"/>
        <w:sectPr>
          <w:type w:val="continuous"/>
          <w:pgSz w:w="11900" w:h="16840"/>
          <w:pgMar w:top="1260" w:bottom="280" w:left="640" w:right="640"/>
          <w:cols w:num="2" w:equalWidth="0">
            <w:col w:w="4818" w:space="303"/>
            <w:col w:w="5499"/>
          </w:cols>
        </w:sectPr>
      </w:pPr>
    </w:p>
    <w:p>
      <w:pPr>
        <w:spacing w:line="112" w:lineRule="exact" w:before="0"/>
        <w:ind w:left="647" w:right="0" w:firstLine="0"/>
        <w:jc w:val="left"/>
        <w:rPr>
          <w:sz w:val="12"/>
        </w:rPr>
      </w:pPr>
      <w:r>
        <w:rPr>
          <w:w w:val="110"/>
          <w:sz w:val="12"/>
        </w:rPr>
        <w:t>Percentage point balance</w:t>
      </w:r>
    </w:p>
    <w:p>
      <w:pPr>
        <w:spacing w:line="125" w:lineRule="exact" w:before="0"/>
        <w:ind w:left="474" w:right="0" w:firstLine="0"/>
        <w:jc w:val="left"/>
        <w:rPr>
          <w:sz w:val="12"/>
        </w:rPr>
      </w:pPr>
      <w:r>
        <w:rPr>
          <w:w w:val="120"/>
          <w:sz w:val="12"/>
        </w:rPr>
        <w:t>30</w:t>
      </w:r>
    </w:p>
    <w:p>
      <w:pPr>
        <w:pStyle w:val="BodyText"/>
        <w:spacing w:before="11"/>
        <w:rPr>
          <w:sz w:val="9"/>
        </w:rPr>
      </w:pPr>
    </w:p>
    <w:p>
      <w:pPr>
        <w:spacing w:line="129" w:lineRule="exact" w:before="0"/>
        <w:ind w:left="1235" w:right="0" w:firstLine="0"/>
        <w:jc w:val="left"/>
        <w:rPr>
          <w:sz w:val="12"/>
        </w:rPr>
      </w:pPr>
      <w:r>
        <w:rPr>
          <w:sz w:val="12"/>
        </w:rPr>
        <w:t>UK aggregate GfK</w:t>
      </w:r>
    </w:p>
    <w:p>
      <w:pPr>
        <w:spacing w:line="102" w:lineRule="exact" w:before="0"/>
        <w:ind w:left="474" w:right="0" w:firstLine="0"/>
        <w:jc w:val="left"/>
        <w:rPr>
          <w:sz w:val="12"/>
        </w:rPr>
      </w:pPr>
      <w:r>
        <w:rPr/>
        <w:br w:type="column"/>
      </w:r>
      <w:r>
        <w:rPr>
          <w:sz w:val="12"/>
        </w:rPr>
        <w:t>Level</w:t>
      </w:r>
    </w:p>
    <w:p>
      <w:pPr>
        <w:spacing w:line="115" w:lineRule="exact" w:before="0"/>
        <w:ind w:left="769" w:right="0" w:firstLine="0"/>
        <w:jc w:val="left"/>
        <w:rPr>
          <w:sz w:val="12"/>
        </w:rPr>
      </w:pPr>
      <w:r>
        <w:rPr>
          <w:w w:val="120"/>
          <w:sz w:val="12"/>
        </w:rPr>
        <w:t>160</w:t>
      </w:r>
    </w:p>
    <w:p>
      <w:pPr>
        <w:pStyle w:val="BodyText"/>
        <w:spacing w:line="249" w:lineRule="auto" w:before="2"/>
        <w:ind w:left="474" w:right="526"/>
      </w:pPr>
      <w:r>
        <w:rPr/>
        <w:br w:type="column"/>
      </w:r>
      <w:r>
        <w:rPr>
          <w:w w:val="110"/>
        </w:rPr>
        <w:t>amplified</w:t>
      </w:r>
      <w:r>
        <w:rPr>
          <w:spacing w:val="-16"/>
          <w:w w:val="110"/>
        </w:rPr>
        <w:t> </w:t>
      </w:r>
      <w:r>
        <w:rPr>
          <w:spacing w:val="-3"/>
          <w:w w:val="110"/>
        </w:rPr>
        <w:t>by</w:t>
      </w:r>
      <w:r>
        <w:rPr>
          <w:spacing w:val="-15"/>
          <w:w w:val="110"/>
        </w:rPr>
        <w:t> </w:t>
      </w:r>
      <w:r>
        <w:rPr>
          <w:w w:val="110"/>
        </w:rPr>
        <w:t>stronger</w:t>
      </w:r>
      <w:r>
        <w:rPr>
          <w:spacing w:val="-15"/>
          <w:w w:val="110"/>
        </w:rPr>
        <w:t> </w:t>
      </w:r>
      <w:r>
        <w:rPr>
          <w:w w:val="110"/>
        </w:rPr>
        <w:t>credit</w:t>
      </w:r>
      <w:r>
        <w:rPr>
          <w:spacing w:val="-16"/>
          <w:w w:val="110"/>
        </w:rPr>
        <w:t> </w:t>
      </w:r>
      <w:r>
        <w:rPr>
          <w:w w:val="110"/>
        </w:rPr>
        <w:t>channel</w:t>
      </w:r>
      <w:r>
        <w:rPr>
          <w:spacing w:val="-15"/>
          <w:w w:val="110"/>
        </w:rPr>
        <w:t> </w:t>
      </w:r>
      <w:r>
        <w:rPr>
          <w:w w:val="110"/>
        </w:rPr>
        <w:t>and</w:t>
      </w:r>
      <w:r>
        <w:rPr>
          <w:spacing w:val="-15"/>
          <w:w w:val="110"/>
        </w:rPr>
        <w:t> </w:t>
      </w:r>
      <w:r>
        <w:rPr>
          <w:w w:val="110"/>
        </w:rPr>
        <w:t>confidence effects,</w:t>
      </w:r>
      <w:r>
        <w:rPr>
          <w:spacing w:val="-25"/>
          <w:w w:val="110"/>
        </w:rPr>
        <w:t> </w:t>
      </w:r>
      <w:r>
        <w:rPr>
          <w:w w:val="110"/>
        </w:rPr>
        <w:t>as</w:t>
      </w:r>
      <w:r>
        <w:rPr>
          <w:spacing w:val="-24"/>
          <w:w w:val="110"/>
        </w:rPr>
        <w:t> </w:t>
      </w:r>
      <w:r>
        <w:rPr>
          <w:w w:val="110"/>
        </w:rPr>
        <w:t>these</w:t>
      </w:r>
      <w:r>
        <w:rPr>
          <w:spacing w:val="-25"/>
          <w:w w:val="110"/>
        </w:rPr>
        <w:t> </w:t>
      </w:r>
      <w:r>
        <w:rPr>
          <w:spacing w:val="-3"/>
          <w:w w:val="110"/>
        </w:rPr>
        <w:t>may</w:t>
      </w:r>
      <w:r>
        <w:rPr>
          <w:spacing w:val="-24"/>
          <w:w w:val="110"/>
        </w:rPr>
        <w:t> </w:t>
      </w:r>
      <w:r>
        <w:rPr>
          <w:w w:val="110"/>
        </w:rPr>
        <w:t>be</w:t>
      </w:r>
      <w:r>
        <w:rPr>
          <w:spacing w:val="-25"/>
          <w:w w:val="110"/>
        </w:rPr>
        <w:t> </w:t>
      </w:r>
      <w:r>
        <w:rPr>
          <w:w w:val="110"/>
        </w:rPr>
        <w:t>disproportionately</w:t>
      </w:r>
      <w:r>
        <w:rPr>
          <w:spacing w:val="-24"/>
          <w:w w:val="110"/>
        </w:rPr>
        <w:t> </w:t>
      </w:r>
      <w:r>
        <w:rPr>
          <w:w w:val="110"/>
        </w:rPr>
        <w:t>powerful</w:t>
      </w:r>
    </w:p>
    <w:p>
      <w:pPr>
        <w:spacing w:after="0" w:line="249" w:lineRule="auto"/>
        <w:sectPr>
          <w:type w:val="continuous"/>
          <w:pgSz w:w="11900" w:h="16840"/>
          <w:pgMar w:top="1260" w:bottom="280" w:left="640" w:right="640"/>
          <w:cols w:num="3" w:equalWidth="0">
            <w:col w:w="2211" w:space="1604"/>
            <w:col w:w="1029" w:space="272"/>
            <w:col w:w="5504"/>
          </w:cols>
        </w:sectPr>
      </w:pPr>
    </w:p>
    <w:p>
      <w:pPr>
        <w:tabs>
          <w:tab w:pos="1307" w:val="left" w:leader="none"/>
        </w:tabs>
        <w:spacing w:before="5"/>
        <w:ind w:left="474" w:right="0" w:firstLine="0"/>
        <w:jc w:val="left"/>
        <w:rPr>
          <w:sz w:val="12"/>
        </w:rPr>
      </w:pPr>
      <w:r>
        <w:rPr>
          <w:w w:val="110"/>
          <w:position w:val="-1"/>
          <w:sz w:val="12"/>
        </w:rPr>
        <w:t>20</w:t>
        <w:tab/>
      </w:r>
      <w:r>
        <w:rPr>
          <w:w w:val="110"/>
          <w:sz w:val="12"/>
        </w:rPr>
        <w:t>(left-hand</w:t>
      </w:r>
      <w:r>
        <w:rPr>
          <w:spacing w:val="-13"/>
          <w:w w:val="110"/>
          <w:sz w:val="12"/>
        </w:rPr>
        <w:t> </w:t>
      </w:r>
      <w:r>
        <w:rPr>
          <w:w w:val="110"/>
          <w:sz w:val="12"/>
        </w:rPr>
        <w:t>scale)</w:t>
      </w:r>
    </w:p>
    <w:p>
      <w:pPr>
        <w:pStyle w:val="BodyText"/>
        <w:rPr>
          <w:sz w:val="14"/>
        </w:rPr>
      </w:pPr>
    </w:p>
    <w:p>
      <w:pPr>
        <w:spacing w:before="124"/>
        <w:ind w:left="474" w:right="0" w:firstLine="0"/>
        <w:jc w:val="left"/>
        <w:rPr>
          <w:sz w:val="12"/>
        </w:rPr>
      </w:pPr>
      <w:r>
        <w:rPr>
          <w:w w:val="120"/>
          <w:sz w:val="12"/>
        </w:rPr>
        <w:t>10</w:t>
      </w:r>
    </w:p>
    <w:p>
      <w:pPr>
        <w:spacing w:before="49"/>
        <w:ind w:left="573" w:right="0" w:firstLine="0"/>
        <w:jc w:val="left"/>
        <w:rPr>
          <w:sz w:val="16"/>
        </w:rPr>
      </w:pPr>
      <w:r>
        <w:rPr>
          <w:w w:val="107"/>
          <w:sz w:val="16"/>
        </w:rPr>
        <w:t>+</w:t>
      </w:r>
    </w:p>
    <w:p>
      <w:pPr>
        <w:spacing w:line="138" w:lineRule="exact" w:before="39"/>
        <w:ind w:left="519" w:right="0" w:firstLine="0"/>
        <w:jc w:val="left"/>
        <w:rPr>
          <w:sz w:val="12"/>
        </w:rPr>
      </w:pPr>
      <w:r>
        <w:rPr>
          <w:w w:val="121"/>
          <w:sz w:val="12"/>
        </w:rPr>
        <w:t>0</w:t>
      </w:r>
    </w:p>
    <w:p>
      <w:pPr>
        <w:spacing w:before="0"/>
        <w:ind w:left="575" w:right="0" w:firstLine="0"/>
        <w:jc w:val="left"/>
        <w:rPr>
          <w:sz w:val="16"/>
        </w:rPr>
      </w:pPr>
      <w:r>
        <w:rPr>
          <w:w w:val="117"/>
          <w:sz w:val="16"/>
        </w:rPr>
        <w:t>–</w:t>
      </w:r>
    </w:p>
    <w:p>
      <w:pPr>
        <w:spacing w:before="88"/>
        <w:ind w:left="474" w:right="0" w:firstLine="0"/>
        <w:jc w:val="left"/>
        <w:rPr>
          <w:sz w:val="12"/>
        </w:rPr>
      </w:pPr>
      <w:r>
        <w:rPr>
          <w:w w:val="120"/>
          <w:sz w:val="12"/>
        </w:rPr>
        <w:t>10</w:t>
      </w:r>
    </w:p>
    <w:p>
      <w:pPr>
        <w:pStyle w:val="BodyText"/>
        <w:rPr>
          <w:sz w:val="12"/>
        </w:rPr>
      </w:pPr>
    </w:p>
    <w:p>
      <w:pPr>
        <w:pStyle w:val="BodyText"/>
        <w:spacing w:before="7"/>
        <w:rPr>
          <w:sz w:val="11"/>
        </w:rPr>
      </w:pPr>
    </w:p>
    <w:p>
      <w:pPr>
        <w:spacing w:before="0"/>
        <w:ind w:left="474" w:right="0" w:firstLine="0"/>
        <w:jc w:val="left"/>
        <w:rPr>
          <w:sz w:val="12"/>
        </w:rPr>
      </w:pPr>
      <w:r>
        <w:rPr>
          <w:w w:val="120"/>
          <w:sz w:val="12"/>
        </w:rPr>
        <w:t>20</w:t>
      </w:r>
    </w:p>
    <w:p>
      <w:pPr>
        <w:pStyle w:val="BodyText"/>
        <w:rPr>
          <w:sz w:val="12"/>
        </w:rPr>
      </w:pPr>
    </w:p>
    <w:p>
      <w:pPr>
        <w:pStyle w:val="BodyText"/>
        <w:spacing w:before="6"/>
        <w:rPr>
          <w:sz w:val="12"/>
        </w:rPr>
      </w:pPr>
    </w:p>
    <w:p>
      <w:pPr>
        <w:spacing w:before="0"/>
        <w:ind w:left="474" w:right="0" w:firstLine="0"/>
        <w:jc w:val="left"/>
        <w:rPr>
          <w:sz w:val="12"/>
        </w:rPr>
      </w:pPr>
      <w:r>
        <w:rPr>
          <w:w w:val="120"/>
          <w:sz w:val="12"/>
        </w:rPr>
        <w:t>30</w:t>
      </w:r>
    </w:p>
    <w:p>
      <w:pPr>
        <w:pStyle w:val="BodyText"/>
        <w:rPr>
          <w:sz w:val="12"/>
        </w:rPr>
      </w:pPr>
    </w:p>
    <w:p>
      <w:pPr>
        <w:pStyle w:val="BodyText"/>
        <w:spacing w:before="8"/>
        <w:rPr>
          <w:sz w:val="11"/>
        </w:rPr>
      </w:pPr>
    </w:p>
    <w:p>
      <w:pPr>
        <w:spacing w:before="0"/>
        <w:ind w:left="474" w:right="0" w:firstLine="0"/>
        <w:jc w:val="left"/>
        <w:rPr>
          <w:sz w:val="12"/>
        </w:rPr>
      </w:pPr>
      <w:r>
        <w:rPr>
          <w:w w:val="120"/>
          <w:sz w:val="12"/>
        </w:rPr>
        <w:t>40</w:t>
      </w:r>
    </w:p>
    <w:p>
      <w:pPr>
        <w:spacing w:line="111" w:lineRule="exact" w:before="0"/>
        <w:ind w:left="474" w:right="0" w:firstLine="0"/>
        <w:jc w:val="left"/>
        <w:rPr>
          <w:sz w:val="12"/>
        </w:rPr>
      </w:pPr>
      <w:r>
        <w:rPr/>
        <w:br w:type="column"/>
      </w:r>
      <w:r>
        <w:rPr>
          <w:w w:val="105"/>
          <w:sz w:val="12"/>
        </w:rPr>
        <w:t>US Conference Board</w:t>
      </w:r>
    </w:p>
    <w:p>
      <w:pPr>
        <w:spacing w:line="135" w:lineRule="exact" w:before="0"/>
        <w:ind w:left="561" w:right="0" w:firstLine="0"/>
        <w:jc w:val="left"/>
        <w:rPr>
          <w:sz w:val="12"/>
        </w:rPr>
      </w:pPr>
      <w:r>
        <w:rPr>
          <w:w w:val="110"/>
          <w:sz w:val="12"/>
        </w:rPr>
        <w:t>(right-hand scale)</w:t>
      </w:r>
    </w:p>
    <w:p>
      <w:pPr>
        <w:spacing w:before="8"/>
        <w:ind w:left="0" w:right="38" w:firstLine="0"/>
        <w:jc w:val="right"/>
        <w:rPr>
          <w:sz w:val="12"/>
        </w:rPr>
      </w:pPr>
      <w:r>
        <w:rPr/>
        <w:br w:type="column"/>
      </w:r>
      <w:r>
        <w:rPr>
          <w:spacing w:val="-1"/>
          <w:w w:val="120"/>
          <w:sz w:val="12"/>
        </w:rPr>
        <w:t>140</w:t>
      </w:r>
    </w:p>
    <w:p>
      <w:pPr>
        <w:pStyle w:val="BodyText"/>
        <w:rPr>
          <w:sz w:val="12"/>
        </w:rPr>
      </w:pPr>
    </w:p>
    <w:p>
      <w:pPr>
        <w:pStyle w:val="BodyText"/>
        <w:spacing w:before="6"/>
        <w:rPr>
          <w:sz w:val="12"/>
        </w:rPr>
      </w:pPr>
    </w:p>
    <w:p>
      <w:pPr>
        <w:spacing w:before="0"/>
        <w:ind w:left="0" w:right="38" w:firstLine="0"/>
        <w:jc w:val="right"/>
        <w:rPr>
          <w:sz w:val="12"/>
        </w:rPr>
      </w:pPr>
      <w:r>
        <w:rPr>
          <w:spacing w:val="-1"/>
          <w:w w:val="120"/>
          <w:sz w:val="12"/>
        </w:rPr>
        <w:t>120</w:t>
      </w:r>
    </w:p>
    <w:p>
      <w:pPr>
        <w:pStyle w:val="BodyText"/>
        <w:rPr>
          <w:sz w:val="12"/>
        </w:rPr>
      </w:pPr>
    </w:p>
    <w:p>
      <w:pPr>
        <w:pStyle w:val="BodyText"/>
        <w:spacing w:before="7"/>
        <w:rPr>
          <w:sz w:val="11"/>
        </w:rPr>
      </w:pPr>
    </w:p>
    <w:p>
      <w:pPr>
        <w:spacing w:before="0"/>
        <w:ind w:left="0" w:right="38" w:firstLine="0"/>
        <w:jc w:val="right"/>
        <w:rPr>
          <w:sz w:val="12"/>
        </w:rPr>
      </w:pPr>
      <w:r>
        <w:rPr>
          <w:spacing w:val="-1"/>
          <w:w w:val="120"/>
          <w:sz w:val="12"/>
        </w:rPr>
        <w:t>100</w:t>
      </w:r>
    </w:p>
    <w:p>
      <w:pPr>
        <w:pStyle w:val="BodyText"/>
        <w:rPr>
          <w:sz w:val="12"/>
        </w:rPr>
      </w:pPr>
    </w:p>
    <w:p>
      <w:pPr>
        <w:pStyle w:val="BodyText"/>
        <w:spacing w:before="8"/>
        <w:rPr>
          <w:sz w:val="11"/>
        </w:rPr>
      </w:pPr>
    </w:p>
    <w:p>
      <w:pPr>
        <w:spacing w:before="0"/>
        <w:ind w:left="0" w:right="38" w:firstLine="0"/>
        <w:jc w:val="right"/>
        <w:rPr>
          <w:sz w:val="12"/>
        </w:rPr>
      </w:pPr>
      <w:r>
        <w:rPr>
          <w:w w:val="120"/>
          <w:sz w:val="12"/>
        </w:rPr>
        <w:t>80</w:t>
      </w:r>
    </w:p>
    <w:p>
      <w:pPr>
        <w:pStyle w:val="BodyText"/>
        <w:rPr>
          <w:sz w:val="12"/>
        </w:rPr>
      </w:pPr>
    </w:p>
    <w:p>
      <w:pPr>
        <w:pStyle w:val="BodyText"/>
        <w:spacing w:before="7"/>
        <w:rPr>
          <w:sz w:val="11"/>
        </w:rPr>
      </w:pPr>
    </w:p>
    <w:p>
      <w:pPr>
        <w:spacing w:before="0"/>
        <w:ind w:left="0" w:right="38" w:firstLine="0"/>
        <w:jc w:val="right"/>
        <w:rPr>
          <w:sz w:val="12"/>
        </w:rPr>
      </w:pPr>
      <w:r>
        <w:rPr>
          <w:w w:val="120"/>
          <w:sz w:val="12"/>
        </w:rPr>
        <w:t>60</w:t>
      </w:r>
    </w:p>
    <w:p>
      <w:pPr>
        <w:pStyle w:val="BodyText"/>
        <w:rPr>
          <w:sz w:val="12"/>
        </w:rPr>
      </w:pPr>
    </w:p>
    <w:p>
      <w:pPr>
        <w:pStyle w:val="BodyText"/>
        <w:spacing w:before="6"/>
        <w:rPr>
          <w:sz w:val="12"/>
        </w:rPr>
      </w:pPr>
    </w:p>
    <w:p>
      <w:pPr>
        <w:spacing w:before="0"/>
        <w:ind w:left="0" w:right="38" w:firstLine="0"/>
        <w:jc w:val="right"/>
        <w:rPr>
          <w:sz w:val="12"/>
        </w:rPr>
      </w:pPr>
      <w:r>
        <w:rPr>
          <w:w w:val="120"/>
          <w:sz w:val="12"/>
        </w:rPr>
        <w:t>40</w:t>
      </w:r>
    </w:p>
    <w:p>
      <w:pPr>
        <w:pStyle w:val="BodyText"/>
        <w:rPr>
          <w:sz w:val="12"/>
        </w:rPr>
      </w:pPr>
    </w:p>
    <w:p>
      <w:pPr>
        <w:pStyle w:val="BodyText"/>
        <w:spacing w:before="8"/>
        <w:rPr>
          <w:sz w:val="11"/>
        </w:rPr>
      </w:pPr>
    </w:p>
    <w:p>
      <w:pPr>
        <w:spacing w:before="0"/>
        <w:ind w:left="0" w:right="38" w:firstLine="0"/>
        <w:jc w:val="right"/>
        <w:rPr>
          <w:sz w:val="12"/>
        </w:rPr>
      </w:pPr>
      <w:r>
        <w:rPr>
          <w:w w:val="120"/>
          <w:sz w:val="12"/>
        </w:rPr>
        <w:t>20</w:t>
      </w:r>
    </w:p>
    <w:p>
      <w:pPr>
        <w:pStyle w:val="BodyText"/>
        <w:spacing w:line="249" w:lineRule="auto" w:before="2"/>
        <w:ind w:left="474"/>
      </w:pPr>
      <w:r>
        <w:rPr/>
        <w:br w:type="column"/>
      </w:r>
      <w:r>
        <w:rPr>
          <w:w w:val="110"/>
        </w:rPr>
        <w:t>in the case of </w:t>
      </w:r>
      <w:r>
        <w:rPr>
          <w:spacing w:val="-3"/>
          <w:w w:val="110"/>
        </w:rPr>
        <w:t>severe </w:t>
      </w:r>
      <w:r>
        <w:rPr>
          <w:w w:val="110"/>
        </w:rPr>
        <w:t>shocks which cause financial institutions,</w:t>
      </w:r>
      <w:r>
        <w:rPr>
          <w:spacing w:val="-13"/>
          <w:w w:val="110"/>
        </w:rPr>
        <w:t> </w:t>
      </w:r>
      <w:r>
        <w:rPr>
          <w:w w:val="110"/>
        </w:rPr>
        <w:t>companies</w:t>
      </w:r>
      <w:r>
        <w:rPr>
          <w:spacing w:val="-12"/>
          <w:w w:val="110"/>
        </w:rPr>
        <w:t> </w:t>
      </w:r>
      <w:r>
        <w:rPr>
          <w:w w:val="110"/>
        </w:rPr>
        <w:t>and</w:t>
      </w:r>
      <w:r>
        <w:rPr>
          <w:spacing w:val="-13"/>
          <w:w w:val="110"/>
        </w:rPr>
        <w:t> </w:t>
      </w:r>
      <w:r>
        <w:rPr>
          <w:w w:val="110"/>
        </w:rPr>
        <w:t>households</w:t>
      </w:r>
      <w:r>
        <w:rPr>
          <w:spacing w:val="-12"/>
          <w:w w:val="110"/>
        </w:rPr>
        <w:t> </w:t>
      </w:r>
      <w:r>
        <w:rPr>
          <w:spacing w:val="-4"/>
          <w:w w:val="110"/>
        </w:rPr>
        <w:t>to</w:t>
      </w:r>
      <w:r>
        <w:rPr>
          <w:spacing w:val="-12"/>
          <w:w w:val="110"/>
        </w:rPr>
        <w:t> </w:t>
      </w:r>
      <w:r>
        <w:rPr>
          <w:w w:val="110"/>
        </w:rPr>
        <w:t>alter</w:t>
      </w:r>
      <w:r>
        <w:rPr>
          <w:spacing w:val="-13"/>
          <w:w w:val="110"/>
        </w:rPr>
        <w:t> </w:t>
      </w:r>
      <w:r>
        <w:rPr>
          <w:w w:val="110"/>
        </w:rPr>
        <w:t>their </w:t>
      </w:r>
      <w:r>
        <w:rPr>
          <w:spacing w:val="-3"/>
          <w:w w:val="110"/>
        </w:rPr>
        <w:t>behaviour.</w:t>
      </w:r>
    </w:p>
    <w:p>
      <w:pPr>
        <w:pStyle w:val="BodyText"/>
        <w:spacing w:before="8"/>
        <w:rPr>
          <w:sz w:val="22"/>
        </w:rPr>
      </w:pPr>
    </w:p>
    <w:p>
      <w:pPr>
        <w:pStyle w:val="Heading6"/>
        <w:ind w:left="474"/>
      </w:pPr>
      <w:r>
        <w:rPr>
          <w:color w:val="89C6DC"/>
        </w:rPr>
        <w:t>Conclusion</w:t>
      </w:r>
    </w:p>
    <w:p>
      <w:pPr>
        <w:pStyle w:val="BodyText"/>
        <w:spacing w:line="240" w:lineRule="atLeast" w:before="119"/>
        <w:ind w:left="474" w:right="444"/>
      </w:pPr>
      <w:r>
        <w:rPr>
          <w:w w:val="110"/>
        </w:rPr>
        <w:t>There</w:t>
      </w:r>
      <w:r>
        <w:rPr>
          <w:spacing w:val="-10"/>
          <w:w w:val="110"/>
        </w:rPr>
        <w:t> </w:t>
      </w:r>
      <w:r>
        <w:rPr>
          <w:w w:val="110"/>
        </w:rPr>
        <w:t>are</w:t>
      </w:r>
      <w:r>
        <w:rPr>
          <w:spacing w:val="-10"/>
          <w:w w:val="110"/>
        </w:rPr>
        <w:t> </w:t>
      </w:r>
      <w:r>
        <w:rPr>
          <w:w w:val="110"/>
        </w:rPr>
        <w:t>many</w:t>
      </w:r>
      <w:r>
        <w:rPr>
          <w:spacing w:val="-9"/>
          <w:w w:val="110"/>
        </w:rPr>
        <w:t> </w:t>
      </w:r>
      <w:r>
        <w:rPr>
          <w:w w:val="110"/>
        </w:rPr>
        <w:t>uncertainties</w:t>
      </w:r>
      <w:r>
        <w:rPr>
          <w:spacing w:val="-10"/>
          <w:w w:val="110"/>
        </w:rPr>
        <w:t> </w:t>
      </w:r>
      <w:r>
        <w:rPr>
          <w:w w:val="110"/>
        </w:rPr>
        <w:t>both</w:t>
      </w:r>
      <w:r>
        <w:rPr>
          <w:spacing w:val="-9"/>
          <w:w w:val="110"/>
        </w:rPr>
        <w:t> </w:t>
      </w:r>
      <w:r>
        <w:rPr>
          <w:w w:val="110"/>
        </w:rPr>
        <w:t>on</w:t>
      </w:r>
      <w:r>
        <w:rPr>
          <w:spacing w:val="-10"/>
          <w:w w:val="110"/>
        </w:rPr>
        <w:t> </w:t>
      </w:r>
      <w:r>
        <w:rPr>
          <w:w w:val="110"/>
        </w:rPr>
        <w:t>the</w:t>
      </w:r>
      <w:r>
        <w:rPr>
          <w:spacing w:val="-9"/>
          <w:w w:val="110"/>
        </w:rPr>
        <w:t> </w:t>
      </w:r>
      <w:r>
        <w:rPr>
          <w:w w:val="110"/>
        </w:rPr>
        <w:t>outlook</w:t>
      </w:r>
      <w:r>
        <w:rPr>
          <w:spacing w:val="-10"/>
          <w:w w:val="110"/>
        </w:rPr>
        <w:t> </w:t>
      </w:r>
      <w:r>
        <w:rPr>
          <w:w w:val="110"/>
        </w:rPr>
        <w:t>for the</w:t>
      </w:r>
      <w:r>
        <w:rPr>
          <w:spacing w:val="-13"/>
          <w:w w:val="110"/>
        </w:rPr>
        <w:t> </w:t>
      </w:r>
      <w:r>
        <w:rPr>
          <w:w w:val="110"/>
        </w:rPr>
        <w:t>US</w:t>
      </w:r>
      <w:r>
        <w:rPr>
          <w:spacing w:val="-12"/>
          <w:w w:val="110"/>
        </w:rPr>
        <w:t> </w:t>
      </w:r>
      <w:r>
        <w:rPr>
          <w:w w:val="110"/>
        </w:rPr>
        <w:t>and</w:t>
      </w:r>
      <w:r>
        <w:rPr>
          <w:spacing w:val="-13"/>
          <w:w w:val="110"/>
        </w:rPr>
        <w:t> </w:t>
      </w:r>
      <w:r>
        <w:rPr>
          <w:w w:val="110"/>
        </w:rPr>
        <w:t>the</w:t>
      </w:r>
      <w:r>
        <w:rPr>
          <w:spacing w:val="-12"/>
          <w:w w:val="110"/>
        </w:rPr>
        <w:t> </w:t>
      </w:r>
      <w:r>
        <w:rPr>
          <w:w w:val="110"/>
        </w:rPr>
        <w:t>global</w:t>
      </w:r>
      <w:r>
        <w:rPr>
          <w:spacing w:val="-12"/>
          <w:w w:val="110"/>
        </w:rPr>
        <w:t> </w:t>
      </w:r>
      <w:r>
        <w:rPr>
          <w:spacing w:val="-3"/>
          <w:w w:val="110"/>
        </w:rPr>
        <w:t>economy,</w:t>
      </w:r>
      <w:r>
        <w:rPr>
          <w:spacing w:val="-13"/>
          <w:w w:val="110"/>
        </w:rPr>
        <w:t> </w:t>
      </w:r>
      <w:r>
        <w:rPr>
          <w:w w:val="110"/>
        </w:rPr>
        <w:t>and</w:t>
      </w:r>
      <w:r>
        <w:rPr>
          <w:spacing w:val="-12"/>
          <w:w w:val="110"/>
        </w:rPr>
        <w:t> </w:t>
      </w:r>
      <w:r>
        <w:rPr>
          <w:w w:val="110"/>
        </w:rPr>
        <w:t>on</w:t>
      </w:r>
      <w:r>
        <w:rPr>
          <w:spacing w:val="-13"/>
          <w:w w:val="110"/>
        </w:rPr>
        <w:t> </w:t>
      </w:r>
      <w:r>
        <w:rPr>
          <w:w w:val="110"/>
        </w:rPr>
        <w:t>the</w:t>
      </w:r>
      <w:r>
        <w:rPr>
          <w:spacing w:val="-12"/>
          <w:w w:val="110"/>
        </w:rPr>
        <w:t> </w:t>
      </w:r>
      <w:r>
        <w:rPr>
          <w:w w:val="110"/>
        </w:rPr>
        <w:t>impact</w:t>
      </w:r>
      <w:r>
        <w:rPr>
          <w:spacing w:val="-12"/>
          <w:w w:val="110"/>
        </w:rPr>
        <w:t> </w:t>
      </w:r>
      <w:r>
        <w:rPr>
          <w:w w:val="110"/>
        </w:rPr>
        <w:t>of the change in global prospects in the United Kingdom. The central projection assumes that US growth will </w:t>
      </w:r>
      <w:r>
        <w:rPr>
          <w:spacing w:val="-3"/>
          <w:w w:val="110"/>
        </w:rPr>
        <w:t>recover </w:t>
      </w:r>
      <w:r>
        <w:rPr>
          <w:w w:val="110"/>
        </w:rPr>
        <w:t>in the second half of </w:t>
      </w:r>
      <w:r>
        <w:rPr>
          <w:spacing w:val="-9"/>
          <w:w w:val="110"/>
        </w:rPr>
        <w:t>2001, </w:t>
      </w:r>
      <w:r>
        <w:rPr>
          <w:w w:val="110"/>
        </w:rPr>
        <w:t>but risks</w:t>
      </w:r>
      <w:r>
        <w:rPr>
          <w:spacing w:val="-16"/>
          <w:w w:val="110"/>
        </w:rPr>
        <w:t> </w:t>
      </w:r>
      <w:r>
        <w:rPr>
          <w:w w:val="110"/>
        </w:rPr>
        <w:t>around</w:t>
      </w:r>
      <w:r>
        <w:rPr>
          <w:spacing w:val="-16"/>
          <w:w w:val="110"/>
        </w:rPr>
        <w:t> </w:t>
      </w:r>
      <w:r>
        <w:rPr>
          <w:w w:val="110"/>
        </w:rPr>
        <w:t>this</w:t>
      </w:r>
      <w:r>
        <w:rPr>
          <w:spacing w:val="-15"/>
          <w:w w:val="110"/>
        </w:rPr>
        <w:t> </w:t>
      </w:r>
      <w:r>
        <w:rPr>
          <w:w w:val="110"/>
        </w:rPr>
        <w:t>assumption</w:t>
      </w:r>
      <w:r>
        <w:rPr>
          <w:spacing w:val="-16"/>
          <w:w w:val="110"/>
        </w:rPr>
        <w:t> </w:t>
      </w:r>
      <w:r>
        <w:rPr>
          <w:w w:val="110"/>
        </w:rPr>
        <w:t>are</w:t>
      </w:r>
      <w:r>
        <w:rPr>
          <w:spacing w:val="-16"/>
          <w:w w:val="110"/>
        </w:rPr>
        <w:t> </w:t>
      </w:r>
      <w:r>
        <w:rPr>
          <w:spacing w:val="-3"/>
          <w:w w:val="110"/>
        </w:rPr>
        <w:t>weighted</w:t>
      </w:r>
      <w:r>
        <w:rPr>
          <w:spacing w:val="-15"/>
          <w:w w:val="110"/>
        </w:rPr>
        <w:t> </w:t>
      </w:r>
      <w:r>
        <w:rPr>
          <w:w w:val="110"/>
        </w:rPr>
        <w:t>firmly</w:t>
      </w:r>
      <w:r>
        <w:rPr>
          <w:spacing w:val="-16"/>
          <w:w w:val="110"/>
        </w:rPr>
        <w:t> </w:t>
      </w:r>
      <w:r>
        <w:rPr>
          <w:spacing w:val="-4"/>
          <w:w w:val="110"/>
        </w:rPr>
        <w:t>to</w:t>
      </w:r>
    </w:p>
    <w:p>
      <w:pPr>
        <w:spacing w:after="0" w:line="240" w:lineRule="atLeast"/>
        <w:sectPr>
          <w:type w:val="continuous"/>
          <w:pgSz w:w="11900" w:h="16840"/>
          <w:pgMar w:top="1260" w:bottom="280" w:left="640" w:right="640"/>
          <w:cols w:num="4" w:equalWidth="0">
            <w:col w:w="2185" w:space="259"/>
            <w:col w:w="1587" w:space="79"/>
            <w:col w:w="734" w:space="272"/>
            <w:col w:w="5504"/>
          </w:cols>
        </w:sectPr>
      </w:pPr>
    </w:p>
    <w:p>
      <w:pPr>
        <w:spacing w:line="6" w:lineRule="exact" w:before="0"/>
        <w:ind w:left="679" w:right="0" w:firstLine="0"/>
        <w:jc w:val="left"/>
        <w:rPr>
          <w:sz w:val="12"/>
        </w:rPr>
      </w:pPr>
      <w:r>
        <w:rPr>
          <w:w w:val="120"/>
          <w:sz w:val="12"/>
        </w:rPr>
        <w:t>1975 77 79 81 83 85 87 89 91 93 95 97 99 2001</w:t>
      </w:r>
    </w:p>
    <w:p>
      <w:pPr>
        <w:pStyle w:val="BodyText"/>
        <w:rPr>
          <w:sz w:val="12"/>
        </w:rPr>
      </w:pPr>
    </w:p>
    <w:p>
      <w:pPr>
        <w:pStyle w:val="BodyText"/>
        <w:spacing w:line="249" w:lineRule="auto" w:before="106"/>
        <w:ind w:left="460" w:right="-16"/>
      </w:pPr>
      <w:r>
        <w:rPr>
          <w:spacing w:val="-3"/>
          <w:w w:val="105"/>
        </w:rPr>
        <w:t>Moreover, </w:t>
      </w:r>
      <w:r>
        <w:rPr>
          <w:w w:val="105"/>
        </w:rPr>
        <w:t>the likelihood of a recovery in US growth in the second half of </w:t>
      </w:r>
      <w:r>
        <w:rPr>
          <w:spacing w:val="-11"/>
          <w:w w:val="105"/>
        </w:rPr>
        <w:t>2001 </w:t>
      </w:r>
      <w:r>
        <w:rPr>
          <w:w w:val="105"/>
        </w:rPr>
        <w:t>and the </w:t>
      </w:r>
      <w:r>
        <w:rPr>
          <w:spacing w:val="-2"/>
          <w:w w:val="105"/>
        </w:rPr>
        <w:t>marked </w:t>
      </w:r>
      <w:r>
        <w:rPr>
          <w:w w:val="105"/>
        </w:rPr>
        <w:t>differences in the relative positions of the US and UK economies </w:t>
      </w:r>
      <w:r>
        <w:rPr>
          <w:spacing w:val="-3"/>
          <w:w w:val="105"/>
        </w:rPr>
        <w:t>weaken </w:t>
      </w:r>
      <w:r>
        <w:rPr>
          <w:w w:val="105"/>
        </w:rPr>
        <w:t>the argument that the UK economy is likely </w:t>
      </w:r>
      <w:r>
        <w:rPr>
          <w:spacing w:val="-4"/>
          <w:w w:val="105"/>
        </w:rPr>
        <w:t>to </w:t>
      </w:r>
      <w:r>
        <w:rPr>
          <w:w w:val="105"/>
        </w:rPr>
        <w:t>slow sharply this </w:t>
      </w:r>
      <w:r>
        <w:rPr>
          <w:spacing w:val="-4"/>
          <w:w w:val="105"/>
        </w:rPr>
        <w:t>year.</w:t>
      </w:r>
    </w:p>
    <w:p>
      <w:pPr>
        <w:pStyle w:val="BodyText"/>
        <w:spacing w:line="249" w:lineRule="auto" w:before="10"/>
        <w:ind w:left="460" w:right="588"/>
      </w:pPr>
      <w:r>
        <w:rPr/>
        <w:br w:type="column"/>
      </w:r>
      <w:r>
        <w:rPr>
          <w:w w:val="110"/>
        </w:rPr>
        <w:t>the downside. The weaker outlook for the international</w:t>
      </w:r>
      <w:r>
        <w:rPr>
          <w:spacing w:val="-25"/>
          <w:w w:val="110"/>
        </w:rPr>
        <w:t> </w:t>
      </w:r>
      <w:r>
        <w:rPr>
          <w:w w:val="110"/>
        </w:rPr>
        <w:t>economy</w:t>
      </w:r>
      <w:r>
        <w:rPr>
          <w:spacing w:val="-24"/>
          <w:w w:val="110"/>
        </w:rPr>
        <w:t> </w:t>
      </w:r>
      <w:r>
        <w:rPr>
          <w:w w:val="110"/>
        </w:rPr>
        <w:t>has</w:t>
      </w:r>
      <w:r>
        <w:rPr>
          <w:spacing w:val="-24"/>
          <w:w w:val="110"/>
        </w:rPr>
        <w:t> </w:t>
      </w:r>
      <w:r>
        <w:rPr>
          <w:spacing w:val="-3"/>
          <w:w w:val="110"/>
        </w:rPr>
        <w:t>lowered</w:t>
      </w:r>
      <w:r>
        <w:rPr>
          <w:spacing w:val="-24"/>
          <w:w w:val="110"/>
        </w:rPr>
        <w:t> </w:t>
      </w:r>
      <w:r>
        <w:rPr>
          <w:w w:val="110"/>
        </w:rPr>
        <w:t>prospects</w:t>
      </w:r>
      <w:r>
        <w:rPr>
          <w:spacing w:val="-24"/>
          <w:w w:val="110"/>
        </w:rPr>
        <w:t> </w:t>
      </w:r>
      <w:r>
        <w:rPr>
          <w:w w:val="110"/>
        </w:rPr>
        <w:t>for growth</w:t>
      </w:r>
      <w:r>
        <w:rPr>
          <w:spacing w:val="-15"/>
          <w:w w:val="110"/>
        </w:rPr>
        <w:t> </w:t>
      </w:r>
      <w:r>
        <w:rPr>
          <w:w w:val="110"/>
        </w:rPr>
        <w:t>and</w:t>
      </w:r>
      <w:r>
        <w:rPr>
          <w:spacing w:val="-14"/>
          <w:w w:val="110"/>
        </w:rPr>
        <w:t> </w:t>
      </w:r>
      <w:r>
        <w:rPr>
          <w:w w:val="110"/>
        </w:rPr>
        <w:t>inflation</w:t>
      </w:r>
      <w:r>
        <w:rPr>
          <w:spacing w:val="-14"/>
          <w:w w:val="110"/>
        </w:rPr>
        <w:t> </w:t>
      </w:r>
      <w:r>
        <w:rPr>
          <w:w w:val="110"/>
        </w:rPr>
        <w:t>in</w:t>
      </w:r>
      <w:r>
        <w:rPr>
          <w:spacing w:val="-15"/>
          <w:w w:val="110"/>
        </w:rPr>
        <w:t> </w:t>
      </w:r>
      <w:r>
        <w:rPr>
          <w:w w:val="110"/>
        </w:rPr>
        <w:t>the</w:t>
      </w:r>
      <w:r>
        <w:rPr>
          <w:spacing w:val="-14"/>
          <w:w w:val="110"/>
        </w:rPr>
        <w:t> </w:t>
      </w:r>
      <w:r>
        <w:rPr>
          <w:w w:val="110"/>
        </w:rPr>
        <w:t>United</w:t>
      </w:r>
      <w:r>
        <w:rPr>
          <w:spacing w:val="-14"/>
          <w:w w:val="110"/>
        </w:rPr>
        <w:t> </w:t>
      </w:r>
      <w:r>
        <w:rPr>
          <w:w w:val="110"/>
        </w:rPr>
        <w:t>Kingdom.</w:t>
      </w:r>
    </w:p>
    <w:p>
      <w:pPr>
        <w:pStyle w:val="BodyText"/>
        <w:spacing w:line="249" w:lineRule="auto" w:before="2"/>
        <w:ind w:left="460" w:right="465"/>
      </w:pPr>
      <w:r>
        <w:rPr>
          <w:w w:val="105"/>
        </w:rPr>
        <w:t>Quantifying the potential effects is very difficult and, given the uncertainties, the Committee will monitor developments closely.</w:t>
      </w:r>
    </w:p>
    <w:p>
      <w:pPr>
        <w:spacing w:after="0" w:line="249" w:lineRule="auto"/>
        <w:sectPr>
          <w:type w:val="continuous"/>
          <w:pgSz w:w="11900" w:h="16840"/>
          <w:pgMar w:top="1260" w:bottom="280" w:left="640" w:right="640"/>
          <w:cols w:num="2" w:equalWidth="0">
            <w:col w:w="5088" w:space="42"/>
            <w:col w:w="5490"/>
          </w:cols>
        </w:sectPr>
      </w:pPr>
    </w:p>
    <w:p>
      <w:pPr>
        <w:pStyle w:val="BodyText"/>
        <w:spacing w:before="8"/>
        <w:rPr>
          <w:sz w:val="12"/>
        </w:rPr>
      </w:pPr>
      <w:r>
        <w:rPr/>
        <w:pict>
          <v:group style="position:absolute;margin-left:39.720001pt;margin-top:39.889999pt;width:517.5pt;height:742pt;mso-position-horizontal-relative:page;mso-position-vertical-relative:page;z-index:-23374848" coordorigin="794,798" coordsize="10350,14840">
            <v:line style="position:absolute" from="794,800" to="11144,800" stroked="true" strokeweight=".125pt" strokecolor="#000000">
              <v:stroke dashstyle="solid"/>
            </v:line>
            <v:rect style="position:absolute;left:810;top:807;width:10320;height:14820" filled="true" fillcolor="#eff7f8" stroked="false">
              <v:fill type="solid"/>
            </v:rect>
            <v:rect style="position:absolute;left:810;top:807;width:10320;height:14820" filled="false" stroked="true" strokeweight="1pt" strokecolor="#006cb4">
              <v:stroke dashstyle="solid"/>
            </v:rect>
            <v:line style="position:absolute" from="1074,15080" to="10894,15080" stroked="true" strokeweight=".125pt" strokecolor="#006cb4">
              <v:stroke dashstyle="solid"/>
            </v:line>
            <v:shape style="position:absolute;left:1451;top:6766;width:3620;height:1965" type="#_x0000_t75" stroked="false">
              <v:imagedata r:id="rId97" o:title=""/>
            </v:shape>
            <v:shape style="position:absolute;left:1296;top:6414;width:3934;height:2895" coordorigin="1296,6414" coordsize="3934,2895" path="m5143,6779l5229,6779m5143,7502l5229,7502m5143,7867l5229,7867m5143,8222l5229,8222m5143,8587l5229,8587m5143,8942l5229,8942m5143,9309l5229,9309m5143,6414l5229,6414m5143,7134l5229,7134m1296,6779l1383,6779m1296,7502l1383,7502m1296,7867l1383,7867m1296,8222l1383,8222m1296,8587l1383,8587m1296,8942l1383,8942m1296,9309l1383,9309m1296,6414l1383,6414m1296,7134l1383,7134e" filled="false" stroked="true" strokeweight=".5pt" strokecolor="#000000">
              <v:path arrowok="t"/>
              <v:stroke dashstyle="solid"/>
            </v:shape>
            <v:line style="position:absolute" from="1455,9309" to="5055,9309" stroked="true" strokeweight=".5pt" strokecolor="#000000">
              <v:stroke dashstyle="solid"/>
            </v:line>
            <v:shape style="position:absolute;left:1455;top:9247;width:3595;height:68" coordorigin="1456,9247" coordsize="3595,68" path="m1456,9247l1456,9314m1731,9247l1731,9314m4493,9247l4493,9314m4221,9247l4221,9314m3661,9247l3661,9314m2006,9247l2006,9314m2278,9247l2278,9314m2563,9247l2563,9314m2838,9247l2838,9314m3386,9247l3386,9314m4768,9247l4768,9314m3113,9247l3113,9314m3933,9247l3933,9314m5050,9247l5050,9314e" filled="false" stroked="true" strokeweight=".5pt" strokecolor="#000000">
              <v:path arrowok="t"/>
              <v:stroke dashstyle="solid"/>
            </v:shape>
            <v:line style="position:absolute" from="1475,12060" to="1487,12125" stroked="true" strokeweight="1pt" strokecolor="#008360">
              <v:stroke dashstyle="solid"/>
            </v:line>
            <v:line style="position:absolute" from="1492,12115" to="1492,12285" stroked="true" strokeweight="1.5pt" strokecolor="#008360">
              <v:stroke dashstyle="solid"/>
            </v:line>
            <v:line style="position:absolute" from="1503,12265" to="1503,12487" stroked="true" strokeweight="1.625pt" strokecolor="#008360">
              <v:stroke dashstyle="solid"/>
            </v:line>
            <v:line style="position:absolute" from="1515,12467" to="1515,12692" stroked="true" strokeweight="1.5pt" strokecolor="#008360">
              <v:stroke dashstyle="solid"/>
            </v:line>
            <v:line style="position:absolute" from="1526,12672" to="1526,12832" stroked="true" strokeweight="1.625pt" strokecolor="#008360">
              <v:stroke dashstyle="solid"/>
            </v:line>
            <v:line style="position:absolute" from="1532,12822" to="1542,12835" stroked="true" strokeweight="1pt" strokecolor="#008360">
              <v:stroke dashstyle="solid"/>
            </v:line>
            <v:shape style="position:absolute;left:1548;top:12532;width:13;height:313" coordorigin="1548,12532" coordsize="13,313" path="m1548,12715l1548,12845m1561,12532l1561,12735e" filled="false" stroked="true" strokeweight="1.625pt" strokecolor="#008360">
              <v:path arrowok="t"/>
              <v:stroke dashstyle="solid"/>
            </v:shape>
            <v:line style="position:absolute" from="1572,12340" to="1572,12552" stroked="true" strokeweight="1.5pt" strokecolor="#008360">
              <v:stroke dashstyle="solid"/>
            </v:line>
            <v:line style="position:absolute" from="1583,12212" to="1583,12360" stroked="true" strokeweight="1.625pt" strokecolor="#008360">
              <v:stroke dashstyle="solid"/>
            </v:line>
            <v:shape style="position:absolute;left:1589;top:12027;width:33;height:195" coordorigin="1590,12027" coordsize="33,195" path="m1590,12222l1600,12147m1600,12147l1612,12102m1612,12102l1622,12027e" filled="false" stroked="true" strokeweight="1pt" strokecolor="#008360">
              <v:path arrowok="t"/>
              <v:stroke dashstyle="solid"/>
            </v:shape>
            <v:shape style="position:absolute;left:1628;top:11739;width:13;height:298" coordorigin="1628,11740" coordsize="13,298" path="m1628,11890l1628,12037m1641,11740l1641,11910e" filled="false" stroked="true" strokeweight="1.625pt" strokecolor="#008360">
              <v:path arrowok="t"/>
              <v:stroke dashstyle="solid"/>
            </v:shape>
            <v:rect style="position:absolute;left:1637;top:11599;width:30;height:160" filled="true" fillcolor="#008360" stroked="false">
              <v:fill type="solid"/>
            </v:rect>
            <v:line style="position:absolute" from="1657,11610" to="1670,11600" stroked="true" strokeweight="1pt" strokecolor="#008360">
              <v:stroke dashstyle="solid"/>
            </v:line>
            <v:rect style="position:absolute;left:1659;top:11589;width:30;height:160" filled="true" fillcolor="#008360" stroked="false">
              <v:fill type="solid"/>
            </v:rect>
            <v:line style="position:absolute" from="1686,11730" to="1686,12017" stroked="true" strokeweight="1.625pt" strokecolor="#008360">
              <v:stroke dashstyle="solid"/>
            </v:line>
            <v:line style="position:absolute" from="1692,12007" to="1702,12307" stroked="true" strokeweight="1pt" strokecolor="#008360">
              <v:stroke dashstyle="solid"/>
            </v:line>
            <v:line style="position:absolute" from="1708,12297" to="1708,12520" stroked="true" strokeweight="1.625pt" strokecolor="#008360">
              <v:stroke dashstyle="solid"/>
            </v:line>
            <v:line style="position:absolute" from="1715,12510" to="1727,12532" stroked="true" strokeweight="1pt" strokecolor="#008360">
              <v:stroke dashstyle="solid"/>
            </v:line>
            <v:line style="position:absolute" from="1732,12385" to="1732,12542" stroked="true" strokeweight="1.5pt" strokecolor="#008360">
              <v:stroke dashstyle="solid"/>
            </v:line>
            <v:line style="position:absolute" from="1743,12137" to="1743,12405" stroked="true" strokeweight="1.625pt" strokecolor="#008360">
              <v:stroke dashstyle="solid"/>
            </v:line>
            <v:line style="position:absolute" from="1755,11945" to="1755,12157" stroked="true" strokeweight="1.5pt" strokecolor="#008360">
              <v:stroke dashstyle="solid"/>
            </v:line>
            <v:shape style="position:absolute;left:1759;top:11889;width:23;height:75" coordorigin="1760,11890" coordsize="23,75" path="m1760,11955l1772,11890m1772,11890l1782,11965e" filled="false" stroked="true" strokeweight="1pt" strokecolor="#008360">
              <v:path arrowok="t"/>
              <v:stroke dashstyle="solid"/>
            </v:shape>
            <v:line style="position:absolute" from="1788,11955" to="1788,12112" stroked="true" strokeweight="1.625pt" strokecolor="#008360">
              <v:stroke dashstyle="solid"/>
            </v:line>
            <v:shape style="position:absolute;left:1794;top:12102;width:23;height:75" coordorigin="1795,12102" coordsize="23,75" path="m1795,12102l1805,12177m1805,12177l1817,12102e" filled="false" stroked="true" strokeweight="1pt" strokecolor="#008360">
              <v:path arrowok="t"/>
              <v:stroke dashstyle="solid"/>
            </v:shape>
            <v:line style="position:absolute" from="1823,11870" to="1823,12112" stroked="true" strokeweight="1.625pt" strokecolor="#008360">
              <v:stroke dashstyle="solid"/>
            </v:line>
            <v:shape style="position:absolute;left:1829;top:11202;width:23;height:678" coordorigin="1830,11202" coordsize="23,678" path="m1830,11880l1840,11537m1840,11537l1852,11202e" filled="false" stroked="true" strokeweight="1pt" strokecolor="#008360">
              <v:path arrowok="t"/>
              <v:stroke dashstyle="solid"/>
            </v:shape>
            <v:line style="position:absolute" from="1857,10935" to="1857,11212" stroked="true" strokeweight="1.5pt" strokecolor="#008360">
              <v:stroke dashstyle="solid"/>
            </v:line>
            <v:line style="position:absolute" from="1868,10795" to="1868,10955" stroked="true" strokeweight="1.625pt" strokecolor="#008360">
              <v:stroke dashstyle="solid"/>
            </v:line>
            <v:shape style="position:absolute;left:1874;top:10762;width:45;height:163" coordorigin="1875,10762" coordsize="45,163" path="m1875,10805l1885,10762m1885,10762l1897,10795m1897,10795l1910,10860m1910,10860l1920,10925e" filled="false" stroked="true" strokeweight="1pt" strokecolor="#008360">
              <v:path arrowok="t"/>
              <v:stroke dashstyle="solid"/>
            </v:shape>
            <v:line style="position:absolute" from="1926,10915" to="1926,11085" stroked="true" strokeweight="1.625pt" strokecolor="#008360">
              <v:stroke dashstyle="solid"/>
            </v:line>
            <v:shape style="position:absolute;left:1932;top:11022;width:45;height:53" coordorigin="1932,11022" coordsize="45,53" path="m1932,11075l1942,11042m1942,11042l1955,11022m1955,11022l1965,11025m1965,11022l1977,11075e" filled="false" stroked="true" strokeweight="1pt" strokecolor="#008360">
              <v:path arrowok="t"/>
              <v:stroke dashstyle="solid"/>
            </v:shape>
            <v:line style="position:absolute" from="1983,11065" to="1983,11212" stroked="true" strokeweight="1.625pt" strokecolor="#008360">
              <v:stroke dashstyle="solid"/>
            </v:line>
            <v:line style="position:absolute" from="1995,11192" to="1995,11417" stroked="true" strokeweight="1.5pt" strokecolor="#008360">
              <v:stroke dashstyle="solid"/>
            </v:line>
            <v:line style="position:absolute" from="2006,11397" to="2006,11652" stroked="true" strokeweight="1.625pt" strokecolor="#008360">
              <v:stroke dashstyle="solid"/>
            </v:line>
            <v:line style="position:absolute" from="2017,11632" to="2017,11857" stroked="true" strokeweight="1.5pt" strokecolor="#008360">
              <v:stroke dashstyle="solid"/>
            </v:line>
            <v:line style="position:absolute" from="2022,11847" to="2035,11922" stroked="true" strokeweight="1pt" strokecolor="#008360">
              <v:stroke dashstyle="solid"/>
            </v:line>
            <v:line style="position:absolute" from="2040,11792" to="2040,11932" stroked="true" strokeweight="1.5pt" strokecolor="#008360">
              <v:stroke dashstyle="solid"/>
            </v:line>
            <v:line style="position:absolute" from="2051,11537" to="2051,11812" stroked="true" strokeweight="1.625pt" strokecolor="#008360">
              <v:stroke dashstyle="solid"/>
            </v:line>
            <v:line style="position:absolute" from="2057,11547" to="2070,11225" stroked="true" strokeweight="1pt" strokecolor="#008360">
              <v:stroke dashstyle="solid"/>
            </v:line>
            <v:line style="position:absolute" from="2075,10990" to="2075,11235" stroked="true" strokeweight="1.5pt" strokecolor="#008360">
              <v:stroke dashstyle="solid"/>
            </v:line>
            <v:line style="position:absolute" from="2080,11000" to="2092,10967" stroked="true" strokeweight="1pt" strokecolor="#008360">
              <v:stroke dashstyle="solid"/>
            </v:line>
            <v:shape style="position:absolute;left:2082;top:10957;width:43;height:183" coordorigin="2082,10957" coordsize="43,183" path="m2125,10957l2112,10957,2092,10957,2082,10957,2082,11140,2092,11140,2112,11140,2125,11140,2125,10957xe" filled="true" fillcolor="#008360" stroked="false">
              <v:path arrowok="t"/>
              <v:fill type="solid"/>
            </v:shape>
            <v:line style="position:absolute" from="2115,10967" to="2125,11750" stroked="true" strokeweight="1pt" strokecolor="#008360">
              <v:stroke dashstyle="solid"/>
            </v:line>
            <v:line style="position:absolute" from="2131,11740" to="2131,11997" stroked="true" strokeweight="1.625pt" strokecolor="#008360">
              <v:stroke dashstyle="solid"/>
            </v:line>
            <v:line style="position:absolute" from="2142,11977" to="2142,12125" stroked="true" strokeweight="1.5pt" strokecolor="#008360">
              <v:stroke dashstyle="solid"/>
            </v:line>
            <v:shape style="position:absolute;left:2147;top:12007;width:265;height:365" coordorigin="2147,12007" coordsize="265,365" path="m2147,12115l2160,12125m2160,12125l2172,12092m2172,12092l2182,12037m2182,12037l2195,12007m2195,12007l2205,12010m2205,12007l2217,12027m2217,12027l2227,12082m2227,12082l2252,12232m2252,12232l2262,12307m2262,12307l2275,12350m2275,12350l2285,12372m2285,12372l2297,12362m2297,12362l2307,12340m2307,12340l2320,12297m2320,12297l2332,12265m2332,12265l2342,12222m2342,12222l2355,12200m2355,12200l2365,12177m2365,12177l2377,12167m2377,12167l2387,12177m2387,12177l2400,12232m2400,12232l2412,12297e" filled="false" stroked="true" strokeweight="1pt" strokecolor="#008360">
              <v:path arrowok="t"/>
              <v:stroke dashstyle="solid"/>
            </v:shape>
            <v:line style="position:absolute" from="2417,12287" to="2417,12392" stroked="true" strokeweight="1.5pt" strokecolor="#008360">
              <v:stroke dashstyle="solid"/>
            </v:line>
            <v:shape style="position:absolute;left:2422;top:12382;width:23;height:45" coordorigin="2422,12382" coordsize="23,45" path="m2422,12382l2435,12427m2435,12427l2445,12405e" filled="false" stroked="true" strokeweight="1pt" strokecolor="#008360">
              <v:path arrowok="t"/>
              <v:stroke dashstyle="solid"/>
            </v:shape>
            <v:line style="position:absolute" from="2451,12287" to="2451,12415" stroked="true" strokeweight="1.625pt" strokecolor="#008360">
              <v:stroke dashstyle="solid"/>
            </v:line>
            <v:line style="position:absolute" from="2462,12105" to="2462,12307" stroked="true" strokeweight="1.5pt" strokecolor="#008360">
              <v:stroke dashstyle="solid"/>
            </v:line>
            <v:line style="position:absolute" from="2473,11890" to="2473,12125" stroked="true" strokeweight="1.625pt" strokecolor="#008360">
              <v:stroke dashstyle="solid"/>
            </v:line>
            <v:line style="position:absolute" from="2485,11707" to="2485,11910" stroked="true" strokeweight="1.5pt" strokecolor="#008360">
              <v:stroke dashstyle="solid"/>
            </v:line>
            <v:line style="position:absolute" from="2496,11590" to="2496,11727" stroked="true" strokeweight="1.625pt" strokecolor="#008360">
              <v:stroke dashstyle="solid"/>
            </v:line>
            <v:shape style="position:absolute;left:2502;top:11449;width:253;height:323" coordorigin="2502,11450" coordsize="253,323" path="m2502,11600l2515,11580m2515,11580l2525,11610m2525,11610l2537,11675m2537,11675l2547,11740m2547,11740l2560,11760m2560,11760l2570,11772m2570,11772l2595,11727m2595,11727l2605,11707m2605,11707l2617,11710m2617,11707l2627,11695m2627,11695l2640,11662m2640,11662l2650,11665m2650,11662l2662,11652m2662,11652l2675,11620m2675,11620l2685,11622m2685,11620l2697,11622m2697,11620l2707,11580m2707,11580l2720,11582m2720,11580l2730,11582m2730,11580l2742,11492m2742,11492l2755,11450e" filled="false" stroked="true" strokeweight="1pt" strokecolor="#008360">
              <v:path arrowok="t"/>
              <v:stroke dashstyle="solid"/>
            </v:shape>
            <v:line style="position:absolute" from="2760,11440" to="2760,11590" stroked="true" strokeweight="1.5pt" strokecolor="#008360">
              <v:stroke dashstyle="solid"/>
            </v:line>
            <v:line style="position:absolute" from="2771,11570" to="2771,11835" stroked="true" strokeweight="1.625pt" strokecolor="#008360">
              <v:stroke dashstyle="solid"/>
            </v:line>
            <v:shape style="position:absolute;left:2777;top:11739;width:33;height:88" coordorigin="2777,11740" coordsize="33,88" path="m2777,11825l2787,11827m2787,11825l2800,11740m2800,11740l2810,11782e" filled="false" stroked="true" strokeweight="1pt" strokecolor="#008360">
              <v:path arrowok="t"/>
              <v:stroke dashstyle="solid"/>
            </v:shape>
            <v:line style="position:absolute" from="2816,11642" to="2816,11792" stroked="true" strokeweight="1.625pt" strokecolor="#008360">
              <v:stroke dashstyle="solid"/>
            </v:line>
            <v:shape style="position:absolute;left:2822;top:11652;width:35;height:495" coordorigin="2822,11652" coordsize="35,495" path="m2822,11652l2832,11695m2832,11695l2845,11652m2845,11652l2857,12147e" filled="false" stroked="true" strokeweight="1pt" strokecolor="#008360">
              <v:path arrowok="t"/>
              <v:stroke dashstyle="solid"/>
            </v:shape>
            <v:line style="position:absolute" from="2862,11935" to="2862,12157" stroked="true" strokeweight="1.5pt" strokecolor="#008360">
              <v:stroke dashstyle="solid"/>
            </v:line>
            <v:shape style="position:absolute;left:2867;top:11824;width:58;height:120" coordorigin="2867,11825" coordsize="58,120" path="m2867,11945l2880,11867m2880,11867l2890,11870m2890,11867l2902,11870m2902,11867l2912,11825m2912,11825l2925,11900e" filled="false" stroked="true" strokeweight="1pt" strokecolor="#008360">
              <v:path arrowok="t"/>
              <v:stroke dashstyle="solid"/>
            </v:shape>
            <v:line style="position:absolute" from="2931,11772" to="2931,11910" stroked="true" strokeweight="1.625pt" strokecolor="#008360">
              <v:stroke dashstyle="solid"/>
            </v:line>
            <v:line style="position:absolute" from="2942,11685" to="2942,11792" stroked="true" strokeweight="1.5pt" strokecolor="#008360">
              <v:stroke dashstyle="solid"/>
            </v:line>
            <v:shape style="position:absolute;left:2947;top:11694;width:45;height:293" coordorigin="2947,11695" coordsize="45,293" path="m2947,11695l2960,11697m2960,11695l2970,11697m2970,11695l2982,11697m2982,11695l2992,11987e" filled="false" stroked="true" strokeweight="1pt" strokecolor="#008360">
              <v:path arrowok="t"/>
              <v:stroke dashstyle="solid"/>
            </v:shape>
            <v:shape style="position:absolute;left:2998;top:11729;width:13;height:268" coordorigin="2998,11730" coordsize="13,268" path="m2998,11857l2998,11997m3011,11730l3011,11877e" filled="false" stroked="true" strokeweight="1.625pt" strokecolor="#008360">
              <v:path arrowok="t"/>
              <v:stroke dashstyle="solid"/>
            </v:shape>
            <v:shape style="position:absolute;left:3017;top:11652;width:23;height:90" coordorigin="3017,11652" coordsize="23,90" path="m3017,11740l3027,11742m3027,11740l3040,11652e" filled="false" stroked="true" strokeweight="1pt" strokecolor="#008360">
              <v:path arrowok="t"/>
              <v:stroke dashstyle="solid"/>
            </v:shape>
            <v:rect style="position:absolute;left:3029;top:11527;width:30;height:135" filled="true" fillcolor="#008360" stroked="false">
              <v:fill type="solid"/>
            </v:rect>
            <v:shape style="position:absolute;left:3049;top:11537;width:23;height:115" coordorigin="3050,11537" coordsize="23,115" path="m3050,11537l3062,11620m3062,11620l3072,11652e" filled="false" stroked="true" strokeweight="1pt" strokecolor="#008360">
              <v:path arrowok="t"/>
              <v:stroke dashstyle="solid"/>
            </v:shape>
            <v:rect style="position:absolute;left:3062;top:11527;width:33;height:135" filled="true" fillcolor="#008360" stroked="false">
              <v:fill type="solid"/>
            </v:rect>
            <v:line style="position:absolute" from="3085,11537" to="3097,11540" stroked="true" strokeweight="1pt" strokecolor="#008360">
              <v:stroke dashstyle="solid"/>
            </v:line>
            <v:rect style="position:absolute;left:3087;top:11527;width:30;height:135" filled="true" fillcolor="#008360" stroked="false">
              <v:fill type="solid"/>
            </v:rect>
            <v:line style="position:absolute" from="3107,11652" to="3120,11580" stroked="true" strokeweight="1pt" strokecolor="#008360">
              <v:stroke dashstyle="solid"/>
            </v:line>
            <v:line style="position:absolute" from="3125,11397" to="3125,11590" stroked="true" strokeweight="1.5pt" strokecolor="#008360">
              <v:stroke dashstyle="solid"/>
            </v:line>
            <v:line style="position:absolute" from="3130,11407" to="3142,11410" stroked="true" strokeweight="1pt" strokecolor="#008360">
              <v:stroke dashstyle="solid"/>
            </v:line>
            <v:line style="position:absolute" from="3147,11235" to="3147,11417" stroked="true" strokeweight="1.5pt" strokecolor="#008360">
              <v:stroke dashstyle="solid"/>
            </v:line>
            <v:line style="position:absolute" from="3152,11245" to="3165,11162" stroked="true" strokeweight="1pt" strokecolor="#008360">
              <v:stroke dashstyle="solid"/>
            </v:line>
            <v:line style="position:absolute" from="3170,10990" to="3170,11172" stroked="true" strokeweight="1.5pt" strokecolor="#008360">
              <v:stroke dashstyle="solid"/>
            </v:line>
            <v:line style="position:absolute" from="3175,11000" to="3200,11085" stroked="true" strokeweight="1pt" strokecolor="#008360">
              <v:stroke dashstyle="solid"/>
            </v:line>
            <v:rect style="position:absolute;left:3189;top:11074;width:53;height:138" filled="true" fillcolor="#008360" stroked="false">
              <v:fill type="solid"/>
            </v:rect>
            <v:shape style="position:absolute;left:3232;top:11117;width:35;height:170" coordorigin="3232,11117" coordsize="35,170" path="m3232,11202l3245,11287m3245,11287l3267,11117e" filled="false" stroked="true" strokeweight="1pt" strokecolor="#008360">
              <v:path arrowok="t"/>
              <v:stroke dashstyle="solid"/>
            </v:shape>
            <v:line style="position:absolute" from="3273,11107" to="3273,11287" stroked="true" strokeweight="1.625pt" strokecolor="#008360">
              <v:stroke dashstyle="solid"/>
            </v:line>
            <v:line style="position:absolute" from="3285,11182" to="3285,11287" stroked="true" strokeweight="1.5pt" strokecolor="#008360">
              <v:stroke dashstyle="solid"/>
            </v:line>
            <v:line style="position:absolute" from="3290,11192" to="3302,11195" stroked="true" strokeweight="1pt" strokecolor="#008360">
              <v:stroke dashstyle="solid"/>
            </v:line>
            <v:line style="position:absolute" from="3307,11075" to="3307,11202" stroked="true" strokeweight="1.5pt" strokecolor="#008360">
              <v:stroke dashstyle="solid"/>
            </v:line>
            <v:line style="position:absolute" from="3312,11085" to="3325,11055" stroked="true" strokeweight="1pt" strokecolor="#008360">
              <v:stroke dashstyle="solid"/>
            </v:line>
            <v:line style="position:absolute" from="3330,11045" to="3330,11150" stroked="true" strokeweight="1.5pt" strokecolor="#008360">
              <v:stroke dashstyle="solid"/>
            </v:line>
            <v:shape style="position:absolute;left:3340;top:11129;width:13;height:395" coordorigin="3341,11130" coordsize="13,395" path="m3341,11130l3341,11320m3353,11300l3353,11525e" filled="false" stroked="true" strokeweight="1.625pt" strokecolor="#008360">
              <v:path arrowok="t"/>
              <v:stroke dashstyle="solid"/>
            </v:shape>
            <v:line style="position:absolute" from="3365,11505" to="3365,11620" stroked="true" strokeweight="1.5pt" strokecolor="#008360">
              <v:stroke dashstyle="solid"/>
            </v:line>
            <v:shape style="position:absolute;left:3369;top:11557;width:45;height:375" coordorigin="3370,11557" coordsize="45,375" path="m3370,11610l3382,11557m3382,11557l3392,11912m3392,11912l3405,11932m3405,11932l3415,11867e" filled="false" stroked="true" strokeweight="1pt" strokecolor="#008360">
              <v:path arrowok="t"/>
              <v:stroke dashstyle="solid"/>
            </v:shape>
            <v:line style="position:absolute" from="3421,11857" to="3421,12092" stroked="true" strokeweight="1.625pt" strokecolor="#008360">
              <v:stroke dashstyle="solid"/>
            </v:line>
            <v:line style="position:absolute" from="3427,12082" to="3440,12092" stroked="true" strokeweight="1pt" strokecolor="#008360">
              <v:stroke dashstyle="solid"/>
            </v:line>
            <v:line style="position:absolute" from="3445,11890" to="3445,12102" stroked="true" strokeweight="1.5pt" strokecolor="#008360">
              <v:stroke dashstyle="solid"/>
            </v:line>
            <v:line style="position:absolute" from="3456,11890" to="3456,12135" stroked="true" strokeweight="1.625pt" strokecolor="#008360">
              <v:stroke dashstyle="solid"/>
            </v:line>
            <v:line style="position:absolute" from="3462,12125" to="3472,12167" stroked="true" strokeweight="1pt" strokecolor="#008360">
              <v:stroke dashstyle="solid"/>
            </v:line>
            <v:line style="position:absolute" from="3478,12017" to="3478,12177" stroked="true" strokeweight="1.625pt" strokecolor="#008360">
              <v:stroke dashstyle="solid"/>
            </v:line>
            <v:shape style="position:absolute;left:3484;top:12019;width:23;height:560" coordorigin="3485,12020" coordsize="23,560" path="m3485,12020l3495,12030m3495,12030l3507,12580e" filled="false" stroked="true" strokeweight="1pt" strokecolor="#008360">
              <v:path arrowok="t"/>
              <v:stroke dashstyle="solid"/>
            </v:shape>
            <v:line style="position:absolute" from="3512,12462" to="3512,12590" stroked="true" strokeweight="1.5pt" strokecolor="#008360">
              <v:stroke dashstyle="solid"/>
            </v:line>
            <v:line style="position:absolute" from="3517,12472" to="3530,12440" stroked="true" strokeweight="1pt" strokecolor="#008360">
              <v:stroke dashstyle="solid"/>
            </v:line>
            <v:line style="position:absolute" from="3536,12172" to="3536,12450" stroked="true" strokeweight="1.625pt" strokecolor="#008360">
              <v:stroke dashstyle="solid"/>
            </v:line>
            <v:line style="position:absolute" from="3547,12172" to="3547,12397" stroked="true" strokeweight="1.5pt" strokecolor="#008360">
              <v:stroke dashstyle="solid"/>
            </v:line>
            <v:line style="position:absolute" from="3552,12387" to="3565,12830" stroked="true" strokeweight="1pt" strokecolor="#008360">
              <v:stroke dashstyle="solid"/>
            </v:line>
            <v:shape style="position:absolute;left:3554;top:12364;width:110;height:475" type="#_x0000_t75" stroked="false">
              <v:imagedata r:id="rId98" o:title=""/>
            </v:shape>
            <v:line style="position:absolute" from="3655,12602" to="3667,12170" stroked="true" strokeweight="1pt" strokecolor="#008360">
              <v:stroke dashstyle="solid"/>
            </v:line>
            <v:line style="position:absolute" from="3672,12160" to="3672,12397" stroked="true" strokeweight="1.5pt" strokecolor="#008360">
              <v:stroke dashstyle="solid"/>
            </v:line>
            <v:shape style="position:absolute;left:3683;top:12237;width:13;height:278" coordorigin="3683,12237" coordsize="13,278" path="m3683,12377l3683,12515m3696,12237l3696,12515e" filled="false" stroked="true" strokeweight="1.625pt" strokecolor="#008360">
              <v:path arrowok="t"/>
              <v:stroke dashstyle="solid"/>
            </v:shape>
            <v:shape style="position:absolute;left:3702;top:12182;width:45;height:65" coordorigin="3702,12182" coordsize="45,65" path="m3702,12247l3712,12215m3712,12215l3725,12182m3725,12182l3735,12185m3735,12182l3747,12185e" filled="false" stroked="true" strokeweight="1pt" strokecolor="#008360">
              <v:path arrowok="t"/>
              <v:stroke dashstyle="solid"/>
            </v:shape>
            <v:line style="position:absolute" from="3752,11987" to="3752,12192" stroked="true" strokeweight="1.5pt" strokecolor="#008360">
              <v:stroke dashstyle="solid"/>
            </v:line>
            <v:line style="position:absolute" from="3763,11837" to="3763,12007" stroked="true" strokeweight="1.625pt" strokecolor="#008360">
              <v:stroke dashstyle="solid"/>
            </v:line>
            <v:line style="position:absolute" from="3770,11847" to="3782,11825" stroked="true" strokeweight="1pt" strokecolor="#008360">
              <v:stroke dashstyle="solid"/>
            </v:line>
            <v:line style="position:absolute" from="3787,11815" to="3787,11932" stroked="true" strokeweight="1.5pt" strokecolor="#008360">
              <v:stroke dashstyle="solid"/>
            </v:line>
            <v:shape style="position:absolute;left:3792;top:11922;width:35;height:185" coordorigin="3792,11922" coordsize="35,185" path="m3792,11922l3805,12020m3805,12020l3815,12085m3815,12085l3827,12107e" filled="false" stroked="true" strokeweight="1pt" strokecolor="#008360">
              <v:path arrowok="t"/>
              <v:stroke dashstyle="solid"/>
            </v:shape>
            <v:line style="position:absolute" from="3832,12000" to="3832,12117" stroked="true" strokeweight="1.5pt" strokecolor="#008360">
              <v:stroke dashstyle="solid"/>
            </v:line>
            <v:line style="position:absolute" from="3843,11762" to="3843,12020" stroked="true" strokeweight="1.625pt" strokecolor="#008360">
              <v:stroke dashstyle="solid"/>
            </v:line>
            <v:line style="position:absolute" from="3855,11482" to="3855,11782" stroked="true" strokeweight="1.5pt" strokecolor="#008360">
              <v:stroke dashstyle="solid"/>
            </v:line>
            <v:shape style="position:absolute;left:3865;top:11482;width:13;height:418" coordorigin="3866,11482" coordsize="13,418" path="m3866,11482l3866,11707m3878,11687l3878,11900e" filled="false" stroked="true" strokeweight="1.625pt" strokecolor="#008360">
              <v:path arrowok="t"/>
              <v:stroke dashstyle="solid"/>
            </v:shape>
            <v:line style="position:absolute" from="3890,11880" to="3890,12180" stroked="true" strokeweight="1.5pt" strokecolor="#008360">
              <v:stroke dashstyle="solid"/>
            </v:line>
            <v:shape style="position:absolute;left:3894;top:12169;width:35;height:400" coordorigin="3895,12170" coordsize="35,400" path="m3895,12170l3907,12247m3907,12247l3917,12570m3917,12570l3930,12537e" filled="false" stroked="true" strokeweight="1pt" strokecolor="#008360">
              <v:path arrowok="t"/>
              <v:stroke dashstyle="solid"/>
            </v:shape>
            <v:line style="position:absolute" from="3935,12332" to="3935,12547" stroked="true" strokeweight="1.5pt" strokecolor="#008360">
              <v:stroke dashstyle="solid"/>
            </v:line>
            <v:line style="position:absolute" from="3940,12342" to="3952,11945" stroked="true" strokeweight="1pt" strokecolor="#008360">
              <v:stroke dashstyle="solid"/>
            </v:line>
            <v:line style="position:absolute" from="3958,11935" to="3958,12180" stroked="true" strokeweight="1.625pt" strokecolor="#008360">
              <v:stroke dashstyle="solid"/>
            </v:line>
            <v:shape style="position:absolute;left:3964;top:11642;width:33;height:528" coordorigin="3965,11642" coordsize="33,528" path="m3965,12170l3975,12107m3975,12107l3987,12117m3987,12117l3997,11642e" filled="false" stroked="true" strokeweight="1pt" strokecolor="#008360">
              <v:path arrowok="t"/>
              <v:stroke dashstyle="solid"/>
            </v:shape>
            <v:shape style="position:absolute;left:3987;top:11632;width:225;height:528" type="#_x0000_t75" stroked="false">
              <v:imagedata r:id="rId99" o:title=""/>
            </v:shape>
            <v:shape style="position:absolute;left:4202;top:11729;width:25;height:430" coordorigin="4202,11730" coordsize="25,430" path="m4202,11730l4215,12160m4215,12160l4227,11782e" filled="false" stroked="true" strokeweight="1pt" strokecolor="#008360">
              <v:path arrowok="t"/>
              <v:stroke dashstyle="solid"/>
            </v:shape>
            <v:line style="position:absolute" from="4232,11772" to="4232,11912" stroked="true" strokeweight="1.5pt" strokecolor="#008360">
              <v:stroke dashstyle="solid"/>
            </v:line>
            <v:line style="position:absolute" from="4237,11902" to="4250,11965" stroked="true" strokeweight="1pt" strokecolor="#008360">
              <v:stroke dashstyle="solid"/>
            </v:line>
            <v:line style="position:absolute" from="4255,11870" to="4255,11975" stroked="true" strokeweight="1.5pt" strokecolor="#008360">
              <v:stroke dashstyle="solid"/>
            </v:line>
            <v:shape style="position:absolute;left:4259;top:11879;width:23;height:130" coordorigin="4260,11880" coordsize="23,130" path="m4260,11880l4272,11955m4272,11955l4282,12010e" filled="false" stroked="true" strokeweight="1pt" strokecolor="#008360">
              <v:path arrowok="t"/>
              <v:stroke dashstyle="solid"/>
            </v:shape>
            <v:line style="position:absolute" from="4288,11870" to="4288,12020" stroked="true" strokeweight="1.625pt" strokecolor="#008360">
              <v:stroke dashstyle="solid"/>
            </v:line>
            <v:shape style="position:absolute;left:4294;top:11879;width:35;height:43" coordorigin="4295,11880" coordsize="35,43" path="m4295,11880l4307,11882m4307,11880l4317,11912m4317,11912l4330,11922e" filled="false" stroked="true" strokeweight="1pt" strokecolor="#008360">
              <v:path arrowok="t"/>
              <v:stroke dashstyle="solid"/>
            </v:shape>
            <v:line style="position:absolute" from="4335,11912" to="4335,12030" stroked="true" strokeweight="1.5pt" strokecolor="#008360">
              <v:stroke dashstyle="solid"/>
            </v:line>
            <v:line style="position:absolute" from="4340,12020" to="4352,12052" stroked="true" strokeweight="1pt" strokecolor="#008360">
              <v:stroke dashstyle="solid"/>
            </v:line>
            <v:line style="position:absolute" from="4357,11795" to="4357,12062" stroked="true" strokeweight="1.5pt" strokecolor="#008360">
              <v:stroke dashstyle="solid"/>
            </v:line>
            <v:line style="position:absolute" from="4368,11795" to="4368,11997" stroked="true" strokeweight="1.625pt" strokecolor="#008360">
              <v:stroke dashstyle="solid"/>
            </v:line>
            <v:shape style="position:absolute;left:4374;top:11847;width:45;height:140" coordorigin="4375,11847" coordsize="45,140" path="m4375,11987l4387,11945m4387,11945l4397,11912m4397,11912l4410,11847m4410,11847l4420,11880e" filled="false" stroked="true" strokeweight="1pt" strokecolor="#008360">
              <v:path arrowok="t"/>
              <v:stroke dashstyle="solid"/>
            </v:shape>
            <v:line style="position:absolute" from="4426,11762" to="4426,11890" stroked="true" strokeweight="1.625pt" strokecolor="#008360">
              <v:stroke dashstyle="solid"/>
            </v:line>
            <v:shape style="position:absolute;left:4432;top:11632;width:35;height:140" coordorigin="4432,11632" coordsize="35,140" path="m4432,11772l4442,11717m4442,11717l4455,11632m4455,11632l4467,11697e" filled="false" stroked="true" strokeweight="1pt" strokecolor="#008360">
              <v:path arrowok="t"/>
              <v:stroke dashstyle="solid"/>
            </v:shape>
            <v:line style="position:absolute" from="4472,11535" to="4472,11707" stroked="true" strokeweight="1.5pt" strokecolor="#008360">
              <v:stroke dashstyle="solid"/>
            </v:line>
            <v:shape style="position:absolute;left:4467;top:11524;width:43;height:235" coordorigin="4467,11525" coordsize="43,235" path="m4510,11525l4480,11525,4480,11535,4467,11535,4467,11760,4480,11760,4500,11760,4510,11760,4510,11525xe" filled="true" fillcolor="#008360" stroked="false">
              <v:path arrowok="t"/>
              <v:fill type="solid"/>
            </v:shape>
            <v:shape style="position:absolute;left:4499;top:11502;width:35;height:118" coordorigin="4500,11502" coordsize="35,118" path="m4500,11535l4512,11502m4512,11502l4522,11567m4522,11567l4535,11620e" filled="false" stroked="true" strokeweight="1pt" strokecolor="#008360">
              <v:path arrowok="t"/>
              <v:stroke dashstyle="solid"/>
            </v:shape>
            <v:line style="position:absolute" from="4540,11330" to="4540,11630" stroked="true" strokeweight="1.5pt" strokecolor="#008360">
              <v:stroke dashstyle="solid"/>
            </v:line>
            <v:shape style="position:absolute;left:4544;top:11199;width:58;height:140" coordorigin="4545,11200" coordsize="58,140" path="m4545,11340l4557,11255m4557,11255l4570,11275m4570,11275l4580,11200m4580,11200l4592,11265m4592,11265l4602,11297e" filled="false" stroked="true" strokeweight="1pt" strokecolor="#008360">
              <v:path arrowok="t"/>
              <v:stroke dashstyle="solid"/>
            </v:shape>
            <v:line style="position:absolute" from="4608,11287" to="4608,11512" stroked="true" strokeweight="1.625pt" strokecolor="#008360">
              <v:stroke dashstyle="solid"/>
            </v:line>
            <v:line style="position:absolute" from="4620,11492" to="4620,11610" stroked="true" strokeweight="1.5pt" strokecolor="#008360">
              <v:stroke dashstyle="solid"/>
            </v:line>
            <v:line style="position:absolute" from="4631,11417" to="4631,11610" stroked="true" strokeweight="1.625pt" strokecolor="#008360">
              <v:stroke dashstyle="solid"/>
            </v:line>
            <v:shape style="position:absolute;left:4637;top:11427;width:23;height:98" coordorigin="4637,11427" coordsize="23,98" path="m4637,11427l4650,11447m4650,11447l4660,11525e" filled="false" stroked="true" strokeweight="1pt" strokecolor="#008360">
              <v:path arrowok="t"/>
              <v:stroke dashstyle="solid"/>
            </v:shape>
            <v:line style="position:absolute" from="4666,11405" to="4666,11535" stroked="true" strokeweight="1.625pt" strokecolor="#008360">
              <v:stroke dashstyle="solid"/>
            </v:line>
            <v:line style="position:absolute" from="4677,11297" to="4677,11425" stroked="true" strokeweight="1.5pt" strokecolor="#008360">
              <v:stroke dashstyle="solid"/>
            </v:line>
            <v:line style="position:absolute" from="4688,11297" to="4688,11512" stroked="true" strokeweight="1.625pt" strokecolor="#008360">
              <v:stroke dashstyle="solid"/>
            </v:line>
            <v:line style="position:absolute" from="4700,11492" to="4700,11652" stroked="true" strokeweight="1.5pt" strokecolor="#008360">
              <v:stroke dashstyle="solid"/>
            </v:line>
            <v:shape style="position:absolute;left:4710;top:11632;width:13;height:203" coordorigin="4711,11632" coordsize="13,203" path="m4711,11632l4711,11835m4723,11697l4723,11835e" filled="false" stroked="true" strokeweight="1.625pt" strokecolor="#008360">
              <v:path arrowok="t"/>
              <v:stroke dashstyle="solid"/>
            </v:shape>
            <v:line style="position:absolute" from="4735,11697" to="4735,11955" stroked="true" strokeweight="1.5pt" strokecolor="#008360">
              <v:stroke dashstyle="solid"/>
            </v:line>
            <v:line style="position:absolute" from="4746,11827" to="4746,11955" stroked="true" strokeweight="1.625pt" strokecolor="#008360">
              <v:stroke dashstyle="solid"/>
            </v:line>
            <v:line style="position:absolute" from="4752,11837" to="4762,11880" stroked="true" strokeweight="1pt" strokecolor="#008360">
              <v:stroke dashstyle="solid"/>
            </v:line>
            <v:line style="position:absolute" from="4768,11675" to="4768,11890" stroked="true" strokeweight="1.625pt" strokecolor="#008360">
              <v:stroke dashstyle="solid"/>
            </v:line>
            <v:shape style="position:absolute;left:4774;top:11524;width:35;height:160" coordorigin="4775,11525" coordsize="35,160" path="m4775,11685l4785,11620m4785,11620l4797,11535m4797,11535l4810,11525e" filled="false" stroked="true" strokeweight="1pt" strokecolor="#008360">
              <v:path arrowok="t"/>
              <v:stroke dashstyle="solid"/>
            </v:shape>
            <v:line style="position:absolute" from="4815,11342" to="4815,11535" stroked="true" strokeweight="1.5pt" strokecolor="#008360">
              <v:stroke dashstyle="solid"/>
            </v:line>
            <v:line style="position:absolute" from="4820,11352" to="4832,11362" stroked="true" strokeweight="1pt" strokecolor="#008360">
              <v:stroke dashstyle="solid"/>
            </v:line>
            <v:line style="position:absolute" from="4837,11352" to="4837,11512" stroked="true" strokeweight="1.5pt" strokecolor="#008360">
              <v:stroke dashstyle="solid"/>
            </v:line>
            <v:shape style="position:absolute;left:4832;top:11384;width:43;height:128" coordorigin="4832,11385" coordsize="43,128" path="m4875,11385l4865,11385,4845,11385,4832,11385,4832,11512,4865,11512,4865,11502,4875,11502,4875,11385xe" filled="true" fillcolor="#008360" stroked="false">
              <v:path arrowok="t"/>
              <v:fill type="solid"/>
            </v:shape>
            <v:line style="position:absolute" from="4865,11492" to="4877,11480" stroked="true" strokeweight="1pt" strokecolor="#008360">
              <v:stroke dashstyle="solid"/>
            </v:line>
            <v:line style="position:absolute" from="4882,11470" to="4882,11675" stroked="true" strokeweight="1.5pt" strokecolor="#008360">
              <v:stroke dashstyle="solid"/>
            </v:line>
            <v:shape style="position:absolute;left:4893;top:11254;width:13;height:420" coordorigin="4893,11255" coordsize="13,420" path="m4893,11515l4893,11675m4906,11255l4906,11535e" filled="false" stroked="true" strokeweight="1.625pt" strokecolor="#008360">
              <v:path arrowok="t"/>
              <v:stroke dashstyle="solid"/>
            </v:shape>
            <v:line style="position:absolute" from="4917,11255" to="4917,11480" stroked="true" strokeweight="1.5pt" strokecolor="#008360">
              <v:stroke dashstyle="solid"/>
            </v:line>
            <v:line style="position:absolute" from="4928,11460" to="4928,11675" stroked="true" strokeweight="1.625pt" strokecolor="#008360">
              <v:stroke dashstyle="solid"/>
            </v:line>
            <v:line style="position:absolute" from="4940,11655" to="4940,11760" stroked="true" strokeweight="1.5pt" strokecolor="#008360">
              <v:stroke dashstyle="solid"/>
            </v:line>
            <v:line style="position:absolute" from="4951,11482" to="4951,11760" stroked="true" strokeweight="1.625pt" strokecolor="#008360">
              <v:stroke dashstyle="solid"/>
            </v:line>
            <v:line style="position:absolute" from="4962,11482" to="4962,11600" stroked="true" strokeweight="1.5pt" strokecolor="#008360">
              <v:stroke dashstyle="solid"/>
            </v:line>
            <v:line style="position:absolute" from="4967,11590" to="4980,11685" stroked="true" strokeweight="1pt" strokecolor="#008360">
              <v:stroke dashstyle="solid"/>
            </v:line>
            <v:line style="position:absolute" from="4986,11525" to="4986,11695" stroked="true" strokeweight="1.625pt" strokecolor="#008360">
              <v:stroke dashstyle="solid"/>
            </v:line>
            <v:line style="position:absolute" from="4997,11525" to="4997,11802" stroked="true" strokeweight="1.5pt" strokecolor="#008360">
              <v:stroke dashstyle="solid"/>
            </v:line>
            <v:line style="position:absolute" from="5008,11567" to="5008,11802" stroked="true" strokeweight="1.625pt" strokecolor="#008360">
              <v:stroke dashstyle="solid"/>
            </v:line>
            <v:line style="position:absolute" from="5020,11567" to="5020,11675" stroked="true" strokeweight="1.5pt" strokecolor="#008360">
              <v:stroke dashstyle="solid"/>
            </v:line>
            <v:line style="position:absolute" from="5025,11665" to="5037,11610" stroked="true" strokeweight="1pt" strokecolor="#008360">
              <v:stroke dashstyle="solid"/>
            </v:line>
            <v:line style="position:absolute" from="5042,11362" to="5042,11620" stroked="true" strokeweight="1.5pt" strokecolor="#008360">
              <v:stroke dashstyle="solid"/>
            </v:line>
            <v:line style="position:absolute" from="1481,12527" to="1481,12785" stroked="true" strokeweight="1.625pt" strokecolor="#006caa">
              <v:stroke dashstyle="solid"/>
            </v:line>
            <v:line style="position:absolute" from="1487,12537" to="1497,12540" stroked="true" strokeweight="1pt" strokecolor="#006caa">
              <v:stroke dashstyle="solid"/>
            </v:line>
            <v:line style="position:absolute" from="1503,12280" to="1503,12547" stroked="true" strokeweight="1.625pt" strokecolor="#006caa">
              <v:stroke dashstyle="solid"/>
            </v:line>
            <v:line style="position:absolute" from="1510,12290" to="1520,12292" stroked="true" strokeweight="1pt" strokecolor="#006caa">
              <v:stroke dashstyle="solid"/>
            </v:line>
            <v:line style="position:absolute" from="1526,12160" to="1526,12300" stroked="true" strokeweight="1.625pt" strokecolor="#006caa">
              <v:stroke dashstyle="solid"/>
            </v:line>
            <v:line style="position:absolute" from="1532,12170" to="1542,12172" stroked="true" strokeweight="1pt" strokecolor="#006caa">
              <v:stroke dashstyle="solid"/>
            </v:line>
            <v:line style="position:absolute" from="1548,11955" to="1548,12180" stroked="true" strokeweight="1.625pt" strokecolor="#006caa">
              <v:stroke dashstyle="solid"/>
            </v:line>
            <v:line style="position:absolute" from="1555,11965" to="1567,11967" stroked="true" strokeweight="1pt" strokecolor="#006caa">
              <v:stroke dashstyle="solid"/>
            </v:line>
            <v:line style="position:absolute" from="1572,11955" to="1572,12072" stroked="true" strokeweight="1.5pt" strokecolor="#006caa">
              <v:stroke dashstyle="solid"/>
            </v:line>
            <v:shape style="position:absolute;left:1577;top:11729;width:35;height:335" coordorigin="1577,11730" coordsize="35,335" path="m1577,12062l1590,12065m1590,12062l1600,11730m1600,11730l1612,11732e" filled="false" stroked="true" strokeweight="1pt" strokecolor="#006caa">
              <v:path arrowok="t"/>
              <v:stroke dashstyle="solid"/>
            </v:shape>
            <v:line style="position:absolute" from="1617,11567" to="1617,11740" stroked="true" strokeweight="1.5pt" strokecolor="#006caa">
              <v:stroke dashstyle="solid"/>
            </v:line>
            <v:line style="position:absolute" from="1622,11577" to="1635,11580" stroked="true" strokeweight="1pt" strokecolor="#006caa">
              <v:stroke dashstyle="solid"/>
            </v:line>
            <v:line style="position:absolute" from="1641,11567" to="1641,11825" stroked="true" strokeweight="1.625pt" strokecolor="#006caa">
              <v:stroke dashstyle="solid"/>
            </v:line>
            <v:line style="position:absolute" from="1647,11815" to="1657,11817" stroked="true" strokeweight="1pt" strokecolor="#006caa">
              <v:stroke dashstyle="solid"/>
            </v:line>
            <v:line style="position:absolute" from="1663,11697" to="1663,11825" stroked="true" strokeweight="1.625pt" strokecolor="#006caa">
              <v:stroke dashstyle="solid"/>
            </v:line>
            <v:shape style="position:absolute;left:1669;top:11707;width:33;height:3" coordorigin="1670,11707" coordsize="33,3" path="m1670,11707l1680,11710m1680,11707l1692,11710m1692,11707l1702,11710e" filled="false" stroked="true" strokeweight="1pt" strokecolor="#006caa">
              <v:path arrowok="t"/>
              <v:stroke dashstyle="solid"/>
            </v:shape>
            <v:line style="position:absolute" from="1708,11697" to="1708,11880" stroked="true" strokeweight="1.625pt" strokecolor="#006caa">
              <v:stroke dashstyle="solid"/>
            </v:line>
            <v:line style="position:absolute" from="1715,11870" to="1727,11872" stroked="true" strokeweight="1pt" strokecolor="#006caa">
              <v:stroke dashstyle="solid"/>
            </v:line>
            <v:line style="position:absolute" from="1732,11610" to="1732,11880" stroked="true" strokeweight="1.5pt" strokecolor="#006caa">
              <v:stroke dashstyle="solid"/>
            </v:line>
            <v:shape style="position:absolute;left:1737;top:11619;width:35;height:25" coordorigin="1737,11620" coordsize="35,25" path="m1737,11620l1750,11622m1750,11620l1760,11642m1760,11642l1772,11645e" filled="false" stroked="true" strokeweight="1pt" strokecolor="#006caa">
              <v:path arrowok="t"/>
              <v:stroke dashstyle="solid"/>
            </v:shape>
            <v:rect style="position:absolute;left:1762;top:11632;width:30;height:118" filled="true" fillcolor="#006caa" stroked="false">
              <v:fill type="solid"/>
            </v:rect>
            <v:line style="position:absolute" from="1782,11740" to="1795,11742" stroked="true" strokeweight="1pt" strokecolor="#006caa">
              <v:stroke dashstyle="solid"/>
            </v:line>
            <v:rect style="position:absolute;left:1784;top:11622;width:30;height:128" filled="true" fillcolor="#006caa" stroked="false">
              <v:fill type="solid"/>
            </v:rect>
            <v:shape style="position:absolute;left:1804;top:11619;width:58;height:65" coordorigin="1805,11620" coordsize="58,65" path="m1805,11632l1817,11652m1817,11652l1830,11620m1830,11620l1840,11665m1840,11665l1852,11685m1852,11685l1862,11620e" filled="false" stroked="true" strokeweight="1pt" strokecolor="#006caa">
              <v:path arrowok="t"/>
              <v:stroke dashstyle="solid"/>
            </v:shape>
            <v:line style="position:absolute" from="1868,11385" to="1868,11630" stroked="true" strokeweight="1.625pt" strokecolor="#006caa">
              <v:stroke dashstyle="solid"/>
            </v:line>
            <v:shape style="position:absolute;left:1874;top:11394;width:35;height:108" coordorigin="1875,11395" coordsize="35,108" path="m1875,11395l1885,11437m1885,11437l1897,11447m1897,11447l1910,11502e" filled="false" stroked="true" strokeweight="1pt" strokecolor="#006caa">
              <v:path arrowok="t"/>
              <v:stroke dashstyle="solid"/>
            </v:shape>
            <v:line style="position:absolute" from="1915,11385" to="1915,11512" stroked="true" strokeweight="1.5pt" strokecolor="#006caa">
              <v:stroke dashstyle="solid"/>
            </v:line>
            <v:shape style="position:absolute;left:1919;top:11394;width:70;height:98" coordorigin="1920,11395" coordsize="70,98" path="m1920,11395l1932,11480m1932,11480l1942,11405m1942,11405l1955,11492m1955,11492l1965,11437m1965,11437l1977,11460m1977,11460l1990,11415e" filled="false" stroked="true" strokeweight="1pt" strokecolor="#006caa">
              <v:path arrowok="t"/>
              <v:stroke dashstyle="solid"/>
            </v:shape>
            <v:line style="position:absolute" from="1995,11405" to="1995,11685" stroked="true" strokeweight="1.5pt" strokecolor="#006caa">
              <v:stroke dashstyle="solid"/>
            </v:line>
            <v:rect style="position:absolute;left:1989;top:11547;width:33;height:138" filled="true" fillcolor="#006caa" stroked="false">
              <v:fill type="solid"/>
            </v:rect>
            <v:shape style="position:absolute;left:2012;top:11557;width:23;height:53" coordorigin="2012,11557" coordsize="23,53" path="m2012,11557l2022,11610m2022,11610l2035,11567e" filled="false" stroked="true" strokeweight="1pt" strokecolor="#006caa">
              <v:path arrowok="t"/>
              <v:stroke dashstyle="solid"/>
            </v:shape>
            <v:rect style="position:absolute;left:2024;top:11557;width:30;height:128" filled="true" fillcolor="#006caa" stroked="false">
              <v:fill type="solid"/>
            </v:rect>
            <v:shape style="position:absolute;left:2044;top:11674;width:35;height:75" coordorigin="2045,11675" coordsize="35,75" path="m2045,11675l2057,11707m2057,11707l2070,11685m2070,11685l2080,11750e" filled="false" stroked="true" strokeweight="1pt" strokecolor="#006caa">
              <v:path arrowok="t"/>
              <v:stroke dashstyle="solid"/>
            </v:shape>
            <v:line style="position:absolute" from="2086,11740" to="2086,11987" stroked="true" strokeweight="1.625pt" strokecolor="#006caa">
              <v:stroke dashstyle="solid"/>
            </v:line>
            <v:line style="position:absolute" from="2092,11977" to="2102,12020" stroked="true" strokeweight="1pt" strokecolor="#006caa">
              <v:stroke dashstyle="solid"/>
            </v:line>
            <v:line style="position:absolute" from="2108,11837" to="2108,12030" stroked="true" strokeweight="1.625pt" strokecolor="#006caa">
              <v:stroke dashstyle="solid"/>
            </v:line>
            <v:line style="position:absolute" from="2120,11752" to="2120,11857" stroked="true" strokeweight="1.5pt" strokecolor="#006caa">
              <v:stroke dashstyle="solid"/>
            </v:line>
            <v:shape style="position:absolute;left:2124;top:11762;width:48;height:140" coordorigin="2125,11762" coordsize="48,140" path="m2125,11762l2137,11805m2137,11805l2147,11792m2147,11792l2160,11890m2160,11890l2172,11902e" filled="false" stroked="true" strokeweight="1pt" strokecolor="#006caa">
              <v:path arrowok="t"/>
              <v:stroke dashstyle="solid"/>
            </v:shape>
            <v:line style="position:absolute" from="2177,11892" to="2177,12007" stroked="true" strokeweight="1.5pt" strokecolor="#006caa">
              <v:stroke dashstyle="solid"/>
            </v:line>
            <v:line style="position:absolute" from="2182,11997" to="2195,12407" stroked="true" strokeweight="1pt" strokecolor="#006caa">
              <v:stroke dashstyle="solid"/>
            </v:line>
            <v:line style="position:absolute" from="2200,12397" to="2200,12635" stroked="true" strokeweight="1.5pt" strokecolor="#006caa">
              <v:stroke dashstyle="solid"/>
            </v:line>
            <v:line style="position:absolute" from="2211,12495" to="2211,12635" stroked="true" strokeweight="1.625pt" strokecolor="#006caa">
              <v:stroke dashstyle="solid"/>
            </v:line>
            <v:line style="position:absolute" from="2222,12302" to="2222,12515" stroked="true" strokeweight="1.5pt" strokecolor="#006caa">
              <v:stroke dashstyle="solid"/>
            </v:line>
            <v:shape style="position:absolute;left:2233;top:11999;width:13;height:323" coordorigin="2233,12000" coordsize="13,323" path="m2233,12192l2233,12322m2246,12000l2246,12212e" filled="false" stroked="true" strokeweight="1.625pt" strokecolor="#006caa">
              <v:path arrowok="t"/>
              <v:stroke dashstyle="solid"/>
            </v:shape>
            <v:line style="position:absolute" from="2257,11912" to="2257,12020" stroked="true" strokeweight="1.5pt" strokecolor="#006caa">
              <v:stroke dashstyle="solid"/>
            </v:line>
            <v:line style="position:absolute" from="2262,11922" to="2275,11857" stroked="true" strokeweight="1pt" strokecolor="#006caa">
              <v:stroke dashstyle="solid"/>
            </v:line>
            <v:line style="position:absolute" from="2280,11847" to="2280,12052" stroked="true" strokeweight="1.5pt" strokecolor="#006caa">
              <v:stroke dashstyle="solid"/>
            </v:line>
            <v:line style="position:absolute" from="2285,12042" to="2297,12127" stroked="true" strokeweight="1pt" strokecolor="#006caa">
              <v:stroke dashstyle="solid"/>
            </v:line>
            <v:line style="position:absolute" from="2302,12117" to="2302,12245" stroked="true" strokeweight="1.5pt" strokecolor="#006caa">
              <v:stroke dashstyle="solid"/>
            </v:line>
            <v:line style="position:absolute" from="2313,12042" to="2313,12245" stroked="true" strokeweight="1.625pt" strokecolor="#006caa">
              <v:stroke dashstyle="solid"/>
            </v:line>
            <v:line style="position:absolute" from="2320,12052" to="2332,11977" stroked="true" strokeweight="1pt" strokecolor="#006caa">
              <v:stroke dashstyle="solid"/>
            </v:line>
            <v:line style="position:absolute" from="2337,11860" to="2337,11987" stroked="true" strokeweight="1.5pt" strokecolor="#006caa">
              <v:stroke dashstyle="solid"/>
            </v:line>
            <v:shape style="position:absolute;left:2342;top:11869;width:35;height:75" coordorigin="2342,11870" coordsize="35,75" path="m2342,11870l2355,11945m2355,11945l2365,11935m2365,11935l2377,11890e" filled="false" stroked="true" strokeweight="1pt" strokecolor="#006caa">
              <v:path arrowok="t"/>
              <v:stroke dashstyle="solid"/>
            </v:shape>
            <v:line style="position:absolute" from="2382,11880" to="2382,12072" stroked="true" strokeweight="1.5pt" strokecolor="#006caa">
              <v:stroke dashstyle="solid"/>
            </v:line>
            <v:line style="position:absolute" from="2387,12062" to="2400,12107" stroked="true" strokeweight="1pt" strokecolor="#006caa">
              <v:stroke dashstyle="solid"/>
            </v:line>
            <v:line style="position:absolute" from="2406,12097" to="2406,12290" stroked="true" strokeweight="1.625pt" strokecolor="#006caa">
              <v:stroke dashstyle="solid"/>
            </v:line>
            <v:shape style="position:absolute;left:2412;top:12279;width:33;height:95" coordorigin="2412,12280" coordsize="33,95" path="m2412,12280l2422,12290m2422,12290l2435,12322m2435,12322l2445,12375e" filled="false" stroked="true" strokeweight="1pt" strokecolor="#006caa">
              <v:path arrowok="t"/>
              <v:stroke dashstyle="solid"/>
            </v:shape>
            <v:line style="position:absolute" from="2451,12365" to="2451,12505" stroked="true" strokeweight="1.625pt" strokecolor="#006caa">
              <v:stroke dashstyle="solid"/>
            </v:line>
            <v:shape style="position:absolute;left:2457;top:12397;width:23;height:98" coordorigin="2457,12397" coordsize="23,98" path="m2457,12495l2467,12485m2467,12485l2480,12397e" filled="false" stroked="true" strokeweight="1pt" strokecolor="#006caa">
              <v:path arrowok="t"/>
              <v:stroke dashstyle="solid"/>
            </v:shape>
            <v:line style="position:absolute" from="2485,12387" to="2485,12505" stroked="true" strokeweight="1.5pt" strokecolor="#006caa">
              <v:stroke dashstyle="solid"/>
            </v:line>
            <v:shape style="position:absolute;left:2479;top:12344;width:45;height:160" coordorigin="2480,12345" coordsize="45,160" path="m2525,12345l2512,12345,2492,12345,2480,12345,2480,12505,2512,12505,2512,12495,2525,12495,2525,12345xe" filled="true" fillcolor="#006caa" stroked="false">
              <v:path arrowok="t"/>
              <v:fill type="solid"/>
            </v:shape>
            <v:shape style="position:absolute;left:2514;top:12429;width:55;height:108" coordorigin="2515,12430" coordsize="55,108" path="m2515,12485l2525,12462m2525,12462l2537,12537m2537,12537l2547,12472m2547,12472l2560,12430m2560,12430l2570,12440e" filled="false" stroked="true" strokeweight="1pt" strokecolor="#006caa">
              <v:path arrowok="t"/>
              <v:stroke dashstyle="solid"/>
            </v:shape>
            <v:shape style="position:absolute;left:2575;top:12009;width:13;height:440" coordorigin="2576,12010" coordsize="13,440" path="m2576,12257l2576,12450m2588,12010l2588,12277e" filled="false" stroked="true" strokeweight="1.625pt" strokecolor="#006caa">
              <v:path arrowok="t"/>
              <v:stroke dashstyle="solid"/>
            </v:shape>
            <v:shape style="position:absolute;left:2594;top:11762;width:80;height:258" coordorigin="2595,11762" coordsize="80,258" path="m2595,12020l2605,11945m2605,11945l2617,11847m2617,11847l2627,11857m2627,11857l2640,11825m2640,11825l2650,11782m2650,11782l2662,11785m2662,11782l2675,11762e" filled="false" stroked="true" strokeweight="1pt" strokecolor="#006caa">
              <v:path arrowok="t"/>
              <v:stroke dashstyle="solid"/>
            </v:shape>
            <v:line style="position:absolute" from="2680,11655" to="2680,11772" stroked="true" strokeweight="1.5pt" strokecolor="#006caa">
              <v:stroke dashstyle="solid"/>
            </v:line>
            <v:line style="position:absolute" from="2691,11515" to="2691,11675" stroked="true" strokeweight="1.625pt" strokecolor="#006caa">
              <v:stroke dashstyle="solid"/>
            </v:line>
            <v:shape style="position:absolute;left:2697;top:11512;width:33;height:68" coordorigin="2697,11512" coordsize="33,68" path="m2697,11525l2707,11512m2707,11512l2720,11577m2720,11577l2730,11580e" filled="false" stroked="true" strokeweight="1pt" strokecolor="#006caa">
              <v:path arrowok="t"/>
              <v:stroke dashstyle="solid"/>
            </v:shape>
            <v:rect style="position:absolute;left:2719;top:11459;width:33;height:128" filled="true" fillcolor="#006caa" stroked="false">
              <v:fill type="solid"/>
            </v:rect>
            <v:shape style="position:absolute;left:2742;top:11469;width:23;height:33" coordorigin="2742,11470" coordsize="23,33" path="m2742,11470l2755,11502m2755,11502l2765,11480e" filled="false" stroked="true" strokeweight="1pt" strokecolor="#006caa">
              <v:path arrowok="t"/>
              <v:stroke dashstyle="solid"/>
            </v:shape>
            <v:rect style="position:absolute;left:2754;top:11469;width:33;height:130" filled="true" fillcolor="#006caa" stroked="false">
              <v:fill type="solid"/>
            </v:rect>
            <v:shape style="position:absolute;left:2777;top:11534;width:33;height:85" coordorigin="2777,11535" coordsize="33,85" path="m2777,11590l2787,11535m2787,11535l2800,11600m2800,11600l2810,11620e" filled="false" stroked="true" strokeweight="1pt" strokecolor="#006caa">
              <v:path arrowok="t"/>
              <v:stroke dashstyle="solid"/>
            </v:shape>
            <v:line style="position:absolute" from="2816,11470" to="2816,11630" stroked="true" strokeweight="1.625pt" strokecolor="#006caa">
              <v:stroke dashstyle="solid"/>
            </v:line>
            <v:line style="position:absolute" from="2827,11470" to="2827,11675" stroked="true" strokeweight="1.5pt" strokecolor="#006caa">
              <v:stroke dashstyle="solid"/>
            </v:line>
            <v:line style="position:absolute" from="2838,11547" to="2838,11675" stroked="true" strokeweight="1.625pt" strokecolor="#006caa">
              <v:stroke dashstyle="solid"/>
            </v:line>
            <v:line style="position:absolute" from="2845,11557" to="2857,11535" stroked="true" strokeweight="1pt" strokecolor="#006caa">
              <v:stroke dashstyle="solid"/>
            </v:line>
            <v:line style="position:absolute" from="2862,11525" to="2862,11685" stroked="true" strokeweight="1.5pt" strokecolor="#006caa">
              <v:stroke dashstyle="solid"/>
            </v:line>
            <v:line style="position:absolute" from="2873,11492" to="2873,11685" stroked="true" strokeweight="1.625pt" strokecolor="#006caa">
              <v:stroke dashstyle="solid"/>
            </v:line>
            <v:line style="position:absolute" from="2885,11492" to="2885,11620" stroked="true" strokeweight="1.5pt" strokecolor="#006caa">
              <v:stroke dashstyle="solid"/>
            </v:line>
            <v:shape style="position:absolute;left:2889;top:11534;width:35;height:75" coordorigin="2890,11535" coordsize="35,75" path="m2890,11610l2902,11545m2902,11545l2912,11535m2912,11535l2925,11577e" filled="false" stroked="true" strokeweight="1pt" strokecolor="#006caa">
              <v:path arrowok="t"/>
              <v:stroke dashstyle="solid"/>
            </v:shape>
            <v:line style="position:absolute" from="2931,11567" to="2931,11695" stroked="true" strokeweight="1.625pt" strokecolor="#006caa">
              <v:stroke dashstyle="solid"/>
            </v:line>
            <v:shape style="position:absolute;left:2937;top:11589;width:113;height:108" coordorigin="2937,11590" coordsize="113,108" path="m2937,11685l2947,11675m2947,11675l2960,11632m2960,11632l2970,11635m2970,11632l2982,11665m2982,11665l2992,11685m2992,11685l3005,11697m3005,11697l3017,11600m3017,11600l3027,11590m3027,11590l3040,11600m3040,11600l3050,11652e" filled="false" stroked="true" strokeweight="1pt" strokecolor="#006caa">
              <v:path arrowok="t"/>
              <v:stroke dashstyle="solid"/>
            </v:shape>
            <v:line style="position:absolute" from="3056,11642" to="3056,11782" stroked="true" strokeweight="1.625pt" strokecolor="#006caa">
              <v:stroke dashstyle="solid"/>
            </v:line>
            <v:shape style="position:absolute;left:3062;top:11739;width:45;height:150" coordorigin="3062,11740" coordsize="45,150" path="m3062,11772l3072,11815m3072,11815l3085,11890m3085,11890l3097,11815m3097,11815l3107,11740e" filled="false" stroked="true" strokeweight="1pt" strokecolor="#006caa">
              <v:path arrowok="t"/>
              <v:stroke dashstyle="solid"/>
            </v:shape>
            <v:line style="position:absolute" from="3113,11730" to="3113,11912" stroked="true" strokeweight="1.625pt" strokecolor="#006caa">
              <v:stroke dashstyle="solid"/>
            </v:line>
            <v:line style="position:absolute" from="3125,11762" to="3125,11912" stroked="true" strokeweight="1.5pt" strokecolor="#006caa">
              <v:stroke dashstyle="solid"/>
            </v:line>
            <v:shape style="position:absolute;left:3129;top:11652;width:23;height:120" coordorigin="3130,11652" coordsize="23,120" path="m3130,11772l3142,11685m3142,11685l3152,11652e" filled="false" stroked="true" strokeweight="1pt" strokecolor="#006caa">
              <v:path arrowok="t"/>
              <v:stroke dashstyle="solid"/>
            </v:shape>
            <v:line style="position:absolute" from="3158,11525" to="3158,11662" stroked="true" strokeweight="1.625pt" strokecolor="#006caa">
              <v:stroke dashstyle="solid"/>
            </v:line>
            <v:shape style="position:absolute;left:3164;top:11479;width:23;height:78" coordorigin="3165,11480" coordsize="23,78" path="m3165,11535l3175,11557m3175,11557l3187,11480e" filled="false" stroked="true" strokeweight="1pt" strokecolor="#006caa">
              <v:path arrowok="t"/>
              <v:stroke dashstyle="solid"/>
            </v:shape>
            <v:line style="position:absolute" from="3193,11362" to="3193,11490" stroked="true" strokeweight="1.625pt" strokecolor="#006caa">
              <v:stroke dashstyle="solid"/>
            </v:line>
            <v:line style="position:absolute" from="3205,11265" to="3205,11382" stroked="true" strokeweight="1.5pt" strokecolor="#006caa">
              <v:stroke dashstyle="solid"/>
            </v:line>
            <v:shape style="position:absolute;left:3209;top:11274;width:23;height:303" coordorigin="3210,11275" coordsize="23,303" path="m3210,11275l3222,11287m3222,11287l3232,11577e" filled="false" stroked="true" strokeweight="1pt" strokecolor="#006caa">
              <v:path arrowok="t"/>
              <v:stroke dashstyle="solid"/>
            </v:shape>
            <v:line style="position:absolute" from="3238,11427" to="3238,11587" stroked="true" strokeweight="1.625pt" strokecolor="#006caa">
              <v:stroke dashstyle="solid"/>
            </v:line>
            <v:line style="position:absolute" from="3245,11437" to="3267,11395" stroked="true" strokeweight="1pt" strokecolor="#006caa">
              <v:stroke dashstyle="solid"/>
            </v:line>
            <v:line style="position:absolute" from="3273,11277" to="3273,11405" stroked="true" strokeweight="1.625pt" strokecolor="#006caa">
              <v:stroke dashstyle="solid"/>
            </v:line>
            <v:shape style="position:absolute;left:3279;top:11274;width:23;height:65" coordorigin="3280,11275" coordsize="23,65" path="m3280,11287l3290,11340m3290,11340l3302,11275e" filled="false" stroked="true" strokeweight="1pt" strokecolor="#006caa">
              <v:path arrowok="t"/>
              <v:stroke dashstyle="solid"/>
            </v:shape>
            <v:line style="position:absolute" from="3307,11170" to="3307,11285" stroked="true" strokeweight="1.5pt" strokecolor="#006caa">
              <v:stroke dashstyle="solid"/>
            </v:line>
            <v:shape style="position:absolute;left:3312;top:11179;width:23;height:140" coordorigin="3312,11180" coordsize="23,140" path="m3312,11180l3325,11275m3325,11275l3335,11320e" filled="false" stroked="true" strokeweight="1pt" strokecolor="#006caa">
              <v:path arrowok="t"/>
              <v:stroke dashstyle="solid"/>
            </v:shape>
            <v:shape style="position:absolute;left:3340;top:11179;width:13;height:203" coordorigin="3341,11180" coordsize="13,203" path="m3341,11180l3341,11330m3353,11180l3353,11382e" filled="false" stroked="true" strokeweight="1.625pt" strokecolor="#006caa">
              <v:path arrowok="t"/>
              <v:stroke dashstyle="solid"/>
            </v:shape>
            <v:line style="position:absolute" from="3365,11245" to="3365,11382" stroked="true" strokeweight="1.5pt" strokecolor="#006caa">
              <v:stroke dashstyle="solid"/>
            </v:line>
            <v:line style="position:absolute" from="3370,11255" to="3382,11330" stroked="true" strokeweight="1pt" strokecolor="#006caa">
              <v:stroke dashstyle="solid"/>
            </v:line>
            <v:line style="position:absolute" from="3387,11190" to="3387,11340" stroked="true" strokeweight="1.5pt" strokecolor="#006caa">
              <v:stroke dashstyle="solid"/>
            </v:line>
            <v:line style="position:absolute" from="3392,11200" to="3405,11275" stroked="true" strokeweight="1pt" strokecolor="#006caa">
              <v:stroke dashstyle="solid"/>
            </v:line>
            <v:line style="position:absolute" from="3410,11157" to="3410,11285" stroked="true" strokeweight="1.5pt" strokecolor="#006caa">
              <v:stroke dashstyle="solid"/>
            </v:line>
            <v:shape style="position:absolute;left:3414;top:11167;width:115;height:163" coordorigin="3415,11167" coordsize="115,163" path="m3415,11167l3427,11242m3427,11242l3440,11255m3440,11255l3450,11257m3450,11255l3462,11242m3462,11242l3472,11180m3472,11180l3485,11275m3485,11275l3495,11265m3495,11265l3507,11242m3507,11242l3517,11287m3517,11287l3530,11330e" filled="false" stroked="true" strokeweight="1pt" strokecolor="#006caa">
              <v:path arrowok="t"/>
              <v:stroke dashstyle="solid"/>
            </v:shape>
            <v:line style="position:absolute" from="3536,11320" to="3536,11470" stroked="true" strokeweight="1.625pt" strokecolor="#006caa">
              <v:stroke dashstyle="solid"/>
            </v:line>
            <v:shape style="position:absolute;left:3542;top:11384;width:45;height:78" coordorigin="3542,11385" coordsize="45,78" path="m3542,11460l3552,11462m3552,11460l3565,11385m3565,11385l3575,11447m3575,11447l3587,11450e" filled="false" stroked="true" strokeweight="1pt" strokecolor="#006caa">
              <v:path arrowok="t"/>
              <v:stroke dashstyle="solid"/>
            </v:shape>
            <v:line style="position:absolute" from="3592,11437" to="3592,11555" stroked="true" strokeweight="1.5pt" strokecolor="#006caa">
              <v:stroke dashstyle="solid"/>
            </v:line>
            <v:shape style="position:absolute;left:3597;top:11544;width:70;height:853" coordorigin="3597,11545" coordsize="70,853" path="m3597,11545l3610,11567m3610,11567l3622,11912m3622,11912l3632,11890m3632,11890l3645,12365m3645,12365l3655,12387m3655,12387l3667,12397e" filled="false" stroked="true" strokeweight="1pt" strokecolor="#006caa">
              <v:path arrowok="t"/>
              <v:stroke dashstyle="solid"/>
            </v:shape>
            <v:line style="position:absolute" from="3672,12387" to="3672,12537" stroked="true" strokeweight="1.5pt" strokecolor="#006caa">
              <v:stroke dashstyle="solid"/>
            </v:line>
            <v:shape style="position:absolute;left:3677;top:11987;width:93;height:540" coordorigin="3677,11987" coordsize="93,540" path="m3677,12527l3690,12440m3690,12440l3702,11987m3702,11987l3712,12020m3712,12020l3725,12085m3725,12085l3735,12052m3735,12052l3747,12062m3747,12062l3757,12095m3757,12095l3770,12160e" filled="false" stroked="true" strokeweight="1pt" strokecolor="#006caa">
              <v:path arrowok="t"/>
              <v:stroke dashstyle="solid"/>
            </v:shape>
            <v:line style="position:absolute" from="3776,12150" to="3776,12430" stroked="true" strokeweight="1.625pt" strokecolor="#006caa">
              <v:stroke dashstyle="solid"/>
            </v:line>
            <v:line style="position:absolute" from="3787,12410" to="3787,12580" stroked="true" strokeweight="1.5pt" strokecolor="#006caa">
              <v:stroke dashstyle="solid"/>
            </v:line>
            <v:shape style="position:absolute;left:3792;top:12569;width:35;height:120" coordorigin="3792,12570" coordsize="35,120" path="m3792,12570l3805,12580m3805,12580l3815,12625m3815,12625l3827,12690e" filled="false" stroked="true" strokeweight="1pt" strokecolor="#006caa">
              <v:path arrowok="t"/>
              <v:stroke dashstyle="solid"/>
            </v:shape>
            <v:line style="position:absolute" from="3832,12485" to="3832,12700" stroked="true" strokeweight="1.5pt" strokecolor="#006caa">
              <v:stroke dashstyle="solid"/>
            </v:line>
            <v:line style="position:absolute" from="3843,12312" to="3843,12505" stroked="true" strokeweight="1.625pt" strokecolor="#006caa">
              <v:stroke dashstyle="solid"/>
            </v:line>
            <v:line style="position:absolute" from="3855,12172" to="3855,12332" stroked="true" strokeweight="1.5pt" strokecolor="#006caa">
              <v:stroke dashstyle="solid"/>
            </v:line>
            <v:line style="position:absolute" from="3860,12182" to="3872,12160" stroked="true" strokeweight="1pt" strokecolor="#006caa">
              <v:stroke dashstyle="solid"/>
            </v:line>
            <v:line style="position:absolute" from="3878,12150" to="3878,12407" stroked="true" strokeweight="1.625pt" strokecolor="#006caa">
              <v:stroke dashstyle="solid"/>
            </v:line>
            <v:shape style="position:absolute;left:3884;top:12397;width:33;height:140" coordorigin="3885,12397" coordsize="33,140" path="m3885,12397l3895,12440m3895,12440l3907,12485m3907,12485l3917,12537e" filled="false" stroked="true" strokeweight="1pt" strokecolor="#006caa">
              <v:path arrowok="t"/>
              <v:stroke dashstyle="solid"/>
            </v:shape>
            <v:line style="position:absolute" from="3923,12302" to="3923,12547" stroked="true" strokeweight="1.625pt" strokecolor="#006caa">
              <v:stroke dashstyle="solid"/>
            </v:line>
            <v:line style="position:absolute" from="3935,12042" to="3935,12322" stroked="true" strokeweight="1.5pt" strokecolor="#006caa">
              <v:stroke dashstyle="solid"/>
            </v:line>
            <v:line style="position:absolute" from="3940,12052" to="3952,12075" stroked="true" strokeweight="1pt" strokecolor="#006caa">
              <v:stroke dashstyle="solid"/>
            </v:line>
            <v:line style="position:absolute" from="3958,12065" to="3958,12257" stroked="true" strokeweight="1.625pt" strokecolor="#006caa">
              <v:stroke dashstyle="solid"/>
            </v:line>
            <v:line style="position:absolute" from="3970,12237" to="3970,12365" stroked="true" strokeweight="1.5pt" strokecolor="#006caa">
              <v:stroke dashstyle="solid"/>
            </v:line>
            <v:line style="position:absolute" from="3975,12355" to="3987,12267" stroked="true" strokeweight="1pt" strokecolor="#006caa">
              <v:stroke dashstyle="solid"/>
            </v:line>
            <v:line style="position:absolute" from="3992,12257" to="3992,12397" stroked="true" strokeweight="1.5pt" strokecolor="#006caa">
              <v:stroke dashstyle="solid"/>
            </v:line>
            <v:shape style="position:absolute;left:3997;top:12342;width:58;height:110" coordorigin="3997,12342" coordsize="58,110" path="m3997,12387l4010,12452m4010,12452l4020,12440m4020,12440l4032,12442m4032,12440l4045,12342m4045,12342l4055,12407e" filled="false" stroked="true" strokeweight="1pt" strokecolor="#006caa">
              <v:path arrowok="t"/>
              <v:stroke dashstyle="solid"/>
            </v:shape>
            <v:line style="position:absolute" from="4061,12172" to="4061,12417" stroked="true" strokeweight="1.625pt" strokecolor="#006caa">
              <v:stroke dashstyle="solid"/>
            </v:line>
            <v:line style="position:absolute" from="4072,12010" to="4072,12192" stroked="true" strokeweight="1.5pt" strokecolor="#006caa">
              <v:stroke dashstyle="solid"/>
            </v:line>
            <v:shape style="position:absolute;left:4077;top:11954;width:23;height:65" coordorigin="4077,11955" coordsize="23,65" path="m4077,12020l4090,11955m4090,11955l4100,12010e" filled="false" stroked="true" strokeweight="1pt" strokecolor="#006caa">
              <v:path arrowok="t"/>
              <v:stroke dashstyle="solid"/>
            </v:shape>
            <v:shape style="position:absolute;left:4105;top:11752;width:13;height:268" coordorigin="4106,11752" coordsize="13,268" path="m4106,11860l4106,12020m4118,11752l4118,11880e" filled="false" stroked="true" strokeweight="1.625pt" strokecolor="#006caa">
              <v:path arrowok="t"/>
              <v:stroke dashstyle="solid"/>
            </v:shape>
            <v:shape style="position:absolute;left:4124;top:11749;width:68;height:75" coordorigin="4125,11750" coordsize="68,75" path="m4125,11762l4135,11825m4135,11825l4147,11750m4147,11750l4157,11782m4157,11782l4170,11792m4170,11792l4180,11815m4180,11815l4192,11825e" filled="false" stroked="true" strokeweight="1pt" strokecolor="#006caa">
              <v:path arrowok="t"/>
              <v:stroke dashstyle="solid"/>
            </v:shape>
            <v:line style="position:absolute" from="4197,11580" to="4197,11835" stroked="true" strokeweight="1.5pt" strokecolor="#006caa">
              <v:stroke dashstyle="solid"/>
            </v:line>
            <v:shape style="position:absolute;left:4202;top:11524;width:48;height:85" coordorigin="4202,11525" coordsize="48,85" path="m4202,11590l4215,11525m4215,11525l4227,11567m4227,11567l4237,11610m4237,11610l4250,11590e" filled="false" stroked="true" strokeweight="1pt" strokecolor="#006caa">
              <v:path arrowok="t"/>
              <v:stroke dashstyle="solid"/>
            </v:shape>
            <v:line style="position:absolute" from="4255,11492" to="4255,11600" stroked="true" strokeweight="1.5pt" strokecolor="#006caa">
              <v:stroke dashstyle="solid"/>
            </v:line>
            <v:line style="position:absolute" from="4260,11502" to="4272,11557" stroked="true" strokeweight="1pt" strokecolor="#006caa">
              <v:stroke dashstyle="solid"/>
            </v:line>
            <v:shape style="position:absolute;left:4262;top:11547;width:43;height:170" coordorigin="4262,11547" coordsize="43,170" path="m4305,11557l4292,11557,4292,11547,4262,11547,4262,11717,4272,11717,4292,11717,4305,11717,4305,11557xe" filled="true" fillcolor="#006caa" stroked="false">
              <v:path arrowok="t"/>
              <v:fill type="solid"/>
            </v:shape>
            <v:line style="position:absolute" from="4295,11567" to="4307,11545" stroked="true" strokeweight="1pt" strokecolor="#006caa">
              <v:stroke dashstyle="solid"/>
            </v:line>
            <v:line style="position:absolute" from="4312,11535" to="4312,11662" stroked="true" strokeweight="1.5pt" strokecolor="#006caa">
              <v:stroke dashstyle="solid"/>
            </v:line>
            <v:line style="position:absolute" from="4317,11652" to="4330,11675" stroked="true" strokeweight="1pt" strokecolor="#006caa">
              <v:stroke dashstyle="solid"/>
            </v:line>
            <v:line style="position:absolute" from="4335,11557" to="4335,11685" stroked="true" strokeweight="1.5pt" strokecolor="#006caa">
              <v:stroke dashstyle="solid"/>
            </v:line>
            <v:line style="position:absolute" from="4340,11567" to="4352,11610" stroked="true" strokeweight="1pt" strokecolor="#006caa">
              <v:stroke dashstyle="solid"/>
            </v:line>
            <v:line style="position:absolute" from="4357,11600" to="4357,11847" stroked="true" strokeweight="1.5pt" strokecolor="#006caa">
              <v:stroke dashstyle="solid"/>
            </v:line>
            <v:line style="position:absolute" from="4368,11632" to="4368,11847" stroked="true" strokeweight="1.625pt" strokecolor="#006caa">
              <v:stroke dashstyle="solid"/>
            </v:line>
            <v:line style="position:absolute" from="4375,11642" to="4387,11632" stroked="true" strokeweight="1pt" strokecolor="#006caa">
              <v:stroke dashstyle="solid"/>
            </v:line>
            <v:line style="position:absolute" from="4392,11492" to="4392,11642" stroked="true" strokeweight="1.5pt" strokecolor="#006caa">
              <v:stroke dashstyle="solid"/>
            </v:line>
            <v:shape style="position:absolute;left:4397;top:11502;width:23;height:98" coordorigin="4397,11502" coordsize="23,98" path="m4397,11502l4410,11525m4410,11525l4420,11600e" filled="false" stroked="true" strokeweight="1pt" strokecolor="#006caa">
              <v:path arrowok="t"/>
              <v:stroke dashstyle="solid"/>
            </v:shape>
            <v:line style="position:absolute" from="4426,11437" to="4426,11610" stroked="true" strokeweight="1.625pt" strokecolor="#006caa">
              <v:stroke dashstyle="solid"/>
            </v:line>
            <v:line style="position:absolute" from="4437,11342" to="4437,11457" stroked="true" strokeweight="1.5pt" strokecolor="#006caa">
              <v:stroke dashstyle="solid"/>
            </v:line>
            <v:shape style="position:absolute;left:4442;top:11307;width:48;height:140" coordorigin="4442,11307" coordsize="48,140" path="m4442,11352l4455,11355m4455,11352l4467,11447m4467,11447l4477,11405m4477,11405l4490,11307e" filled="false" stroked="true" strokeweight="1pt" strokecolor="#006caa">
              <v:path arrowok="t"/>
              <v:stroke dashstyle="solid"/>
            </v:shape>
            <v:line style="position:absolute" from="4495,11202" to="4495,11317" stroked="true" strokeweight="1.5pt" strokecolor="#006caa">
              <v:stroke dashstyle="solid"/>
            </v:line>
            <v:shape style="position:absolute;left:4499;top:11212;width:35;height:3" coordorigin="4500,11212" coordsize="35,3" path="m4500,11212l4512,11215m4512,11212l4522,11215m4522,11212l4535,11215e" filled="false" stroked="true" strokeweight="1pt" strokecolor="#006caa">
              <v:path arrowok="t"/>
              <v:stroke dashstyle="solid"/>
            </v:shape>
            <v:line style="position:absolute" from="4540,11007" to="4540,11222" stroked="true" strokeweight="1.5pt" strokecolor="#006caa">
              <v:stroke dashstyle="solid"/>
            </v:line>
            <v:shape style="position:absolute;left:4544;top:10974;width:48;height:85" coordorigin="4545,10975" coordsize="48,85" path="m4545,11017l4557,10985m4557,10985l4570,11060m4570,11060l4580,11027m4580,11027l4592,10975e" filled="false" stroked="true" strokeweight="1pt" strokecolor="#006caa">
              <v:path arrowok="t"/>
              <v:stroke dashstyle="solid"/>
            </v:shape>
            <v:line style="position:absolute" from="4597,10965" to="4597,11125" stroked="true" strokeweight="1.5pt" strokecolor="#006caa">
              <v:stroke dashstyle="solid"/>
            </v:line>
            <v:line style="position:absolute" from="4602,11115" to="4615,11017" stroked="true" strokeweight="1pt" strokecolor="#006caa">
              <v:stroke dashstyle="solid"/>
            </v:line>
            <v:shape style="position:absolute;left:4604;top:10844;width:43;height:183" coordorigin="4605,10845" coordsize="43,183" path="m4647,10845l4635,10845,4615,10845,4605,10845,4605,11027,4615,11027,4635,11027,4647,11027,4647,10845xe" filled="true" fillcolor="#006caa" stroked="false">
              <v:path arrowok="t"/>
              <v:fill type="solid"/>
            </v:shape>
            <v:line style="position:absolute" from="4643,10812" to="4643,11027" stroked="true" strokeweight="1.625pt" strokecolor="#006caa">
              <v:stroke dashstyle="solid"/>
            </v:line>
            <v:shape style="position:absolute;left:4649;top:10812;width:68;height:98" coordorigin="4650,10812" coordsize="68,98" path="m4650,10822l4660,10897m4660,10897l4672,10835m4672,10835l4682,10845m4682,10845l4695,10812m4695,10812l4705,10835m4705,10835l4717,10910e" filled="false" stroked="true" strokeweight="1pt" strokecolor="#006caa">
              <v:path arrowok="t"/>
              <v:stroke dashstyle="solid"/>
            </v:shape>
            <v:line style="position:absolute" from="4723,10900" to="4723,11060" stroked="true" strokeweight="1.625pt" strokecolor="#006caa">
              <v:stroke dashstyle="solid"/>
            </v:line>
            <v:shape style="position:absolute;left:4719;top:11039;width:43;height:170" coordorigin="4720,11040" coordsize="43,170" path="m4762,11040l4750,11040,4730,11040,4720,11040,4720,11210,4730,11210,4750,11210,4762,11210,4762,11040xe" filled="true" fillcolor="#006caa" stroked="false">
              <v:path arrowok="t"/>
              <v:fill type="solid"/>
            </v:shape>
            <v:shape style="position:absolute;left:4752;top:11007;width:23;height:45" coordorigin="4752,11007" coordsize="23,45" path="m4752,11050l4762,11052m4762,11050l4775,11007e" filled="false" stroked="true" strokeweight="1pt" strokecolor="#006caa">
              <v:path arrowok="t"/>
              <v:stroke dashstyle="solid"/>
            </v:shape>
            <v:line style="position:absolute" from="4780,10900" to="4780,11017" stroked="true" strokeweight="1.5pt" strokecolor="#006caa">
              <v:stroke dashstyle="solid"/>
            </v:line>
            <v:shape style="position:absolute;left:4784;top:10789;width:93;height:173" coordorigin="4785,10790" coordsize="93,173" path="m4785,10910l4797,10897m4797,10897l4810,10865m4810,10865l4820,10822m4820,10822l4832,10790m4832,10790l4842,10855m4842,10855l4855,10857m4855,10855l4865,10887m4865,10887l4877,10962e" filled="false" stroked="true" strokeweight="1pt" strokecolor="#006caa">
              <v:path arrowok="t"/>
              <v:stroke dashstyle="solid"/>
            </v:shape>
            <v:line style="position:absolute" from="4882,10825" to="4882,10972" stroked="true" strokeweight="1.5pt" strokecolor="#006caa">
              <v:stroke dashstyle="solid"/>
            </v:line>
            <v:shape style="position:absolute;left:4887;top:10672;width:25;height:163" coordorigin="4887,10672" coordsize="25,163" path="m4887,10835l4900,10737m4900,10737l4912,10672e" filled="false" stroked="true" strokeweight="1pt" strokecolor="#006caa">
              <v:path arrowok="t"/>
              <v:stroke dashstyle="solid"/>
            </v:shape>
            <v:line style="position:absolute" from="4917,10662" to="4917,10767" stroked="true" strokeweight="1.5pt" strokecolor="#006caa">
              <v:stroke dashstyle="solid"/>
            </v:line>
            <v:shape style="position:absolute;left:4922;top:10757;width:23;height:78" coordorigin="4922,10757" coordsize="23,78" path="m4922,10757l4935,10835m4935,10835l4945,10822e" filled="false" stroked="true" strokeweight="1pt" strokecolor="#006caa">
              <v:path arrowok="t"/>
              <v:stroke dashstyle="solid"/>
            </v:shape>
            <v:line style="position:absolute" from="4951,10662" to="4951,10832" stroked="true" strokeweight="1.625pt" strokecolor="#006caa">
              <v:stroke dashstyle="solid"/>
            </v:line>
            <v:line style="position:absolute" from="4962,10662" to="4962,10800" stroked="true" strokeweight="1.5pt" strokecolor="#006caa">
              <v:stroke dashstyle="solid"/>
            </v:line>
            <v:shape style="position:absolute;left:4967;top:10714;width:35;height:75" coordorigin="4967,10715" coordsize="35,75" path="m4967,10790l4980,10715m4980,10715l4992,10757m4992,10757l5002,10725e" filled="false" stroked="true" strokeweight="1pt" strokecolor="#006caa">
              <v:path arrowok="t"/>
              <v:stroke dashstyle="solid"/>
            </v:shape>
            <v:line style="position:absolute" from="5008,10715" to="5008,10865" stroked="true" strokeweight="1.625pt" strokecolor="#006caa">
              <v:stroke dashstyle="solid"/>
            </v:line>
            <v:shape style="position:absolute;left:5014;top:10854;width:33;height:443" coordorigin="5015,10855" coordsize="33,443" path="m5015,10855l5025,10920m5025,10920l5037,11007m5037,11007l5047,11297e" filled="false" stroked="true" strokeweight="1pt" strokecolor="#006caa">
              <v:path arrowok="t"/>
              <v:stroke dashstyle="solid"/>
            </v:shape>
            <v:shape style="position:absolute;left:1297;top:10354;width:3907;height:2900" coordorigin="1298,10355" coordsize="3907,2900" path="m1298,10377l1385,10377m1298,10785l1385,10785m1298,11202l1385,11202m1298,11610l1385,11610m1298,12020l1385,12020m1298,12430l1385,12430m1298,13255l1385,13255m1298,12847l1385,12847m5118,10767l5205,10767m5118,11187l5205,11187m5118,11597l5205,11597m5118,12007l5205,12007m5118,12417l5205,12417m5118,12837l5205,12837m5118,13247l5205,13247m5118,10355l5205,10355e" filled="false" stroked="true" strokeweight=".5pt" strokecolor="#000000">
              <v:path arrowok="t"/>
              <v:stroke dashstyle="solid"/>
            </v:shape>
            <v:line style="position:absolute" from="1461,13255" to="5061,13255" stroked="true" strokeweight=".5pt" strokecolor="#000000">
              <v:stroke dashstyle="solid"/>
            </v:line>
            <v:shape style="position:absolute;left:1462;top:13192;width:3595;height:68" coordorigin="1462,13193" coordsize="3595,68" path="m1462,13193l1462,13260m1737,13193l1737,13260m4500,13193l4500,13260m4227,13193l4227,13260m3667,13193l3667,13260m2012,13193l2012,13260m2285,13193l2285,13260m2570,13193l2570,13260m2845,13193l2845,13260m3392,13193l3392,13260m4775,13193l4775,13260m3120,13193l3120,13260m3940,13193l3940,13260m5056,13193l5056,13260e" filled="false" stroked="true" strokeweight=".5pt" strokecolor="#000000">
              <v:path arrowok="t"/>
              <v:stroke dashstyle="solid"/>
            </v:shape>
            <w10:wrap type="none"/>
          </v:group>
        </w:pict>
      </w:r>
    </w:p>
    <w:p>
      <w:pPr>
        <w:spacing w:before="73"/>
        <w:ind w:left="714" w:right="3225" w:hanging="240"/>
        <w:jc w:val="left"/>
        <w:rPr>
          <w:sz w:val="14"/>
        </w:rPr>
      </w:pPr>
      <w:r>
        <w:rPr>
          <w:w w:val="105"/>
          <w:sz w:val="14"/>
        </w:rPr>
        <w:t>(1) Simulations reported in this box were conducted using the National Institute’s NIGEM, the IMF’s Multimod world model and the Bank of England’s medium-term macroeconomic model of the UK economy.</w:t>
      </w:r>
    </w:p>
    <w:p>
      <w:pPr>
        <w:spacing w:after="0"/>
        <w:jc w:val="left"/>
        <w:rPr>
          <w:sz w:val="14"/>
        </w:rPr>
        <w:sectPr>
          <w:type w:val="continuous"/>
          <w:pgSz w:w="11900" w:h="16840"/>
          <w:pgMar w:top="1260" w:bottom="280" w:left="640" w:right="640"/>
        </w:sectPr>
      </w:pPr>
    </w:p>
    <w:p>
      <w:pPr>
        <w:pStyle w:val="BodyText"/>
      </w:pPr>
    </w:p>
    <w:p>
      <w:pPr>
        <w:spacing w:after="0"/>
        <w:sectPr>
          <w:headerReference w:type="even" r:id="rId100"/>
          <w:headerReference w:type="default" r:id="rId101"/>
          <w:footerReference w:type="even" r:id="rId102"/>
          <w:footerReference w:type="default" r:id="rId103"/>
          <w:pgSz w:w="11900" w:h="16840"/>
          <w:pgMar w:header="601" w:footer="575" w:top="800" w:bottom="760" w:left="640" w:right="640"/>
          <w:pgNumType w:start="20"/>
        </w:sectPr>
      </w:pPr>
    </w:p>
    <w:p>
      <w:pPr>
        <w:pStyle w:val="BodyText"/>
        <w:spacing w:before="6"/>
        <w:rPr>
          <w:sz w:val="21"/>
        </w:rPr>
      </w:pPr>
    </w:p>
    <w:p>
      <w:pPr>
        <w:pStyle w:val="Heading6"/>
        <w:ind w:left="184"/>
      </w:pPr>
      <w:bookmarkStart w:name="Domestic demand" w:id="45"/>
      <w:bookmarkEnd w:id="45"/>
      <w:r>
        <w:rPr>
          <w:b w:val="0"/>
        </w:rPr>
      </w:r>
      <w:bookmarkStart w:name="_bookmark21" w:id="46"/>
      <w:bookmarkEnd w:id="46"/>
      <w:r>
        <w:rPr>
          <w:b w:val="0"/>
        </w:rPr>
      </w:r>
      <w:bookmarkStart w:name="_bookmark22" w:id="47"/>
      <w:bookmarkEnd w:id="47"/>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7"/>
        </w:rPr>
        <w:t>2.5</w:t>
      </w:r>
    </w:p>
    <w:p>
      <w:pPr>
        <w:spacing w:before="8"/>
        <w:ind w:left="184" w:right="0" w:firstLine="0"/>
        <w:jc w:val="left"/>
        <w:rPr>
          <w:sz w:val="12"/>
        </w:rPr>
      </w:pPr>
      <w:r>
        <w:rPr>
          <w:rFonts w:ascii="Trebuchet MS"/>
          <w:b/>
          <w:color w:val="89C6DC"/>
          <w:sz w:val="20"/>
        </w:rPr>
        <w:t>UK</w:t>
      </w:r>
      <w:r>
        <w:rPr>
          <w:rFonts w:ascii="Trebuchet MS"/>
          <w:b/>
          <w:color w:val="89C6DC"/>
          <w:spacing w:val="-36"/>
          <w:sz w:val="20"/>
        </w:rPr>
        <w:t> </w:t>
      </w:r>
      <w:r>
        <w:rPr>
          <w:rFonts w:ascii="Trebuchet MS"/>
          <w:b/>
          <w:color w:val="89C6DC"/>
          <w:sz w:val="20"/>
        </w:rPr>
        <w:t>goods</w:t>
      </w:r>
      <w:r>
        <w:rPr>
          <w:rFonts w:ascii="Trebuchet MS"/>
          <w:b/>
          <w:color w:val="89C6DC"/>
          <w:spacing w:val="-35"/>
          <w:sz w:val="20"/>
        </w:rPr>
        <w:t> </w:t>
      </w:r>
      <w:r>
        <w:rPr>
          <w:rFonts w:ascii="Trebuchet MS"/>
          <w:b/>
          <w:color w:val="89C6DC"/>
          <w:sz w:val="20"/>
        </w:rPr>
        <w:t>trade</w:t>
      </w:r>
      <w:r>
        <w:rPr>
          <w:rFonts w:ascii="Trebuchet MS"/>
          <w:b/>
          <w:color w:val="89C6DC"/>
          <w:spacing w:val="-35"/>
          <w:sz w:val="20"/>
        </w:rPr>
        <w:t> </w:t>
      </w:r>
      <w:r>
        <w:rPr>
          <w:rFonts w:ascii="Trebuchet MS"/>
          <w:b/>
          <w:color w:val="89C6DC"/>
          <w:sz w:val="20"/>
        </w:rPr>
        <w:t>balances</w:t>
      </w:r>
      <w:r>
        <w:rPr>
          <w:position w:val="4"/>
          <w:sz w:val="12"/>
        </w:rPr>
        <w:t>(a)</w:t>
      </w:r>
    </w:p>
    <w:p>
      <w:pPr>
        <w:pStyle w:val="BodyText"/>
        <w:spacing w:before="3"/>
        <w:rPr>
          <w:sz w:val="21"/>
        </w:rPr>
      </w:pPr>
      <w:r>
        <w:rPr/>
        <w:br w:type="column"/>
      </w:r>
      <w:r>
        <w:rPr>
          <w:sz w:val="21"/>
        </w:rPr>
      </w:r>
    </w:p>
    <w:p>
      <w:pPr>
        <w:pStyle w:val="BodyText"/>
        <w:spacing w:line="292" w:lineRule="auto" w:before="1"/>
        <w:ind w:left="184" w:right="461"/>
      </w:pPr>
      <w:r>
        <w:rPr>
          <w:w w:val="110"/>
        </w:rPr>
        <w:t>year</w:t>
      </w:r>
      <w:r>
        <w:rPr>
          <w:spacing w:val="-23"/>
          <w:w w:val="110"/>
        </w:rPr>
        <w:t> </w:t>
      </w:r>
      <w:r>
        <w:rPr>
          <w:w w:val="110"/>
        </w:rPr>
        <w:t>earlier</w:t>
      </w:r>
      <w:r>
        <w:rPr>
          <w:spacing w:val="-23"/>
          <w:w w:val="110"/>
        </w:rPr>
        <w:t> </w:t>
      </w:r>
      <w:r>
        <w:rPr>
          <w:w w:val="110"/>
        </w:rPr>
        <w:t>whereas</w:t>
      </w:r>
      <w:r>
        <w:rPr>
          <w:spacing w:val="-22"/>
          <w:w w:val="110"/>
        </w:rPr>
        <w:t> </w:t>
      </w:r>
      <w:r>
        <w:rPr>
          <w:spacing w:val="-3"/>
          <w:w w:val="110"/>
        </w:rPr>
        <w:t>total</w:t>
      </w:r>
      <w:r>
        <w:rPr>
          <w:spacing w:val="-23"/>
          <w:w w:val="110"/>
        </w:rPr>
        <w:t> </w:t>
      </w:r>
      <w:r>
        <w:rPr>
          <w:w w:val="110"/>
        </w:rPr>
        <w:t>import</w:t>
      </w:r>
      <w:r>
        <w:rPr>
          <w:spacing w:val="-22"/>
          <w:w w:val="110"/>
        </w:rPr>
        <w:t> </w:t>
      </w:r>
      <w:r>
        <w:rPr>
          <w:w w:val="110"/>
        </w:rPr>
        <w:t>volumes</w:t>
      </w:r>
      <w:r>
        <w:rPr>
          <w:spacing w:val="-23"/>
          <w:w w:val="110"/>
        </w:rPr>
        <w:t> </w:t>
      </w:r>
      <w:r>
        <w:rPr>
          <w:w w:val="110"/>
        </w:rPr>
        <w:t>rose</w:t>
      </w:r>
      <w:r>
        <w:rPr>
          <w:spacing w:val="-23"/>
          <w:w w:val="110"/>
        </w:rPr>
        <w:t> </w:t>
      </w:r>
      <w:r>
        <w:rPr>
          <w:spacing w:val="-3"/>
          <w:w w:val="110"/>
        </w:rPr>
        <w:t>by</w:t>
      </w:r>
      <w:r>
        <w:rPr>
          <w:spacing w:val="-22"/>
          <w:w w:val="110"/>
        </w:rPr>
        <w:t> </w:t>
      </w:r>
      <w:r>
        <w:rPr>
          <w:w w:val="110"/>
        </w:rPr>
        <w:t>8.4%.</w:t>
      </w:r>
      <w:r>
        <w:rPr>
          <w:spacing w:val="10"/>
          <w:w w:val="110"/>
        </w:rPr>
        <w:t> </w:t>
      </w:r>
      <w:r>
        <w:rPr>
          <w:w w:val="110"/>
        </w:rPr>
        <w:t>A combination</w:t>
      </w:r>
      <w:r>
        <w:rPr>
          <w:spacing w:val="-31"/>
          <w:w w:val="110"/>
        </w:rPr>
        <w:t> </w:t>
      </w:r>
      <w:r>
        <w:rPr>
          <w:w w:val="110"/>
        </w:rPr>
        <w:t>of</w:t>
      </w:r>
      <w:r>
        <w:rPr>
          <w:spacing w:val="-30"/>
          <w:w w:val="110"/>
        </w:rPr>
        <w:t> </w:t>
      </w:r>
      <w:r>
        <w:rPr>
          <w:w w:val="110"/>
        </w:rPr>
        <w:t>stronger-than-expected</w:t>
      </w:r>
      <w:r>
        <w:rPr>
          <w:spacing w:val="-30"/>
          <w:w w:val="110"/>
        </w:rPr>
        <w:t> </w:t>
      </w:r>
      <w:r>
        <w:rPr>
          <w:w w:val="110"/>
        </w:rPr>
        <w:t>exports</w:t>
      </w:r>
      <w:r>
        <w:rPr>
          <w:spacing w:val="-30"/>
          <w:w w:val="110"/>
        </w:rPr>
        <w:t> </w:t>
      </w:r>
      <w:r>
        <w:rPr>
          <w:w w:val="110"/>
        </w:rPr>
        <w:t>and</w:t>
      </w:r>
      <w:r>
        <w:rPr>
          <w:spacing w:val="-30"/>
          <w:w w:val="110"/>
        </w:rPr>
        <w:t> </w:t>
      </w:r>
      <w:r>
        <w:rPr>
          <w:w w:val="110"/>
        </w:rPr>
        <w:t>weaker</w:t>
      </w:r>
    </w:p>
    <w:p>
      <w:pPr>
        <w:spacing w:after="0" w:line="292" w:lineRule="auto"/>
        <w:sectPr>
          <w:type w:val="continuous"/>
          <w:pgSz w:w="11900" w:h="16840"/>
          <w:pgMar w:top="1260" w:bottom="280" w:left="640" w:right="640"/>
          <w:cols w:num="2" w:equalWidth="0">
            <w:col w:w="2515" w:space="2404"/>
            <w:col w:w="5701"/>
          </w:cols>
        </w:sectPr>
      </w:pPr>
    </w:p>
    <w:p>
      <w:pPr>
        <w:spacing w:before="31"/>
        <w:ind w:left="431" w:right="0" w:firstLine="0"/>
        <w:jc w:val="left"/>
        <w:rPr>
          <w:sz w:val="12"/>
        </w:rPr>
      </w:pPr>
      <w:r>
        <w:rPr/>
        <w:drawing>
          <wp:anchor distT="0" distB="0" distL="0" distR="0" allowOverlap="1" layoutInCell="1" locked="0" behindDoc="0" simplePos="0" relativeHeight="15960064">
            <wp:simplePos x="0" y="0"/>
            <wp:positionH relativeFrom="page">
              <wp:posOffset>544474</wp:posOffset>
            </wp:positionH>
            <wp:positionV relativeFrom="paragraph">
              <wp:posOffset>15612</wp:posOffset>
            </wp:positionV>
            <wp:extent cx="103708" cy="203746"/>
            <wp:effectExtent l="0" t="0" r="0" b="0"/>
            <wp:wrapNone/>
            <wp:docPr id="449" name="image57.png"/>
            <wp:cNvGraphicFramePr>
              <a:graphicFrameLocks noChangeAspect="1"/>
            </wp:cNvGraphicFramePr>
            <a:graphic>
              <a:graphicData uri="http://schemas.openxmlformats.org/drawingml/2006/picture">
                <pic:pic>
                  <pic:nvPicPr>
                    <pic:cNvPr id="450" name="image57.png"/>
                    <pic:cNvPicPr/>
                  </pic:nvPicPr>
                  <pic:blipFill>
                    <a:blip r:embed="rId104" cstate="print"/>
                    <a:stretch>
                      <a:fillRect/>
                    </a:stretch>
                  </pic:blipFill>
                  <pic:spPr>
                    <a:xfrm>
                      <a:off x="0" y="0"/>
                      <a:ext cx="103708" cy="203746"/>
                    </a:xfrm>
                    <a:prstGeom prst="rect">
                      <a:avLst/>
                    </a:prstGeom>
                  </pic:spPr>
                </pic:pic>
              </a:graphicData>
            </a:graphic>
          </wp:anchor>
        </w:drawing>
      </w:r>
      <w:r>
        <w:rPr>
          <w:w w:val="120"/>
          <w:sz w:val="12"/>
        </w:rPr>
        <w:t>1997</w:t>
      </w:r>
    </w:p>
    <w:p>
      <w:pPr>
        <w:spacing w:before="32"/>
        <w:ind w:left="431" w:right="0" w:firstLine="0"/>
        <w:jc w:val="left"/>
        <w:rPr>
          <w:sz w:val="12"/>
        </w:rPr>
      </w:pPr>
      <w:r>
        <w:rPr>
          <w:w w:val="120"/>
          <w:sz w:val="12"/>
        </w:rPr>
        <w:t>1998</w:t>
      </w:r>
    </w:p>
    <w:p>
      <w:pPr>
        <w:pStyle w:val="BodyText"/>
        <w:spacing w:before="2"/>
        <w:rPr>
          <w:sz w:val="11"/>
        </w:rPr>
      </w:pPr>
    </w:p>
    <w:p>
      <w:pPr>
        <w:pStyle w:val="BodyText"/>
        <w:spacing w:line="20" w:lineRule="exact"/>
        <w:ind w:left="219"/>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31"/>
        <w:ind w:left="328" w:right="0" w:firstLine="0"/>
        <w:jc w:val="left"/>
        <w:rPr>
          <w:sz w:val="12"/>
        </w:rPr>
      </w:pPr>
      <w:r>
        <w:rPr/>
        <w:br w:type="column"/>
      </w:r>
      <w:r>
        <w:rPr>
          <w:w w:val="120"/>
          <w:sz w:val="12"/>
        </w:rPr>
        <w:t>1999</w:t>
      </w:r>
    </w:p>
    <w:p>
      <w:pPr>
        <w:spacing w:before="32"/>
        <w:ind w:left="328" w:right="0" w:firstLine="0"/>
        <w:jc w:val="left"/>
        <w:rPr>
          <w:sz w:val="12"/>
        </w:rPr>
      </w:pPr>
      <w:r>
        <w:rPr/>
        <w:drawing>
          <wp:anchor distT="0" distB="0" distL="0" distR="0" allowOverlap="1" layoutInCell="1" locked="0" behindDoc="0" simplePos="0" relativeHeight="15960576">
            <wp:simplePos x="0" y="0"/>
            <wp:positionH relativeFrom="page">
              <wp:posOffset>959078</wp:posOffset>
            </wp:positionH>
            <wp:positionV relativeFrom="paragraph">
              <wp:posOffset>-91179</wp:posOffset>
            </wp:positionV>
            <wp:extent cx="103720" cy="203746"/>
            <wp:effectExtent l="0" t="0" r="0" b="0"/>
            <wp:wrapNone/>
            <wp:docPr id="451" name="image58.png"/>
            <wp:cNvGraphicFramePr>
              <a:graphicFrameLocks noChangeAspect="1"/>
            </wp:cNvGraphicFramePr>
            <a:graphic>
              <a:graphicData uri="http://schemas.openxmlformats.org/drawingml/2006/picture">
                <pic:pic>
                  <pic:nvPicPr>
                    <pic:cNvPr id="452" name="image58.png"/>
                    <pic:cNvPicPr/>
                  </pic:nvPicPr>
                  <pic:blipFill>
                    <a:blip r:embed="rId105" cstate="print"/>
                    <a:stretch>
                      <a:fillRect/>
                    </a:stretch>
                  </pic:blipFill>
                  <pic:spPr>
                    <a:xfrm>
                      <a:off x="0" y="0"/>
                      <a:ext cx="103720" cy="203746"/>
                    </a:xfrm>
                    <a:prstGeom prst="rect">
                      <a:avLst/>
                    </a:prstGeom>
                  </pic:spPr>
                </pic:pic>
              </a:graphicData>
            </a:graphic>
          </wp:anchor>
        </w:drawing>
      </w:r>
      <w:r>
        <w:rPr>
          <w:w w:val="120"/>
          <w:sz w:val="12"/>
        </w:rPr>
        <w:t>2000</w:t>
      </w:r>
    </w:p>
    <w:p>
      <w:pPr>
        <w:pStyle w:val="BodyText"/>
        <w:rPr>
          <w:sz w:val="12"/>
        </w:rPr>
      </w:pPr>
      <w:r>
        <w:rPr/>
        <w:br w:type="column"/>
      </w:r>
      <w:r>
        <w:rPr>
          <w:sz w:val="12"/>
        </w:rPr>
      </w:r>
    </w:p>
    <w:p>
      <w:pPr>
        <w:pStyle w:val="BodyText"/>
        <w:rPr>
          <w:sz w:val="12"/>
        </w:rPr>
      </w:pPr>
    </w:p>
    <w:p>
      <w:pPr>
        <w:pStyle w:val="BodyText"/>
        <w:rPr>
          <w:sz w:val="12"/>
        </w:rPr>
      </w:pPr>
    </w:p>
    <w:p>
      <w:pPr>
        <w:spacing w:line="208" w:lineRule="auto" w:before="85"/>
        <w:ind w:left="217" w:right="-4" w:firstLine="0"/>
        <w:jc w:val="left"/>
        <w:rPr>
          <w:sz w:val="12"/>
        </w:rPr>
      </w:pPr>
      <w:r>
        <w:rPr>
          <w:w w:val="105"/>
          <w:sz w:val="12"/>
        </w:rPr>
        <w:t>Oil exporters</w:t>
      </w:r>
    </w:p>
    <w:p>
      <w:pPr>
        <w:pStyle w:val="BodyText"/>
        <w:rPr>
          <w:sz w:val="12"/>
        </w:rPr>
      </w:pPr>
      <w:r>
        <w:rPr/>
        <w:br w:type="column"/>
      </w:r>
      <w:r>
        <w:rPr>
          <w:sz w:val="12"/>
        </w:rPr>
      </w:r>
    </w:p>
    <w:p>
      <w:pPr>
        <w:pStyle w:val="BodyText"/>
        <w:spacing w:before="7"/>
        <w:rPr>
          <w:sz w:val="13"/>
        </w:rPr>
      </w:pPr>
    </w:p>
    <w:p>
      <w:pPr>
        <w:spacing w:line="126" w:lineRule="exact" w:before="0"/>
        <w:ind w:left="-35" w:right="0" w:firstLine="0"/>
        <w:jc w:val="left"/>
        <w:rPr>
          <w:sz w:val="12"/>
        </w:rPr>
      </w:pPr>
      <w:r>
        <w:rPr>
          <w:w w:val="115"/>
          <w:sz w:val="12"/>
        </w:rPr>
        <w:t>£ billions</w:t>
      </w:r>
    </w:p>
    <w:p>
      <w:pPr>
        <w:spacing w:line="126" w:lineRule="exact" w:before="0"/>
        <w:ind w:left="487" w:right="0" w:firstLine="0"/>
        <w:jc w:val="left"/>
        <w:rPr>
          <w:sz w:val="12"/>
        </w:rPr>
      </w:pPr>
      <w:r>
        <w:rPr/>
        <w:pict>
          <v:line style="position:absolute;mso-position-horizontal-relative:page;mso-position-vertical-relative:paragraph;z-index:15959040" from="199.201996pt,2.612907pt" to="203.533996pt,2.612907pt" stroked="true" strokeweight=".5pt" strokecolor="#000000">
            <v:stroke dashstyle="solid"/>
            <w10:wrap type="none"/>
          </v:line>
        </w:pict>
      </w:r>
      <w:r>
        <w:rPr>
          <w:w w:val="120"/>
          <w:sz w:val="12"/>
        </w:rPr>
        <w:t>10</w:t>
      </w:r>
    </w:p>
    <w:p>
      <w:pPr>
        <w:pStyle w:val="BodyText"/>
        <w:rPr>
          <w:sz w:val="12"/>
        </w:rPr>
      </w:pPr>
    </w:p>
    <w:p>
      <w:pPr>
        <w:spacing w:before="84"/>
        <w:ind w:left="0" w:right="38" w:firstLine="0"/>
        <w:jc w:val="right"/>
        <w:rPr>
          <w:sz w:val="12"/>
        </w:rPr>
      </w:pPr>
      <w:r>
        <w:rPr/>
        <w:pict>
          <v:group style="position:absolute;margin-left:43.202pt;margin-top:3.199463pt;width:160.35pt;height:122.5pt;mso-position-horizontal-relative:page;mso-position-vertical-relative:paragraph;z-index:15958528" coordorigin="864,64" coordsize="3207,2450">
            <v:rect style="position:absolute;left:1053;top:511;width:80;height:863" filled="true" fillcolor="#cee7e8" stroked="false">
              <v:fill type="solid"/>
            </v:rect>
            <v:rect style="position:absolute;left:1053;top:511;width:80;height:863" filled="false" stroked="true" strokeweight=".5pt" strokecolor="#000000">
              <v:stroke dashstyle="solid"/>
            </v:rect>
            <v:rect style="position:absolute;left:1131;top:511;width:80;height:1485" filled="true" fillcolor="#b3dabb" stroked="false">
              <v:fill type="solid"/>
            </v:rect>
            <v:rect style="position:absolute;left:1131;top:511;width:80;height:1485" filled="false" stroked="true" strokeweight=".5pt" strokecolor="#000000">
              <v:stroke dashstyle="solid"/>
            </v:rect>
            <v:rect style="position:absolute;left:1208;top:511;width:70;height:1888" filled="true" fillcolor="#00a2a0" stroked="false">
              <v:fill type="solid"/>
            </v:rect>
            <v:rect style="position:absolute;left:1208;top:511;width:70;height:1888" filled="false" stroked="true" strokeweight=".5pt" strokecolor="#000000">
              <v:stroke dashstyle="solid"/>
            </v:rect>
            <v:rect style="position:absolute;left:1276;top:511;width:80;height:1998" filled="true" fillcolor="#006caa" stroked="false">
              <v:fill type="solid"/>
            </v:rect>
            <v:rect style="position:absolute;left:1276;top:511;width:80;height:1998" filled="false" stroked="true" strokeweight=".5pt" strokecolor="#000000">
              <v:stroke dashstyle="solid"/>
            </v:rect>
            <v:rect style="position:absolute;left:1466;top:511;width:80;height:295" filled="true" fillcolor="#cee7e8" stroked="false">
              <v:fill type="solid"/>
            </v:rect>
            <v:rect style="position:absolute;left:1466;top:511;width:80;height:295" filled="false" stroked="true" strokeweight=".5pt" strokecolor="#000000">
              <v:stroke dashstyle="solid"/>
            </v:rect>
            <v:rect style="position:absolute;left:1543;top:511;width:80;height:390" filled="true" fillcolor="#b3dabb" stroked="false">
              <v:fill type="solid"/>
            </v:rect>
            <v:rect style="position:absolute;left:1543;top:511;width:80;height:390" filled="false" stroked="true" strokeweight=".5pt" strokecolor="#000000">
              <v:stroke dashstyle="solid"/>
            </v:rect>
            <v:rect style="position:absolute;left:1621;top:511;width:68;height:433" filled="true" fillcolor="#00a2a0" stroked="false">
              <v:fill type="solid"/>
            </v:rect>
            <v:rect style="position:absolute;left:1621;top:511;width:68;height:433" filled="false" stroked="true" strokeweight=".5pt" strokecolor="#000000">
              <v:stroke dashstyle="solid"/>
            </v:rect>
            <v:rect style="position:absolute;left:1686;top:511;width:80;height:100" filled="true" fillcolor="#006caa" stroked="false">
              <v:fill type="solid"/>
            </v:rect>
            <v:rect style="position:absolute;left:1686;top:511;width:80;height:100" filled="false" stroked="true" strokeweight=".5pt" strokecolor="#000000">
              <v:stroke dashstyle="solid"/>
            </v:rect>
            <v:rect style="position:absolute;left:1876;top:511;width:80;height:210" filled="true" fillcolor="#cee7e8" stroked="false">
              <v:fill type="solid"/>
            </v:rect>
            <v:rect style="position:absolute;left:1876;top:511;width:80;height:210" filled="false" stroked="true" strokeweight=".5pt" strokecolor="#000000">
              <v:stroke dashstyle="solid"/>
            </v:rect>
            <v:rect style="position:absolute;left:1953;top:511;width:80;height:155" filled="true" fillcolor="#b3dabb" stroked="false">
              <v:fill type="solid"/>
            </v:rect>
            <v:rect style="position:absolute;left:1953;top:511;width:80;height:155" filled="false" stroked="true" strokeweight=".5pt" strokecolor="#000000">
              <v:stroke dashstyle="solid"/>
            </v:rect>
            <v:rect style="position:absolute;left:2031;top:511;width:65;height:295" filled="true" fillcolor="#00a2a0" stroked="false">
              <v:fill type="solid"/>
            </v:rect>
            <v:rect style="position:absolute;left:2031;top:511;width:68;height:295" filled="false" stroked="true" strokeweight=".5pt" strokecolor="#000000">
              <v:stroke dashstyle="solid"/>
            </v:rect>
            <v:rect style="position:absolute;left:2096;top:511;width:83;height:418" filled="true" fillcolor="#006caa" stroked="false">
              <v:fill type="solid"/>
            </v:rect>
            <v:rect style="position:absolute;left:2096;top:511;width:83;height:418" filled="false" stroked="true" strokeweight=".5pt" strokecolor="#000000">
              <v:stroke dashstyle="solid"/>
            </v:rect>
            <v:rect style="position:absolute;left:2286;top:511;width:80;height:253" filled="true" fillcolor="#cee7e8" stroked="false">
              <v:fill type="solid"/>
            </v:rect>
            <v:rect style="position:absolute;left:2286;top:511;width:80;height:253" filled="false" stroked="true" strokeweight=".5pt" strokecolor="#000000">
              <v:stroke dashstyle="solid"/>
            </v:rect>
            <v:rect style="position:absolute;left:2363;top:511;width:80;height:225" filled="true" fillcolor="#b3dabb" stroked="false">
              <v:fill type="solid"/>
            </v:rect>
            <v:rect style="position:absolute;left:2363;top:511;width:80;height:225" filled="false" stroked="true" strokeweight=".5pt" strokecolor="#000000">
              <v:stroke dashstyle="solid"/>
            </v:rect>
            <v:rect style="position:absolute;left:2441;top:511;width:80;height:18" filled="true" fillcolor="#00a2a0" stroked="false">
              <v:fill type="solid"/>
            </v:rect>
            <v:rect style="position:absolute;left:2441;top:511;width:80;height:18" filled="false" stroked="true" strokeweight=".5pt" strokecolor="#000000">
              <v:stroke dashstyle="solid"/>
            </v:rect>
            <v:rect style="position:absolute;left:2518;top:483;width:80;height:30" filled="true" fillcolor="#006caa" stroked="false">
              <v:fill type="solid"/>
            </v:rect>
            <v:rect style="position:absolute;left:2518;top:483;width:80;height:30" filled="false" stroked="true" strokeweight=".5pt" strokecolor="#000000">
              <v:stroke dashstyle="solid"/>
            </v:rect>
            <v:rect style="position:absolute;left:2706;top:511;width:83;height:280" filled="true" fillcolor="#cee7e8" stroked="false">
              <v:fill type="solid"/>
            </v:rect>
            <v:rect style="position:absolute;left:2706;top:511;width:83;height:280" filled="false" stroked="true" strokeweight=".5pt" strokecolor="#000000">
              <v:stroke dashstyle="solid"/>
            </v:rect>
            <v:rect style="position:absolute;left:2786;top:511;width:80;height:448" filled="true" fillcolor="#b3dabb" stroked="false">
              <v:fill type="solid"/>
            </v:rect>
            <v:rect style="position:absolute;left:2786;top:511;width:80;height:448" filled="false" stroked="true" strokeweight=".5pt" strokecolor="#000000">
              <v:stroke dashstyle="solid"/>
            </v:rect>
            <v:rect style="position:absolute;left:2863;top:511;width:68;height:488" filled="true" fillcolor="#00a2a0" stroked="false">
              <v:fill type="solid"/>
            </v:rect>
            <v:rect style="position:absolute;left:2863;top:511;width:68;height:488" filled="false" stroked="true" strokeweight=".5pt" strokecolor="#000000">
              <v:stroke dashstyle="solid"/>
            </v:rect>
            <v:rect style="position:absolute;left:2928;top:511;width:80;height:488" filled="true" fillcolor="#006caa" stroked="false">
              <v:fill type="solid"/>
            </v:rect>
            <v:rect style="position:absolute;left:2928;top:511;width:80;height:488" filled="false" stroked="true" strokeweight=".5pt" strokecolor="#000000">
              <v:stroke dashstyle="solid"/>
            </v:rect>
            <v:rect style="position:absolute;left:3118;top:68;width:80;height:445" filled="true" fillcolor="#cee7e8" stroked="false">
              <v:fill type="solid"/>
            </v:rect>
            <v:rect style="position:absolute;left:3118;top:68;width:80;height:445" filled="false" stroked="true" strokeweight=".5pt" strokecolor="#000000">
              <v:stroke dashstyle="solid"/>
            </v:rect>
            <v:rect style="position:absolute;left:3196;top:221;width:80;height:293" filled="true" fillcolor="#b3dabb" stroked="false">
              <v:fill type="solid"/>
            </v:rect>
            <v:rect style="position:absolute;left:3196;top:221;width:80;height:293" filled="false" stroked="true" strokeweight=".5pt" strokecolor="#000000">
              <v:stroke dashstyle="solid"/>
            </v:rect>
            <v:rect style="position:absolute;left:3273;top:346;width:68;height:168" filled="true" fillcolor="#00a2a0" stroked="false">
              <v:fill type="solid"/>
            </v:rect>
            <v:rect style="position:absolute;left:3273;top:346;width:68;height:168" filled="false" stroked="true" strokeweight=".5pt" strokecolor="#000000">
              <v:stroke dashstyle="solid"/>
            </v:rect>
            <v:rect style="position:absolute;left:3338;top:373;width:80;height:140" filled="true" fillcolor="#006caa" stroked="false">
              <v:fill type="solid"/>
            </v:rect>
            <v:rect style="position:absolute;left:3338;top:373;width:80;height:140" filled="false" stroked="true" strokeweight=".5pt" strokecolor="#000000">
              <v:stroke dashstyle="solid"/>
            </v:rect>
            <v:rect style="position:absolute;left:3528;top:511;width:80;height:280" filled="true" fillcolor="#cee7e8" stroked="false">
              <v:fill type="solid"/>
            </v:rect>
            <v:rect style="position:absolute;left:3528;top:511;width:80;height:280" filled="false" stroked="true" strokeweight=".5pt" strokecolor="#000000">
              <v:stroke dashstyle="solid"/>
            </v:rect>
            <v:rect style="position:absolute;left:3606;top:511;width:80;height:570" filled="true" fillcolor="#b3dabb" stroked="false">
              <v:fill type="solid"/>
            </v:rect>
            <v:rect style="position:absolute;left:3606;top:511;width:80;height:570" filled="false" stroked="true" strokeweight=".5pt" strokecolor="#000000">
              <v:stroke dashstyle="solid"/>
            </v:rect>
            <v:rect style="position:absolute;left:3683;top:511;width:70;height:835" filled="true" fillcolor="#00a2a0" stroked="false">
              <v:fill type="solid"/>
            </v:rect>
            <v:rect style="position:absolute;left:3683;top:511;width:70;height:835" filled="false" stroked="true" strokeweight=".5pt" strokecolor="#000000">
              <v:stroke dashstyle="solid"/>
            </v:rect>
            <v:rect style="position:absolute;left:3751;top:511;width:80;height:1195" filled="true" fillcolor="#006caa" stroked="false">
              <v:fill type="solid"/>
            </v:rect>
            <v:shape style="position:absolute;left:864;top:148;width:3207;height:2163" coordorigin="864,149" coordsize="3207,2163" path="m3751,511l3831,511,3831,1706,3751,1706,3751,511xm998,511l3909,514m3984,149l4071,149m3984,509l4071,509m3984,869l4071,869m3984,1229l4071,1229m3984,1591l4071,1591m3984,2311l4071,2311m3984,1951l4071,1951m864,149l951,149m864,509l951,509m864,869l951,869m864,1229l951,1229m864,1591l951,1591m864,2311l951,2311m864,1951l951,1951e" filled="false" stroked="true" strokeweight=".5pt" strokecolor="#000000">
              <v:path arrowok="t"/>
              <v:stroke dashstyle="solid"/>
            </v:shape>
            <v:shape style="position:absolute;left:1039;top:347;width:656;height:121" type="#_x0000_t202" filled="false" stroked="false">
              <v:textbox inset="0,0,0,0">
                <w:txbxContent>
                  <w:p>
                    <w:pPr>
                      <w:spacing w:line="115" w:lineRule="exact" w:before="0"/>
                      <w:ind w:left="0" w:right="0" w:firstLine="0"/>
                      <w:jc w:val="left"/>
                      <w:rPr>
                        <w:sz w:val="12"/>
                      </w:rPr>
                    </w:pPr>
                    <w:r>
                      <w:rPr>
                        <w:sz w:val="12"/>
                      </w:rPr>
                      <w:t>World EU</w:t>
                    </w:r>
                  </w:p>
                </w:txbxContent>
              </v:textbox>
              <w10:wrap type="none"/>
            </v:shape>
            <v:shape style="position:absolute;left:2233;top:227;width:440;height:240" type="#_x0000_t202" filled="false" stroked="false">
              <v:textbox inset="0,0,0,0">
                <w:txbxContent>
                  <w:p>
                    <w:pPr>
                      <w:spacing w:line="106" w:lineRule="exact" w:before="0"/>
                      <w:ind w:left="0" w:right="0" w:firstLine="0"/>
                      <w:jc w:val="left"/>
                      <w:rPr>
                        <w:sz w:val="12"/>
                      </w:rPr>
                    </w:pPr>
                    <w:r>
                      <w:rPr>
                        <w:w w:val="110"/>
                        <w:sz w:val="12"/>
                      </w:rPr>
                      <w:t>North</w:t>
                    </w:r>
                  </w:p>
                  <w:p>
                    <w:pPr>
                      <w:spacing w:line="129" w:lineRule="exact" w:before="0"/>
                      <w:ind w:left="0" w:right="0" w:firstLine="0"/>
                      <w:jc w:val="left"/>
                      <w:rPr>
                        <w:sz w:val="12"/>
                      </w:rPr>
                    </w:pPr>
                    <w:r>
                      <w:rPr>
                        <w:sz w:val="12"/>
                      </w:rPr>
                      <w:t>America</w:t>
                    </w:r>
                  </w:p>
                </w:txbxContent>
              </v:textbox>
              <w10:wrap type="none"/>
            </v:shape>
            <v:shape style="position:absolute;left:1834;top:1014;width:421;height:360" type="#_x0000_t202" filled="false" stroked="false">
              <v:textbox inset="0,0,0,0">
                <w:txbxContent>
                  <w:p>
                    <w:pPr>
                      <w:spacing w:line="106" w:lineRule="exact" w:before="0"/>
                      <w:ind w:left="0" w:right="0" w:firstLine="0"/>
                      <w:jc w:val="left"/>
                      <w:rPr>
                        <w:sz w:val="12"/>
                      </w:rPr>
                    </w:pPr>
                    <w:r>
                      <w:rPr>
                        <w:w w:val="105"/>
                        <w:sz w:val="12"/>
                      </w:rPr>
                      <w:t>Rest</w:t>
                    </w:r>
                    <w:r>
                      <w:rPr>
                        <w:spacing w:val="-7"/>
                        <w:w w:val="105"/>
                        <w:sz w:val="12"/>
                      </w:rPr>
                      <w:t> </w:t>
                    </w:r>
                    <w:r>
                      <w:rPr>
                        <w:w w:val="105"/>
                        <w:sz w:val="12"/>
                      </w:rPr>
                      <w:t>of</w:t>
                    </w:r>
                  </w:p>
                  <w:p>
                    <w:pPr>
                      <w:spacing w:line="208" w:lineRule="auto" w:before="5"/>
                      <w:ind w:left="0" w:right="9" w:firstLine="0"/>
                      <w:jc w:val="left"/>
                      <w:rPr>
                        <w:sz w:val="12"/>
                      </w:rPr>
                    </w:pPr>
                    <w:r>
                      <w:rPr>
                        <w:w w:val="105"/>
                        <w:sz w:val="12"/>
                      </w:rPr>
                      <w:t>western </w:t>
                    </w:r>
                    <w:r>
                      <w:rPr>
                        <w:w w:val="110"/>
                        <w:sz w:val="12"/>
                      </w:rPr>
                      <w:t>Europe</w:t>
                    </w:r>
                  </w:p>
                </w:txbxContent>
              </v:textbox>
              <w10:wrap type="none"/>
            </v:shape>
            <v:shape style="position:absolute;left:2686;top:1083;width:347;height:240" type="#_x0000_t202" filled="false" stroked="false">
              <v:textbox inset="0,0,0,0">
                <w:txbxContent>
                  <w:p>
                    <w:pPr>
                      <w:spacing w:line="106" w:lineRule="exact" w:before="0"/>
                      <w:ind w:left="0" w:right="0" w:firstLine="0"/>
                      <w:jc w:val="left"/>
                      <w:rPr>
                        <w:sz w:val="12"/>
                      </w:rPr>
                    </w:pPr>
                    <w:r>
                      <w:rPr>
                        <w:w w:val="110"/>
                        <w:sz w:val="12"/>
                      </w:rPr>
                      <w:t>Other</w:t>
                    </w:r>
                  </w:p>
                  <w:p>
                    <w:pPr>
                      <w:spacing w:line="129" w:lineRule="exact" w:before="0"/>
                      <w:ind w:left="0" w:right="0" w:firstLine="0"/>
                      <w:jc w:val="left"/>
                      <w:rPr>
                        <w:sz w:val="12"/>
                      </w:rPr>
                    </w:pPr>
                    <w:r>
                      <w:rPr>
                        <w:sz w:val="12"/>
                      </w:rPr>
                      <w:t>OECD</w:t>
                    </w:r>
                  </w:p>
                </w:txbxContent>
              </v:textbox>
              <w10:wrap type="none"/>
            </v:shape>
            <v:shape style="position:absolute;left:3346;top:1633;width:509;height:240" type="#_x0000_t202" filled="false" stroked="false">
              <v:textbox inset="0,0,0,0">
                <w:txbxContent>
                  <w:p>
                    <w:pPr>
                      <w:spacing w:line="106" w:lineRule="exact" w:before="0"/>
                      <w:ind w:left="0" w:right="0" w:firstLine="0"/>
                      <w:jc w:val="left"/>
                      <w:rPr>
                        <w:sz w:val="12"/>
                      </w:rPr>
                    </w:pPr>
                    <w:r>
                      <w:rPr>
                        <w:w w:val="105"/>
                        <w:sz w:val="12"/>
                      </w:rPr>
                      <w:t>Rest of</w:t>
                    </w:r>
                  </w:p>
                  <w:p>
                    <w:pPr>
                      <w:spacing w:line="129" w:lineRule="exact" w:before="0"/>
                      <w:ind w:left="0" w:right="0" w:firstLine="0"/>
                      <w:jc w:val="left"/>
                      <w:rPr>
                        <w:sz w:val="12"/>
                      </w:rPr>
                    </w:pPr>
                    <w:r>
                      <w:rPr>
                        <w:w w:val="110"/>
                        <w:sz w:val="12"/>
                      </w:rPr>
                      <w:t>the world</w:t>
                    </w:r>
                  </w:p>
                </w:txbxContent>
              </v:textbox>
              <w10:wrap type="none"/>
            </v:shape>
            <w10:wrap type="none"/>
          </v:group>
        </w:pict>
      </w:r>
      <w:r>
        <w:rPr>
          <w:w w:val="121"/>
          <w:sz w:val="12"/>
        </w:rPr>
        <w:t>5</w:t>
      </w:r>
    </w:p>
    <w:p>
      <w:pPr>
        <w:spacing w:before="25"/>
        <w:ind w:left="456" w:right="0" w:firstLine="0"/>
        <w:jc w:val="left"/>
        <w:rPr>
          <w:sz w:val="16"/>
        </w:rPr>
      </w:pPr>
      <w:r>
        <w:rPr>
          <w:w w:val="107"/>
          <w:sz w:val="16"/>
        </w:rPr>
        <w:t>+</w:t>
      </w:r>
    </w:p>
    <w:p>
      <w:pPr>
        <w:spacing w:line="125" w:lineRule="exact" w:before="13"/>
        <w:ind w:left="560" w:right="0" w:firstLine="0"/>
        <w:jc w:val="left"/>
        <w:rPr>
          <w:sz w:val="12"/>
        </w:rPr>
      </w:pPr>
      <w:r>
        <w:rPr>
          <w:w w:val="121"/>
          <w:sz w:val="12"/>
        </w:rPr>
        <w:t>0</w:t>
      </w:r>
    </w:p>
    <w:p>
      <w:pPr>
        <w:spacing w:line="171" w:lineRule="exact" w:before="0"/>
        <w:ind w:left="458" w:right="0" w:firstLine="0"/>
        <w:jc w:val="left"/>
        <w:rPr>
          <w:sz w:val="16"/>
        </w:rPr>
      </w:pPr>
      <w:r>
        <w:rPr>
          <w:w w:val="117"/>
          <w:sz w:val="16"/>
        </w:rPr>
        <w:t>–</w:t>
      </w:r>
    </w:p>
    <w:p>
      <w:pPr>
        <w:spacing w:before="63"/>
        <w:ind w:left="0" w:right="38" w:firstLine="0"/>
        <w:jc w:val="right"/>
        <w:rPr>
          <w:sz w:val="12"/>
        </w:rPr>
      </w:pPr>
      <w:r>
        <w:rPr>
          <w:w w:val="121"/>
          <w:sz w:val="12"/>
        </w:rPr>
        <w:t>5</w:t>
      </w:r>
    </w:p>
    <w:p>
      <w:pPr>
        <w:pStyle w:val="BodyText"/>
        <w:rPr>
          <w:sz w:val="12"/>
        </w:rPr>
      </w:pPr>
    </w:p>
    <w:p>
      <w:pPr>
        <w:spacing w:before="87"/>
        <w:ind w:left="0" w:right="38" w:firstLine="0"/>
        <w:jc w:val="right"/>
        <w:rPr>
          <w:sz w:val="12"/>
        </w:rPr>
      </w:pPr>
      <w:r>
        <w:rPr>
          <w:w w:val="120"/>
          <w:sz w:val="12"/>
        </w:rPr>
        <w:t>10</w:t>
      </w:r>
    </w:p>
    <w:p>
      <w:pPr>
        <w:pStyle w:val="BodyText"/>
        <w:rPr>
          <w:sz w:val="12"/>
        </w:rPr>
      </w:pPr>
    </w:p>
    <w:p>
      <w:pPr>
        <w:spacing w:before="84"/>
        <w:ind w:left="0" w:right="38" w:firstLine="0"/>
        <w:jc w:val="right"/>
        <w:rPr>
          <w:sz w:val="12"/>
        </w:rPr>
      </w:pPr>
      <w:r>
        <w:rPr>
          <w:w w:val="120"/>
          <w:sz w:val="12"/>
        </w:rPr>
        <w:t>15</w:t>
      </w:r>
    </w:p>
    <w:p>
      <w:pPr>
        <w:pStyle w:val="BodyText"/>
        <w:rPr>
          <w:sz w:val="12"/>
        </w:rPr>
      </w:pPr>
    </w:p>
    <w:p>
      <w:pPr>
        <w:spacing w:before="84"/>
        <w:ind w:left="0" w:right="38" w:firstLine="0"/>
        <w:jc w:val="right"/>
        <w:rPr>
          <w:sz w:val="12"/>
        </w:rPr>
      </w:pPr>
      <w:r>
        <w:rPr>
          <w:w w:val="120"/>
          <w:sz w:val="12"/>
        </w:rPr>
        <w:t>20</w:t>
      </w:r>
    </w:p>
    <w:p>
      <w:pPr>
        <w:pStyle w:val="BodyText"/>
        <w:rPr>
          <w:sz w:val="12"/>
        </w:rPr>
      </w:pPr>
    </w:p>
    <w:p>
      <w:pPr>
        <w:spacing w:before="84"/>
        <w:ind w:left="0" w:right="38" w:firstLine="0"/>
        <w:jc w:val="right"/>
        <w:rPr>
          <w:sz w:val="12"/>
        </w:rPr>
      </w:pPr>
      <w:r>
        <w:rPr>
          <w:w w:val="120"/>
          <w:sz w:val="12"/>
        </w:rPr>
        <w:t>25</w:t>
      </w:r>
    </w:p>
    <w:p>
      <w:pPr>
        <w:pStyle w:val="BodyText"/>
        <w:rPr>
          <w:sz w:val="12"/>
        </w:rPr>
      </w:pPr>
    </w:p>
    <w:p>
      <w:pPr>
        <w:spacing w:before="84"/>
        <w:ind w:left="0" w:right="38" w:firstLine="0"/>
        <w:jc w:val="right"/>
        <w:rPr>
          <w:sz w:val="12"/>
        </w:rPr>
      </w:pPr>
      <w:r>
        <w:rPr/>
        <w:pict>
          <v:shape style="position:absolute;margin-left:43.202pt;margin-top:4.150585pt;width:160.35pt;height:3.4pt;mso-position-horizontal-relative:page;mso-position-vertical-relative:paragraph;z-index:15959552" coordorigin="864,83" coordsize="3207,68" path="m3984,149l4071,149m864,149l951,149m1000,150l3903,150m998,83l998,150m1414,83l1414,150m1830,83l1830,150m2246,83l2246,150m2662,83l2662,150m3079,83l3079,150m3495,83l3495,150m3911,83l3911,150e" filled="false" stroked="true" strokeweight=".5pt" strokecolor="#000000">
            <v:path arrowok="t"/>
            <v:stroke dashstyle="solid"/>
            <w10:wrap type="none"/>
          </v:shape>
        </w:pict>
      </w:r>
      <w:r>
        <w:rPr>
          <w:w w:val="120"/>
          <w:sz w:val="12"/>
        </w:rPr>
        <w:t>30</w:t>
      </w:r>
    </w:p>
    <w:p>
      <w:pPr>
        <w:pStyle w:val="BodyText"/>
        <w:spacing w:line="292" w:lineRule="auto"/>
        <w:ind w:left="217" w:right="95"/>
      </w:pPr>
      <w:r>
        <w:rPr/>
        <w:br w:type="column"/>
      </w:r>
      <w:r>
        <w:rPr>
          <w:w w:val="110"/>
        </w:rPr>
        <w:t>imports meant the contribution of net trade to GDP growth in Q3 was less negative than projected in the November </w:t>
      </w:r>
      <w:r>
        <w:rPr>
          <w:i/>
          <w:w w:val="110"/>
        </w:rPr>
        <w:t>Report</w:t>
      </w:r>
      <w:r>
        <w:rPr>
          <w:w w:val="110"/>
        </w:rPr>
        <w:t>. And monthly data indicate that the contribution could be positive in Q4, with a pick-up in the growth rate of goods exports to the non-EU area.</w:t>
      </w:r>
    </w:p>
    <w:p>
      <w:pPr>
        <w:pStyle w:val="BodyText"/>
        <w:spacing w:before="2"/>
        <w:rPr>
          <w:sz w:val="29"/>
        </w:rPr>
      </w:pPr>
    </w:p>
    <w:p>
      <w:pPr>
        <w:pStyle w:val="BodyText"/>
        <w:spacing w:line="292" w:lineRule="auto"/>
        <w:ind w:left="217" w:right="119"/>
      </w:pPr>
      <w:r>
        <w:rPr>
          <w:w w:val="110"/>
        </w:rPr>
        <w:t>Over</w:t>
      </w:r>
      <w:r>
        <w:rPr>
          <w:spacing w:val="-14"/>
          <w:w w:val="110"/>
        </w:rPr>
        <w:t> </w:t>
      </w:r>
      <w:r>
        <w:rPr>
          <w:w w:val="110"/>
        </w:rPr>
        <w:t>the</w:t>
      </w:r>
      <w:r>
        <w:rPr>
          <w:spacing w:val="-13"/>
          <w:w w:val="110"/>
        </w:rPr>
        <w:t> </w:t>
      </w:r>
      <w:r>
        <w:rPr>
          <w:w w:val="110"/>
        </w:rPr>
        <w:t>past</w:t>
      </w:r>
      <w:r>
        <w:rPr>
          <w:spacing w:val="-13"/>
          <w:w w:val="110"/>
        </w:rPr>
        <w:t> </w:t>
      </w:r>
      <w:r>
        <w:rPr>
          <w:w w:val="110"/>
        </w:rPr>
        <w:t>three</w:t>
      </w:r>
      <w:r>
        <w:rPr>
          <w:spacing w:val="-14"/>
          <w:w w:val="110"/>
        </w:rPr>
        <w:t> </w:t>
      </w:r>
      <w:r>
        <w:rPr>
          <w:spacing w:val="-3"/>
          <w:w w:val="110"/>
        </w:rPr>
        <w:t>years</w:t>
      </w:r>
      <w:r>
        <w:rPr>
          <w:spacing w:val="-13"/>
          <w:w w:val="110"/>
        </w:rPr>
        <w:t> </w:t>
      </w:r>
      <w:r>
        <w:rPr>
          <w:w w:val="110"/>
        </w:rPr>
        <w:t>the</w:t>
      </w:r>
      <w:r>
        <w:rPr>
          <w:spacing w:val="-13"/>
          <w:w w:val="110"/>
        </w:rPr>
        <w:t> </w:t>
      </w:r>
      <w:r>
        <w:rPr>
          <w:w w:val="110"/>
        </w:rPr>
        <w:t>appreciation</w:t>
      </w:r>
      <w:r>
        <w:rPr>
          <w:spacing w:val="-14"/>
          <w:w w:val="110"/>
        </w:rPr>
        <w:t> </w:t>
      </w:r>
      <w:r>
        <w:rPr>
          <w:w w:val="110"/>
        </w:rPr>
        <w:t>of</w:t>
      </w:r>
      <w:r>
        <w:rPr>
          <w:spacing w:val="-13"/>
          <w:w w:val="110"/>
        </w:rPr>
        <w:t> </w:t>
      </w:r>
      <w:r>
        <w:rPr>
          <w:w w:val="110"/>
        </w:rPr>
        <w:t>sterling</w:t>
      </w:r>
      <w:r>
        <w:rPr>
          <w:spacing w:val="-13"/>
          <w:w w:val="110"/>
        </w:rPr>
        <w:t> </w:t>
      </w:r>
      <w:r>
        <w:rPr>
          <w:w w:val="110"/>
        </w:rPr>
        <w:t>against the euro area has accounted for most of the appreciation of the</w:t>
      </w:r>
      <w:r>
        <w:rPr>
          <w:spacing w:val="-24"/>
          <w:w w:val="110"/>
        </w:rPr>
        <w:t> </w:t>
      </w:r>
      <w:r>
        <w:rPr>
          <w:w w:val="110"/>
        </w:rPr>
        <w:t>trade-weighted</w:t>
      </w:r>
      <w:r>
        <w:rPr>
          <w:spacing w:val="-24"/>
          <w:w w:val="110"/>
        </w:rPr>
        <w:t> </w:t>
      </w:r>
      <w:r>
        <w:rPr>
          <w:w w:val="110"/>
        </w:rPr>
        <w:t>sterling</w:t>
      </w:r>
      <w:r>
        <w:rPr>
          <w:spacing w:val="-23"/>
          <w:w w:val="110"/>
        </w:rPr>
        <w:t> </w:t>
      </w:r>
      <w:r>
        <w:rPr>
          <w:w w:val="110"/>
        </w:rPr>
        <w:t>effective</w:t>
      </w:r>
      <w:r>
        <w:rPr>
          <w:spacing w:val="-24"/>
          <w:w w:val="110"/>
        </w:rPr>
        <w:t> </w:t>
      </w:r>
      <w:r>
        <w:rPr>
          <w:w w:val="110"/>
        </w:rPr>
        <w:t>exchange</w:t>
      </w:r>
      <w:r>
        <w:rPr>
          <w:spacing w:val="-23"/>
          <w:w w:val="110"/>
        </w:rPr>
        <w:t> </w:t>
      </w:r>
      <w:r>
        <w:rPr>
          <w:spacing w:val="-3"/>
          <w:w w:val="110"/>
        </w:rPr>
        <w:t>rate.</w:t>
      </w:r>
      <w:r>
        <w:rPr>
          <w:spacing w:val="8"/>
          <w:w w:val="110"/>
        </w:rPr>
        <w:t> </w:t>
      </w:r>
      <w:r>
        <w:rPr>
          <w:spacing w:val="-7"/>
          <w:w w:val="110"/>
        </w:rPr>
        <w:t>Yet</w:t>
      </w:r>
      <w:r>
        <w:rPr>
          <w:spacing w:val="-23"/>
          <w:w w:val="110"/>
        </w:rPr>
        <w:t> </w:t>
      </w:r>
      <w:r>
        <w:rPr>
          <w:spacing w:val="-3"/>
          <w:w w:val="110"/>
        </w:rPr>
        <w:t>over </w:t>
      </w:r>
      <w:r>
        <w:rPr>
          <w:w w:val="110"/>
        </w:rPr>
        <w:t>that</w:t>
      </w:r>
      <w:r>
        <w:rPr>
          <w:spacing w:val="-17"/>
          <w:w w:val="110"/>
        </w:rPr>
        <w:t> </w:t>
      </w:r>
      <w:r>
        <w:rPr>
          <w:w w:val="110"/>
        </w:rPr>
        <w:t>period</w:t>
      </w:r>
      <w:r>
        <w:rPr>
          <w:spacing w:val="-17"/>
          <w:w w:val="110"/>
        </w:rPr>
        <w:t> </w:t>
      </w:r>
      <w:r>
        <w:rPr>
          <w:w w:val="110"/>
        </w:rPr>
        <w:t>the</w:t>
      </w:r>
      <w:r>
        <w:rPr>
          <w:spacing w:val="-17"/>
          <w:w w:val="110"/>
        </w:rPr>
        <w:t> </w:t>
      </w:r>
      <w:r>
        <w:rPr>
          <w:w w:val="110"/>
        </w:rPr>
        <w:t>United</w:t>
      </w:r>
      <w:r>
        <w:rPr>
          <w:spacing w:val="-17"/>
          <w:w w:val="110"/>
        </w:rPr>
        <w:t> </w:t>
      </w:r>
      <w:r>
        <w:rPr>
          <w:spacing w:val="-3"/>
          <w:w w:val="110"/>
        </w:rPr>
        <w:t>Kingdom’s</w:t>
      </w:r>
      <w:r>
        <w:rPr>
          <w:spacing w:val="-17"/>
          <w:w w:val="110"/>
        </w:rPr>
        <w:t> </w:t>
      </w:r>
      <w:r>
        <w:rPr>
          <w:w w:val="110"/>
        </w:rPr>
        <w:t>trade</w:t>
      </w:r>
      <w:r>
        <w:rPr>
          <w:spacing w:val="-17"/>
          <w:w w:val="110"/>
        </w:rPr>
        <w:t> </w:t>
      </w:r>
      <w:r>
        <w:rPr>
          <w:w w:val="110"/>
        </w:rPr>
        <w:t>balance</w:t>
      </w:r>
      <w:r>
        <w:rPr>
          <w:spacing w:val="-17"/>
          <w:w w:val="110"/>
        </w:rPr>
        <w:t> </w:t>
      </w:r>
      <w:r>
        <w:rPr>
          <w:w w:val="110"/>
        </w:rPr>
        <w:t>has</w:t>
      </w:r>
      <w:r>
        <w:rPr>
          <w:spacing w:val="-17"/>
          <w:w w:val="110"/>
        </w:rPr>
        <w:t> </w:t>
      </w:r>
      <w:r>
        <w:rPr>
          <w:w w:val="110"/>
        </w:rPr>
        <w:t>actually </w:t>
      </w:r>
      <w:r>
        <w:rPr>
          <w:spacing w:val="-3"/>
          <w:w w:val="110"/>
        </w:rPr>
        <w:t>improved</w:t>
      </w:r>
      <w:r>
        <w:rPr>
          <w:spacing w:val="-22"/>
          <w:w w:val="110"/>
        </w:rPr>
        <w:t> </w:t>
      </w:r>
      <w:r>
        <w:rPr>
          <w:w w:val="110"/>
        </w:rPr>
        <w:t>against</w:t>
      </w:r>
      <w:r>
        <w:rPr>
          <w:spacing w:val="-22"/>
          <w:w w:val="110"/>
        </w:rPr>
        <w:t> </w:t>
      </w:r>
      <w:r>
        <w:rPr>
          <w:w w:val="110"/>
        </w:rPr>
        <w:t>the</w:t>
      </w:r>
      <w:r>
        <w:rPr>
          <w:spacing w:val="-22"/>
          <w:w w:val="110"/>
        </w:rPr>
        <w:t> </w:t>
      </w:r>
      <w:r>
        <w:rPr>
          <w:spacing w:val="-3"/>
          <w:w w:val="110"/>
        </w:rPr>
        <w:t>rest</w:t>
      </w:r>
      <w:r>
        <w:rPr>
          <w:spacing w:val="-22"/>
          <w:w w:val="110"/>
        </w:rPr>
        <w:t> </w:t>
      </w:r>
      <w:r>
        <w:rPr>
          <w:w w:val="110"/>
        </w:rPr>
        <w:t>of</w:t>
      </w:r>
      <w:r>
        <w:rPr>
          <w:spacing w:val="-22"/>
          <w:w w:val="110"/>
        </w:rPr>
        <w:t> </w:t>
      </w:r>
      <w:r>
        <w:rPr>
          <w:w w:val="110"/>
        </w:rPr>
        <w:t>the</w:t>
      </w:r>
      <w:r>
        <w:rPr>
          <w:spacing w:val="-22"/>
          <w:w w:val="110"/>
        </w:rPr>
        <w:t> </w:t>
      </w:r>
      <w:r>
        <w:rPr>
          <w:w w:val="110"/>
        </w:rPr>
        <w:t>EU,</w:t>
      </w:r>
      <w:r>
        <w:rPr>
          <w:spacing w:val="-22"/>
          <w:w w:val="110"/>
        </w:rPr>
        <w:t> </w:t>
      </w:r>
      <w:r>
        <w:rPr>
          <w:w w:val="110"/>
        </w:rPr>
        <w:t>mainly</w:t>
      </w:r>
      <w:r>
        <w:rPr>
          <w:spacing w:val="-22"/>
          <w:w w:val="110"/>
        </w:rPr>
        <w:t> </w:t>
      </w:r>
      <w:r>
        <w:rPr>
          <w:w w:val="110"/>
        </w:rPr>
        <w:t>reflecting</w:t>
      </w:r>
      <w:r>
        <w:rPr>
          <w:spacing w:val="-22"/>
          <w:w w:val="110"/>
        </w:rPr>
        <w:t> </w:t>
      </w:r>
      <w:r>
        <w:rPr>
          <w:w w:val="110"/>
        </w:rPr>
        <w:t>a</w:t>
      </w:r>
      <w:r>
        <w:rPr>
          <w:spacing w:val="-22"/>
          <w:w w:val="110"/>
        </w:rPr>
        <w:t> </w:t>
      </w:r>
      <w:r>
        <w:rPr>
          <w:spacing w:val="-3"/>
          <w:w w:val="110"/>
        </w:rPr>
        <w:t>lower </w:t>
      </w:r>
      <w:r>
        <w:rPr>
          <w:w w:val="110"/>
        </w:rPr>
        <w:t>goods</w:t>
      </w:r>
      <w:r>
        <w:rPr>
          <w:spacing w:val="-11"/>
          <w:w w:val="110"/>
        </w:rPr>
        <w:t> </w:t>
      </w:r>
      <w:r>
        <w:rPr>
          <w:w w:val="110"/>
        </w:rPr>
        <w:t>trade</w:t>
      </w:r>
      <w:r>
        <w:rPr>
          <w:spacing w:val="-11"/>
          <w:w w:val="110"/>
        </w:rPr>
        <w:t> </w:t>
      </w:r>
      <w:r>
        <w:rPr>
          <w:w w:val="110"/>
        </w:rPr>
        <w:t>deficit</w:t>
      </w:r>
      <w:r>
        <w:rPr>
          <w:spacing w:val="-11"/>
          <w:w w:val="110"/>
        </w:rPr>
        <w:t> </w:t>
      </w:r>
      <w:r>
        <w:rPr>
          <w:w w:val="110"/>
        </w:rPr>
        <w:t>(see</w:t>
      </w:r>
      <w:r>
        <w:rPr>
          <w:spacing w:val="-11"/>
          <w:w w:val="110"/>
        </w:rPr>
        <w:t> </w:t>
      </w:r>
      <w:r>
        <w:rPr>
          <w:w w:val="110"/>
        </w:rPr>
        <w:t>Chart</w:t>
      </w:r>
      <w:r>
        <w:rPr>
          <w:spacing w:val="-11"/>
          <w:w w:val="110"/>
        </w:rPr>
        <w:t> </w:t>
      </w:r>
      <w:r>
        <w:rPr>
          <w:w w:val="110"/>
        </w:rPr>
        <w:t>2.5).</w:t>
      </w:r>
      <w:r>
        <w:rPr>
          <w:spacing w:val="34"/>
          <w:w w:val="110"/>
        </w:rPr>
        <w:t> </w:t>
      </w:r>
      <w:r>
        <w:rPr>
          <w:w w:val="110"/>
        </w:rPr>
        <w:t>The</w:t>
      </w:r>
      <w:r>
        <w:rPr>
          <w:spacing w:val="-11"/>
          <w:w w:val="110"/>
        </w:rPr>
        <w:t> </w:t>
      </w:r>
      <w:r>
        <w:rPr>
          <w:w w:val="110"/>
        </w:rPr>
        <w:t>deterioration</w:t>
      </w:r>
      <w:r>
        <w:rPr>
          <w:spacing w:val="-11"/>
          <w:w w:val="110"/>
        </w:rPr>
        <w:t> </w:t>
      </w:r>
      <w:r>
        <w:rPr>
          <w:w w:val="110"/>
        </w:rPr>
        <w:t>in</w:t>
      </w:r>
      <w:r>
        <w:rPr>
          <w:spacing w:val="-11"/>
          <w:w w:val="110"/>
        </w:rPr>
        <w:t> </w:t>
      </w:r>
      <w:r>
        <w:rPr>
          <w:w w:val="110"/>
        </w:rPr>
        <w:t>the</w:t>
      </w:r>
    </w:p>
    <w:p>
      <w:pPr>
        <w:spacing w:after="0" w:line="292" w:lineRule="auto"/>
        <w:sectPr>
          <w:type w:val="continuous"/>
          <w:pgSz w:w="11900" w:h="16840"/>
          <w:pgMar w:top="1260" w:bottom="280" w:left="640" w:right="640"/>
          <w:cols w:num="5" w:equalWidth="0">
            <w:col w:w="723" w:space="40"/>
            <w:col w:w="661" w:space="816"/>
            <w:col w:w="702" w:space="39"/>
            <w:col w:w="674" w:space="1231"/>
            <w:col w:w="5734"/>
          </w:cols>
        </w:sectPr>
      </w:pPr>
    </w:p>
    <w:p>
      <w:pPr>
        <w:pStyle w:val="BodyText"/>
        <w:spacing w:before="4"/>
        <w:rPr>
          <w:sz w:val="12"/>
        </w:rPr>
      </w:pPr>
    </w:p>
    <w:p>
      <w:pPr>
        <w:spacing w:line="208" w:lineRule="auto" w:before="0"/>
        <w:ind w:left="428" w:right="1091" w:hanging="240"/>
        <w:jc w:val="left"/>
        <w:rPr>
          <w:sz w:val="12"/>
        </w:rPr>
      </w:pPr>
      <w:r>
        <w:rPr>
          <w:w w:val="110"/>
          <w:sz w:val="12"/>
        </w:rPr>
        <w:t>(a) World and EU figures for 2000 are based on scaled up monthly data available to November.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90"/>
        <w:ind w:left="183"/>
      </w:pPr>
      <w:r>
        <w:rPr>
          <w:color w:val="89C6DC"/>
          <w:spacing w:val="-15"/>
          <w:w w:val="81"/>
        </w:rPr>
        <w:t>T</w:t>
      </w:r>
      <w:r>
        <w:rPr>
          <w:color w:val="89C6DC"/>
          <w:spacing w:val="-1"/>
          <w:w w:val="91"/>
        </w:rPr>
        <w:t>abl</w:t>
      </w:r>
      <w:r>
        <w:rPr>
          <w:color w:val="89C6DC"/>
          <w:w w:val="91"/>
        </w:rPr>
        <w:t>e</w:t>
      </w:r>
      <w:r>
        <w:rPr>
          <w:color w:val="89C6DC"/>
          <w:spacing w:val="6"/>
        </w:rPr>
        <w:t> </w:t>
      </w:r>
      <w:r>
        <w:rPr>
          <w:smallCaps/>
          <w:color w:val="89C6DC"/>
          <w:spacing w:val="-1"/>
          <w:w w:val="90"/>
        </w:rPr>
        <w:t>2.B</w:t>
      </w:r>
    </w:p>
    <w:p>
      <w:pPr>
        <w:spacing w:before="8"/>
        <w:ind w:left="183" w:right="0" w:firstLine="0"/>
        <w:jc w:val="left"/>
        <w:rPr>
          <w:sz w:val="12"/>
        </w:rPr>
      </w:pPr>
      <w:r>
        <w:rPr>
          <w:rFonts w:ascii="Trebuchet MS"/>
          <w:b/>
          <w:color w:val="89C6DC"/>
          <w:sz w:val="20"/>
        </w:rPr>
        <w:t>GDP and expenditure components</w:t>
      </w:r>
      <w:r>
        <w:rPr>
          <w:position w:val="4"/>
          <w:sz w:val="12"/>
        </w:rPr>
        <w:t>(a)</w:t>
      </w:r>
    </w:p>
    <w:p>
      <w:pPr>
        <w:spacing w:before="105"/>
        <w:ind w:left="183" w:right="0" w:firstLine="0"/>
        <w:jc w:val="left"/>
        <w:rPr>
          <w:sz w:val="14"/>
        </w:rPr>
      </w:pPr>
      <w:r>
        <w:rPr>
          <w:w w:val="110"/>
          <w:sz w:val="14"/>
        </w:rPr>
        <w:t>Percentage changes on a quarter earlier</w:t>
      </w:r>
    </w:p>
    <w:p>
      <w:pPr>
        <w:spacing w:line="150" w:lineRule="exact" w:before="119"/>
        <w:ind w:left="2573" w:right="0" w:firstLine="0"/>
        <w:jc w:val="left"/>
        <w:rPr>
          <w:sz w:val="14"/>
        </w:rPr>
      </w:pPr>
      <w:r>
        <w:rPr>
          <w:sz w:val="14"/>
        </w:rPr>
        <w:t>Average</w:t>
      </w:r>
    </w:p>
    <w:p>
      <w:pPr>
        <w:tabs>
          <w:tab w:pos="4398" w:val="right" w:leader="none"/>
        </w:tabs>
        <w:spacing w:line="140" w:lineRule="exact" w:before="0"/>
        <w:ind w:left="2573" w:right="0" w:firstLine="0"/>
        <w:jc w:val="left"/>
        <w:rPr>
          <w:sz w:val="14"/>
        </w:rPr>
      </w:pPr>
      <w:r>
        <w:rPr>
          <w:w w:val="115"/>
          <w:sz w:val="14"/>
        </w:rPr>
        <w:t>for</w:t>
        <w:tab/>
      </w:r>
      <w:r>
        <w:rPr>
          <w:spacing w:val="-3"/>
          <w:w w:val="115"/>
          <w:sz w:val="14"/>
          <w:u w:val="single"/>
        </w:rPr>
        <w:t>2000</w:t>
      </w:r>
      <w:r>
        <w:rPr>
          <w:spacing w:val="-3"/>
          <w:sz w:val="14"/>
          <w:u w:val="single"/>
        </w:rPr>
        <w:tab/>
      </w:r>
    </w:p>
    <w:p>
      <w:pPr>
        <w:tabs>
          <w:tab w:pos="3143" w:val="left" w:leader="none"/>
          <w:tab w:pos="3653" w:val="left" w:leader="none"/>
          <w:tab w:pos="4093" w:val="left" w:leader="none"/>
        </w:tabs>
        <w:spacing w:line="150" w:lineRule="exact" w:before="0"/>
        <w:ind w:left="2573" w:right="0" w:firstLine="0"/>
        <w:jc w:val="left"/>
        <w:rPr>
          <w:sz w:val="14"/>
        </w:rPr>
      </w:pPr>
      <w:r>
        <w:rPr>
          <w:spacing w:val="-11"/>
          <w:w w:val="115"/>
          <w:sz w:val="14"/>
          <w:u w:val="single"/>
        </w:rPr>
        <w:t>1999</w:t>
      </w:r>
      <w:r>
        <w:rPr>
          <w:spacing w:val="-11"/>
          <w:w w:val="115"/>
          <w:sz w:val="14"/>
        </w:rPr>
        <w:tab/>
      </w:r>
      <w:r>
        <w:rPr>
          <w:w w:val="115"/>
          <w:sz w:val="14"/>
          <w:u w:val="single"/>
        </w:rPr>
        <w:t>Q1</w:t>
      </w:r>
      <w:r>
        <w:rPr>
          <w:w w:val="115"/>
          <w:sz w:val="14"/>
        </w:rPr>
        <w:tab/>
      </w:r>
      <w:r>
        <w:rPr>
          <w:w w:val="115"/>
          <w:sz w:val="14"/>
          <w:u w:val="single"/>
        </w:rPr>
        <w:t>Q2</w:t>
        <w:tab/>
        <w:t>Q3</w:t>
      </w:r>
      <w:r>
        <w:rPr>
          <w:spacing w:val="-15"/>
          <w:sz w:val="14"/>
          <w:u w:val="single"/>
        </w:rPr>
        <w:t> </w:t>
      </w:r>
    </w:p>
    <w:p>
      <w:pPr>
        <w:spacing w:line="155" w:lineRule="exact" w:before="129"/>
        <w:ind w:left="183" w:right="0" w:firstLine="0"/>
        <w:jc w:val="left"/>
        <w:rPr>
          <w:sz w:val="14"/>
        </w:rPr>
      </w:pPr>
      <w:r>
        <w:rPr>
          <w:w w:val="105"/>
          <w:sz w:val="14"/>
        </w:rPr>
        <w:t>Consumption:</w:t>
      </w:r>
    </w:p>
    <w:p>
      <w:pPr>
        <w:tabs>
          <w:tab w:pos="2622" w:val="left" w:leader="none"/>
          <w:tab w:pos="3192" w:val="left" w:leader="none"/>
          <w:tab w:pos="3682" w:val="left" w:leader="none"/>
          <w:tab w:pos="4142" w:val="left" w:leader="none"/>
        </w:tabs>
        <w:spacing w:line="155" w:lineRule="exact" w:before="0"/>
        <w:ind w:left="254" w:right="0" w:firstLine="0"/>
        <w:jc w:val="left"/>
        <w:rPr>
          <w:sz w:val="14"/>
        </w:rPr>
      </w:pPr>
      <w:r>
        <w:rPr>
          <w:w w:val="110"/>
          <w:sz w:val="14"/>
        </w:rPr>
        <w:t>Households</w:t>
        <w:tab/>
        <w:t>1.2</w:t>
        <w:tab/>
        <w:t>0.7</w:t>
        <w:tab/>
        <w:t>1.0</w:t>
        <w:tab/>
        <w:t>1.0</w:t>
      </w:r>
    </w:p>
    <w:tbl>
      <w:tblPr>
        <w:tblW w:w="0" w:type="auto"/>
        <w:jc w:val="left"/>
        <w:tblInd w:w="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5"/>
        <w:gridCol w:w="656"/>
        <w:gridCol w:w="551"/>
        <w:gridCol w:w="455"/>
        <w:gridCol w:w="695"/>
      </w:tblGrid>
      <w:tr>
        <w:trPr>
          <w:trHeight w:val="144" w:hRule="atLeast"/>
        </w:trPr>
        <w:tc>
          <w:tcPr>
            <w:tcW w:w="2195" w:type="dxa"/>
          </w:tcPr>
          <w:p>
            <w:pPr>
              <w:pStyle w:val="TableParagraph"/>
              <w:spacing w:line="125" w:lineRule="exact"/>
              <w:ind w:left="120"/>
              <w:rPr>
                <w:sz w:val="14"/>
              </w:rPr>
            </w:pPr>
            <w:r>
              <w:rPr>
                <w:w w:val="110"/>
                <w:sz w:val="14"/>
              </w:rPr>
              <w:t>Government</w:t>
            </w:r>
          </w:p>
        </w:tc>
        <w:tc>
          <w:tcPr>
            <w:tcW w:w="656" w:type="dxa"/>
          </w:tcPr>
          <w:p>
            <w:pPr>
              <w:pStyle w:val="TableParagraph"/>
              <w:spacing w:line="125" w:lineRule="exact"/>
              <w:ind w:right="159"/>
              <w:jc w:val="right"/>
              <w:rPr>
                <w:sz w:val="14"/>
              </w:rPr>
            </w:pPr>
            <w:r>
              <w:rPr>
                <w:w w:val="110"/>
                <w:sz w:val="14"/>
              </w:rPr>
              <w:t>1.0</w:t>
            </w:r>
          </w:p>
        </w:tc>
        <w:tc>
          <w:tcPr>
            <w:tcW w:w="551" w:type="dxa"/>
          </w:tcPr>
          <w:p>
            <w:pPr>
              <w:pStyle w:val="TableParagraph"/>
              <w:spacing w:line="125" w:lineRule="exact"/>
              <w:ind w:left="136" w:right="119"/>
              <w:jc w:val="center"/>
              <w:rPr>
                <w:sz w:val="14"/>
              </w:rPr>
            </w:pPr>
            <w:r>
              <w:rPr>
                <w:w w:val="115"/>
                <w:sz w:val="14"/>
              </w:rPr>
              <w:t>-0.8</w:t>
            </w:r>
          </w:p>
        </w:tc>
        <w:tc>
          <w:tcPr>
            <w:tcW w:w="455" w:type="dxa"/>
          </w:tcPr>
          <w:p>
            <w:pPr>
              <w:pStyle w:val="TableParagraph"/>
              <w:spacing w:line="125" w:lineRule="exact"/>
              <w:ind w:right="105"/>
              <w:jc w:val="right"/>
              <w:rPr>
                <w:sz w:val="14"/>
              </w:rPr>
            </w:pPr>
            <w:r>
              <w:rPr>
                <w:w w:val="110"/>
                <w:sz w:val="14"/>
              </w:rPr>
              <w:t>3.3</w:t>
            </w:r>
          </w:p>
        </w:tc>
        <w:tc>
          <w:tcPr>
            <w:tcW w:w="695" w:type="dxa"/>
          </w:tcPr>
          <w:p>
            <w:pPr>
              <w:pStyle w:val="TableParagraph"/>
              <w:spacing w:line="125" w:lineRule="exact"/>
              <w:ind w:left="152"/>
              <w:rPr>
                <w:sz w:val="14"/>
              </w:rPr>
            </w:pPr>
            <w:r>
              <w:rPr>
                <w:w w:val="115"/>
                <w:sz w:val="14"/>
              </w:rPr>
              <w:t>0.7</w:t>
            </w:r>
          </w:p>
        </w:tc>
      </w:tr>
      <w:tr>
        <w:trPr>
          <w:trHeight w:val="144" w:hRule="atLeast"/>
        </w:trPr>
        <w:tc>
          <w:tcPr>
            <w:tcW w:w="2195" w:type="dxa"/>
          </w:tcPr>
          <w:p>
            <w:pPr>
              <w:pStyle w:val="TableParagraph"/>
              <w:spacing w:line="125" w:lineRule="exact"/>
              <w:ind w:left="50"/>
              <w:rPr>
                <w:sz w:val="14"/>
              </w:rPr>
            </w:pPr>
            <w:r>
              <w:rPr>
                <w:w w:val="110"/>
                <w:sz w:val="14"/>
              </w:rPr>
              <w:t>Investment</w:t>
            </w:r>
          </w:p>
        </w:tc>
        <w:tc>
          <w:tcPr>
            <w:tcW w:w="656" w:type="dxa"/>
          </w:tcPr>
          <w:p>
            <w:pPr>
              <w:pStyle w:val="TableParagraph"/>
              <w:spacing w:line="125" w:lineRule="exact"/>
              <w:ind w:right="159"/>
              <w:jc w:val="right"/>
              <w:rPr>
                <w:sz w:val="14"/>
              </w:rPr>
            </w:pPr>
            <w:r>
              <w:rPr>
                <w:w w:val="110"/>
                <w:sz w:val="14"/>
              </w:rPr>
              <w:t>1.3</w:t>
            </w:r>
          </w:p>
        </w:tc>
        <w:tc>
          <w:tcPr>
            <w:tcW w:w="551" w:type="dxa"/>
          </w:tcPr>
          <w:p>
            <w:pPr>
              <w:pStyle w:val="TableParagraph"/>
              <w:spacing w:line="125" w:lineRule="exact"/>
              <w:ind w:left="136" w:right="119"/>
              <w:jc w:val="center"/>
              <w:rPr>
                <w:sz w:val="14"/>
              </w:rPr>
            </w:pPr>
            <w:r>
              <w:rPr>
                <w:w w:val="115"/>
                <w:sz w:val="14"/>
              </w:rPr>
              <w:t>-0.8</w:t>
            </w:r>
          </w:p>
        </w:tc>
        <w:tc>
          <w:tcPr>
            <w:tcW w:w="455" w:type="dxa"/>
          </w:tcPr>
          <w:p>
            <w:pPr>
              <w:pStyle w:val="TableParagraph"/>
              <w:spacing w:line="125" w:lineRule="exact"/>
              <w:ind w:right="105"/>
              <w:jc w:val="right"/>
              <w:rPr>
                <w:sz w:val="14"/>
              </w:rPr>
            </w:pPr>
            <w:r>
              <w:rPr>
                <w:w w:val="110"/>
                <w:sz w:val="14"/>
              </w:rPr>
              <w:t>0.7</w:t>
            </w:r>
          </w:p>
        </w:tc>
        <w:tc>
          <w:tcPr>
            <w:tcW w:w="695" w:type="dxa"/>
          </w:tcPr>
          <w:p>
            <w:pPr>
              <w:pStyle w:val="TableParagraph"/>
              <w:spacing w:line="125" w:lineRule="exact"/>
              <w:ind w:left="103"/>
              <w:rPr>
                <w:sz w:val="14"/>
              </w:rPr>
            </w:pPr>
            <w:r>
              <w:rPr>
                <w:w w:val="115"/>
                <w:sz w:val="14"/>
              </w:rPr>
              <w:t>-0.5</w:t>
            </w:r>
          </w:p>
        </w:tc>
      </w:tr>
      <w:tr>
        <w:trPr>
          <w:trHeight w:val="150" w:hRule="atLeast"/>
        </w:trPr>
        <w:tc>
          <w:tcPr>
            <w:tcW w:w="2195" w:type="dxa"/>
          </w:tcPr>
          <w:p>
            <w:pPr>
              <w:pStyle w:val="TableParagraph"/>
              <w:spacing w:line="123" w:lineRule="exact"/>
              <w:ind w:left="120"/>
              <w:rPr>
                <w:i/>
                <w:sz w:val="14"/>
              </w:rPr>
            </w:pPr>
            <w:r>
              <w:rPr>
                <w:i/>
                <w:w w:val="110"/>
                <w:sz w:val="14"/>
              </w:rPr>
              <w:t>of which, business investment</w:t>
            </w:r>
          </w:p>
        </w:tc>
        <w:tc>
          <w:tcPr>
            <w:tcW w:w="656" w:type="dxa"/>
          </w:tcPr>
          <w:p>
            <w:pPr>
              <w:pStyle w:val="TableParagraph"/>
              <w:spacing w:line="123" w:lineRule="exact"/>
              <w:ind w:right="159"/>
              <w:jc w:val="right"/>
              <w:rPr>
                <w:i/>
                <w:sz w:val="14"/>
              </w:rPr>
            </w:pPr>
            <w:r>
              <w:rPr>
                <w:i/>
                <w:w w:val="110"/>
                <w:sz w:val="14"/>
              </w:rPr>
              <w:t>1.3</w:t>
            </w:r>
          </w:p>
        </w:tc>
        <w:tc>
          <w:tcPr>
            <w:tcW w:w="1006" w:type="dxa"/>
            <w:gridSpan w:val="2"/>
          </w:tcPr>
          <w:p>
            <w:pPr>
              <w:pStyle w:val="TableParagraph"/>
              <w:tabs>
                <w:tab w:pos="698" w:val="left" w:leader="none"/>
              </w:tabs>
              <w:spacing w:line="123" w:lineRule="exact"/>
              <w:ind w:left="158"/>
              <w:rPr>
                <w:i/>
                <w:sz w:val="14"/>
              </w:rPr>
            </w:pPr>
            <w:r>
              <w:rPr>
                <w:i/>
                <w:w w:val="115"/>
                <w:sz w:val="14"/>
              </w:rPr>
              <w:t>-0.2</w:t>
              <w:tab/>
              <w:t>0.5</w:t>
            </w:r>
          </w:p>
        </w:tc>
        <w:tc>
          <w:tcPr>
            <w:tcW w:w="695" w:type="dxa"/>
          </w:tcPr>
          <w:p>
            <w:pPr>
              <w:pStyle w:val="TableParagraph"/>
              <w:tabs>
                <w:tab w:pos="642" w:val="left" w:leader="none"/>
              </w:tabs>
              <w:spacing w:line="123" w:lineRule="exact"/>
              <w:ind w:left="102"/>
              <w:rPr>
                <w:i/>
                <w:sz w:val="14"/>
              </w:rPr>
            </w:pPr>
            <w:r>
              <w:rPr>
                <w:i/>
                <w:w w:val="115"/>
                <w:sz w:val="14"/>
              </w:rPr>
              <w:t>-0.2</w:t>
            </w:r>
            <w:r>
              <w:rPr>
                <w:i/>
                <w:sz w:val="14"/>
              </w:rPr>
              <w:tab/>
            </w:r>
          </w:p>
        </w:tc>
      </w:tr>
      <w:tr>
        <w:trPr>
          <w:trHeight w:val="303" w:hRule="atLeast"/>
        </w:trPr>
        <w:tc>
          <w:tcPr>
            <w:tcW w:w="2195" w:type="dxa"/>
          </w:tcPr>
          <w:p>
            <w:pPr>
              <w:pStyle w:val="TableParagraph"/>
              <w:spacing w:before="4"/>
              <w:rPr>
                <w:sz w:val="11"/>
              </w:rPr>
            </w:pPr>
          </w:p>
          <w:p>
            <w:pPr>
              <w:pStyle w:val="TableParagraph"/>
              <w:spacing w:line="152" w:lineRule="exact" w:before="1"/>
              <w:ind w:left="50"/>
              <w:rPr>
                <w:rFonts w:ascii="Arial"/>
                <w:sz w:val="14"/>
              </w:rPr>
            </w:pPr>
            <w:r>
              <w:rPr>
                <w:rFonts w:ascii="Arial"/>
                <w:w w:val="105"/>
                <w:sz w:val="14"/>
              </w:rPr>
              <w:t>Final domestic demand</w:t>
            </w:r>
          </w:p>
        </w:tc>
        <w:tc>
          <w:tcPr>
            <w:tcW w:w="656" w:type="dxa"/>
          </w:tcPr>
          <w:p>
            <w:pPr>
              <w:pStyle w:val="TableParagraph"/>
              <w:spacing w:before="4"/>
              <w:rPr>
                <w:sz w:val="11"/>
              </w:rPr>
            </w:pPr>
          </w:p>
          <w:p>
            <w:pPr>
              <w:pStyle w:val="TableParagraph"/>
              <w:spacing w:line="152" w:lineRule="exact" w:before="1"/>
              <w:ind w:right="159"/>
              <w:jc w:val="right"/>
              <w:rPr>
                <w:rFonts w:ascii="Arial"/>
                <w:sz w:val="14"/>
              </w:rPr>
            </w:pPr>
            <w:r>
              <w:rPr>
                <w:rFonts w:ascii="Arial"/>
                <w:w w:val="105"/>
                <w:sz w:val="14"/>
              </w:rPr>
              <w:t>1.2</w:t>
            </w:r>
          </w:p>
        </w:tc>
        <w:tc>
          <w:tcPr>
            <w:tcW w:w="551" w:type="dxa"/>
          </w:tcPr>
          <w:p>
            <w:pPr>
              <w:pStyle w:val="TableParagraph"/>
              <w:spacing w:before="4"/>
              <w:rPr>
                <w:sz w:val="11"/>
              </w:rPr>
            </w:pPr>
          </w:p>
          <w:p>
            <w:pPr>
              <w:pStyle w:val="TableParagraph"/>
              <w:spacing w:line="152" w:lineRule="exact" w:before="1"/>
              <w:ind w:left="136" w:right="79"/>
              <w:jc w:val="center"/>
              <w:rPr>
                <w:rFonts w:ascii="Arial"/>
                <w:sz w:val="14"/>
              </w:rPr>
            </w:pPr>
            <w:r>
              <w:rPr>
                <w:rFonts w:ascii="Arial"/>
                <w:w w:val="105"/>
                <w:sz w:val="14"/>
              </w:rPr>
              <w:t>0.2</w:t>
            </w:r>
          </w:p>
        </w:tc>
        <w:tc>
          <w:tcPr>
            <w:tcW w:w="455" w:type="dxa"/>
          </w:tcPr>
          <w:p>
            <w:pPr>
              <w:pStyle w:val="TableParagraph"/>
              <w:spacing w:before="4"/>
              <w:rPr>
                <w:sz w:val="11"/>
              </w:rPr>
            </w:pPr>
          </w:p>
          <w:p>
            <w:pPr>
              <w:pStyle w:val="TableParagraph"/>
              <w:spacing w:line="152" w:lineRule="exact" w:before="1"/>
              <w:ind w:right="105"/>
              <w:jc w:val="right"/>
              <w:rPr>
                <w:rFonts w:ascii="Arial"/>
                <w:sz w:val="14"/>
              </w:rPr>
            </w:pPr>
            <w:r>
              <w:rPr>
                <w:rFonts w:ascii="Arial"/>
                <w:w w:val="105"/>
                <w:sz w:val="14"/>
              </w:rPr>
              <w:t>1.3</w:t>
            </w:r>
          </w:p>
        </w:tc>
        <w:tc>
          <w:tcPr>
            <w:tcW w:w="695" w:type="dxa"/>
          </w:tcPr>
          <w:p>
            <w:pPr>
              <w:pStyle w:val="TableParagraph"/>
              <w:spacing w:before="4"/>
              <w:rPr>
                <w:sz w:val="11"/>
              </w:rPr>
            </w:pPr>
          </w:p>
          <w:p>
            <w:pPr>
              <w:pStyle w:val="TableParagraph"/>
              <w:spacing w:line="152" w:lineRule="exact" w:before="1"/>
              <w:ind w:left="143"/>
              <w:rPr>
                <w:rFonts w:ascii="Arial"/>
                <w:sz w:val="14"/>
              </w:rPr>
            </w:pPr>
            <w:r>
              <w:rPr>
                <w:rFonts w:ascii="Arial"/>
                <w:w w:val="105"/>
                <w:sz w:val="14"/>
              </w:rPr>
              <w:t>0.8</w:t>
            </w:r>
          </w:p>
        </w:tc>
      </w:tr>
      <w:tr>
        <w:trPr>
          <w:trHeight w:val="150" w:hRule="atLeast"/>
        </w:trPr>
        <w:tc>
          <w:tcPr>
            <w:tcW w:w="2195" w:type="dxa"/>
          </w:tcPr>
          <w:p>
            <w:pPr>
              <w:pStyle w:val="TableParagraph"/>
              <w:spacing w:line="131" w:lineRule="exact"/>
              <w:ind w:left="120"/>
              <w:rPr>
                <w:sz w:val="12"/>
              </w:rPr>
            </w:pPr>
            <w:r>
              <w:rPr>
                <w:w w:val="105"/>
                <w:sz w:val="14"/>
              </w:rPr>
              <w:t>Private </w:t>
            </w:r>
            <w:r>
              <w:rPr>
                <w:w w:val="105"/>
                <w:sz w:val="12"/>
              </w:rPr>
              <w:t>(b)</w:t>
            </w:r>
          </w:p>
        </w:tc>
        <w:tc>
          <w:tcPr>
            <w:tcW w:w="656" w:type="dxa"/>
          </w:tcPr>
          <w:p>
            <w:pPr>
              <w:pStyle w:val="TableParagraph"/>
              <w:spacing w:line="131" w:lineRule="exact"/>
              <w:ind w:right="159"/>
              <w:jc w:val="right"/>
              <w:rPr>
                <w:sz w:val="14"/>
              </w:rPr>
            </w:pPr>
            <w:r>
              <w:rPr>
                <w:w w:val="110"/>
                <w:sz w:val="14"/>
              </w:rPr>
              <w:t>1.3</w:t>
            </w:r>
          </w:p>
        </w:tc>
        <w:tc>
          <w:tcPr>
            <w:tcW w:w="551" w:type="dxa"/>
          </w:tcPr>
          <w:p>
            <w:pPr>
              <w:pStyle w:val="TableParagraph"/>
              <w:spacing w:line="131" w:lineRule="exact"/>
              <w:ind w:left="136" w:right="70"/>
              <w:jc w:val="center"/>
              <w:rPr>
                <w:sz w:val="14"/>
              </w:rPr>
            </w:pPr>
            <w:r>
              <w:rPr>
                <w:w w:val="115"/>
                <w:sz w:val="14"/>
              </w:rPr>
              <w:t>0.4</w:t>
            </w:r>
          </w:p>
        </w:tc>
        <w:tc>
          <w:tcPr>
            <w:tcW w:w="455" w:type="dxa"/>
          </w:tcPr>
          <w:p>
            <w:pPr>
              <w:pStyle w:val="TableParagraph"/>
              <w:spacing w:line="131" w:lineRule="exact"/>
              <w:ind w:right="105"/>
              <w:jc w:val="right"/>
              <w:rPr>
                <w:sz w:val="14"/>
              </w:rPr>
            </w:pPr>
            <w:r>
              <w:rPr>
                <w:w w:val="110"/>
                <w:sz w:val="14"/>
              </w:rPr>
              <w:t>0.7</w:t>
            </w:r>
          </w:p>
        </w:tc>
        <w:tc>
          <w:tcPr>
            <w:tcW w:w="695" w:type="dxa"/>
          </w:tcPr>
          <w:p>
            <w:pPr>
              <w:pStyle w:val="TableParagraph"/>
              <w:spacing w:line="131" w:lineRule="exact"/>
              <w:ind w:left="152"/>
              <w:rPr>
                <w:sz w:val="14"/>
              </w:rPr>
            </w:pPr>
            <w:r>
              <w:rPr>
                <w:w w:val="115"/>
                <w:sz w:val="14"/>
              </w:rPr>
              <w:t>0.8</w:t>
            </w:r>
          </w:p>
        </w:tc>
      </w:tr>
      <w:tr>
        <w:trPr>
          <w:trHeight w:val="145" w:hRule="atLeast"/>
        </w:trPr>
        <w:tc>
          <w:tcPr>
            <w:tcW w:w="2195" w:type="dxa"/>
          </w:tcPr>
          <w:p>
            <w:pPr>
              <w:pStyle w:val="TableParagraph"/>
              <w:spacing w:line="125" w:lineRule="exact"/>
              <w:ind w:left="120"/>
              <w:rPr>
                <w:sz w:val="12"/>
              </w:rPr>
            </w:pPr>
            <w:r>
              <w:rPr>
                <w:w w:val="105"/>
                <w:sz w:val="14"/>
              </w:rPr>
              <w:t>Public </w:t>
            </w:r>
            <w:r>
              <w:rPr>
                <w:w w:val="105"/>
                <w:sz w:val="12"/>
              </w:rPr>
              <w:t>(c)</w:t>
            </w:r>
          </w:p>
        </w:tc>
        <w:tc>
          <w:tcPr>
            <w:tcW w:w="656" w:type="dxa"/>
          </w:tcPr>
          <w:p>
            <w:pPr>
              <w:pStyle w:val="TableParagraph"/>
              <w:spacing w:line="125" w:lineRule="exact"/>
              <w:ind w:right="159"/>
              <w:jc w:val="right"/>
              <w:rPr>
                <w:sz w:val="14"/>
              </w:rPr>
            </w:pPr>
            <w:r>
              <w:rPr>
                <w:w w:val="110"/>
                <w:sz w:val="14"/>
              </w:rPr>
              <w:t>0.7</w:t>
            </w:r>
          </w:p>
        </w:tc>
        <w:tc>
          <w:tcPr>
            <w:tcW w:w="551" w:type="dxa"/>
          </w:tcPr>
          <w:p>
            <w:pPr>
              <w:pStyle w:val="TableParagraph"/>
              <w:spacing w:line="125" w:lineRule="exact"/>
              <w:ind w:left="136" w:right="119"/>
              <w:jc w:val="center"/>
              <w:rPr>
                <w:sz w:val="14"/>
              </w:rPr>
            </w:pPr>
            <w:r>
              <w:rPr>
                <w:w w:val="115"/>
                <w:sz w:val="14"/>
              </w:rPr>
              <w:t>-0.8</w:t>
            </w:r>
          </w:p>
        </w:tc>
        <w:tc>
          <w:tcPr>
            <w:tcW w:w="455" w:type="dxa"/>
          </w:tcPr>
          <w:p>
            <w:pPr>
              <w:pStyle w:val="TableParagraph"/>
              <w:spacing w:line="125" w:lineRule="exact"/>
              <w:ind w:right="105"/>
              <w:jc w:val="right"/>
              <w:rPr>
                <w:sz w:val="14"/>
              </w:rPr>
            </w:pPr>
            <w:r>
              <w:rPr>
                <w:w w:val="110"/>
                <w:sz w:val="14"/>
              </w:rPr>
              <w:t>4.1</w:t>
            </w:r>
          </w:p>
        </w:tc>
        <w:tc>
          <w:tcPr>
            <w:tcW w:w="695" w:type="dxa"/>
          </w:tcPr>
          <w:p>
            <w:pPr>
              <w:pStyle w:val="TableParagraph"/>
              <w:spacing w:line="125" w:lineRule="exact"/>
              <w:ind w:left="152"/>
              <w:rPr>
                <w:sz w:val="14"/>
              </w:rPr>
            </w:pPr>
            <w:r>
              <w:rPr>
                <w:w w:val="115"/>
                <w:sz w:val="14"/>
              </w:rPr>
              <w:t>0.3</w:t>
            </w:r>
          </w:p>
        </w:tc>
      </w:tr>
    </w:tbl>
    <w:p>
      <w:pPr>
        <w:pStyle w:val="BodyText"/>
        <w:spacing w:before="11"/>
        <w:rPr>
          <w:sz w:val="12"/>
        </w:rPr>
      </w:pPr>
    </w:p>
    <w:p>
      <w:pPr>
        <w:tabs>
          <w:tab w:pos="2573" w:val="left" w:leader="none"/>
          <w:tab w:pos="3192" w:val="left" w:leader="none"/>
          <w:tab w:pos="3682" w:val="left" w:leader="none"/>
          <w:tab w:pos="4142" w:val="left" w:leader="none"/>
          <w:tab w:pos="4712" w:val="left" w:leader="none"/>
        </w:tabs>
        <w:spacing w:line="155" w:lineRule="exact" w:before="0"/>
        <w:ind w:left="183" w:right="0" w:firstLine="0"/>
        <w:jc w:val="left"/>
        <w:rPr>
          <w:sz w:val="14"/>
        </w:rPr>
      </w:pPr>
      <w:r>
        <w:rPr>
          <w:w w:val="110"/>
          <w:sz w:val="14"/>
        </w:rPr>
        <w:t>Change in</w:t>
      </w:r>
      <w:r>
        <w:rPr>
          <w:spacing w:val="-28"/>
          <w:w w:val="110"/>
          <w:sz w:val="14"/>
        </w:rPr>
        <w:t> </w:t>
      </w:r>
      <w:r>
        <w:rPr>
          <w:w w:val="110"/>
          <w:sz w:val="14"/>
        </w:rPr>
        <w:t>inventories</w:t>
      </w:r>
      <w:r>
        <w:rPr>
          <w:spacing w:val="-14"/>
          <w:w w:val="110"/>
          <w:sz w:val="14"/>
        </w:rPr>
        <w:t> </w:t>
      </w:r>
      <w:r>
        <w:rPr>
          <w:w w:val="110"/>
          <w:sz w:val="12"/>
        </w:rPr>
        <w:t>(d)</w:t>
        <w:tab/>
      </w:r>
      <w:r>
        <w:rPr>
          <w:w w:val="110"/>
          <w:sz w:val="14"/>
        </w:rPr>
        <w:t>-0.2</w:t>
        <w:tab/>
        <w:t>0.1</w:t>
        <w:tab/>
        <w:t>0.2</w:t>
        <w:tab/>
        <w:t>0.2</w:t>
      </w:r>
      <w:r>
        <w:rPr>
          <w:sz w:val="14"/>
        </w:rPr>
        <w:tab/>
      </w:r>
    </w:p>
    <w:p>
      <w:pPr>
        <w:tabs>
          <w:tab w:pos="3192" w:val="left" w:leader="none"/>
          <w:tab w:pos="3633" w:val="left" w:leader="none"/>
          <w:tab w:pos="4093" w:val="left" w:leader="none"/>
        </w:tabs>
        <w:spacing w:line="155" w:lineRule="exact" w:before="0"/>
        <w:ind w:left="254" w:right="0" w:firstLine="0"/>
        <w:jc w:val="left"/>
        <w:rPr>
          <w:i/>
          <w:sz w:val="14"/>
        </w:rPr>
      </w:pPr>
      <w:r>
        <w:rPr>
          <w:i/>
          <w:w w:val="110"/>
          <w:sz w:val="14"/>
        </w:rPr>
        <w:t>Excluding</w:t>
      </w:r>
      <w:r>
        <w:rPr>
          <w:i/>
          <w:spacing w:val="-10"/>
          <w:w w:val="110"/>
          <w:sz w:val="14"/>
        </w:rPr>
        <w:t> </w:t>
      </w:r>
      <w:r>
        <w:rPr>
          <w:i/>
          <w:w w:val="110"/>
          <w:sz w:val="14"/>
        </w:rPr>
        <w:t>alignment</w:t>
      </w:r>
      <w:r>
        <w:rPr>
          <w:i/>
          <w:spacing w:val="-10"/>
          <w:w w:val="110"/>
          <w:sz w:val="14"/>
        </w:rPr>
        <w:t> </w:t>
      </w:r>
      <w:r>
        <w:rPr>
          <w:i/>
          <w:w w:val="110"/>
          <w:sz w:val="14"/>
        </w:rPr>
        <w:t>adjustment</w:t>
      </w:r>
      <w:r>
        <w:rPr>
          <w:i/>
          <w:spacing w:val="-10"/>
          <w:w w:val="110"/>
          <w:sz w:val="14"/>
        </w:rPr>
        <w:t> </w:t>
      </w:r>
      <w:r>
        <w:rPr>
          <w:w w:val="110"/>
          <w:sz w:val="12"/>
        </w:rPr>
        <w:t>(d)   </w:t>
      </w:r>
      <w:r>
        <w:rPr>
          <w:spacing w:val="23"/>
          <w:w w:val="110"/>
          <w:sz w:val="12"/>
        </w:rPr>
        <w:t> </w:t>
      </w:r>
      <w:r>
        <w:rPr>
          <w:i/>
          <w:w w:val="110"/>
          <w:sz w:val="14"/>
        </w:rPr>
        <w:t>-0.2</w:t>
        <w:tab/>
        <w:t>0.9</w:t>
        <w:tab/>
        <w:t>-0.3</w:t>
        <w:tab/>
        <w:t>-0.1</w:t>
      </w:r>
    </w:p>
    <w:tbl>
      <w:tblPr>
        <w:tblW w:w="0" w:type="auto"/>
        <w:jc w:val="left"/>
        <w:tblInd w:w="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6"/>
        <w:gridCol w:w="944"/>
        <w:gridCol w:w="630"/>
        <w:gridCol w:w="355"/>
        <w:gridCol w:w="405"/>
      </w:tblGrid>
      <w:tr>
        <w:trPr>
          <w:trHeight w:val="145" w:hRule="atLeast"/>
        </w:trPr>
        <w:tc>
          <w:tcPr>
            <w:tcW w:w="1926" w:type="dxa"/>
          </w:tcPr>
          <w:p>
            <w:pPr>
              <w:pStyle w:val="TableParagraph"/>
              <w:spacing w:line="126" w:lineRule="exact"/>
              <w:ind w:left="50"/>
              <w:rPr>
                <w:rFonts w:ascii="Arial"/>
                <w:sz w:val="14"/>
              </w:rPr>
            </w:pPr>
            <w:r>
              <w:rPr>
                <w:rFonts w:ascii="Arial"/>
                <w:sz w:val="14"/>
              </w:rPr>
              <w:t>Domestic demand</w:t>
            </w:r>
          </w:p>
        </w:tc>
        <w:tc>
          <w:tcPr>
            <w:tcW w:w="944" w:type="dxa"/>
          </w:tcPr>
          <w:p>
            <w:pPr>
              <w:pStyle w:val="TableParagraph"/>
              <w:spacing w:line="126" w:lineRule="exact"/>
              <w:ind w:right="178"/>
              <w:jc w:val="right"/>
              <w:rPr>
                <w:rFonts w:ascii="Arial"/>
                <w:sz w:val="14"/>
              </w:rPr>
            </w:pPr>
            <w:r>
              <w:rPr>
                <w:rFonts w:ascii="Arial"/>
                <w:w w:val="105"/>
                <w:sz w:val="14"/>
              </w:rPr>
              <w:t>1.0</w:t>
            </w:r>
          </w:p>
        </w:tc>
        <w:tc>
          <w:tcPr>
            <w:tcW w:w="630" w:type="dxa"/>
          </w:tcPr>
          <w:p>
            <w:pPr>
              <w:pStyle w:val="TableParagraph"/>
              <w:spacing w:line="126" w:lineRule="exact"/>
              <w:ind w:left="180"/>
              <w:rPr>
                <w:rFonts w:ascii="Arial"/>
                <w:sz w:val="14"/>
              </w:rPr>
            </w:pPr>
            <w:r>
              <w:rPr>
                <w:rFonts w:ascii="Arial"/>
                <w:w w:val="105"/>
                <w:sz w:val="14"/>
              </w:rPr>
              <w:t>0.3</w:t>
            </w:r>
          </w:p>
        </w:tc>
        <w:tc>
          <w:tcPr>
            <w:tcW w:w="355" w:type="dxa"/>
          </w:tcPr>
          <w:p>
            <w:pPr>
              <w:pStyle w:val="TableParagraph"/>
              <w:spacing w:line="126" w:lineRule="exact"/>
              <w:ind w:left="40"/>
              <w:rPr>
                <w:rFonts w:ascii="Arial"/>
                <w:sz w:val="14"/>
              </w:rPr>
            </w:pPr>
            <w:r>
              <w:rPr>
                <w:rFonts w:ascii="Arial"/>
                <w:w w:val="105"/>
                <w:sz w:val="14"/>
              </w:rPr>
              <w:t>1.4</w:t>
            </w:r>
          </w:p>
        </w:tc>
        <w:tc>
          <w:tcPr>
            <w:tcW w:w="405" w:type="dxa"/>
          </w:tcPr>
          <w:p>
            <w:pPr>
              <w:pStyle w:val="TableParagraph"/>
              <w:spacing w:line="126" w:lineRule="exact"/>
              <w:ind w:left="122" w:right="27"/>
              <w:jc w:val="center"/>
              <w:rPr>
                <w:rFonts w:ascii="Arial"/>
                <w:sz w:val="14"/>
              </w:rPr>
            </w:pPr>
            <w:r>
              <w:rPr>
                <w:rFonts w:ascii="Arial"/>
                <w:w w:val="105"/>
                <w:sz w:val="14"/>
              </w:rPr>
              <w:t>1.0</w:t>
            </w:r>
          </w:p>
        </w:tc>
      </w:tr>
      <w:tr>
        <w:trPr>
          <w:trHeight w:val="150" w:hRule="atLeast"/>
        </w:trPr>
        <w:tc>
          <w:tcPr>
            <w:tcW w:w="1926" w:type="dxa"/>
          </w:tcPr>
          <w:p>
            <w:pPr>
              <w:pStyle w:val="TableParagraph"/>
              <w:spacing w:line="130" w:lineRule="exact"/>
              <w:ind w:left="50"/>
              <w:rPr>
                <w:sz w:val="12"/>
              </w:rPr>
            </w:pPr>
            <w:r>
              <w:rPr>
                <w:w w:val="110"/>
                <w:sz w:val="14"/>
              </w:rPr>
              <w:t>Net trade </w:t>
            </w:r>
            <w:r>
              <w:rPr>
                <w:w w:val="110"/>
                <w:sz w:val="12"/>
              </w:rPr>
              <w:t>(d)</w:t>
            </w:r>
          </w:p>
        </w:tc>
        <w:tc>
          <w:tcPr>
            <w:tcW w:w="944" w:type="dxa"/>
          </w:tcPr>
          <w:p>
            <w:pPr>
              <w:pStyle w:val="TableParagraph"/>
              <w:spacing w:line="130" w:lineRule="exact"/>
              <w:ind w:right="178"/>
              <w:jc w:val="right"/>
              <w:rPr>
                <w:sz w:val="14"/>
              </w:rPr>
            </w:pPr>
            <w:r>
              <w:rPr>
                <w:w w:val="110"/>
                <w:sz w:val="14"/>
              </w:rPr>
              <w:t>-0.3</w:t>
            </w:r>
          </w:p>
        </w:tc>
        <w:tc>
          <w:tcPr>
            <w:tcW w:w="630" w:type="dxa"/>
          </w:tcPr>
          <w:p>
            <w:pPr>
              <w:pStyle w:val="TableParagraph"/>
              <w:tabs>
                <w:tab w:pos="630" w:val="left" w:leader="none"/>
              </w:tabs>
              <w:spacing w:line="130" w:lineRule="exact"/>
              <w:ind w:left="189" w:right="-15"/>
              <w:rPr>
                <w:sz w:val="14"/>
              </w:rPr>
            </w:pPr>
            <w:r>
              <w:rPr>
                <w:w w:val="115"/>
                <w:sz w:val="14"/>
              </w:rPr>
              <w:t>0.2</w:t>
            </w:r>
            <w:r>
              <w:rPr>
                <w:sz w:val="14"/>
              </w:rPr>
              <w:tab/>
            </w:r>
          </w:p>
        </w:tc>
        <w:tc>
          <w:tcPr>
            <w:tcW w:w="355" w:type="dxa"/>
          </w:tcPr>
          <w:p>
            <w:pPr>
              <w:pStyle w:val="TableParagraph"/>
              <w:spacing w:line="130" w:lineRule="exact"/>
              <w:rPr>
                <w:sz w:val="14"/>
              </w:rPr>
            </w:pPr>
            <w:r>
              <w:rPr>
                <w:w w:val="115"/>
                <w:sz w:val="14"/>
              </w:rPr>
              <w:t>-0.5</w:t>
            </w:r>
          </w:p>
        </w:tc>
        <w:tc>
          <w:tcPr>
            <w:tcW w:w="405" w:type="dxa"/>
          </w:tcPr>
          <w:p>
            <w:pPr>
              <w:pStyle w:val="TableParagraph"/>
              <w:spacing w:line="130" w:lineRule="exact"/>
              <w:ind w:left="82" w:right="27"/>
              <w:jc w:val="center"/>
              <w:rPr>
                <w:sz w:val="14"/>
              </w:rPr>
            </w:pPr>
            <w:r>
              <w:rPr>
                <w:w w:val="115"/>
                <w:sz w:val="14"/>
              </w:rPr>
              <w:t>-0.3</w:t>
            </w:r>
          </w:p>
        </w:tc>
      </w:tr>
      <w:tr>
        <w:trPr>
          <w:trHeight w:val="144" w:hRule="atLeast"/>
        </w:trPr>
        <w:tc>
          <w:tcPr>
            <w:tcW w:w="1926" w:type="dxa"/>
          </w:tcPr>
          <w:p>
            <w:pPr>
              <w:pStyle w:val="TableParagraph"/>
              <w:spacing w:line="124" w:lineRule="exact"/>
              <w:ind w:left="50"/>
              <w:rPr>
                <w:rFonts w:ascii="Arial"/>
                <w:sz w:val="14"/>
              </w:rPr>
            </w:pPr>
            <w:r>
              <w:rPr>
                <w:rFonts w:ascii="Arial"/>
                <w:w w:val="105"/>
                <w:sz w:val="14"/>
              </w:rPr>
              <w:t>GDP at market prices</w:t>
            </w:r>
          </w:p>
        </w:tc>
        <w:tc>
          <w:tcPr>
            <w:tcW w:w="944" w:type="dxa"/>
          </w:tcPr>
          <w:p>
            <w:pPr>
              <w:pStyle w:val="TableParagraph"/>
              <w:spacing w:line="124" w:lineRule="exact"/>
              <w:ind w:right="178"/>
              <w:jc w:val="right"/>
              <w:rPr>
                <w:rFonts w:ascii="Arial"/>
                <w:sz w:val="14"/>
              </w:rPr>
            </w:pPr>
            <w:r>
              <w:rPr>
                <w:rFonts w:ascii="Arial"/>
                <w:w w:val="105"/>
                <w:sz w:val="14"/>
              </w:rPr>
              <w:t>0.8</w:t>
            </w:r>
          </w:p>
        </w:tc>
        <w:tc>
          <w:tcPr>
            <w:tcW w:w="630" w:type="dxa"/>
          </w:tcPr>
          <w:p>
            <w:pPr>
              <w:pStyle w:val="TableParagraph"/>
              <w:spacing w:line="124" w:lineRule="exact"/>
              <w:ind w:left="180"/>
              <w:rPr>
                <w:rFonts w:ascii="Arial"/>
                <w:sz w:val="14"/>
              </w:rPr>
            </w:pPr>
            <w:r>
              <w:rPr>
                <w:rFonts w:ascii="Arial"/>
                <w:w w:val="105"/>
                <w:sz w:val="14"/>
              </w:rPr>
              <w:t>0.4</w:t>
            </w:r>
          </w:p>
        </w:tc>
        <w:tc>
          <w:tcPr>
            <w:tcW w:w="355" w:type="dxa"/>
          </w:tcPr>
          <w:p>
            <w:pPr>
              <w:pStyle w:val="TableParagraph"/>
              <w:spacing w:line="124" w:lineRule="exact"/>
              <w:ind w:left="40"/>
              <w:rPr>
                <w:rFonts w:ascii="Arial"/>
                <w:sz w:val="14"/>
              </w:rPr>
            </w:pPr>
            <w:r>
              <w:rPr>
                <w:rFonts w:ascii="Arial"/>
                <w:w w:val="105"/>
                <w:sz w:val="14"/>
              </w:rPr>
              <w:t>1.0</w:t>
            </w:r>
          </w:p>
        </w:tc>
        <w:tc>
          <w:tcPr>
            <w:tcW w:w="405" w:type="dxa"/>
          </w:tcPr>
          <w:p>
            <w:pPr>
              <w:pStyle w:val="TableParagraph"/>
              <w:spacing w:line="124" w:lineRule="exact"/>
              <w:ind w:left="122" w:right="27"/>
              <w:jc w:val="center"/>
              <w:rPr>
                <w:rFonts w:ascii="Arial"/>
                <w:sz w:val="14"/>
              </w:rPr>
            </w:pPr>
            <w:r>
              <w:rPr>
                <w:rFonts w:ascii="Arial"/>
                <w:w w:val="105"/>
                <w:sz w:val="14"/>
              </w:rPr>
              <w:t>0.7</w:t>
            </w:r>
          </w:p>
        </w:tc>
      </w:tr>
    </w:tbl>
    <w:p>
      <w:pPr>
        <w:pStyle w:val="BodyText"/>
        <w:spacing w:before="1"/>
        <w:rPr>
          <w:i/>
          <w:sz w:val="11"/>
        </w:rPr>
      </w:pPr>
    </w:p>
    <w:p>
      <w:pPr>
        <w:pStyle w:val="ListParagraph"/>
        <w:numPr>
          <w:ilvl w:val="0"/>
          <w:numId w:val="10"/>
        </w:numPr>
        <w:tabs>
          <w:tab w:pos="424" w:val="left" w:leader="none"/>
        </w:tabs>
        <w:spacing w:line="129" w:lineRule="exact" w:before="0" w:after="0"/>
        <w:ind w:left="423" w:right="0" w:hanging="241"/>
        <w:jc w:val="left"/>
        <w:rPr>
          <w:sz w:val="12"/>
        </w:rPr>
      </w:pPr>
      <w:r>
        <w:rPr>
          <w:w w:val="110"/>
          <w:sz w:val="12"/>
        </w:rPr>
        <w:t>At</w:t>
      </w:r>
      <w:r>
        <w:rPr>
          <w:spacing w:val="-11"/>
          <w:w w:val="110"/>
          <w:sz w:val="12"/>
        </w:rPr>
        <w:t> </w:t>
      </w:r>
      <w:r>
        <w:rPr>
          <w:w w:val="110"/>
          <w:sz w:val="12"/>
        </w:rPr>
        <w:t>constant</w:t>
      </w:r>
      <w:r>
        <w:rPr>
          <w:spacing w:val="-10"/>
          <w:w w:val="110"/>
          <w:sz w:val="12"/>
        </w:rPr>
        <w:t> </w:t>
      </w:r>
      <w:r>
        <w:rPr>
          <w:spacing w:val="-11"/>
          <w:w w:val="110"/>
          <w:sz w:val="12"/>
        </w:rPr>
        <w:t>1995</w:t>
      </w:r>
      <w:r>
        <w:rPr>
          <w:spacing w:val="-10"/>
          <w:w w:val="110"/>
          <w:sz w:val="12"/>
        </w:rPr>
        <w:t> </w:t>
      </w:r>
      <w:r>
        <w:rPr>
          <w:w w:val="110"/>
          <w:sz w:val="12"/>
        </w:rPr>
        <w:t>market</w:t>
      </w:r>
      <w:r>
        <w:rPr>
          <w:spacing w:val="-10"/>
          <w:w w:val="110"/>
          <w:sz w:val="12"/>
        </w:rPr>
        <w:t> </w:t>
      </w:r>
      <w:r>
        <w:rPr>
          <w:w w:val="110"/>
          <w:sz w:val="12"/>
        </w:rPr>
        <w:t>prices.</w:t>
      </w:r>
    </w:p>
    <w:p>
      <w:pPr>
        <w:pStyle w:val="ListParagraph"/>
        <w:numPr>
          <w:ilvl w:val="0"/>
          <w:numId w:val="10"/>
        </w:numPr>
        <w:tabs>
          <w:tab w:pos="424" w:val="left" w:leader="none"/>
        </w:tabs>
        <w:spacing w:line="208" w:lineRule="auto" w:before="6" w:after="0"/>
        <w:ind w:left="423" w:right="583" w:hanging="240"/>
        <w:jc w:val="left"/>
        <w:rPr>
          <w:sz w:val="12"/>
        </w:rPr>
      </w:pPr>
      <w:r>
        <w:rPr>
          <w:w w:val="110"/>
          <w:sz w:val="12"/>
        </w:rPr>
        <w:t>Private final demand is defined as the sum of household consumption, business</w:t>
      </w:r>
      <w:r>
        <w:rPr>
          <w:spacing w:val="-21"/>
          <w:w w:val="110"/>
          <w:sz w:val="12"/>
        </w:rPr>
        <w:t> </w:t>
      </w:r>
      <w:r>
        <w:rPr>
          <w:w w:val="110"/>
          <w:sz w:val="12"/>
        </w:rPr>
        <w:t>investment</w:t>
      </w:r>
      <w:r>
        <w:rPr>
          <w:spacing w:val="-20"/>
          <w:w w:val="110"/>
          <w:sz w:val="12"/>
        </w:rPr>
        <w:t> </w:t>
      </w:r>
      <w:r>
        <w:rPr>
          <w:w w:val="110"/>
          <w:sz w:val="12"/>
        </w:rPr>
        <w:t>and</w:t>
      </w:r>
      <w:r>
        <w:rPr>
          <w:spacing w:val="-20"/>
          <w:w w:val="110"/>
          <w:sz w:val="12"/>
        </w:rPr>
        <w:t> </w:t>
      </w:r>
      <w:r>
        <w:rPr>
          <w:w w:val="110"/>
          <w:sz w:val="12"/>
        </w:rPr>
        <w:t>private</w:t>
      </w:r>
      <w:r>
        <w:rPr>
          <w:spacing w:val="-21"/>
          <w:w w:val="110"/>
          <w:sz w:val="12"/>
        </w:rPr>
        <w:t> </w:t>
      </w:r>
      <w:r>
        <w:rPr>
          <w:w w:val="110"/>
          <w:sz w:val="12"/>
        </w:rPr>
        <w:t>sector</w:t>
      </w:r>
      <w:r>
        <w:rPr>
          <w:spacing w:val="-20"/>
          <w:w w:val="110"/>
          <w:sz w:val="12"/>
        </w:rPr>
        <w:t> </w:t>
      </w:r>
      <w:r>
        <w:rPr>
          <w:w w:val="110"/>
          <w:sz w:val="12"/>
        </w:rPr>
        <w:t>investment</w:t>
      </w:r>
      <w:r>
        <w:rPr>
          <w:spacing w:val="-20"/>
          <w:w w:val="110"/>
          <w:sz w:val="12"/>
        </w:rPr>
        <w:t> </w:t>
      </w:r>
      <w:r>
        <w:rPr>
          <w:w w:val="110"/>
          <w:sz w:val="12"/>
        </w:rPr>
        <w:t>in</w:t>
      </w:r>
      <w:r>
        <w:rPr>
          <w:spacing w:val="-21"/>
          <w:w w:val="110"/>
          <w:sz w:val="12"/>
        </w:rPr>
        <w:t> </w:t>
      </w:r>
      <w:r>
        <w:rPr>
          <w:w w:val="110"/>
          <w:sz w:val="12"/>
        </w:rPr>
        <w:t>dwellings.</w:t>
      </w:r>
      <w:r>
        <w:rPr>
          <w:spacing w:val="-7"/>
          <w:w w:val="110"/>
          <w:sz w:val="12"/>
        </w:rPr>
        <w:t> </w:t>
      </w:r>
      <w:r>
        <w:rPr>
          <w:w w:val="110"/>
          <w:sz w:val="12"/>
        </w:rPr>
        <w:t>Excludes acquisitions less disposals of valuables and consumption by non-profit institutions.</w:t>
      </w:r>
    </w:p>
    <w:p>
      <w:pPr>
        <w:pStyle w:val="ListParagraph"/>
        <w:numPr>
          <w:ilvl w:val="0"/>
          <w:numId w:val="10"/>
        </w:numPr>
        <w:tabs>
          <w:tab w:pos="424" w:val="left" w:leader="none"/>
        </w:tabs>
        <w:spacing w:line="208" w:lineRule="auto" w:before="0" w:after="0"/>
        <w:ind w:left="423" w:right="650" w:hanging="240"/>
        <w:jc w:val="left"/>
        <w:rPr>
          <w:sz w:val="12"/>
        </w:rPr>
      </w:pPr>
      <w:r>
        <w:rPr>
          <w:w w:val="105"/>
          <w:sz w:val="12"/>
        </w:rPr>
        <w:t>Public final demand is defined as general government consumption and investment, and investment by NHS</w:t>
      </w:r>
      <w:r>
        <w:rPr>
          <w:spacing w:val="-9"/>
          <w:w w:val="105"/>
          <w:sz w:val="12"/>
        </w:rPr>
        <w:t> </w:t>
      </w:r>
      <w:r>
        <w:rPr>
          <w:w w:val="105"/>
          <w:sz w:val="12"/>
        </w:rPr>
        <w:t>trusts.</w:t>
      </w:r>
    </w:p>
    <w:p>
      <w:pPr>
        <w:pStyle w:val="ListParagraph"/>
        <w:numPr>
          <w:ilvl w:val="0"/>
          <w:numId w:val="10"/>
        </w:numPr>
        <w:tabs>
          <w:tab w:pos="424" w:val="left" w:leader="none"/>
        </w:tabs>
        <w:spacing w:line="123" w:lineRule="exact" w:before="0" w:after="0"/>
        <w:ind w:left="423" w:right="0" w:hanging="241"/>
        <w:jc w:val="left"/>
        <w:rPr>
          <w:sz w:val="12"/>
        </w:rPr>
      </w:pPr>
      <w:r>
        <w:rPr>
          <w:w w:val="110"/>
          <w:sz w:val="12"/>
        </w:rPr>
        <w:t>Percentage</w:t>
      </w:r>
      <w:r>
        <w:rPr>
          <w:spacing w:val="-5"/>
          <w:w w:val="110"/>
          <w:sz w:val="12"/>
        </w:rPr>
        <w:t> </w:t>
      </w:r>
      <w:r>
        <w:rPr>
          <w:w w:val="110"/>
          <w:sz w:val="12"/>
        </w:rPr>
        <w:t>point</w:t>
      </w:r>
      <w:r>
        <w:rPr>
          <w:spacing w:val="-4"/>
          <w:w w:val="110"/>
          <w:sz w:val="12"/>
        </w:rPr>
        <w:t> </w:t>
      </w:r>
      <w:r>
        <w:rPr>
          <w:w w:val="110"/>
          <w:sz w:val="12"/>
        </w:rPr>
        <w:t>contribution</w:t>
      </w:r>
      <w:r>
        <w:rPr>
          <w:spacing w:val="-5"/>
          <w:w w:val="110"/>
          <w:sz w:val="12"/>
        </w:rPr>
        <w:t> </w:t>
      </w:r>
      <w:r>
        <w:rPr>
          <w:w w:val="110"/>
          <w:sz w:val="12"/>
        </w:rPr>
        <w:t>to</w:t>
      </w:r>
      <w:r>
        <w:rPr>
          <w:spacing w:val="-4"/>
          <w:w w:val="110"/>
          <w:sz w:val="12"/>
        </w:rPr>
        <w:t> </w:t>
      </w:r>
      <w:r>
        <w:rPr>
          <w:w w:val="110"/>
          <w:sz w:val="12"/>
        </w:rPr>
        <w:t>quarterly</w:t>
      </w:r>
      <w:r>
        <w:rPr>
          <w:spacing w:val="-5"/>
          <w:w w:val="110"/>
          <w:sz w:val="12"/>
        </w:rPr>
        <w:t> </w:t>
      </w:r>
      <w:r>
        <w:rPr>
          <w:w w:val="110"/>
          <w:sz w:val="12"/>
        </w:rPr>
        <w:t>growth</w:t>
      </w:r>
      <w:r>
        <w:rPr>
          <w:spacing w:val="-4"/>
          <w:w w:val="110"/>
          <w:sz w:val="12"/>
        </w:rPr>
        <w:t> </w:t>
      </w:r>
      <w:r>
        <w:rPr>
          <w:w w:val="110"/>
          <w:sz w:val="12"/>
        </w:rPr>
        <w:t>in</w:t>
      </w:r>
      <w:r>
        <w:rPr>
          <w:spacing w:val="-4"/>
          <w:w w:val="110"/>
          <w:sz w:val="12"/>
        </w:rPr>
        <w:t> </w:t>
      </w:r>
      <w:r>
        <w:rPr>
          <w:spacing w:val="-6"/>
          <w:w w:val="110"/>
          <w:sz w:val="12"/>
        </w:rPr>
        <w:t>GDP.</w:t>
      </w:r>
    </w:p>
    <w:p>
      <w:pPr>
        <w:pStyle w:val="BodyText"/>
        <w:spacing w:line="292" w:lineRule="auto"/>
        <w:ind w:left="303" w:right="145"/>
      </w:pPr>
      <w:r>
        <w:rPr/>
        <w:br w:type="column"/>
      </w:r>
      <w:r>
        <w:rPr>
          <w:spacing w:val="-3"/>
          <w:w w:val="110"/>
        </w:rPr>
        <w:t>overall </w:t>
      </w:r>
      <w:r>
        <w:rPr>
          <w:w w:val="110"/>
        </w:rPr>
        <w:t>goods trade balance is largely accounted for </w:t>
      </w:r>
      <w:r>
        <w:rPr>
          <w:spacing w:val="-3"/>
          <w:w w:val="110"/>
        </w:rPr>
        <w:t>by </w:t>
      </w:r>
      <w:r>
        <w:rPr>
          <w:w w:val="110"/>
        </w:rPr>
        <w:t>an increase in the deficit with countries outside the OECD and OPEC</w:t>
      </w:r>
      <w:r>
        <w:rPr>
          <w:spacing w:val="-26"/>
          <w:w w:val="110"/>
        </w:rPr>
        <w:t> </w:t>
      </w:r>
      <w:r>
        <w:rPr>
          <w:w w:val="110"/>
        </w:rPr>
        <w:t>regions,</w:t>
      </w:r>
      <w:r>
        <w:rPr>
          <w:spacing w:val="-26"/>
          <w:w w:val="110"/>
        </w:rPr>
        <w:t> </w:t>
      </w:r>
      <w:r>
        <w:rPr>
          <w:w w:val="110"/>
        </w:rPr>
        <w:t>principally</w:t>
      </w:r>
      <w:r>
        <w:rPr>
          <w:spacing w:val="-25"/>
          <w:w w:val="110"/>
        </w:rPr>
        <w:t> </w:t>
      </w:r>
      <w:r>
        <w:rPr>
          <w:w w:val="110"/>
        </w:rPr>
        <w:t>Asia.</w:t>
      </w:r>
      <w:r>
        <w:rPr>
          <w:spacing w:val="4"/>
          <w:w w:val="110"/>
        </w:rPr>
        <w:t> </w:t>
      </w:r>
      <w:r>
        <w:rPr>
          <w:w w:val="110"/>
        </w:rPr>
        <w:t>In</w:t>
      </w:r>
      <w:r>
        <w:rPr>
          <w:spacing w:val="-26"/>
          <w:w w:val="110"/>
        </w:rPr>
        <w:t> </w:t>
      </w:r>
      <w:r>
        <w:rPr>
          <w:w w:val="110"/>
        </w:rPr>
        <w:t>part</w:t>
      </w:r>
      <w:r>
        <w:rPr>
          <w:spacing w:val="-25"/>
          <w:w w:val="110"/>
        </w:rPr>
        <w:t> </w:t>
      </w:r>
      <w:r>
        <w:rPr>
          <w:w w:val="110"/>
        </w:rPr>
        <w:t>that</w:t>
      </w:r>
      <w:r>
        <w:rPr>
          <w:spacing w:val="-26"/>
          <w:w w:val="110"/>
        </w:rPr>
        <w:t> </w:t>
      </w:r>
      <w:r>
        <w:rPr>
          <w:w w:val="110"/>
        </w:rPr>
        <w:t>reflects</w:t>
      </w:r>
      <w:r>
        <w:rPr>
          <w:spacing w:val="-25"/>
          <w:w w:val="110"/>
        </w:rPr>
        <w:t> </w:t>
      </w:r>
      <w:r>
        <w:rPr>
          <w:w w:val="110"/>
        </w:rPr>
        <w:t>the</w:t>
      </w:r>
      <w:r>
        <w:rPr>
          <w:spacing w:val="-26"/>
          <w:w w:val="110"/>
        </w:rPr>
        <w:t> </w:t>
      </w:r>
      <w:r>
        <w:rPr>
          <w:w w:val="110"/>
        </w:rPr>
        <w:t>effects of the Asian crisis in </w:t>
      </w:r>
      <w:r>
        <w:rPr>
          <w:spacing w:val="-13"/>
          <w:w w:val="110"/>
        </w:rPr>
        <w:t>1997/98 </w:t>
      </w:r>
      <w:r>
        <w:rPr>
          <w:w w:val="110"/>
        </w:rPr>
        <w:t>on those countries’ demand for UK</w:t>
      </w:r>
      <w:r>
        <w:rPr>
          <w:spacing w:val="-19"/>
          <w:w w:val="110"/>
        </w:rPr>
        <w:t> </w:t>
      </w:r>
      <w:r>
        <w:rPr>
          <w:w w:val="110"/>
        </w:rPr>
        <w:t>goods.</w:t>
      </w:r>
      <w:r>
        <w:rPr>
          <w:spacing w:val="18"/>
          <w:w w:val="110"/>
        </w:rPr>
        <w:t> </w:t>
      </w:r>
      <w:r>
        <w:rPr>
          <w:w w:val="110"/>
        </w:rPr>
        <w:t>But</w:t>
      </w:r>
      <w:r>
        <w:rPr>
          <w:spacing w:val="-19"/>
          <w:w w:val="110"/>
        </w:rPr>
        <w:t> </w:t>
      </w:r>
      <w:r>
        <w:rPr>
          <w:w w:val="110"/>
        </w:rPr>
        <w:t>more</w:t>
      </w:r>
      <w:r>
        <w:rPr>
          <w:spacing w:val="-18"/>
          <w:w w:val="110"/>
        </w:rPr>
        <w:t> </w:t>
      </w:r>
      <w:r>
        <w:rPr>
          <w:w w:val="110"/>
        </w:rPr>
        <w:t>recently</w:t>
      </w:r>
      <w:r>
        <w:rPr>
          <w:spacing w:val="-19"/>
          <w:w w:val="110"/>
        </w:rPr>
        <w:t> </w:t>
      </w:r>
      <w:r>
        <w:rPr>
          <w:w w:val="110"/>
        </w:rPr>
        <w:t>the</w:t>
      </w:r>
      <w:r>
        <w:rPr>
          <w:spacing w:val="-19"/>
          <w:w w:val="110"/>
        </w:rPr>
        <w:t> </w:t>
      </w:r>
      <w:r>
        <w:rPr>
          <w:w w:val="110"/>
        </w:rPr>
        <w:t>deficit</w:t>
      </w:r>
      <w:r>
        <w:rPr>
          <w:spacing w:val="-19"/>
          <w:w w:val="110"/>
        </w:rPr>
        <w:t> </w:t>
      </w:r>
      <w:r>
        <w:rPr>
          <w:w w:val="110"/>
        </w:rPr>
        <w:t>has</w:t>
      </w:r>
      <w:r>
        <w:rPr>
          <w:spacing w:val="-18"/>
          <w:w w:val="110"/>
        </w:rPr>
        <w:t> </w:t>
      </w:r>
      <w:r>
        <w:rPr>
          <w:w w:val="110"/>
        </w:rPr>
        <w:t>widened</w:t>
      </w:r>
      <w:r>
        <w:rPr>
          <w:spacing w:val="-19"/>
          <w:w w:val="110"/>
        </w:rPr>
        <w:t> </w:t>
      </w:r>
      <w:r>
        <w:rPr>
          <w:w w:val="110"/>
        </w:rPr>
        <w:t>because of increasing imports </w:t>
      </w:r>
      <w:r>
        <w:rPr>
          <w:spacing w:val="-4"/>
          <w:w w:val="110"/>
        </w:rPr>
        <w:t>to </w:t>
      </w:r>
      <w:r>
        <w:rPr>
          <w:w w:val="110"/>
        </w:rPr>
        <w:t>the United Kingdom from those countries. By commodity </w:t>
      </w:r>
      <w:r>
        <w:rPr>
          <w:spacing w:val="-3"/>
          <w:w w:val="110"/>
        </w:rPr>
        <w:t>type </w:t>
      </w:r>
      <w:r>
        <w:rPr>
          <w:w w:val="110"/>
        </w:rPr>
        <w:t>it is imports of intermediate and</w:t>
      </w:r>
      <w:r>
        <w:rPr>
          <w:spacing w:val="-15"/>
          <w:w w:val="110"/>
        </w:rPr>
        <w:t> </w:t>
      </w:r>
      <w:r>
        <w:rPr>
          <w:w w:val="110"/>
        </w:rPr>
        <w:t>capital</w:t>
      </w:r>
      <w:r>
        <w:rPr>
          <w:spacing w:val="-15"/>
          <w:w w:val="110"/>
        </w:rPr>
        <w:t> </w:t>
      </w:r>
      <w:r>
        <w:rPr>
          <w:w w:val="110"/>
        </w:rPr>
        <w:t>goods</w:t>
      </w:r>
      <w:r>
        <w:rPr>
          <w:spacing w:val="-15"/>
          <w:w w:val="110"/>
        </w:rPr>
        <w:t> </w:t>
      </w:r>
      <w:r>
        <w:rPr>
          <w:w w:val="110"/>
        </w:rPr>
        <w:t>that</w:t>
      </w:r>
      <w:r>
        <w:rPr>
          <w:spacing w:val="-15"/>
          <w:w w:val="110"/>
        </w:rPr>
        <w:t> </w:t>
      </w:r>
      <w:r>
        <w:rPr>
          <w:spacing w:val="-3"/>
          <w:w w:val="110"/>
        </w:rPr>
        <w:t>have</w:t>
      </w:r>
      <w:r>
        <w:rPr>
          <w:spacing w:val="-15"/>
          <w:w w:val="110"/>
        </w:rPr>
        <w:t> </w:t>
      </w:r>
      <w:r>
        <w:rPr>
          <w:w w:val="110"/>
        </w:rPr>
        <w:t>risen</w:t>
      </w:r>
      <w:r>
        <w:rPr>
          <w:spacing w:val="-14"/>
          <w:w w:val="110"/>
        </w:rPr>
        <w:t> </w:t>
      </w:r>
      <w:r>
        <w:rPr>
          <w:w w:val="110"/>
        </w:rPr>
        <w:t>most</w:t>
      </w:r>
      <w:r>
        <w:rPr>
          <w:spacing w:val="-15"/>
          <w:w w:val="110"/>
        </w:rPr>
        <w:t> </w:t>
      </w:r>
      <w:r>
        <w:rPr>
          <w:spacing w:val="-4"/>
          <w:w w:val="110"/>
        </w:rPr>
        <w:t>rapidly,</w:t>
      </w:r>
      <w:r>
        <w:rPr>
          <w:spacing w:val="-15"/>
          <w:w w:val="110"/>
        </w:rPr>
        <w:t> </w:t>
      </w:r>
      <w:r>
        <w:rPr>
          <w:w w:val="110"/>
        </w:rPr>
        <w:t>suggesting</w:t>
      </w:r>
      <w:r>
        <w:rPr>
          <w:spacing w:val="-15"/>
          <w:w w:val="110"/>
        </w:rPr>
        <w:t> </w:t>
      </w:r>
      <w:r>
        <w:rPr>
          <w:w w:val="110"/>
        </w:rPr>
        <w:t>that UK manufacturers </w:t>
      </w:r>
      <w:r>
        <w:rPr>
          <w:spacing w:val="-3"/>
          <w:w w:val="110"/>
        </w:rPr>
        <w:t>have </w:t>
      </w:r>
      <w:r>
        <w:rPr>
          <w:w w:val="110"/>
        </w:rPr>
        <w:t>been </w:t>
      </w:r>
      <w:r>
        <w:rPr>
          <w:spacing w:val="-3"/>
          <w:w w:val="110"/>
        </w:rPr>
        <w:t>attempting </w:t>
      </w:r>
      <w:r>
        <w:rPr>
          <w:spacing w:val="-4"/>
          <w:w w:val="110"/>
        </w:rPr>
        <w:t>to </w:t>
      </w:r>
      <w:r>
        <w:rPr>
          <w:w w:val="110"/>
        </w:rPr>
        <w:t>mitigate the </w:t>
      </w:r>
      <w:r>
        <w:rPr>
          <w:spacing w:val="-3"/>
          <w:w w:val="110"/>
        </w:rPr>
        <w:t>downward pressure </w:t>
      </w:r>
      <w:r>
        <w:rPr>
          <w:w w:val="110"/>
        </w:rPr>
        <w:t>on </w:t>
      </w:r>
      <w:r>
        <w:rPr>
          <w:spacing w:val="-3"/>
          <w:w w:val="110"/>
        </w:rPr>
        <w:t>profitability by </w:t>
      </w:r>
      <w:r>
        <w:rPr>
          <w:w w:val="110"/>
        </w:rPr>
        <w:t>sourcing parts and capital equipment from cheaper locations. That hypothesis is also</w:t>
      </w:r>
      <w:r>
        <w:rPr>
          <w:spacing w:val="-17"/>
          <w:w w:val="110"/>
        </w:rPr>
        <w:t> </w:t>
      </w:r>
      <w:r>
        <w:rPr>
          <w:w w:val="110"/>
        </w:rPr>
        <w:t>supported</w:t>
      </w:r>
      <w:r>
        <w:rPr>
          <w:spacing w:val="-16"/>
          <w:w w:val="110"/>
        </w:rPr>
        <w:t> </w:t>
      </w:r>
      <w:r>
        <w:rPr>
          <w:spacing w:val="-3"/>
          <w:w w:val="110"/>
        </w:rPr>
        <w:t>by</w:t>
      </w:r>
      <w:r>
        <w:rPr>
          <w:spacing w:val="-16"/>
          <w:w w:val="110"/>
        </w:rPr>
        <w:t> </w:t>
      </w:r>
      <w:r>
        <w:rPr>
          <w:w w:val="110"/>
        </w:rPr>
        <w:t>reports</w:t>
      </w:r>
      <w:r>
        <w:rPr>
          <w:spacing w:val="-17"/>
          <w:w w:val="110"/>
        </w:rPr>
        <w:t> </w:t>
      </w:r>
      <w:r>
        <w:rPr>
          <w:w w:val="110"/>
        </w:rPr>
        <w:t>from</w:t>
      </w:r>
      <w:r>
        <w:rPr>
          <w:spacing w:val="-16"/>
          <w:w w:val="110"/>
        </w:rPr>
        <w:t> </w:t>
      </w:r>
      <w:r>
        <w:rPr>
          <w:w w:val="110"/>
        </w:rPr>
        <w:t>the</w:t>
      </w:r>
      <w:r>
        <w:rPr>
          <w:spacing w:val="-16"/>
          <w:w w:val="110"/>
        </w:rPr>
        <w:t> </w:t>
      </w:r>
      <w:r>
        <w:rPr>
          <w:spacing w:val="-3"/>
          <w:w w:val="110"/>
        </w:rPr>
        <w:t>Bank’s</w:t>
      </w:r>
      <w:r>
        <w:rPr>
          <w:spacing w:val="-17"/>
          <w:w w:val="110"/>
        </w:rPr>
        <w:t> </w:t>
      </w:r>
      <w:r>
        <w:rPr>
          <w:w w:val="110"/>
        </w:rPr>
        <w:t>regional</w:t>
      </w:r>
      <w:r>
        <w:rPr>
          <w:spacing w:val="-16"/>
          <w:w w:val="110"/>
        </w:rPr>
        <w:t> </w:t>
      </w:r>
      <w:r>
        <w:rPr>
          <w:w w:val="110"/>
        </w:rPr>
        <w:t>Agents.</w:t>
      </w:r>
    </w:p>
    <w:p>
      <w:pPr>
        <w:pStyle w:val="BodyText"/>
        <w:spacing w:before="1"/>
        <w:rPr>
          <w:sz w:val="28"/>
        </w:rPr>
      </w:pPr>
    </w:p>
    <w:p>
      <w:pPr>
        <w:pStyle w:val="BodyText"/>
        <w:spacing w:line="292" w:lineRule="auto"/>
        <w:ind w:left="303" w:right="154"/>
      </w:pPr>
      <w:r>
        <w:rPr>
          <w:w w:val="110"/>
        </w:rPr>
        <w:t>The</w:t>
      </w:r>
      <w:r>
        <w:rPr>
          <w:spacing w:val="-20"/>
          <w:w w:val="110"/>
        </w:rPr>
        <w:t> </w:t>
      </w:r>
      <w:r>
        <w:rPr>
          <w:w w:val="110"/>
        </w:rPr>
        <w:t>MPC</w:t>
      </w:r>
      <w:r>
        <w:rPr>
          <w:spacing w:val="-19"/>
          <w:w w:val="110"/>
        </w:rPr>
        <w:t> </w:t>
      </w:r>
      <w:r>
        <w:rPr>
          <w:w w:val="110"/>
        </w:rPr>
        <w:t>expects</w:t>
      </w:r>
      <w:r>
        <w:rPr>
          <w:spacing w:val="-19"/>
          <w:w w:val="110"/>
        </w:rPr>
        <w:t> </w:t>
      </w:r>
      <w:r>
        <w:rPr>
          <w:w w:val="110"/>
        </w:rPr>
        <w:t>UK</w:t>
      </w:r>
      <w:r>
        <w:rPr>
          <w:spacing w:val="-20"/>
          <w:w w:val="110"/>
        </w:rPr>
        <w:t> </w:t>
      </w:r>
      <w:r>
        <w:rPr>
          <w:w w:val="110"/>
        </w:rPr>
        <w:t>export</w:t>
      </w:r>
      <w:r>
        <w:rPr>
          <w:spacing w:val="-19"/>
          <w:w w:val="110"/>
        </w:rPr>
        <w:t> </w:t>
      </w:r>
      <w:r>
        <w:rPr>
          <w:spacing w:val="-2"/>
          <w:w w:val="110"/>
        </w:rPr>
        <w:t>growth</w:t>
      </w:r>
      <w:r>
        <w:rPr>
          <w:spacing w:val="-19"/>
          <w:w w:val="110"/>
        </w:rPr>
        <w:t> </w:t>
      </w:r>
      <w:r>
        <w:rPr>
          <w:spacing w:val="-4"/>
          <w:w w:val="110"/>
        </w:rPr>
        <w:t>to</w:t>
      </w:r>
      <w:r>
        <w:rPr>
          <w:spacing w:val="-20"/>
          <w:w w:val="110"/>
        </w:rPr>
        <w:t> </w:t>
      </w:r>
      <w:r>
        <w:rPr>
          <w:w w:val="110"/>
        </w:rPr>
        <w:t>be</w:t>
      </w:r>
      <w:r>
        <w:rPr>
          <w:spacing w:val="-19"/>
          <w:w w:val="110"/>
        </w:rPr>
        <w:t> </w:t>
      </w:r>
      <w:r>
        <w:rPr>
          <w:w w:val="110"/>
        </w:rPr>
        <w:t>a</w:t>
      </w:r>
      <w:r>
        <w:rPr>
          <w:spacing w:val="-19"/>
          <w:w w:val="110"/>
        </w:rPr>
        <w:t> </w:t>
      </w:r>
      <w:r>
        <w:rPr>
          <w:w w:val="110"/>
        </w:rPr>
        <w:t>little</w:t>
      </w:r>
      <w:r>
        <w:rPr>
          <w:spacing w:val="-20"/>
          <w:w w:val="110"/>
        </w:rPr>
        <w:t> </w:t>
      </w:r>
      <w:r>
        <w:rPr>
          <w:spacing w:val="-3"/>
          <w:w w:val="110"/>
        </w:rPr>
        <w:t>weaker</w:t>
      </w:r>
      <w:r>
        <w:rPr>
          <w:spacing w:val="-19"/>
          <w:w w:val="110"/>
        </w:rPr>
        <w:t> </w:t>
      </w:r>
      <w:r>
        <w:rPr>
          <w:w w:val="110"/>
        </w:rPr>
        <w:t>than in the November projections, as lower growth in UK export markets</w:t>
      </w:r>
      <w:r>
        <w:rPr>
          <w:spacing w:val="-13"/>
          <w:w w:val="110"/>
        </w:rPr>
        <w:t> </w:t>
      </w:r>
      <w:r>
        <w:rPr>
          <w:w w:val="110"/>
        </w:rPr>
        <w:t>more</w:t>
      </w:r>
      <w:r>
        <w:rPr>
          <w:spacing w:val="-12"/>
          <w:w w:val="110"/>
        </w:rPr>
        <w:t> </w:t>
      </w:r>
      <w:r>
        <w:rPr>
          <w:w w:val="110"/>
        </w:rPr>
        <w:t>than</w:t>
      </w:r>
      <w:r>
        <w:rPr>
          <w:spacing w:val="-13"/>
          <w:w w:val="110"/>
        </w:rPr>
        <w:t> </w:t>
      </w:r>
      <w:r>
        <w:rPr>
          <w:w w:val="110"/>
        </w:rPr>
        <w:t>offsets</w:t>
      </w:r>
      <w:r>
        <w:rPr>
          <w:spacing w:val="-12"/>
          <w:w w:val="110"/>
        </w:rPr>
        <w:t> </w:t>
      </w:r>
      <w:r>
        <w:rPr>
          <w:w w:val="110"/>
        </w:rPr>
        <w:t>the</w:t>
      </w:r>
      <w:r>
        <w:rPr>
          <w:spacing w:val="-12"/>
          <w:w w:val="110"/>
        </w:rPr>
        <w:t> </w:t>
      </w:r>
      <w:r>
        <w:rPr>
          <w:w w:val="110"/>
        </w:rPr>
        <w:t>effect</w:t>
      </w:r>
      <w:r>
        <w:rPr>
          <w:spacing w:val="-13"/>
          <w:w w:val="110"/>
        </w:rPr>
        <w:t> </w:t>
      </w:r>
      <w:r>
        <w:rPr>
          <w:w w:val="110"/>
        </w:rPr>
        <w:t>of</w:t>
      </w:r>
      <w:r>
        <w:rPr>
          <w:spacing w:val="-12"/>
          <w:w w:val="110"/>
        </w:rPr>
        <w:t> </w:t>
      </w:r>
      <w:r>
        <w:rPr>
          <w:w w:val="110"/>
        </w:rPr>
        <w:t>the</w:t>
      </w:r>
      <w:r>
        <w:rPr>
          <w:spacing w:val="-12"/>
          <w:w w:val="110"/>
        </w:rPr>
        <w:t> </w:t>
      </w:r>
      <w:r>
        <w:rPr>
          <w:w w:val="110"/>
        </w:rPr>
        <w:t>recent</w:t>
      </w:r>
      <w:r>
        <w:rPr>
          <w:spacing w:val="-13"/>
          <w:w w:val="110"/>
        </w:rPr>
        <w:t> </w:t>
      </w:r>
      <w:r>
        <w:rPr>
          <w:w w:val="110"/>
        </w:rPr>
        <w:t>depreciation of the sterling effective exchange </w:t>
      </w:r>
      <w:r>
        <w:rPr>
          <w:spacing w:val="-3"/>
          <w:w w:val="110"/>
        </w:rPr>
        <w:t>rate. Together </w:t>
      </w:r>
      <w:r>
        <w:rPr>
          <w:w w:val="110"/>
        </w:rPr>
        <w:t>with continued</w:t>
      </w:r>
      <w:r>
        <w:rPr>
          <w:spacing w:val="-27"/>
          <w:w w:val="110"/>
        </w:rPr>
        <w:t> </w:t>
      </w:r>
      <w:r>
        <w:rPr>
          <w:w w:val="110"/>
        </w:rPr>
        <w:t>relatively</w:t>
      </w:r>
      <w:r>
        <w:rPr>
          <w:spacing w:val="-26"/>
          <w:w w:val="110"/>
        </w:rPr>
        <w:t> </w:t>
      </w:r>
      <w:r>
        <w:rPr>
          <w:w w:val="110"/>
        </w:rPr>
        <w:t>robust</w:t>
      </w:r>
      <w:r>
        <w:rPr>
          <w:spacing w:val="-26"/>
          <w:w w:val="110"/>
        </w:rPr>
        <w:t> </w:t>
      </w:r>
      <w:r>
        <w:rPr>
          <w:w w:val="110"/>
        </w:rPr>
        <w:t>growth</w:t>
      </w:r>
      <w:r>
        <w:rPr>
          <w:spacing w:val="-26"/>
          <w:w w:val="110"/>
        </w:rPr>
        <w:t> </w:t>
      </w:r>
      <w:r>
        <w:rPr>
          <w:w w:val="110"/>
        </w:rPr>
        <w:t>in</w:t>
      </w:r>
      <w:r>
        <w:rPr>
          <w:spacing w:val="-26"/>
          <w:w w:val="110"/>
        </w:rPr>
        <w:t> </w:t>
      </w:r>
      <w:r>
        <w:rPr>
          <w:w w:val="110"/>
        </w:rPr>
        <w:t>domestic</w:t>
      </w:r>
      <w:r>
        <w:rPr>
          <w:spacing w:val="-26"/>
          <w:w w:val="110"/>
        </w:rPr>
        <w:t> </w:t>
      </w:r>
      <w:r>
        <w:rPr>
          <w:w w:val="110"/>
        </w:rPr>
        <w:t>demand,</w:t>
      </w:r>
      <w:r>
        <w:rPr>
          <w:spacing w:val="-26"/>
          <w:w w:val="110"/>
        </w:rPr>
        <w:t> </w:t>
      </w:r>
      <w:r>
        <w:rPr>
          <w:w w:val="110"/>
        </w:rPr>
        <w:t>which will</w:t>
      </w:r>
      <w:r>
        <w:rPr>
          <w:spacing w:val="-16"/>
          <w:w w:val="110"/>
        </w:rPr>
        <w:t> </w:t>
      </w:r>
      <w:r>
        <w:rPr>
          <w:w w:val="110"/>
        </w:rPr>
        <w:t>sustain</w:t>
      </w:r>
      <w:r>
        <w:rPr>
          <w:spacing w:val="-16"/>
          <w:w w:val="110"/>
        </w:rPr>
        <w:t> </w:t>
      </w:r>
      <w:r>
        <w:rPr>
          <w:w w:val="110"/>
        </w:rPr>
        <w:t>quite</w:t>
      </w:r>
      <w:r>
        <w:rPr>
          <w:spacing w:val="-16"/>
          <w:w w:val="110"/>
        </w:rPr>
        <w:t> </w:t>
      </w:r>
      <w:r>
        <w:rPr>
          <w:w w:val="110"/>
        </w:rPr>
        <w:t>rapid</w:t>
      </w:r>
      <w:r>
        <w:rPr>
          <w:spacing w:val="-15"/>
          <w:w w:val="110"/>
        </w:rPr>
        <w:t> </w:t>
      </w:r>
      <w:r>
        <w:rPr>
          <w:spacing w:val="-2"/>
          <w:w w:val="110"/>
        </w:rPr>
        <w:t>growth</w:t>
      </w:r>
      <w:r>
        <w:rPr>
          <w:spacing w:val="-16"/>
          <w:w w:val="110"/>
        </w:rPr>
        <w:t> </w:t>
      </w:r>
      <w:r>
        <w:rPr>
          <w:w w:val="110"/>
        </w:rPr>
        <w:t>in</w:t>
      </w:r>
      <w:r>
        <w:rPr>
          <w:spacing w:val="-16"/>
          <w:w w:val="110"/>
        </w:rPr>
        <w:t> </w:t>
      </w:r>
      <w:r>
        <w:rPr>
          <w:w w:val="110"/>
        </w:rPr>
        <w:t>imports,</w:t>
      </w:r>
      <w:r>
        <w:rPr>
          <w:spacing w:val="-16"/>
          <w:w w:val="110"/>
        </w:rPr>
        <w:t> </w:t>
      </w:r>
      <w:r>
        <w:rPr>
          <w:w w:val="110"/>
        </w:rPr>
        <w:t>that</w:t>
      </w:r>
      <w:r>
        <w:rPr>
          <w:spacing w:val="-15"/>
          <w:w w:val="110"/>
        </w:rPr>
        <w:t> </w:t>
      </w:r>
      <w:r>
        <w:rPr>
          <w:w w:val="110"/>
        </w:rPr>
        <w:t>implies</w:t>
      </w:r>
      <w:r>
        <w:rPr>
          <w:spacing w:val="-16"/>
          <w:w w:val="110"/>
        </w:rPr>
        <w:t> </w:t>
      </w:r>
      <w:r>
        <w:rPr>
          <w:w w:val="110"/>
        </w:rPr>
        <w:t>that</w:t>
      </w:r>
      <w:r>
        <w:rPr>
          <w:spacing w:val="-16"/>
          <w:w w:val="110"/>
        </w:rPr>
        <w:t> </w:t>
      </w:r>
      <w:r>
        <w:rPr>
          <w:w w:val="110"/>
        </w:rPr>
        <w:t>net trade will continue </w:t>
      </w:r>
      <w:r>
        <w:rPr>
          <w:spacing w:val="-4"/>
          <w:w w:val="110"/>
        </w:rPr>
        <w:t>to </w:t>
      </w:r>
      <w:r>
        <w:rPr>
          <w:w w:val="110"/>
        </w:rPr>
        <w:t>make a negative contribution </w:t>
      </w:r>
      <w:r>
        <w:rPr>
          <w:spacing w:val="-4"/>
          <w:w w:val="110"/>
        </w:rPr>
        <w:t>to </w:t>
      </w:r>
      <w:r>
        <w:rPr>
          <w:w w:val="110"/>
        </w:rPr>
        <w:t>GDP growth </w:t>
      </w:r>
      <w:r>
        <w:rPr>
          <w:spacing w:val="-3"/>
          <w:w w:val="110"/>
        </w:rPr>
        <w:t>over </w:t>
      </w:r>
      <w:r>
        <w:rPr>
          <w:w w:val="110"/>
        </w:rPr>
        <w:t>the forecast</w:t>
      </w:r>
      <w:r>
        <w:rPr>
          <w:spacing w:val="-22"/>
          <w:w w:val="110"/>
        </w:rPr>
        <w:t> </w:t>
      </w:r>
      <w:r>
        <w:rPr>
          <w:w w:val="110"/>
        </w:rPr>
        <w:t>period.</w:t>
      </w:r>
    </w:p>
    <w:p>
      <w:pPr>
        <w:pStyle w:val="BodyText"/>
        <w:spacing w:before="6"/>
        <w:rPr>
          <w:sz w:val="22"/>
        </w:rPr>
      </w:pPr>
    </w:p>
    <w:p>
      <w:pPr>
        <w:pStyle w:val="Heading3"/>
        <w:numPr>
          <w:ilvl w:val="1"/>
          <w:numId w:val="8"/>
        </w:numPr>
        <w:tabs>
          <w:tab w:pos="783" w:val="left" w:leader="none"/>
          <w:tab w:pos="784" w:val="left" w:leader="none"/>
          <w:tab w:pos="5682" w:val="left" w:leader="none"/>
        </w:tabs>
        <w:spacing w:line="240" w:lineRule="auto" w:before="0" w:after="0"/>
        <w:ind w:left="783" w:right="0" w:hanging="601"/>
        <w:jc w:val="left"/>
        <w:rPr>
          <w:u w:val="none"/>
        </w:rPr>
      </w:pPr>
      <w:r>
        <w:rPr>
          <w:smallCaps w:val="0"/>
          <w:color w:val="89C6DC"/>
          <w:w w:val="90"/>
          <w:u w:val="single" w:color="006CB4"/>
        </w:rPr>
        <w:t>Domestic</w:t>
      </w:r>
      <w:r>
        <w:rPr>
          <w:smallCaps w:val="0"/>
          <w:color w:val="89C6DC"/>
          <w:spacing w:val="25"/>
          <w:w w:val="90"/>
          <w:u w:val="single" w:color="006CB4"/>
        </w:rPr>
        <w:t> </w:t>
      </w:r>
      <w:r>
        <w:rPr>
          <w:smallCaps w:val="0"/>
          <w:color w:val="89C6DC"/>
          <w:w w:val="90"/>
          <w:u w:val="single" w:color="006CB4"/>
        </w:rPr>
        <w:t>demand</w:t>
      </w:r>
      <w:r>
        <w:rPr>
          <w:smallCaps w:val="0"/>
          <w:color w:val="89C6DC"/>
          <w:u w:val="single" w:color="006CB4"/>
        </w:rPr>
        <w:tab/>
      </w:r>
    </w:p>
    <w:p>
      <w:pPr>
        <w:pStyle w:val="BodyText"/>
        <w:spacing w:line="292" w:lineRule="auto" w:before="255"/>
        <w:ind w:left="303" w:right="306"/>
      </w:pPr>
      <w:r>
        <w:rPr>
          <w:w w:val="110"/>
        </w:rPr>
        <w:t>Final domestic demand </w:t>
      </w:r>
      <w:r>
        <w:rPr>
          <w:spacing w:val="-3"/>
          <w:w w:val="110"/>
        </w:rPr>
        <w:t>grew </w:t>
      </w:r>
      <w:r>
        <w:rPr>
          <w:w w:val="110"/>
        </w:rPr>
        <w:t>by 0.8% in </w:t>
      </w:r>
      <w:r>
        <w:rPr>
          <w:spacing w:val="-4"/>
          <w:w w:val="110"/>
        </w:rPr>
        <w:t>2000 </w:t>
      </w:r>
      <w:r>
        <w:rPr>
          <w:w w:val="110"/>
        </w:rPr>
        <w:t>Q3 (see </w:t>
      </w:r>
      <w:r>
        <w:rPr>
          <w:spacing w:val="-5"/>
          <w:w w:val="110"/>
        </w:rPr>
        <w:t>Table</w:t>
      </w:r>
      <w:r>
        <w:rPr>
          <w:spacing w:val="-26"/>
          <w:w w:val="110"/>
        </w:rPr>
        <w:t> </w:t>
      </w:r>
      <w:r>
        <w:rPr>
          <w:w w:val="110"/>
        </w:rPr>
        <w:t>2.B).</w:t>
      </w:r>
      <w:r>
        <w:rPr>
          <w:spacing w:val="4"/>
          <w:w w:val="110"/>
        </w:rPr>
        <w:t> </w:t>
      </w:r>
      <w:r>
        <w:rPr>
          <w:spacing w:val="-3"/>
          <w:w w:val="110"/>
        </w:rPr>
        <w:t>Private</w:t>
      </w:r>
      <w:r>
        <w:rPr>
          <w:spacing w:val="-25"/>
          <w:w w:val="110"/>
        </w:rPr>
        <w:t> </w:t>
      </w:r>
      <w:r>
        <w:rPr>
          <w:w w:val="110"/>
        </w:rPr>
        <w:t>final</w:t>
      </w:r>
      <w:r>
        <w:rPr>
          <w:spacing w:val="-26"/>
          <w:w w:val="110"/>
        </w:rPr>
        <w:t> </w:t>
      </w:r>
      <w:r>
        <w:rPr>
          <w:w w:val="110"/>
        </w:rPr>
        <w:t>domestic</w:t>
      </w:r>
      <w:r>
        <w:rPr>
          <w:spacing w:val="-25"/>
          <w:w w:val="110"/>
        </w:rPr>
        <w:t> </w:t>
      </w:r>
      <w:r>
        <w:rPr>
          <w:w w:val="110"/>
        </w:rPr>
        <w:t>demand</w:t>
      </w:r>
      <w:r>
        <w:rPr>
          <w:spacing w:val="-26"/>
          <w:w w:val="110"/>
        </w:rPr>
        <w:t> </w:t>
      </w:r>
      <w:r>
        <w:rPr>
          <w:w w:val="110"/>
        </w:rPr>
        <w:t>growth</w:t>
      </w:r>
      <w:r>
        <w:rPr>
          <w:spacing w:val="-25"/>
          <w:w w:val="110"/>
        </w:rPr>
        <w:t> </w:t>
      </w:r>
      <w:r>
        <w:rPr>
          <w:w w:val="110"/>
        </w:rPr>
        <w:t>in</w:t>
      </w:r>
      <w:r>
        <w:rPr>
          <w:spacing w:val="-26"/>
          <w:w w:val="110"/>
        </w:rPr>
        <w:t> </w:t>
      </w:r>
      <w:r>
        <w:rPr>
          <w:w w:val="110"/>
        </w:rPr>
        <w:t>Q3</w:t>
      </w:r>
      <w:r>
        <w:rPr>
          <w:spacing w:val="-25"/>
          <w:w w:val="110"/>
        </w:rPr>
        <w:t> </w:t>
      </w:r>
      <w:r>
        <w:rPr>
          <w:spacing w:val="-3"/>
          <w:w w:val="110"/>
        </w:rPr>
        <w:t>was </w:t>
      </w:r>
      <w:r>
        <w:rPr>
          <w:w w:val="110"/>
        </w:rPr>
        <w:t>close </w:t>
      </w:r>
      <w:r>
        <w:rPr>
          <w:spacing w:val="-4"/>
          <w:w w:val="110"/>
        </w:rPr>
        <w:t>to </w:t>
      </w:r>
      <w:r>
        <w:rPr>
          <w:w w:val="110"/>
        </w:rPr>
        <w:t>that projected in the November </w:t>
      </w:r>
      <w:r>
        <w:rPr>
          <w:i/>
          <w:w w:val="110"/>
        </w:rPr>
        <w:t>Report</w:t>
      </w:r>
      <w:r>
        <w:rPr>
          <w:w w:val="110"/>
        </w:rPr>
        <w:t>, as strong growth</w:t>
      </w:r>
      <w:r>
        <w:rPr>
          <w:spacing w:val="-10"/>
          <w:w w:val="110"/>
        </w:rPr>
        <w:t> </w:t>
      </w:r>
      <w:r>
        <w:rPr>
          <w:w w:val="110"/>
        </w:rPr>
        <w:t>in</w:t>
      </w:r>
      <w:r>
        <w:rPr>
          <w:spacing w:val="-9"/>
          <w:w w:val="110"/>
        </w:rPr>
        <w:t> </w:t>
      </w:r>
      <w:r>
        <w:rPr>
          <w:spacing w:val="-3"/>
          <w:w w:val="110"/>
        </w:rPr>
        <w:t>private</w:t>
      </w:r>
      <w:r>
        <w:rPr>
          <w:spacing w:val="-9"/>
          <w:w w:val="110"/>
        </w:rPr>
        <w:t> </w:t>
      </w:r>
      <w:r>
        <w:rPr>
          <w:w w:val="110"/>
        </w:rPr>
        <w:t>consumption</w:t>
      </w:r>
      <w:r>
        <w:rPr>
          <w:spacing w:val="-9"/>
          <w:w w:val="110"/>
        </w:rPr>
        <w:t> </w:t>
      </w:r>
      <w:r>
        <w:rPr>
          <w:spacing w:val="-3"/>
          <w:w w:val="110"/>
        </w:rPr>
        <w:t>was</w:t>
      </w:r>
      <w:r>
        <w:rPr>
          <w:spacing w:val="-9"/>
          <w:w w:val="110"/>
        </w:rPr>
        <w:t> </w:t>
      </w:r>
      <w:r>
        <w:rPr>
          <w:w w:val="110"/>
        </w:rPr>
        <w:t>offset</w:t>
      </w:r>
      <w:r>
        <w:rPr>
          <w:spacing w:val="-9"/>
          <w:w w:val="110"/>
        </w:rPr>
        <w:t> </w:t>
      </w:r>
      <w:r>
        <w:rPr>
          <w:spacing w:val="-3"/>
          <w:w w:val="110"/>
        </w:rPr>
        <w:t>by</w:t>
      </w:r>
    </w:p>
    <w:p>
      <w:pPr>
        <w:pStyle w:val="BodyText"/>
        <w:spacing w:line="292" w:lineRule="auto"/>
        <w:ind w:left="303" w:right="145"/>
      </w:pPr>
      <w:r>
        <w:rPr>
          <w:spacing w:val="-4"/>
          <w:w w:val="110"/>
        </w:rPr>
        <w:t>weaker-than-projected </w:t>
      </w:r>
      <w:r>
        <w:rPr>
          <w:w w:val="110"/>
        </w:rPr>
        <w:t>growth in </w:t>
      </w:r>
      <w:r>
        <w:rPr>
          <w:spacing w:val="-3"/>
          <w:w w:val="110"/>
        </w:rPr>
        <w:t>private </w:t>
      </w:r>
      <w:r>
        <w:rPr>
          <w:w w:val="110"/>
        </w:rPr>
        <w:t>investment. </w:t>
      </w:r>
      <w:r>
        <w:rPr>
          <w:spacing w:val="-3"/>
          <w:w w:val="110"/>
        </w:rPr>
        <w:t>Growth </w:t>
      </w:r>
      <w:r>
        <w:rPr>
          <w:w w:val="110"/>
        </w:rPr>
        <w:t>in</w:t>
      </w:r>
      <w:r>
        <w:rPr>
          <w:spacing w:val="-20"/>
          <w:w w:val="110"/>
        </w:rPr>
        <w:t> </w:t>
      </w:r>
      <w:r>
        <w:rPr>
          <w:w w:val="110"/>
        </w:rPr>
        <w:t>public</w:t>
      </w:r>
      <w:r>
        <w:rPr>
          <w:spacing w:val="-19"/>
          <w:w w:val="110"/>
        </w:rPr>
        <w:t> </w:t>
      </w:r>
      <w:r>
        <w:rPr>
          <w:w w:val="110"/>
        </w:rPr>
        <w:t>expenditure</w:t>
      </w:r>
      <w:r>
        <w:rPr>
          <w:spacing w:val="-19"/>
          <w:w w:val="110"/>
        </w:rPr>
        <w:t> </w:t>
      </w:r>
      <w:r>
        <w:rPr>
          <w:spacing w:val="-3"/>
          <w:w w:val="110"/>
        </w:rPr>
        <w:t>was</w:t>
      </w:r>
      <w:r>
        <w:rPr>
          <w:spacing w:val="-19"/>
          <w:w w:val="110"/>
        </w:rPr>
        <w:t> </w:t>
      </w:r>
      <w:r>
        <w:rPr>
          <w:w w:val="110"/>
        </w:rPr>
        <w:t>weak,</w:t>
      </w:r>
      <w:r>
        <w:rPr>
          <w:spacing w:val="-19"/>
          <w:w w:val="110"/>
        </w:rPr>
        <w:t> </w:t>
      </w:r>
      <w:r>
        <w:rPr>
          <w:w w:val="110"/>
        </w:rPr>
        <w:t>but</w:t>
      </w:r>
      <w:r>
        <w:rPr>
          <w:spacing w:val="-19"/>
          <w:w w:val="110"/>
        </w:rPr>
        <w:t> </w:t>
      </w:r>
      <w:r>
        <w:rPr>
          <w:w w:val="110"/>
        </w:rPr>
        <w:t>from</w:t>
      </w:r>
      <w:r>
        <w:rPr>
          <w:spacing w:val="-19"/>
          <w:w w:val="110"/>
        </w:rPr>
        <w:t> </w:t>
      </w:r>
      <w:r>
        <w:rPr>
          <w:w w:val="110"/>
        </w:rPr>
        <w:t>a</w:t>
      </w:r>
      <w:r>
        <w:rPr>
          <w:spacing w:val="-19"/>
          <w:w w:val="110"/>
        </w:rPr>
        <w:t> </w:t>
      </w:r>
      <w:r>
        <w:rPr>
          <w:w w:val="110"/>
        </w:rPr>
        <w:t>higher</w:t>
      </w:r>
      <w:r>
        <w:rPr>
          <w:spacing w:val="-19"/>
          <w:w w:val="110"/>
        </w:rPr>
        <w:t> </w:t>
      </w:r>
      <w:r>
        <w:rPr>
          <w:w w:val="110"/>
        </w:rPr>
        <w:t>base,</w:t>
      </w:r>
      <w:r>
        <w:rPr>
          <w:spacing w:val="-19"/>
          <w:w w:val="110"/>
        </w:rPr>
        <w:t> </w:t>
      </w:r>
      <w:r>
        <w:rPr>
          <w:w w:val="110"/>
        </w:rPr>
        <w:t>as</w:t>
      </w:r>
      <w:r>
        <w:rPr>
          <w:spacing w:val="-19"/>
          <w:w w:val="110"/>
        </w:rPr>
        <w:t> </w:t>
      </w:r>
      <w:r>
        <w:rPr>
          <w:w w:val="110"/>
        </w:rPr>
        <w:t>the estimated </w:t>
      </w:r>
      <w:r>
        <w:rPr>
          <w:spacing w:val="-3"/>
          <w:w w:val="110"/>
        </w:rPr>
        <w:t>level </w:t>
      </w:r>
      <w:r>
        <w:rPr>
          <w:w w:val="110"/>
        </w:rPr>
        <w:t>of public expenditure </w:t>
      </w:r>
      <w:r>
        <w:rPr>
          <w:spacing w:val="-3"/>
          <w:w w:val="110"/>
        </w:rPr>
        <w:t>was </w:t>
      </w:r>
      <w:r>
        <w:rPr>
          <w:w w:val="110"/>
        </w:rPr>
        <w:t>revised </w:t>
      </w:r>
      <w:r>
        <w:rPr>
          <w:spacing w:val="-3"/>
          <w:w w:val="110"/>
        </w:rPr>
        <w:t>upwards </w:t>
      </w:r>
      <w:r>
        <w:rPr>
          <w:w w:val="110"/>
        </w:rPr>
        <w:t>in the </w:t>
      </w:r>
      <w:r>
        <w:rPr>
          <w:spacing w:val="-3"/>
          <w:w w:val="110"/>
        </w:rPr>
        <w:t>latest </w:t>
      </w:r>
      <w:r>
        <w:rPr>
          <w:w w:val="110"/>
        </w:rPr>
        <w:t>set of National Accounts. The </w:t>
      </w:r>
      <w:r>
        <w:rPr>
          <w:spacing w:val="-3"/>
          <w:w w:val="110"/>
        </w:rPr>
        <w:t>level </w:t>
      </w:r>
      <w:r>
        <w:rPr>
          <w:w w:val="110"/>
        </w:rPr>
        <w:t>of </w:t>
      </w:r>
      <w:r>
        <w:rPr>
          <w:spacing w:val="-3"/>
          <w:w w:val="110"/>
        </w:rPr>
        <w:t>private </w:t>
      </w:r>
      <w:r>
        <w:rPr>
          <w:w w:val="110"/>
        </w:rPr>
        <w:t>final domestic demand has not been revised much. Growth in </w:t>
      </w:r>
      <w:r>
        <w:rPr>
          <w:spacing w:val="-3"/>
          <w:w w:val="110"/>
        </w:rPr>
        <w:t>private </w:t>
      </w:r>
      <w:r>
        <w:rPr>
          <w:w w:val="110"/>
        </w:rPr>
        <w:t>final domestic demand remains </w:t>
      </w:r>
      <w:r>
        <w:rPr>
          <w:spacing w:val="-3"/>
          <w:w w:val="110"/>
        </w:rPr>
        <w:t>above </w:t>
      </w:r>
      <w:r>
        <w:rPr>
          <w:w w:val="110"/>
        </w:rPr>
        <w:t>trend, though below</w:t>
      </w:r>
      <w:r>
        <w:rPr>
          <w:spacing w:val="-9"/>
          <w:w w:val="110"/>
        </w:rPr>
        <w:t> </w:t>
      </w:r>
      <w:r>
        <w:rPr>
          <w:w w:val="110"/>
        </w:rPr>
        <w:t>the</w:t>
      </w:r>
      <w:r>
        <w:rPr>
          <w:spacing w:val="-9"/>
          <w:w w:val="110"/>
        </w:rPr>
        <w:t> </w:t>
      </w:r>
      <w:r>
        <w:rPr>
          <w:spacing w:val="-4"/>
          <w:w w:val="110"/>
        </w:rPr>
        <w:t>rates</w:t>
      </w:r>
      <w:r>
        <w:rPr>
          <w:spacing w:val="-8"/>
          <w:w w:val="110"/>
        </w:rPr>
        <w:t> </w:t>
      </w:r>
      <w:r>
        <w:rPr>
          <w:w w:val="110"/>
        </w:rPr>
        <w:t>of</w:t>
      </w:r>
      <w:r>
        <w:rPr>
          <w:spacing w:val="-9"/>
          <w:w w:val="110"/>
        </w:rPr>
        <w:t> </w:t>
      </w:r>
      <w:r>
        <w:rPr>
          <w:w w:val="110"/>
        </w:rPr>
        <w:t>increase</w:t>
      </w:r>
      <w:r>
        <w:rPr>
          <w:spacing w:val="-8"/>
          <w:w w:val="110"/>
        </w:rPr>
        <w:t> </w:t>
      </w:r>
      <w:r>
        <w:rPr>
          <w:w w:val="110"/>
        </w:rPr>
        <w:t>seen</w:t>
      </w:r>
      <w:r>
        <w:rPr>
          <w:spacing w:val="-9"/>
          <w:w w:val="110"/>
        </w:rPr>
        <w:t> </w:t>
      </w:r>
      <w:r>
        <w:rPr>
          <w:w w:val="110"/>
        </w:rPr>
        <w:t>in</w:t>
      </w:r>
      <w:r>
        <w:rPr>
          <w:spacing w:val="-9"/>
          <w:w w:val="110"/>
        </w:rPr>
        <w:t> </w:t>
      </w:r>
      <w:r>
        <w:rPr>
          <w:spacing w:val="-12"/>
          <w:w w:val="110"/>
        </w:rPr>
        <w:t>1999.</w:t>
      </w:r>
      <w:r>
        <w:rPr>
          <w:spacing w:val="-4"/>
          <w:w w:val="110"/>
        </w:rPr>
        <w:t> </w:t>
      </w:r>
      <w:r>
        <w:rPr>
          <w:w w:val="110"/>
        </w:rPr>
        <w:t>Chart</w:t>
      </w:r>
      <w:r>
        <w:rPr>
          <w:spacing w:val="-8"/>
          <w:w w:val="110"/>
        </w:rPr>
        <w:t> </w:t>
      </w:r>
      <w:r>
        <w:rPr>
          <w:w w:val="110"/>
        </w:rPr>
        <w:t>2.6</w:t>
      </w:r>
      <w:r>
        <w:rPr>
          <w:spacing w:val="-9"/>
          <w:w w:val="110"/>
        </w:rPr>
        <w:t> </w:t>
      </w:r>
      <w:r>
        <w:rPr>
          <w:w w:val="110"/>
        </w:rPr>
        <w:t>shows</w:t>
      </w:r>
      <w:r>
        <w:rPr>
          <w:spacing w:val="-9"/>
          <w:w w:val="110"/>
        </w:rPr>
        <w:t> </w:t>
      </w:r>
      <w:r>
        <w:rPr>
          <w:w w:val="110"/>
        </w:rPr>
        <w:t>that the </w:t>
      </w:r>
      <w:r>
        <w:rPr>
          <w:spacing w:val="-3"/>
          <w:w w:val="110"/>
        </w:rPr>
        <w:t>slowdown </w:t>
      </w:r>
      <w:r>
        <w:rPr>
          <w:w w:val="110"/>
        </w:rPr>
        <w:t>has been accounted for </w:t>
      </w:r>
      <w:r>
        <w:rPr>
          <w:spacing w:val="-3"/>
          <w:w w:val="110"/>
        </w:rPr>
        <w:t>by slower </w:t>
      </w:r>
      <w:r>
        <w:rPr>
          <w:w w:val="110"/>
        </w:rPr>
        <w:t>growth in </w:t>
      </w:r>
      <w:r>
        <w:rPr>
          <w:spacing w:val="-3"/>
          <w:w w:val="110"/>
        </w:rPr>
        <w:t>private</w:t>
      </w:r>
      <w:r>
        <w:rPr>
          <w:spacing w:val="-10"/>
          <w:w w:val="110"/>
        </w:rPr>
        <w:t> </w:t>
      </w:r>
      <w:r>
        <w:rPr>
          <w:w w:val="110"/>
        </w:rPr>
        <w:t>investment,</w:t>
      </w:r>
      <w:r>
        <w:rPr>
          <w:spacing w:val="-10"/>
          <w:w w:val="110"/>
        </w:rPr>
        <w:t> </w:t>
      </w:r>
      <w:r>
        <w:rPr>
          <w:w w:val="110"/>
        </w:rPr>
        <w:t>in</w:t>
      </w:r>
      <w:r>
        <w:rPr>
          <w:spacing w:val="-9"/>
          <w:w w:val="110"/>
        </w:rPr>
        <w:t> </w:t>
      </w:r>
      <w:r>
        <w:rPr>
          <w:w w:val="110"/>
        </w:rPr>
        <w:t>particular</w:t>
      </w:r>
      <w:r>
        <w:rPr>
          <w:spacing w:val="-10"/>
          <w:w w:val="110"/>
        </w:rPr>
        <w:t> </w:t>
      </w:r>
      <w:r>
        <w:rPr>
          <w:w w:val="110"/>
        </w:rPr>
        <w:t>business</w:t>
      </w:r>
      <w:r>
        <w:rPr>
          <w:spacing w:val="-9"/>
          <w:w w:val="110"/>
        </w:rPr>
        <w:t> </w:t>
      </w:r>
      <w:r>
        <w:rPr>
          <w:spacing w:val="-3"/>
          <w:w w:val="110"/>
        </w:rPr>
        <w:t>investment.</w:t>
      </w:r>
    </w:p>
    <w:p>
      <w:pPr>
        <w:spacing w:after="0" w:line="292" w:lineRule="auto"/>
        <w:sectPr>
          <w:type w:val="continuous"/>
          <w:pgSz w:w="11900" w:h="16840"/>
          <w:pgMar w:top="1260" w:bottom="280" w:left="640" w:right="640"/>
          <w:cols w:num="2" w:equalWidth="0">
            <w:col w:w="4753" w:space="47"/>
            <w:col w:w="5820"/>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pPr>
      <w:bookmarkStart w:name="Household sector consumption" w:id="48"/>
      <w:bookmarkEnd w:id="48"/>
      <w:r>
        <w:rPr>
          <w:b w:val="0"/>
        </w:rPr>
      </w:r>
      <w:bookmarkStart w:name="_bookmark23" w:id="49"/>
      <w:bookmarkEnd w:id="49"/>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7"/>
        </w:rPr>
        <w:t>2.6</w:t>
      </w:r>
    </w:p>
    <w:p>
      <w:pPr>
        <w:spacing w:line="230" w:lineRule="exact" w:before="8"/>
        <w:ind w:left="178" w:right="0" w:firstLine="0"/>
        <w:jc w:val="left"/>
        <w:rPr>
          <w:sz w:val="12"/>
        </w:rPr>
      </w:pPr>
      <w:r>
        <w:rPr>
          <w:rFonts w:ascii="Trebuchet MS"/>
          <w:b/>
          <w:color w:val="89C6DC"/>
          <w:w w:val="95"/>
          <w:sz w:val="20"/>
        </w:rPr>
        <w:t>Final</w:t>
      </w:r>
      <w:r>
        <w:rPr>
          <w:rFonts w:ascii="Trebuchet MS"/>
          <w:b/>
          <w:color w:val="89C6DC"/>
          <w:spacing w:val="-29"/>
          <w:w w:val="95"/>
          <w:sz w:val="20"/>
        </w:rPr>
        <w:t> </w:t>
      </w:r>
      <w:r>
        <w:rPr>
          <w:rFonts w:ascii="Trebuchet MS"/>
          <w:b/>
          <w:color w:val="89C6DC"/>
          <w:w w:val="95"/>
          <w:sz w:val="20"/>
        </w:rPr>
        <w:t>domestic</w:t>
      </w:r>
      <w:r>
        <w:rPr>
          <w:rFonts w:ascii="Trebuchet MS"/>
          <w:b/>
          <w:color w:val="89C6DC"/>
          <w:spacing w:val="-29"/>
          <w:w w:val="95"/>
          <w:sz w:val="20"/>
        </w:rPr>
        <w:t> </w:t>
      </w:r>
      <w:r>
        <w:rPr>
          <w:rFonts w:ascii="Trebuchet MS"/>
          <w:b/>
          <w:color w:val="89C6DC"/>
          <w:w w:val="95"/>
          <w:sz w:val="20"/>
        </w:rPr>
        <w:t>demand</w:t>
      </w:r>
      <w:r>
        <w:rPr>
          <w:w w:val="95"/>
          <w:position w:val="4"/>
          <w:sz w:val="12"/>
        </w:rPr>
        <w:t>(a)</w:t>
      </w:r>
    </w:p>
    <w:p>
      <w:pPr>
        <w:pStyle w:val="BodyText"/>
        <w:spacing w:before="8"/>
      </w:pPr>
      <w:r>
        <w:rPr/>
        <w:br w:type="column"/>
      </w:r>
      <w:r>
        <w:rPr/>
      </w:r>
    </w:p>
    <w:p>
      <w:pPr>
        <w:spacing w:before="0"/>
        <w:ind w:left="178" w:right="0" w:firstLine="0"/>
        <w:jc w:val="left"/>
        <w:rPr>
          <w:rFonts w:ascii="Trebuchet MS"/>
          <w:b/>
          <w:sz w:val="20"/>
        </w:rPr>
      </w:pPr>
      <w:r>
        <w:rPr>
          <w:rFonts w:ascii="Trebuchet MS"/>
          <w:b/>
          <w:color w:val="89C6DC"/>
          <w:sz w:val="20"/>
        </w:rPr>
        <w:t>Household sector consumption</w:t>
      </w:r>
    </w:p>
    <w:p>
      <w:pPr>
        <w:spacing w:after="0"/>
        <w:jc w:val="left"/>
        <w:rPr>
          <w:rFonts w:ascii="Trebuchet MS"/>
          <w:sz w:val="20"/>
        </w:rPr>
        <w:sectPr>
          <w:type w:val="continuous"/>
          <w:pgSz w:w="11900" w:h="16840"/>
          <w:pgMar w:top="1260" w:bottom="280" w:left="640" w:right="640"/>
          <w:cols w:num="2" w:equalWidth="0">
            <w:col w:w="2331" w:space="2485"/>
            <w:col w:w="5804"/>
          </w:cols>
        </w:sectPr>
      </w:pPr>
    </w:p>
    <w:p>
      <w:pPr>
        <w:spacing w:line="297" w:lineRule="auto" w:before="80"/>
        <w:ind w:left="431" w:right="0" w:firstLine="0"/>
        <w:jc w:val="left"/>
        <w:rPr>
          <w:sz w:val="12"/>
        </w:rPr>
      </w:pPr>
      <w:r>
        <w:rPr/>
        <w:pict>
          <v:group style="position:absolute;margin-left:42.466pt;margin-top:4.154617pt;width:8.2pt;height:16.05pt;mso-position-horizontal-relative:page;mso-position-vertical-relative:paragraph;z-index:15974912" coordorigin="849,83" coordsize="164,321">
            <v:rect style="position:absolute;left:854;top:245;width:154;height:154" filled="true" fillcolor="#00a2a0" stroked="false">
              <v:fill type="solid"/>
            </v:rect>
            <v:rect style="position:absolute;left:854;top:245;width:154;height:154" filled="false" stroked="true" strokeweight=".5pt" strokecolor="#000000">
              <v:stroke dashstyle="solid"/>
            </v:rect>
            <v:rect style="position:absolute;left:854;top:88;width:154;height:154" filled="true" fillcolor="#ebf3da" stroked="false">
              <v:fill type="solid"/>
            </v:rect>
            <v:rect style="position:absolute;left:854;top:88;width:154;height:154" filled="false" stroked="true" strokeweight=".5pt" strokecolor="#000000">
              <v:stroke dashstyle="solid"/>
            </v:rect>
            <w10:wrap type="none"/>
          </v:group>
        </w:pict>
      </w:r>
      <w:r>
        <w:rPr>
          <w:w w:val="110"/>
          <w:sz w:val="12"/>
        </w:rPr>
        <w:t>Private investment </w:t>
      </w:r>
      <w:r>
        <w:rPr>
          <w:w w:val="105"/>
          <w:sz w:val="12"/>
        </w:rPr>
        <w:t>Household consumption</w:t>
      </w:r>
    </w:p>
    <w:p>
      <w:pPr>
        <w:pStyle w:val="BodyText"/>
        <w:spacing w:before="4" w:after="40"/>
        <w:rPr>
          <w:sz w:val="23"/>
        </w:rPr>
      </w:pPr>
    </w:p>
    <w:p>
      <w:pPr>
        <w:pStyle w:val="BodyText"/>
        <w:spacing w:line="20" w:lineRule="exact"/>
        <w:ind w:left="21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1"/>
        <w:rPr>
          <w:sz w:val="26"/>
        </w:rPr>
      </w:pPr>
      <w:r>
        <w:rPr/>
        <w:pict>
          <v:shape style="position:absolute;margin-left:42.754002pt;margin-top:17.219pt;width:4.350pt;height:.1pt;mso-position-horizontal-relative:page;mso-position-vertical-relative:paragraph;z-index:-15495680;mso-wrap-distance-left:0;mso-wrap-distance-right:0" coordorigin="855,344" coordsize="87,0" path="m855,344l942,344e" filled="false" stroked="true" strokeweight=".5pt" strokecolor="#000000">
            <v:path arrowok="t"/>
            <v:stroke dashstyle="solid"/>
            <w10:wrap type="topAndBottom"/>
          </v:shape>
        </w:pict>
      </w:r>
      <w:r>
        <w:rPr/>
        <w:pict>
          <v:shape style="position:absolute;margin-left:42.754002pt;margin-top:35.188pt;width:4.350pt;height:.1pt;mso-position-horizontal-relative:page;mso-position-vertical-relative:paragraph;z-index:-15495168;mso-wrap-distance-left:0;mso-wrap-distance-right:0" coordorigin="855,704" coordsize="87,0" path="m855,704l942,704e" filled="false" stroked="true" strokeweight=".5pt" strokecolor="#000000">
            <v:path arrowok="t"/>
            <v:stroke dashstyle="solid"/>
            <w10:wrap type="topAndBottom"/>
          </v:shape>
        </w:pict>
      </w:r>
      <w:r>
        <w:rPr/>
        <w:pict>
          <v:shape style="position:absolute;margin-left:42.754002pt;margin-top:53.155998pt;width:4.350pt;height:.1pt;mso-position-horizontal-relative:page;mso-position-vertical-relative:paragraph;z-index:-15494656;mso-wrap-distance-left:0;mso-wrap-distance-right:0" coordorigin="855,1063" coordsize="87,0" path="m855,1063l942,1063e" filled="false" stroked="true" strokeweight=".5pt" strokecolor="#000000">
            <v:path arrowok="t"/>
            <v:stroke dashstyle="solid"/>
            <w10:wrap type="topAndBottom"/>
          </v:shape>
        </w:pict>
      </w:r>
      <w:r>
        <w:rPr/>
        <w:pict>
          <v:shape style="position:absolute;margin-left:42.754002pt;margin-top:71.125pt;width:4.350pt;height:.1pt;mso-position-horizontal-relative:page;mso-position-vertical-relative:paragraph;z-index:-15494144;mso-wrap-distance-left:0;mso-wrap-distance-right:0" coordorigin="855,1423" coordsize="87,0" path="m855,1423l942,1423e" filled="false" stroked="true" strokeweight=".5pt" strokecolor="#000000">
            <v:path arrowok="t"/>
            <v:stroke dashstyle="solid"/>
            <w10:wrap type="topAndBottom"/>
          </v:shape>
        </w:pict>
      </w:r>
      <w:r>
        <w:rPr/>
        <w:pict>
          <v:shape style="position:absolute;margin-left:42.754002pt;margin-top:89.094002pt;width:4.350pt;height:.1pt;mso-position-horizontal-relative:page;mso-position-vertical-relative:paragraph;z-index:-15493632;mso-wrap-distance-left:0;mso-wrap-distance-right:0" coordorigin="855,1782" coordsize="87,0" path="m855,1782l942,1782e" filled="false" stroked="true" strokeweight=".5pt" strokecolor="#000000">
            <v:path arrowok="t"/>
            <v:stroke dashstyle="solid"/>
            <w10:wrap type="topAndBottom"/>
          </v:shape>
        </w:pict>
      </w:r>
      <w:r>
        <w:rPr/>
        <w:pict>
          <v:shape style="position:absolute;margin-left:42.754002pt;margin-top:106.875pt;width:4.350pt;height:.1pt;mso-position-horizontal-relative:page;mso-position-vertical-relative:paragraph;z-index:-15493120;mso-wrap-distance-left:0;mso-wrap-distance-right:0" coordorigin="855,2138" coordsize="87,0" path="m855,2138l942,2138e" filled="false" stroked="true" strokeweight=".5pt" strokecolor="#000000">
            <v:path arrowok="t"/>
            <v:stroke dashstyle="solid"/>
            <w10:wrap type="topAndBottom"/>
          </v:shape>
        </w:pict>
      </w:r>
      <w:r>
        <w:rPr/>
        <w:pict>
          <v:shape style="position:absolute;margin-left:42.754002pt;margin-top:125.030998pt;width:4.350pt;height:.1pt;mso-position-horizontal-relative:page;mso-position-vertical-relative:paragraph;z-index:-15492608;mso-wrap-distance-left:0;mso-wrap-distance-right:0" coordorigin="855,2501" coordsize="87,0" path="m855,2501l942,2501e" filled="false" stroked="true" strokeweight=".5pt" strokecolor="#000000">
            <v:path arrowok="t"/>
            <v:stroke dashstyle="solid"/>
            <w10:wrap type="topAndBottom"/>
          </v:shape>
        </w:pict>
      </w:r>
    </w:p>
    <w:p>
      <w:pPr>
        <w:pStyle w:val="BodyText"/>
        <w:spacing w:before="5"/>
        <w:rPr>
          <w:sz w:val="24"/>
        </w:rPr>
      </w:pPr>
    </w:p>
    <w:p>
      <w:pPr>
        <w:pStyle w:val="BodyText"/>
        <w:spacing w:before="5"/>
        <w:rPr>
          <w:sz w:val="24"/>
        </w:rPr>
      </w:pPr>
    </w:p>
    <w:p>
      <w:pPr>
        <w:pStyle w:val="BodyText"/>
        <w:spacing w:before="5"/>
        <w:rPr>
          <w:sz w:val="24"/>
        </w:rPr>
      </w:pPr>
    </w:p>
    <w:p>
      <w:pPr>
        <w:pStyle w:val="BodyText"/>
        <w:spacing w:before="5"/>
        <w:rPr>
          <w:sz w:val="24"/>
        </w:rPr>
      </w:pPr>
    </w:p>
    <w:p>
      <w:pPr>
        <w:pStyle w:val="BodyText"/>
        <w:spacing w:before="1"/>
        <w:rPr>
          <w:sz w:val="24"/>
        </w:rPr>
      </w:pPr>
    </w:p>
    <w:p>
      <w:pPr>
        <w:pStyle w:val="BodyText"/>
        <w:spacing w:before="9"/>
        <w:rPr>
          <w:sz w:val="24"/>
        </w:rPr>
      </w:pPr>
    </w:p>
    <w:p>
      <w:pPr>
        <w:spacing w:before="91"/>
        <w:ind w:left="242" w:right="0" w:firstLine="0"/>
        <w:jc w:val="left"/>
        <w:rPr>
          <w:sz w:val="12"/>
        </w:rPr>
      </w:pPr>
      <w:r>
        <w:rPr/>
        <w:br w:type="column"/>
      </w:r>
      <w:r>
        <w:rPr>
          <w:w w:val="105"/>
          <w:sz w:val="12"/>
        </w:rPr>
        <w:t>Public demand</w:t>
      </w:r>
    </w:p>
    <w:p>
      <w:pPr>
        <w:spacing w:before="22"/>
        <w:ind w:left="242" w:right="0" w:firstLine="0"/>
        <w:jc w:val="left"/>
        <w:rPr>
          <w:sz w:val="12"/>
        </w:rPr>
      </w:pPr>
      <w:r>
        <w:rPr/>
        <w:pict>
          <v:group style="position:absolute;margin-left:120.789001pt;margin-top:-7.28646pt;width:9.050pt;height:12.25pt;mso-position-horizontal-relative:page;mso-position-vertical-relative:paragraph;z-index:15974400" coordorigin="2416,-146" coordsize="181,245">
            <v:line style="position:absolute" from="2416,89" to="2596,89" stroked="true" strokeweight="1pt" strokecolor="#de0035">
              <v:stroke dashstyle="solid"/>
            </v:line>
            <v:rect style="position:absolute;left:2428;top:-141;width:154;height:154" filled="true" fillcolor="#006caa" stroked="false">
              <v:fill type="solid"/>
            </v:rect>
            <v:rect style="position:absolute;left:2428;top:-141;width:154;height:154" filled="false" stroked="true" strokeweight=".5pt" strokecolor="#000000">
              <v:stroke dashstyle="solid"/>
            </v:rect>
            <w10:wrap type="none"/>
          </v:group>
        </w:pict>
      </w:r>
      <w:r>
        <w:rPr>
          <w:w w:val="105"/>
          <w:sz w:val="12"/>
        </w:rPr>
        <w:t>Final domestic demand</w:t>
      </w:r>
    </w:p>
    <w:p>
      <w:pPr>
        <w:spacing w:line="129" w:lineRule="exact" w:before="70"/>
        <w:ind w:left="-34" w:right="161" w:firstLine="0"/>
        <w:jc w:val="right"/>
        <w:rPr>
          <w:sz w:val="12"/>
        </w:rPr>
      </w:pPr>
      <w:r>
        <w:rPr>
          <w:w w:val="110"/>
          <w:sz w:val="12"/>
        </w:rPr>
        <w:t>Contributions to annual</w:t>
      </w:r>
      <w:r>
        <w:rPr>
          <w:spacing w:val="-15"/>
          <w:w w:val="110"/>
          <w:sz w:val="12"/>
        </w:rPr>
        <w:t> </w:t>
      </w:r>
      <w:r>
        <w:rPr>
          <w:spacing w:val="-3"/>
          <w:w w:val="110"/>
          <w:sz w:val="12"/>
        </w:rPr>
        <w:t>growth,</w:t>
      </w:r>
    </w:p>
    <w:p>
      <w:pPr>
        <w:spacing w:line="102" w:lineRule="exact" w:before="0"/>
        <w:ind w:left="-34" w:right="161" w:firstLine="0"/>
        <w:jc w:val="right"/>
        <w:rPr>
          <w:sz w:val="12"/>
        </w:rPr>
      </w:pPr>
      <w:r>
        <w:rPr>
          <w:w w:val="110"/>
          <w:sz w:val="12"/>
        </w:rPr>
        <w:t>percentage</w:t>
      </w:r>
      <w:r>
        <w:rPr>
          <w:spacing w:val="2"/>
          <w:w w:val="110"/>
          <w:sz w:val="12"/>
        </w:rPr>
        <w:t> </w:t>
      </w:r>
      <w:r>
        <w:rPr>
          <w:w w:val="110"/>
          <w:sz w:val="12"/>
        </w:rPr>
        <w:t>poin</w:t>
      </w:r>
      <w:r>
        <w:rPr>
          <w:w w:val="110"/>
          <w:sz w:val="12"/>
          <w:u w:val="single"/>
        </w:rPr>
        <w:t>ts</w:t>
      </w:r>
    </w:p>
    <w:p>
      <w:pPr>
        <w:spacing w:line="111" w:lineRule="exact" w:before="0"/>
        <w:ind w:left="1684" w:right="0" w:firstLine="0"/>
        <w:jc w:val="left"/>
        <w:rPr>
          <w:sz w:val="12"/>
        </w:rPr>
      </w:pPr>
      <w:r>
        <w:rPr>
          <w:w w:val="121"/>
          <w:sz w:val="12"/>
        </w:rPr>
        <w:t>6</w:t>
      </w:r>
    </w:p>
    <w:p>
      <w:pPr>
        <w:pStyle w:val="BodyText"/>
        <w:rPr>
          <w:sz w:val="12"/>
        </w:rPr>
      </w:pPr>
    </w:p>
    <w:p>
      <w:pPr>
        <w:spacing w:before="83"/>
        <w:ind w:left="0" w:right="38" w:firstLine="0"/>
        <w:jc w:val="right"/>
        <w:rPr>
          <w:sz w:val="12"/>
        </w:rPr>
      </w:pPr>
      <w:r>
        <w:rPr/>
        <w:pict>
          <v:group style="position:absolute;margin-left:51.785999pt;margin-top:1.158167pt;width:140.75pt;height:115.25pt;mso-position-horizontal-relative:page;mso-position-vertical-relative:paragraph;z-index:15968768" coordorigin="1036,23" coordsize="2815,2305">
            <v:rect style="position:absolute;left:1042;top:1238;width:63;height:710" filled="true" fillcolor="#00a2a0" stroked="false">
              <v:fill type="solid"/>
            </v:rect>
            <v:rect style="position:absolute;left:1042;top:1238;width:63;height:710" filled="false" stroked="true" strokeweight=".5pt" strokecolor="#000000">
              <v:stroke dashstyle="solid"/>
            </v:rect>
            <v:rect style="position:absolute;left:1042;top:965;width:63;height:275" filled="true" fillcolor="#ebf3da" stroked="false">
              <v:fill type="solid"/>
            </v:rect>
            <v:rect style="position:absolute;left:1042;top:965;width:63;height:275" filled="false" stroked="true" strokeweight=".5pt" strokecolor="#000000">
              <v:stroke dashstyle="solid"/>
            </v:rect>
            <v:rect style="position:absolute;left:1042;top:1945;width:63;height:123" filled="true" fillcolor="#006caa" stroked="false">
              <v:fill type="solid"/>
            </v:rect>
            <v:rect style="position:absolute;left:1042;top:1945;width:63;height:123" filled="false" stroked="true" strokeweight=".5pt" strokecolor="#000000">
              <v:stroke dashstyle="solid"/>
            </v:rect>
            <v:rect style="position:absolute;left:1234;top:1058;width:73;height:890" filled="true" fillcolor="#00a2a0" stroked="false">
              <v:fill type="solid"/>
            </v:rect>
            <v:rect style="position:absolute;left:1234;top:1058;width:73;height:890" filled="false" stroked="true" strokeweight=".5pt" strokecolor="#000000">
              <v:stroke dashstyle="solid"/>
            </v:rect>
            <v:rect style="position:absolute;left:1234;top:365;width:73;height:695" filled="true" fillcolor="#ebf3da" stroked="false">
              <v:fill type="solid"/>
            </v:rect>
            <v:rect style="position:absolute;left:1234;top:365;width:73;height:695" filled="false" stroked="true" strokeweight=".5pt" strokecolor="#000000">
              <v:stroke dashstyle="solid"/>
            </v:rect>
            <v:rect style="position:absolute;left:1234;top:1945;width:73;height:378" filled="true" fillcolor="#006caa" stroked="false">
              <v:fill type="solid"/>
            </v:rect>
            <v:rect style="position:absolute;left:1234;top:1945;width:73;height:378" filled="false" stroked="true" strokeweight=".5pt" strokecolor="#000000">
              <v:stroke dashstyle="solid"/>
            </v:rect>
            <v:line style="position:absolute" from="1072,1073" to="1265,726" stroked="true" strokeweight="1pt" strokecolor="#de0035">
              <v:stroke dashstyle="solid"/>
            </v:line>
            <v:rect style="position:absolute;left:1437;top:995;width:63;height:953" filled="true" fillcolor="#00a2a0" stroked="false">
              <v:fill type="solid"/>
            </v:rect>
            <v:rect style="position:absolute;left:1437;top:995;width:63;height:953" filled="false" stroked="true" strokeweight=".5pt" strokecolor="#000000">
              <v:stroke dashstyle="solid"/>
            </v:rect>
            <v:rect style="position:absolute;left:1437;top:440;width:63;height:558" filled="true" fillcolor="#ebf3da" stroked="false">
              <v:fill type="solid"/>
            </v:rect>
            <v:rect style="position:absolute;left:1437;top:440;width:63;height:558" filled="false" stroked="true" strokeweight=".5pt" strokecolor="#000000">
              <v:stroke dashstyle="solid"/>
            </v:rect>
            <v:rect style="position:absolute;left:1437;top:1945;width:63;height:168" filled="true" fillcolor="#006caa" stroked="false">
              <v:fill type="solid"/>
            </v:rect>
            <v:rect style="position:absolute;left:1437;top:1945;width:63;height:168" filled="false" stroked="true" strokeweight=".5pt" strokecolor="#000000">
              <v:stroke dashstyle="solid"/>
            </v:rect>
            <v:line style="position:absolute" from="1265,726" to="1467,561" stroked="true" strokeweight="1pt" strokecolor="#de0035">
              <v:stroke dashstyle="solid"/>
            </v:line>
            <v:rect style="position:absolute;left:1629;top:980;width:63;height:968" filled="true" fillcolor="#00a2a0" stroked="false">
              <v:fill type="solid"/>
            </v:rect>
            <v:rect style="position:absolute;left:1629;top:980;width:63;height:968" filled="false" stroked="true" strokeweight=".5pt" strokecolor="#000000">
              <v:stroke dashstyle="solid"/>
            </v:rect>
            <v:rect style="position:absolute;left:1629;top:470;width:63;height:513" filled="true" fillcolor="#ebf3da" stroked="false">
              <v:fill type="solid"/>
            </v:rect>
            <v:rect style="position:absolute;left:1629;top:470;width:63;height:513" filled="false" stroked="true" strokeweight=".5pt" strokecolor="#000000">
              <v:stroke dashstyle="solid"/>
            </v:rect>
            <v:rect style="position:absolute;left:1629;top:455;width:63;height:18" filled="true" fillcolor="#006caa" stroked="false">
              <v:fill type="solid"/>
            </v:rect>
            <v:rect style="position:absolute;left:1629;top:455;width:63;height:18" filled="false" stroked="true" strokeweight=".5pt" strokecolor="#000000">
              <v:stroke dashstyle="solid"/>
            </v:rect>
            <v:line style="position:absolute" from="1467,561" to="1660,426" stroked="true" strokeweight="1pt" strokecolor="#de0035">
              <v:stroke dashstyle="solid"/>
            </v:line>
            <v:rect style="position:absolute;left:1822;top:905;width:65;height:1043" filled="true" fillcolor="#00a2a0" stroked="false">
              <v:fill type="solid"/>
            </v:rect>
            <v:rect style="position:absolute;left:1822;top:905;width:65;height:1043" filled="false" stroked="true" strokeweight=".5pt" strokecolor="#000000">
              <v:stroke dashstyle="solid"/>
            </v:rect>
            <v:rect style="position:absolute;left:1822;top:78;width:65;height:830" filled="true" fillcolor="#ebf3da" stroked="false">
              <v:fill type="solid"/>
            </v:rect>
            <v:rect style="position:absolute;left:1822;top:78;width:65;height:830" filled="false" stroked="true" strokeweight=".5pt" strokecolor="#000000">
              <v:stroke dashstyle="solid"/>
            </v:rect>
            <v:rect style="position:absolute;left:1822;top:1945;width:65;height:33" filled="true" fillcolor="#006caa" stroked="false">
              <v:fill type="solid"/>
            </v:rect>
            <v:rect style="position:absolute;left:1822;top:1945;width:65;height:33" filled="false" stroked="true" strokeweight=".5pt" strokecolor="#000000">
              <v:stroke dashstyle="solid"/>
            </v:rect>
            <v:line style="position:absolute" from="1660,426" to="1852,33" stroked="true" strokeweight="1pt" strokecolor="#de0035">
              <v:stroke dashstyle="solid"/>
            </v:line>
            <v:rect style="position:absolute;left:2014;top:1058;width:75;height:890" filled="true" fillcolor="#00a2a0" stroked="false">
              <v:fill type="solid"/>
            </v:rect>
            <v:rect style="position:absolute;left:2014;top:1058;width:75;height:890" filled="false" stroked="true" strokeweight=".5pt" strokecolor="#000000">
              <v:stroke dashstyle="solid"/>
            </v:rect>
            <v:rect style="position:absolute;left:2014;top:515;width:75;height:545" filled="true" fillcolor="#ebf3da" stroked="false">
              <v:fill type="solid"/>
            </v:rect>
            <v:rect style="position:absolute;left:2014;top:515;width:75;height:545" filled="false" stroked="true" strokeweight=".5pt" strokecolor="#000000">
              <v:stroke dashstyle="solid"/>
            </v:rect>
            <v:rect style="position:absolute;left:2014;top:410;width:75;height:108" filled="true" fillcolor="#006caa" stroked="false">
              <v:fill type="solid"/>
            </v:rect>
            <v:rect style="position:absolute;left:2014;top:410;width:75;height:108" filled="false" stroked="true" strokeweight=".5pt" strokecolor="#000000">
              <v:stroke dashstyle="solid"/>
            </v:rect>
            <v:line style="position:absolute" from="1852,33" to="2045,366" stroked="true" strokeweight="1pt" strokecolor="#de0035">
              <v:stroke dashstyle="solid"/>
            </v:line>
            <v:rect style="position:absolute;left:2217;top:1118;width:65;height:830" filled="true" fillcolor="#00a2a0" stroked="false">
              <v:fill type="solid"/>
            </v:rect>
            <v:rect style="position:absolute;left:2217;top:1118;width:65;height:830" filled="false" stroked="true" strokeweight=".5pt" strokecolor="#000000">
              <v:stroke dashstyle="solid"/>
            </v:rect>
            <v:rect style="position:absolute;left:2217;top:530;width:65;height:590" filled="true" fillcolor="#ebf3da" stroked="false">
              <v:fill type="solid"/>
            </v:rect>
            <v:rect style="position:absolute;left:2217;top:530;width:65;height:590" filled="false" stroked="true" strokeweight=".5pt" strokecolor="#000000">
              <v:stroke dashstyle="solid"/>
            </v:rect>
            <v:rect style="position:absolute;left:2217;top:410;width:65;height:123" filled="true" fillcolor="#006caa" stroked="false">
              <v:fill type="solid"/>
            </v:rect>
            <v:rect style="position:absolute;left:2217;top:410;width:65;height:123" filled="false" stroked="true" strokeweight=".5pt" strokecolor="#000000">
              <v:stroke dashstyle="solid"/>
            </v:rect>
            <v:line style="position:absolute" from="2045,366" to="2250,318" stroked="true" strokeweight="1pt" strokecolor="#de0035">
              <v:stroke dashstyle="solid"/>
            </v:line>
            <v:rect style="position:absolute;left:2409;top:1193;width:65;height:755" filled="true" fillcolor="#00a2a0" stroked="false">
              <v:fill type="solid"/>
            </v:rect>
            <v:rect style="position:absolute;left:2409;top:1193;width:65;height:755" filled="false" stroked="true" strokeweight=".5pt" strokecolor="#000000">
              <v:stroke dashstyle="solid"/>
            </v:rect>
            <v:rect style="position:absolute;left:2409;top:725;width:65;height:470" filled="true" fillcolor="#ebf3da" stroked="false">
              <v:fill type="solid"/>
            </v:rect>
            <v:rect style="position:absolute;left:2409;top:725;width:65;height:470" filled="false" stroked="true" strokeweight=".5pt" strokecolor="#000000">
              <v:stroke dashstyle="solid"/>
            </v:rect>
            <v:rect style="position:absolute;left:2409;top:545;width:65;height:183" filled="true" fillcolor="#006caa" stroked="false">
              <v:fill type="solid"/>
            </v:rect>
            <v:rect style="position:absolute;left:2409;top:545;width:65;height:183" filled="false" stroked="true" strokeweight=".5pt" strokecolor="#000000">
              <v:stroke dashstyle="solid"/>
            </v:rect>
            <v:line style="position:absolute" from="2250,318" to="2442,486" stroked="true" strokeweight="1pt" strokecolor="#de0035">
              <v:stroke dashstyle="solid"/>
            </v:line>
            <v:rect style="position:absolute;left:2604;top:1013;width:63;height:935" filled="true" fillcolor="#00a2a0" stroked="false">
              <v:fill type="solid"/>
            </v:rect>
            <v:rect style="position:absolute;left:2604;top:1013;width:63;height:935" filled="false" stroked="true" strokeweight=".5pt" strokecolor="#000000">
              <v:stroke dashstyle="solid"/>
            </v:rect>
            <v:rect style="position:absolute;left:2604;top:575;width:63;height:440" filled="true" fillcolor="#ebf3da" stroked="false">
              <v:fill type="solid"/>
            </v:rect>
            <v:rect style="position:absolute;left:2604;top:575;width:63;height:440" filled="false" stroked="true" strokeweight=".5pt" strokecolor="#000000">
              <v:stroke dashstyle="solid"/>
            </v:rect>
            <v:rect style="position:absolute;left:2604;top:288;width:63;height:290" filled="true" fillcolor="#006caa" stroked="false">
              <v:fill type="solid"/>
            </v:rect>
            <v:rect style="position:absolute;left:2604;top:288;width:63;height:290" filled="false" stroked="true" strokeweight=".5pt" strokecolor="#000000">
              <v:stroke dashstyle="solid"/>
            </v:rect>
            <v:line style="position:absolute" from="2442,486" to="2635,273" stroked="true" strokeweight="1pt" strokecolor="#de0035">
              <v:stroke dashstyle="solid"/>
            </v:line>
            <v:rect style="position:absolute;left:2797;top:980;width:73;height:968" filled="true" fillcolor="#00a2a0" stroked="false">
              <v:fill type="solid"/>
            </v:rect>
            <v:rect style="position:absolute;left:2797;top:980;width:73;height:968" filled="false" stroked="true" strokeweight=".5pt" strokecolor="#000000">
              <v:stroke dashstyle="solid"/>
            </v:rect>
            <v:rect style="position:absolute;left:2797;top:650;width:73;height:333" filled="true" fillcolor="#ebf3da" stroked="false">
              <v:fill type="solid"/>
            </v:rect>
            <v:rect style="position:absolute;left:2797;top:650;width:73;height:333" filled="false" stroked="true" strokeweight=".5pt" strokecolor="#000000">
              <v:stroke dashstyle="solid"/>
            </v:rect>
            <v:rect style="position:absolute;left:2797;top:365;width:73;height:288" filled="true" fillcolor="#006caa" stroked="false">
              <v:fill type="solid"/>
            </v:rect>
            <v:rect style="position:absolute;left:2797;top:365;width:73;height:288" filled="false" stroked="true" strokeweight=".5pt" strokecolor="#000000">
              <v:stroke dashstyle="solid"/>
            </v:rect>
            <v:line style="position:absolute" from="2635,273" to="2837,333" stroked="true" strokeweight="1pt" strokecolor="#de0035">
              <v:stroke dashstyle="solid"/>
            </v:line>
            <v:rect style="position:absolute;left:2999;top:980;width:63;height:968" filled="true" fillcolor="#00a2a0" stroked="false">
              <v:fill type="solid"/>
            </v:rect>
            <v:rect style="position:absolute;left:2999;top:980;width:63;height:968" filled="false" stroked="true" strokeweight=".5pt" strokecolor="#000000">
              <v:stroke dashstyle="solid"/>
            </v:rect>
            <v:rect style="position:absolute;left:2999;top:710;width:63;height:273" filled="true" fillcolor="#ebf3da" stroked="false">
              <v:fill type="solid"/>
            </v:rect>
            <v:rect style="position:absolute;left:2999;top:710;width:63;height:273" filled="false" stroked="true" strokeweight=".5pt" strokecolor="#000000">
              <v:stroke dashstyle="solid"/>
            </v:rect>
            <v:rect style="position:absolute;left:2999;top:500;width:63;height:213" filled="true" fillcolor="#006caa" stroked="false">
              <v:fill type="solid"/>
            </v:rect>
            <v:rect style="position:absolute;left:2999;top:500;width:63;height:213" filled="false" stroked="true" strokeweight=".5pt" strokecolor="#000000">
              <v:stroke dashstyle="solid"/>
            </v:rect>
            <v:line style="position:absolute" from="2837,333" to="3030,531" stroked="true" strokeweight="1pt" strokecolor="#de0035">
              <v:stroke dashstyle="solid"/>
            </v:line>
            <v:rect style="position:absolute;left:3192;top:845;width:63;height:1103" filled="true" fillcolor="#00a2a0" stroked="false">
              <v:fill type="solid"/>
            </v:rect>
            <v:rect style="position:absolute;left:3192;top:845;width:63;height:1103" filled="false" stroked="true" strokeweight=".5pt" strokecolor="#000000">
              <v:stroke dashstyle="solid"/>
            </v:rect>
            <v:rect style="position:absolute;left:3192;top:425;width:63;height:423" filled="true" fillcolor="#ebf3da" stroked="false">
              <v:fill type="solid"/>
            </v:rect>
            <v:rect style="position:absolute;left:3192;top:425;width:63;height:423" filled="false" stroked="true" strokeweight=".5pt" strokecolor="#000000">
              <v:stroke dashstyle="solid"/>
            </v:rect>
            <v:rect style="position:absolute;left:3192;top:228;width:63;height:200" filled="true" fillcolor="#006caa" stroked="false">
              <v:fill type="solid"/>
            </v:rect>
            <v:rect style="position:absolute;left:3192;top:228;width:63;height:200" filled="false" stroked="true" strokeweight=".5pt" strokecolor="#000000">
              <v:stroke dashstyle="solid"/>
            </v:rect>
            <v:line style="position:absolute" from="3030,531" to="3222,213" stroked="true" strokeweight="1pt" strokecolor="#de0035">
              <v:stroke dashstyle="solid"/>
            </v:line>
            <v:rect style="position:absolute;left:3384;top:1103;width:63;height:845" filled="true" fillcolor="#00a2a0" stroked="false">
              <v:fill type="solid"/>
            </v:rect>
            <v:rect style="position:absolute;left:3384;top:1103;width:63;height:845" filled="false" stroked="true" strokeweight=".5pt" strokecolor="#000000">
              <v:stroke dashstyle="solid"/>
            </v:rect>
            <v:rect style="position:absolute;left:3384;top:935;width:63;height:170" filled="true" fillcolor="#ebf3da" stroked="false">
              <v:fill type="solid"/>
            </v:rect>
            <v:rect style="position:absolute;left:3384;top:935;width:63;height:170" filled="false" stroked="true" strokeweight=".5pt" strokecolor="#000000">
              <v:stroke dashstyle="solid"/>
            </v:rect>
            <v:rect style="position:absolute;left:3384;top:890;width:63;height:48" filled="true" fillcolor="#006caa" stroked="false">
              <v:fill type="solid"/>
            </v:rect>
            <v:rect style="position:absolute;left:3384;top:890;width:63;height:48" filled="false" stroked="true" strokeweight=".5pt" strokecolor="#000000">
              <v:stroke dashstyle="solid"/>
            </v:rect>
            <v:line style="position:absolute" from="3222,213" to="3415,861" stroked="true" strokeweight="1pt" strokecolor="#de0035">
              <v:stroke dashstyle="solid"/>
            </v:line>
            <v:rect style="position:absolute;left:3577;top:1103;width:73;height:845" filled="true" fillcolor="#00a2a0" stroked="false">
              <v:fill type="solid"/>
            </v:rect>
            <v:rect style="position:absolute;left:3577;top:1103;width:73;height:845" filled="false" stroked="true" strokeweight=".5pt" strokecolor="#000000">
              <v:stroke dashstyle="solid"/>
            </v:rect>
            <v:rect style="position:absolute;left:3577;top:995;width:73;height:110" filled="true" fillcolor="#ebf3da" stroked="false">
              <v:fill type="solid"/>
            </v:rect>
            <v:rect style="position:absolute;left:3577;top:995;width:73;height:110" filled="false" stroked="true" strokeweight=".5pt" strokecolor="#000000">
              <v:stroke dashstyle="solid"/>
            </v:rect>
            <v:rect style="position:absolute;left:3577;top:680;width:73;height:318" filled="true" fillcolor="#006caa" stroked="false">
              <v:fill type="solid"/>
            </v:rect>
            <v:rect style="position:absolute;left:3577;top:680;width:73;height:318" filled="false" stroked="true" strokeweight=".5pt" strokecolor="#000000">
              <v:stroke dashstyle="solid"/>
            </v:rect>
            <v:line style="position:absolute" from="3415,861" to="3617,681" stroked="true" strokeweight="1pt" strokecolor="#de0035">
              <v:stroke dashstyle="solid"/>
            </v:line>
            <v:rect style="position:absolute;left:3779;top:1013;width:65;height:935" filled="true" fillcolor="#00a2a0" stroked="false">
              <v:fill type="solid"/>
            </v:rect>
            <v:rect style="position:absolute;left:3779;top:1013;width:65;height:935" filled="false" stroked="true" strokeweight=".5pt" strokecolor="#000000">
              <v:stroke dashstyle="solid"/>
            </v:rect>
            <v:rect style="position:absolute;left:3779;top:920;width:65;height:95" filled="true" fillcolor="#ebf3da" stroked="false">
              <v:fill type="solid"/>
            </v:rect>
            <v:rect style="position:absolute;left:3779;top:920;width:65;height:95" filled="false" stroked="true" strokeweight=".5pt" strokecolor="#000000">
              <v:stroke dashstyle="solid"/>
            </v:rect>
            <v:rect style="position:absolute;left:3779;top:620;width:65;height:303" filled="true" fillcolor="#006caa" stroked="false">
              <v:fill type="solid"/>
            </v:rect>
            <v:rect style="position:absolute;left:3779;top:620;width:65;height:303" filled="false" stroked="true" strokeweight=".5pt" strokecolor="#000000">
              <v:stroke dashstyle="solid"/>
            </v:rect>
            <v:line style="position:absolute" from="3617,681" to="3810,591" stroked="true" strokeweight="1pt" strokecolor="#de0035">
              <v:stroke dashstyle="solid"/>
            </v:line>
            <v:line style="position:absolute" from="1036,1948" to="3849,1948" stroked="true" strokeweight=".5pt" strokecolor="#000000">
              <v:stroke dashstyle="solid"/>
            </v:line>
            <w10:wrap type="none"/>
          </v:group>
        </w:pict>
      </w:r>
      <w:r>
        <w:rPr/>
        <w:pict>
          <v:line style="position:absolute;mso-position-horizontal-relative:page;mso-position-vertical-relative:paragraph;z-index:15970304" from="196.406998pt,7.928166pt" to="200.738998pt,7.928166pt" stroked="true" strokeweight=".5pt" strokecolor="#000000">
            <v:stroke dashstyle="solid"/>
            <w10:wrap type="none"/>
          </v:line>
        </w:pict>
      </w:r>
      <w:r>
        <w:rPr>
          <w:w w:val="121"/>
          <w:sz w:val="12"/>
        </w:rPr>
        <w:t>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970816" from="196.406998pt,7.978355pt" to="200.738998pt,7.978355pt" stroked="true" strokeweight=".5pt" strokecolor="#000000">
            <v:stroke dashstyle="solid"/>
            <w10:wrap type="none"/>
          </v:line>
        </w:pict>
      </w:r>
      <w:r>
        <w:rPr>
          <w:w w:val="121"/>
          <w:sz w:val="12"/>
        </w:rPr>
        <w:t>4</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971328" from="196.406998pt,7.927545pt" to="200.738998pt,7.927545pt" stroked="true" strokeweight=".5pt" strokecolor="#000000">
            <v:stroke dashstyle="solid"/>
            <w10:wrap type="none"/>
          </v:line>
        </w:pict>
      </w:r>
      <w:r>
        <w:rPr>
          <w:w w:val="121"/>
          <w:sz w:val="12"/>
        </w:rPr>
        <w:t>3</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971840" from="196.406998pt,7.927733pt" to="200.738998pt,7.927733pt" stroked="true" strokeweight=".5pt" strokecolor="#000000">
            <v:stroke dashstyle="solid"/>
            <w10:wrap type="none"/>
          </v:line>
        </w:pict>
      </w:r>
      <w:r>
        <w:rPr>
          <w:w w:val="121"/>
          <w:sz w:val="12"/>
        </w:rPr>
        <w:t>2</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972352" from="196.406998pt,7.977983pt" to="200.738998pt,7.977983pt" stroked="true" strokeweight=".5pt" strokecolor="#000000">
            <v:stroke dashstyle="solid"/>
            <w10:wrap type="none"/>
          </v:line>
        </w:pict>
      </w:r>
      <w:r>
        <w:rPr>
          <w:w w:val="121"/>
          <w:sz w:val="12"/>
        </w:rPr>
        <w:t>1</w:t>
      </w:r>
    </w:p>
    <w:p>
      <w:pPr>
        <w:spacing w:line="170" w:lineRule="exact" w:before="64"/>
        <w:ind w:left="1617" w:right="0" w:firstLine="0"/>
        <w:jc w:val="left"/>
        <w:rPr>
          <w:sz w:val="16"/>
        </w:rPr>
      </w:pPr>
      <w:r>
        <w:rPr>
          <w:w w:val="107"/>
          <w:sz w:val="16"/>
        </w:rPr>
        <w:t>+</w:t>
      </w:r>
    </w:p>
    <w:p>
      <w:pPr>
        <w:spacing w:line="90" w:lineRule="exact" w:before="0"/>
        <w:ind w:left="1684" w:right="0" w:firstLine="0"/>
        <w:jc w:val="left"/>
        <w:rPr>
          <w:sz w:val="12"/>
        </w:rPr>
      </w:pPr>
      <w:r>
        <w:rPr/>
        <w:pict>
          <v:line style="position:absolute;mso-position-horizontal-relative:page;mso-position-vertical-relative:paragraph;z-index:15973376" from="196.406998pt,2.73186pt" to="200.738998pt,2.73186pt" stroked="true" strokeweight=".5pt" strokecolor="#000000">
            <v:stroke dashstyle="solid"/>
            <w10:wrap type="none"/>
          </v:line>
        </w:pict>
      </w:r>
      <w:r>
        <w:rPr>
          <w:w w:val="121"/>
          <w:sz w:val="12"/>
        </w:rPr>
        <w:t>0</w:t>
      </w:r>
    </w:p>
    <w:p>
      <w:pPr>
        <w:spacing w:line="150" w:lineRule="exact" w:before="0"/>
        <w:ind w:left="1619" w:right="0" w:firstLine="0"/>
        <w:jc w:val="left"/>
        <w:rPr>
          <w:sz w:val="16"/>
        </w:rPr>
      </w:pPr>
      <w:r>
        <w:rPr>
          <w:w w:val="117"/>
          <w:sz w:val="16"/>
        </w:rPr>
        <w:t>–</w:t>
      </w:r>
    </w:p>
    <w:p>
      <w:pPr>
        <w:spacing w:before="107"/>
        <w:ind w:left="0" w:right="38" w:firstLine="0"/>
        <w:jc w:val="right"/>
        <w:rPr>
          <w:sz w:val="12"/>
        </w:rPr>
      </w:pPr>
      <w:r>
        <w:rPr/>
        <w:pict>
          <v:line style="position:absolute;mso-position-horizontal-relative:page;mso-position-vertical-relative:paragraph;z-index:15972864" from="196.406998pt,9.127361pt" to="200.738998pt,9.127361pt" stroked="true" strokeweight=".5pt" strokecolor="#000000">
            <v:stroke dashstyle="solid"/>
            <w10:wrap type="none"/>
          </v:line>
        </w:pict>
      </w:r>
      <w:r>
        <w:rPr>
          <w:w w:val="121"/>
          <w:sz w:val="12"/>
        </w:rPr>
        <w:t>1</w:t>
      </w:r>
    </w:p>
    <w:p>
      <w:pPr>
        <w:pStyle w:val="BodyText"/>
        <w:spacing w:line="192" w:lineRule="exact"/>
        <w:ind w:left="431"/>
      </w:pPr>
      <w:r>
        <w:rPr/>
        <w:br w:type="column"/>
      </w:r>
      <w:r>
        <w:rPr>
          <w:w w:val="110"/>
        </w:rPr>
        <w:t>Household consumption grew by 1.0% in 2000 Q3. Spending</w:t>
      </w:r>
    </w:p>
    <w:p>
      <w:pPr>
        <w:pStyle w:val="BodyText"/>
        <w:spacing w:line="292" w:lineRule="auto" w:before="50"/>
        <w:ind w:left="431" w:right="113"/>
      </w:pPr>
      <w:r>
        <w:rPr>
          <w:spacing w:val="-3"/>
          <w:w w:val="110"/>
        </w:rPr>
        <w:t>grew </w:t>
      </w:r>
      <w:r>
        <w:rPr>
          <w:w w:val="110"/>
        </w:rPr>
        <w:t>more quickly during </w:t>
      </w:r>
      <w:r>
        <w:rPr>
          <w:spacing w:val="-4"/>
          <w:w w:val="110"/>
        </w:rPr>
        <w:t>2000 </w:t>
      </w:r>
      <w:r>
        <w:rPr>
          <w:w w:val="110"/>
        </w:rPr>
        <w:t>than </w:t>
      </w:r>
      <w:r>
        <w:rPr>
          <w:spacing w:val="-3"/>
          <w:w w:val="110"/>
        </w:rPr>
        <w:t>projected, </w:t>
      </w:r>
      <w:r>
        <w:rPr>
          <w:w w:val="110"/>
        </w:rPr>
        <w:t>and has been revised</w:t>
      </w:r>
      <w:r>
        <w:rPr>
          <w:spacing w:val="-15"/>
          <w:w w:val="110"/>
        </w:rPr>
        <w:t> </w:t>
      </w:r>
      <w:r>
        <w:rPr>
          <w:w w:val="110"/>
        </w:rPr>
        <w:t>up</w:t>
      </w:r>
      <w:r>
        <w:rPr>
          <w:spacing w:val="-14"/>
          <w:w w:val="110"/>
        </w:rPr>
        <w:t> </w:t>
      </w:r>
      <w:r>
        <w:rPr>
          <w:w w:val="110"/>
        </w:rPr>
        <w:t>in</w:t>
      </w:r>
      <w:r>
        <w:rPr>
          <w:spacing w:val="-14"/>
          <w:w w:val="110"/>
        </w:rPr>
        <w:t> </w:t>
      </w:r>
      <w:r>
        <w:rPr>
          <w:w w:val="110"/>
        </w:rPr>
        <w:t>the</w:t>
      </w:r>
      <w:r>
        <w:rPr>
          <w:spacing w:val="-15"/>
          <w:w w:val="110"/>
        </w:rPr>
        <w:t> </w:t>
      </w:r>
      <w:r>
        <w:rPr>
          <w:spacing w:val="-3"/>
          <w:w w:val="110"/>
        </w:rPr>
        <w:t>latest</w:t>
      </w:r>
      <w:r>
        <w:rPr>
          <w:spacing w:val="-14"/>
          <w:w w:val="110"/>
        </w:rPr>
        <w:t> </w:t>
      </w:r>
      <w:r>
        <w:rPr>
          <w:w w:val="110"/>
        </w:rPr>
        <w:t>set</w:t>
      </w:r>
      <w:r>
        <w:rPr>
          <w:spacing w:val="-14"/>
          <w:w w:val="110"/>
        </w:rPr>
        <w:t> </w:t>
      </w:r>
      <w:r>
        <w:rPr>
          <w:w w:val="110"/>
        </w:rPr>
        <w:t>of</w:t>
      </w:r>
      <w:r>
        <w:rPr>
          <w:spacing w:val="-15"/>
          <w:w w:val="110"/>
        </w:rPr>
        <w:t> </w:t>
      </w:r>
      <w:r>
        <w:rPr>
          <w:w w:val="110"/>
        </w:rPr>
        <w:t>National</w:t>
      </w:r>
      <w:r>
        <w:rPr>
          <w:spacing w:val="-14"/>
          <w:w w:val="110"/>
        </w:rPr>
        <w:t> </w:t>
      </w:r>
      <w:r>
        <w:rPr>
          <w:w w:val="110"/>
        </w:rPr>
        <w:t>Accounts</w:t>
      </w:r>
      <w:r>
        <w:rPr>
          <w:spacing w:val="-14"/>
          <w:w w:val="110"/>
        </w:rPr>
        <w:t> </w:t>
      </w:r>
      <w:r>
        <w:rPr>
          <w:w w:val="110"/>
        </w:rPr>
        <w:t>for</w:t>
      </w:r>
      <w:r>
        <w:rPr>
          <w:spacing w:val="-14"/>
          <w:w w:val="110"/>
        </w:rPr>
        <w:t> </w:t>
      </w:r>
      <w:r>
        <w:rPr>
          <w:w w:val="110"/>
        </w:rPr>
        <w:t>the</w:t>
      </w:r>
      <w:r>
        <w:rPr>
          <w:spacing w:val="-15"/>
          <w:w w:val="110"/>
        </w:rPr>
        <w:t> </w:t>
      </w:r>
      <w:r>
        <w:rPr>
          <w:w w:val="110"/>
        </w:rPr>
        <w:t>period since </w:t>
      </w:r>
      <w:r>
        <w:rPr>
          <w:spacing w:val="-15"/>
          <w:w w:val="110"/>
        </w:rPr>
        <w:t>1999 </w:t>
      </w:r>
      <w:r>
        <w:rPr>
          <w:w w:val="110"/>
        </w:rPr>
        <w:t>Q1. Consumption has been strong, despite persistent</w:t>
      </w:r>
      <w:r>
        <w:rPr>
          <w:spacing w:val="-19"/>
          <w:w w:val="110"/>
        </w:rPr>
        <w:t> </w:t>
      </w:r>
      <w:r>
        <w:rPr>
          <w:w w:val="110"/>
        </w:rPr>
        <w:t>weakness</w:t>
      </w:r>
      <w:r>
        <w:rPr>
          <w:spacing w:val="-20"/>
          <w:w w:val="110"/>
        </w:rPr>
        <w:t> </w:t>
      </w:r>
      <w:r>
        <w:rPr>
          <w:w w:val="110"/>
        </w:rPr>
        <w:t>in</w:t>
      </w:r>
      <w:r>
        <w:rPr>
          <w:spacing w:val="-19"/>
          <w:w w:val="110"/>
        </w:rPr>
        <w:t> </w:t>
      </w:r>
      <w:r>
        <w:rPr>
          <w:w w:val="110"/>
        </w:rPr>
        <w:t>spending</w:t>
      </w:r>
      <w:r>
        <w:rPr>
          <w:spacing w:val="-19"/>
          <w:w w:val="110"/>
        </w:rPr>
        <w:t> </w:t>
      </w:r>
      <w:r>
        <w:rPr>
          <w:w w:val="110"/>
        </w:rPr>
        <w:t>on</w:t>
      </w:r>
      <w:r>
        <w:rPr>
          <w:spacing w:val="-19"/>
          <w:w w:val="110"/>
        </w:rPr>
        <w:t> </w:t>
      </w:r>
      <w:r>
        <w:rPr>
          <w:w w:val="110"/>
        </w:rPr>
        <w:t>vehicles</w:t>
      </w:r>
      <w:r>
        <w:rPr>
          <w:spacing w:val="-19"/>
          <w:w w:val="110"/>
        </w:rPr>
        <w:t> </w:t>
      </w:r>
      <w:r>
        <w:rPr>
          <w:spacing w:val="-3"/>
          <w:w w:val="110"/>
        </w:rPr>
        <w:t>over</w:t>
      </w:r>
      <w:r>
        <w:rPr>
          <w:spacing w:val="-19"/>
          <w:w w:val="110"/>
        </w:rPr>
        <w:t> </w:t>
      </w:r>
      <w:r>
        <w:rPr>
          <w:w w:val="110"/>
        </w:rPr>
        <w:t>the</w:t>
      </w:r>
      <w:r>
        <w:rPr>
          <w:spacing w:val="-19"/>
          <w:w w:val="110"/>
        </w:rPr>
        <w:t> </w:t>
      </w:r>
      <w:r>
        <w:rPr>
          <w:w w:val="110"/>
        </w:rPr>
        <w:t>past</w:t>
      </w:r>
      <w:r>
        <w:rPr>
          <w:spacing w:val="-19"/>
          <w:w w:val="110"/>
        </w:rPr>
        <w:t> </w:t>
      </w:r>
      <w:r>
        <w:rPr>
          <w:spacing w:val="-5"/>
          <w:w w:val="110"/>
        </w:rPr>
        <w:t>two </w:t>
      </w:r>
      <w:r>
        <w:rPr>
          <w:spacing w:val="-3"/>
          <w:w w:val="110"/>
        </w:rPr>
        <w:t>years </w:t>
      </w:r>
      <w:r>
        <w:rPr>
          <w:w w:val="110"/>
        </w:rPr>
        <w:t>(see Chart 2.7). An explanation for the </w:t>
      </w:r>
      <w:r>
        <w:rPr>
          <w:spacing w:val="-3"/>
          <w:w w:val="110"/>
        </w:rPr>
        <w:t>latter </w:t>
      </w:r>
      <w:r>
        <w:rPr>
          <w:w w:val="110"/>
        </w:rPr>
        <w:t>is that consumers</w:t>
      </w:r>
      <w:r>
        <w:rPr>
          <w:spacing w:val="-21"/>
          <w:w w:val="110"/>
        </w:rPr>
        <w:t> </w:t>
      </w:r>
      <w:r>
        <w:rPr>
          <w:spacing w:val="-3"/>
          <w:w w:val="110"/>
        </w:rPr>
        <w:t>have</w:t>
      </w:r>
      <w:r>
        <w:rPr>
          <w:spacing w:val="-20"/>
          <w:w w:val="110"/>
        </w:rPr>
        <w:t> </w:t>
      </w:r>
      <w:r>
        <w:rPr>
          <w:spacing w:val="-3"/>
          <w:w w:val="110"/>
        </w:rPr>
        <w:t>delayed</w:t>
      </w:r>
      <w:r>
        <w:rPr>
          <w:spacing w:val="-21"/>
          <w:w w:val="110"/>
        </w:rPr>
        <w:t> </w:t>
      </w:r>
      <w:r>
        <w:rPr>
          <w:w w:val="110"/>
        </w:rPr>
        <w:t>purchases</w:t>
      </w:r>
      <w:r>
        <w:rPr>
          <w:spacing w:val="-20"/>
          <w:w w:val="110"/>
        </w:rPr>
        <w:t> </w:t>
      </w:r>
      <w:r>
        <w:rPr>
          <w:w w:val="110"/>
        </w:rPr>
        <w:t>of</w:t>
      </w:r>
      <w:r>
        <w:rPr>
          <w:spacing w:val="-21"/>
          <w:w w:val="110"/>
        </w:rPr>
        <w:t> </w:t>
      </w:r>
      <w:r>
        <w:rPr>
          <w:w w:val="110"/>
        </w:rPr>
        <w:t>vehicles</w:t>
      </w:r>
      <w:r>
        <w:rPr>
          <w:spacing w:val="-20"/>
          <w:w w:val="110"/>
        </w:rPr>
        <w:t> </w:t>
      </w:r>
      <w:r>
        <w:rPr>
          <w:w w:val="110"/>
        </w:rPr>
        <w:t>in</w:t>
      </w:r>
      <w:r>
        <w:rPr>
          <w:spacing w:val="-20"/>
          <w:w w:val="110"/>
        </w:rPr>
        <w:t> </w:t>
      </w:r>
      <w:r>
        <w:rPr>
          <w:w w:val="110"/>
        </w:rPr>
        <w:t>anticipation of price reductions, in the light of the recent </w:t>
      </w:r>
      <w:r>
        <w:rPr>
          <w:spacing w:val="-3"/>
          <w:w w:val="110"/>
        </w:rPr>
        <w:t>review </w:t>
      </w:r>
      <w:r>
        <w:rPr>
          <w:w w:val="110"/>
        </w:rPr>
        <w:t>of car retailing </w:t>
      </w:r>
      <w:r>
        <w:rPr>
          <w:spacing w:val="-3"/>
          <w:w w:val="110"/>
        </w:rPr>
        <w:t>by </w:t>
      </w:r>
      <w:r>
        <w:rPr>
          <w:w w:val="110"/>
        </w:rPr>
        <w:t>the Competition Commission. Following the report,</w:t>
      </w:r>
      <w:r>
        <w:rPr>
          <w:spacing w:val="-8"/>
          <w:w w:val="110"/>
        </w:rPr>
        <w:t> </w:t>
      </w:r>
      <w:r>
        <w:rPr>
          <w:w w:val="110"/>
        </w:rPr>
        <w:t>car</w:t>
      </w:r>
      <w:r>
        <w:rPr>
          <w:spacing w:val="-8"/>
          <w:w w:val="110"/>
        </w:rPr>
        <w:t> </w:t>
      </w:r>
      <w:r>
        <w:rPr>
          <w:w w:val="110"/>
        </w:rPr>
        <w:t>producers</w:t>
      </w:r>
      <w:r>
        <w:rPr>
          <w:spacing w:val="-7"/>
          <w:w w:val="110"/>
        </w:rPr>
        <w:t> </w:t>
      </w:r>
      <w:r>
        <w:rPr>
          <w:spacing w:val="-3"/>
          <w:w w:val="110"/>
        </w:rPr>
        <w:t>were</w:t>
      </w:r>
      <w:r>
        <w:rPr>
          <w:spacing w:val="-8"/>
          <w:w w:val="110"/>
        </w:rPr>
        <w:t> </w:t>
      </w:r>
      <w:r>
        <w:rPr>
          <w:w w:val="110"/>
        </w:rPr>
        <w:t>required</w:t>
      </w:r>
      <w:r>
        <w:rPr>
          <w:spacing w:val="-7"/>
          <w:w w:val="110"/>
        </w:rPr>
        <w:t> </w:t>
      </w:r>
      <w:r>
        <w:rPr>
          <w:spacing w:val="-4"/>
          <w:w w:val="110"/>
        </w:rPr>
        <w:t>to</w:t>
      </w:r>
      <w:r>
        <w:rPr>
          <w:spacing w:val="-8"/>
          <w:w w:val="110"/>
        </w:rPr>
        <w:t> </w:t>
      </w:r>
      <w:r>
        <w:rPr>
          <w:w w:val="110"/>
        </w:rPr>
        <w:t>offer</w:t>
      </w:r>
      <w:r>
        <w:rPr>
          <w:spacing w:val="-7"/>
          <w:w w:val="110"/>
        </w:rPr>
        <w:t> </w:t>
      </w:r>
      <w:r>
        <w:rPr>
          <w:w w:val="110"/>
        </w:rPr>
        <w:t>retailers</w:t>
      </w:r>
    </w:p>
    <w:p>
      <w:pPr>
        <w:pStyle w:val="BodyText"/>
        <w:spacing w:line="292" w:lineRule="auto"/>
        <w:ind w:left="431" w:right="113"/>
      </w:pPr>
      <w:r>
        <w:rPr>
          <w:w w:val="110"/>
        </w:rPr>
        <w:t>volume-related</w:t>
      </w:r>
      <w:r>
        <w:rPr>
          <w:spacing w:val="-25"/>
          <w:w w:val="110"/>
        </w:rPr>
        <w:t> </w:t>
      </w:r>
      <w:r>
        <w:rPr>
          <w:w w:val="110"/>
        </w:rPr>
        <w:t>discounts,</w:t>
      </w:r>
      <w:r>
        <w:rPr>
          <w:spacing w:val="-25"/>
          <w:w w:val="110"/>
        </w:rPr>
        <w:t> </w:t>
      </w:r>
      <w:r>
        <w:rPr>
          <w:w w:val="110"/>
        </w:rPr>
        <w:t>equivalent</w:t>
      </w:r>
      <w:r>
        <w:rPr>
          <w:spacing w:val="-25"/>
          <w:w w:val="110"/>
        </w:rPr>
        <w:t> </w:t>
      </w:r>
      <w:r>
        <w:rPr>
          <w:spacing w:val="-4"/>
          <w:w w:val="110"/>
        </w:rPr>
        <w:t>to</w:t>
      </w:r>
      <w:r>
        <w:rPr>
          <w:spacing w:val="-25"/>
          <w:w w:val="110"/>
        </w:rPr>
        <w:t> </w:t>
      </w:r>
      <w:r>
        <w:rPr>
          <w:w w:val="110"/>
        </w:rPr>
        <w:t>those</w:t>
      </w:r>
      <w:r>
        <w:rPr>
          <w:spacing w:val="-25"/>
          <w:w w:val="110"/>
        </w:rPr>
        <w:t> </w:t>
      </w:r>
      <w:r>
        <w:rPr>
          <w:w w:val="110"/>
        </w:rPr>
        <w:t>offered</w:t>
      </w:r>
      <w:r>
        <w:rPr>
          <w:spacing w:val="-25"/>
          <w:w w:val="110"/>
        </w:rPr>
        <w:t> </w:t>
      </w:r>
      <w:r>
        <w:rPr>
          <w:spacing w:val="-4"/>
          <w:w w:val="110"/>
        </w:rPr>
        <w:t>to</w:t>
      </w:r>
      <w:r>
        <w:rPr>
          <w:spacing w:val="-25"/>
          <w:w w:val="110"/>
        </w:rPr>
        <w:t> </w:t>
      </w:r>
      <w:r>
        <w:rPr>
          <w:w w:val="110"/>
        </w:rPr>
        <w:t>fleet </w:t>
      </w:r>
      <w:r>
        <w:rPr>
          <w:spacing w:val="-3"/>
          <w:w w:val="110"/>
        </w:rPr>
        <w:t>buyers,</w:t>
      </w:r>
      <w:r>
        <w:rPr>
          <w:spacing w:val="-17"/>
          <w:w w:val="110"/>
        </w:rPr>
        <w:t> </w:t>
      </w:r>
      <w:r>
        <w:rPr>
          <w:spacing w:val="-3"/>
          <w:w w:val="110"/>
        </w:rPr>
        <w:t>by</w:t>
      </w:r>
      <w:r>
        <w:rPr>
          <w:spacing w:val="-17"/>
          <w:w w:val="110"/>
        </w:rPr>
        <w:t> </w:t>
      </w:r>
      <w:r>
        <w:rPr>
          <w:w w:val="110"/>
        </w:rPr>
        <w:t>1</w:t>
      </w:r>
      <w:r>
        <w:rPr>
          <w:spacing w:val="-17"/>
          <w:w w:val="110"/>
        </w:rPr>
        <w:t> </w:t>
      </w:r>
      <w:r>
        <w:rPr>
          <w:w w:val="110"/>
        </w:rPr>
        <w:t>December</w:t>
      </w:r>
      <w:r>
        <w:rPr>
          <w:spacing w:val="-17"/>
          <w:w w:val="110"/>
        </w:rPr>
        <w:t> </w:t>
      </w:r>
      <w:r>
        <w:rPr>
          <w:spacing w:val="-4"/>
          <w:w w:val="110"/>
        </w:rPr>
        <w:t>2000.</w:t>
      </w:r>
      <w:r>
        <w:rPr>
          <w:spacing w:val="22"/>
          <w:w w:val="110"/>
        </w:rPr>
        <w:t> </w:t>
      </w:r>
      <w:r>
        <w:rPr>
          <w:w w:val="110"/>
        </w:rPr>
        <w:t>According</w:t>
      </w:r>
      <w:r>
        <w:rPr>
          <w:spacing w:val="-17"/>
          <w:w w:val="110"/>
        </w:rPr>
        <w:t> </w:t>
      </w:r>
      <w:r>
        <w:rPr>
          <w:spacing w:val="-4"/>
          <w:w w:val="110"/>
        </w:rPr>
        <w:t>to</w:t>
      </w:r>
      <w:r>
        <w:rPr>
          <w:spacing w:val="-17"/>
          <w:w w:val="110"/>
        </w:rPr>
        <w:t> </w:t>
      </w:r>
      <w:r>
        <w:rPr>
          <w:w w:val="110"/>
        </w:rPr>
        <w:t>the</w:t>
      </w:r>
      <w:r>
        <w:rPr>
          <w:spacing w:val="-17"/>
          <w:w w:val="110"/>
        </w:rPr>
        <w:t> </w:t>
      </w:r>
      <w:r>
        <w:rPr>
          <w:w w:val="110"/>
        </w:rPr>
        <w:t>HICP</w:t>
      </w:r>
      <w:r>
        <w:rPr>
          <w:spacing w:val="-17"/>
          <w:w w:val="110"/>
        </w:rPr>
        <w:t> </w:t>
      </w:r>
      <w:r>
        <w:rPr>
          <w:w w:val="110"/>
        </w:rPr>
        <w:t>index, new</w:t>
      </w:r>
      <w:r>
        <w:rPr>
          <w:spacing w:val="-6"/>
          <w:w w:val="110"/>
        </w:rPr>
        <w:t> </w:t>
      </w:r>
      <w:r>
        <w:rPr>
          <w:w w:val="110"/>
        </w:rPr>
        <w:t>car</w:t>
      </w:r>
      <w:r>
        <w:rPr>
          <w:spacing w:val="-6"/>
          <w:w w:val="110"/>
        </w:rPr>
        <w:t> </w:t>
      </w:r>
      <w:r>
        <w:rPr>
          <w:w w:val="110"/>
        </w:rPr>
        <w:t>prices</w:t>
      </w:r>
      <w:r>
        <w:rPr>
          <w:spacing w:val="-5"/>
          <w:w w:val="110"/>
        </w:rPr>
        <w:t> </w:t>
      </w:r>
      <w:r>
        <w:rPr>
          <w:w w:val="110"/>
        </w:rPr>
        <w:t>fell</w:t>
      </w:r>
      <w:r>
        <w:rPr>
          <w:spacing w:val="-6"/>
          <w:w w:val="110"/>
        </w:rPr>
        <w:t> </w:t>
      </w:r>
      <w:r>
        <w:rPr>
          <w:w w:val="110"/>
        </w:rPr>
        <w:t>in</w:t>
      </w:r>
      <w:r>
        <w:rPr>
          <w:spacing w:val="-5"/>
          <w:w w:val="110"/>
        </w:rPr>
        <w:t> </w:t>
      </w:r>
      <w:r>
        <w:rPr>
          <w:spacing w:val="-4"/>
          <w:w w:val="110"/>
        </w:rPr>
        <w:t>2000</w:t>
      </w:r>
      <w:r>
        <w:rPr>
          <w:spacing w:val="-6"/>
          <w:w w:val="110"/>
        </w:rPr>
        <w:t> </w:t>
      </w:r>
      <w:r>
        <w:rPr>
          <w:w w:val="110"/>
        </w:rPr>
        <w:t>Q4</w:t>
      </w:r>
      <w:r>
        <w:rPr>
          <w:spacing w:val="-5"/>
          <w:w w:val="110"/>
        </w:rPr>
        <w:t> </w:t>
      </w:r>
      <w:r>
        <w:rPr>
          <w:w w:val="110"/>
        </w:rPr>
        <w:t>at</w:t>
      </w:r>
      <w:r>
        <w:rPr>
          <w:spacing w:val="-6"/>
          <w:w w:val="110"/>
        </w:rPr>
        <w:t> </w:t>
      </w:r>
      <w:r>
        <w:rPr>
          <w:w w:val="110"/>
        </w:rPr>
        <w:t>their</w:t>
      </w:r>
      <w:r>
        <w:rPr>
          <w:spacing w:val="-5"/>
          <w:w w:val="110"/>
        </w:rPr>
        <w:t> </w:t>
      </w:r>
      <w:r>
        <w:rPr>
          <w:spacing w:val="-3"/>
          <w:w w:val="110"/>
        </w:rPr>
        <w:t>fastest</w:t>
      </w:r>
      <w:r>
        <w:rPr>
          <w:spacing w:val="-6"/>
          <w:w w:val="110"/>
        </w:rPr>
        <w:t> </w:t>
      </w:r>
      <w:r>
        <w:rPr>
          <w:w w:val="110"/>
        </w:rPr>
        <w:t>annual</w:t>
      </w:r>
      <w:r>
        <w:rPr>
          <w:spacing w:val="-5"/>
          <w:w w:val="110"/>
        </w:rPr>
        <w:t> </w:t>
      </w:r>
      <w:r>
        <w:rPr>
          <w:spacing w:val="-4"/>
          <w:w w:val="110"/>
        </w:rPr>
        <w:t>rate</w:t>
      </w:r>
    </w:p>
    <w:p>
      <w:pPr>
        <w:spacing w:after="0" w:line="292" w:lineRule="auto"/>
        <w:sectPr>
          <w:type w:val="continuous"/>
          <w:pgSz w:w="11900" w:h="16840"/>
          <w:pgMar w:top="1260" w:bottom="280" w:left="640" w:right="640"/>
          <w:cols w:num="3" w:equalWidth="0">
            <w:col w:w="1701" w:space="40"/>
            <w:col w:w="1798" w:space="1143"/>
            <w:col w:w="5938"/>
          </w:cols>
        </w:sectPr>
      </w:pPr>
    </w:p>
    <w:p>
      <w:pPr>
        <w:spacing w:line="46" w:lineRule="exact" w:before="0"/>
        <w:ind w:left="0" w:right="339" w:firstLine="0"/>
        <w:jc w:val="right"/>
        <w:rPr>
          <w:sz w:val="12"/>
        </w:rPr>
      </w:pPr>
      <w:r>
        <w:rPr/>
        <w:pict>
          <v:shape style="position:absolute;margin-left:52.078999pt;margin-top:-3.093807pt;width:140.7pt;height:3.4pt;mso-position-horizontal-relative:page;mso-position-vertical-relative:paragraph;z-index:15969280" coordorigin="1042,-62" coordsize="2814,68" path="m1044,5l3855,5m1042,-62l1042,5m1824,-62l1824,5m2605,-62l2605,5m3387,-62l3387,5e" filled="false" stroked="true" strokeweight=".5pt" strokecolor="#000000">
            <v:path arrowok="t"/>
            <v:stroke dashstyle="solid"/>
            <w10:wrap type="none"/>
          </v:shape>
        </w:pict>
      </w:r>
      <w:r>
        <w:rPr/>
        <w:pict>
          <v:line style="position:absolute;mso-position-horizontal-relative:page;mso-position-vertical-relative:paragraph;z-index:15969792" from="42.754002pt,.085193pt" to="47.087002pt,.085193pt" stroked="true" strokeweight=".5pt" strokecolor="#000000">
            <v:stroke dashstyle="solid"/>
            <w10:wrap type="none"/>
          </v:line>
        </w:pict>
      </w:r>
      <w:r>
        <w:rPr/>
        <w:pict>
          <v:line style="position:absolute;mso-position-horizontal-relative:page;mso-position-vertical-relative:paragraph;z-index:15973888" from="196.406998pt,.261193pt" to="200.738998pt,.261193pt" stroked="true" strokeweight=".5pt" strokecolor="#000000">
            <v:stroke dashstyle="solid"/>
            <w10:wrap type="none"/>
          </v:line>
        </w:pict>
      </w:r>
      <w:r>
        <w:rPr>
          <w:w w:val="121"/>
          <w:sz w:val="12"/>
        </w:rPr>
        <w:t>2</w:t>
      </w:r>
    </w:p>
    <w:p>
      <w:pPr>
        <w:tabs>
          <w:tab w:pos="1520" w:val="left" w:leader="none"/>
          <w:tab w:pos="2300" w:val="left" w:leader="none"/>
          <w:tab w:pos="2892" w:val="left" w:leader="none"/>
        </w:tabs>
        <w:spacing w:line="116" w:lineRule="exact" w:before="0"/>
        <w:ind w:left="650" w:right="0" w:firstLine="0"/>
        <w:jc w:val="left"/>
        <w:rPr>
          <w:sz w:val="12"/>
        </w:rPr>
      </w:pPr>
      <w:r>
        <w:rPr>
          <w:w w:val="120"/>
          <w:sz w:val="12"/>
        </w:rPr>
        <w:t>1997</w:t>
        <w:tab/>
        <w:t>98</w:t>
        <w:tab/>
        <w:t>99</w:t>
        <w:tab/>
        <w:t>2000</w:t>
      </w:r>
    </w:p>
    <w:p>
      <w:pPr>
        <w:spacing w:line="208" w:lineRule="auto" w:before="91"/>
        <w:ind w:left="418" w:right="0" w:hanging="240"/>
        <w:jc w:val="left"/>
        <w:rPr>
          <w:sz w:val="12"/>
        </w:rPr>
      </w:pPr>
      <w:r>
        <w:rPr>
          <w:w w:val="110"/>
          <w:sz w:val="12"/>
        </w:rPr>
        <w:t>(a) At constant </w:t>
      </w:r>
      <w:r>
        <w:rPr>
          <w:spacing w:val="-11"/>
          <w:w w:val="110"/>
          <w:sz w:val="12"/>
        </w:rPr>
        <w:t>1995 </w:t>
      </w:r>
      <w:r>
        <w:rPr>
          <w:w w:val="110"/>
          <w:sz w:val="12"/>
        </w:rPr>
        <w:t>market prices. Public demand is defined as general</w:t>
      </w:r>
      <w:r>
        <w:rPr>
          <w:spacing w:val="-19"/>
          <w:w w:val="110"/>
          <w:sz w:val="12"/>
        </w:rPr>
        <w:t> </w:t>
      </w:r>
      <w:r>
        <w:rPr>
          <w:w w:val="110"/>
          <w:sz w:val="12"/>
        </w:rPr>
        <w:t>government</w:t>
      </w:r>
      <w:r>
        <w:rPr>
          <w:spacing w:val="-18"/>
          <w:w w:val="110"/>
          <w:sz w:val="12"/>
        </w:rPr>
        <w:t> </w:t>
      </w:r>
      <w:r>
        <w:rPr>
          <w:w w:val="110"/>
          <w:sz w:val="12"/>
        </w:rPr>
        <w:t>consumption</w:t>
      </w:r>
      <w:r>
        <w:rPr>
          <w:spacing w:val="-18"/>
          <w:w w:val="110"/>
          <w:sz w:val="12"/>
        </w:rPr>
        <w:t> </w:t>
      </w:r>
      <w:r>
        <w:rPr>
          <w:w w:val="110"/>
          <w:sz w:val="12"/>
        </w:rPr>
        <w:t>and</w:t>
      </w:r>
      <w:r>
        <w:rPr>
          <w:spacing w:val="-19"/>
          <w:w w:val="110"/>
          <w:sz w:val="12"/>
        </w:rPr>
        <w:t> </w:t>
      </w:r>
      <w:r>
        <w:rPr>
          <w:w w:val="110"/>
          <w:sz w:val="12"/>
        </w:rPr>
        <w:t>investment,</w:t>
      </w:r>
      <w:r>
        <w:rPr>
          <w:spacing w:val="-18"/>
          <w:w w:val="110"/>
          <w:sz w:val="12"/>
        </w:rPr>
        <w:t> </w:t>
      </w:r>
      <w:r>
        <w:rPr>
          <w:w w:val="110"/>
          <w:sz w:val="12"/>
        </w:rPr>
        <w:t>and</w:t>
      </w:r>
      <w:r>
        <w:rPr>
          <w:spacing w:val="-18"/>
          <w:w w:val="110"/>
          <w:sz w:val="12"/>
        </w:rPr>
        <w:t> </w:t>
      </w:r>
      <w:r>
        <w:rPr>
          <w:w w:val="110"/>
          <w:sz w:val="12"/>
        </w:rPr>
        <w:t>investment by NHS trusts. Private investment is defined as business investment</w:t>
      </w:r>
      <w:r>
        <w:rPr>
          <w:spacing w:val="-8"/>
          <w:w w:val="110"/>
          <w:sz w:val="12"/>
        </w:rPr>
        <w:t> </w:t>
      </w:r>
      <w:r>
        <w:rPr>
          <w:w w:val="110"/>
          <w:sz w:val="12"/>
        </w:rPr>
        <w:t>and</w:t>
      </w:r>
      <w:r>
        <w:rPr>
          <w:spacing w:val="-8"/>
          <w:w w:val="110"/>
          <w:sz w:val="12"/>
        </w:rPr>
        <w:t> </w:t>
      </w:r>
      <w:r>
        <w:rPr>
          <w:w w:val="110"/>
          <w:sz w:val="12"/>
        </w:rPr>
        <w:t>private</w:t>
      </w:r>
      <w:r>
        <w:rPr>
          <w:spacing w:val="-7"/>
          <w:w w:val="110"/>
          <w:sz w:val="12"/>
        </w:rPr>
        <w:t> </w:t>
      </w:r>
      <w:r>
        <w:rPr>
          <w:w w:val="110"/>
          <w:sz w:val="12"/>
        </w:rPr>
        <w:t>sector</w:t>
      </w:r>
      <w:r>
        <w:rPr>
          <w:spacing w:val="-8"/>
          <w:w w:val="110"/>
          <w:sz w:val="12"/>
        </w:rPr>
        <w:t> </w:t>
      </w:r>
      <w:r>
        <w:rPr>
          <w:w w:val="110"/>
          <w:sz w:val="12"/>
        </w:rPr>
        <w:t>investment</w:t>
      </w:r>
      <w:r>
        <w:rPr>
          <w:spacing w:val="-8"/>
          <w:w w:val="110"/>
          <w:sz w:val="12"/>
        </w:rPr>
        <w:t> </w:t>
      </w:r>
      <w:r>
        <w:rPr>
          <w:w w:val="110"/>
          <w:sz w:val="12"/>
        </w:rPr>
        <w:t>in</w:t>
      </w:r>
      <w:r>
        <w:rPr>
          <w:spacing w:val="-7"/>
          <w:w w:val="110"/>
          <w:sz w:val="12"/>
        </w:rPr>
        <w:t> </w:t>
      </w:r>
      <w:r>
        <w:rPr>
          <w:w w:val="110"/>
          <w:sz w:val="12"/>
        </w:rPr>
        <w:t>dwellings.</w:t>
      </w:r>
    </w:p>
    <w:p>
      <w:pPr>
        <w:spacing w:line="208" w:lineRule="auto" w:before="0"/>
        <w:ind w:left="418" w:right="187" w:firstLine="0"/>
        <w:jc w:val="left"/>
        <w:rPr>
          <w:sz w:val="12"/>
        </w:rPr>
      </w:pPr>
      <w:r>
        <w:rPr>
          <w:w w:val="110"/>
          <w:sz w:val="12"/>
        </w:rPr>
        <w:t>Contributions do not sum exactly to the total as consumption by non-profit institutions and net acquisitions of valuables are not shown.</w:t>
      </w:r>
    </w:p>
    <w:p>
      <w:pPr>
        <w:pStyle w:val="BodyText"/>
        <w:rPr>
          <w:sz w:val="12"/>
        </w:rPr>
      </w:pPr>
    </w:p>
    <w:p>
      <w:pPr>
        <w:pStyle w:val="BodyText"/>
        <w:spacing w:before="8"/>
        <w:rPr>
          <w:sz w:val="17"/>
        </w:rPr>
      </w:pPr>
    </w:p>
    <w:p>
      <w:pPr>
        <w:pStyle w:val="Heading6"/>
        <w:ind w:left="190"/>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7"/>
        </w:rPr>
        <w:t>2.7</w:t>
      </w:r>
    </w:p>
    <w:p>
      <w:pPr>
        <w:spacing w:line="247" w:lineRule="auto" w:before="8"/>
        <w:ind w:left="190" w:right="0" w:firstLine="0"/>
        <w:jc w:val="left"/>
        <w:rPr>
          <w:sz w:val="12"/>
        </w:rPr>
      </w:pPr>
      <w:r>
        <w:rPr>
          <w:rFonts w:ascii="Trebuchet MS"/>
          <w:b/>
          <w:color w:val="89C6DC"/>
          <w:w w:val="90"/>
          <w:sz w:val="20"/>
        </w:rPr>
        <w:t>Household consumption expenditure </w:t>
      </w:r>
      <w:r>
        <w:rPr>
          <w:rFonts w:ascii="Trebuchet MS"/>
          <w:b/>
          <w:color w:val="89C6DC"/>
          <w:sz w:val="20"/>
        </w:rPr>
        <w:t>growth</w:t>
      </w:r>
      <w:r>
        <w:rPr>
          <w:position w:val="4"/>
          <w:sz w:val="12"/>
        </w:rPr>
        <w:t>(a)</w:t>
      </w:r>
    </w:p>
    <w:p>
      <w:pPr>
        <w:pStyle w:val="BodyText"/>
        <w:spacing w:line="292" w:lineRule="auto"/>
        <w:ind w:left="178" w:right="179"/>
      </w:pPr>
      <w:r>
        <w:rPr/>
        <w:br w:type="column"/>
      </w:r>
      <w:r>
        <w:rPr>
          <w:w w:val="110"/>
        </w:rPr>
        <w:t>since </w:t>
      </w:r>
      <w:r>
        <w:rPr>
          <w:spacing w:val="-21"/>
          <w:w w:val="110"/>
        </w:rPr>
        <w:t>1997. </w:t>
      </w:r>
      <w:r>
        <w:rPr>
          <w:w w:val="110"/>
        </w:rPr>
        <w:t>New registrations data from the </w:t>
      </w:r>
      <w:r>
        <w:rPr>
          <w:spacing w:val="-3"/>
          <w:w w:val="110"/>
        </w:rPr>
        <w:t>Society </w:t>
      </w:r>
      <w:r>
        <w:rPr>
          <w:w w:val="110"/>
        </w:rPr>
        <w:t>of </w:t>
      </w:r>
      <w:r>
        <w:rPr>
          <w:spacing w:val="-3"/>
          <w:w w:val="110"/>
        </w:rPr>
        <w:t>Motor </w:t>
      </w:r>
      <w:r>
        <w:rPr>
          <w:w w:val="110"/>
        </w:rPr>
        <w:t>Manufacturers and </w:t>
      </w:r>
      <w:r>
        <w:rPr>
          <w:spacing w:val="-5"/>
          <w:w w:val="110"/>
        </w:rPr>
        <w:t>Traders </w:t>
      </w:r>
      <w:r>
        <w:rPr>
          <w:w w:val="110"/>
        </w:rPr>
        <w:t>suggest that, with prices having adjusted </w:t>
      </w:r>
      <w:r>
        <w:rPr>
          <w:spacing w:val="-4"/>
          <w:w w:val="110"/>
        </w:rPr>
        <w:t>to </w:t>
      </w:r>
      <w:r>
        <w:rPr>
          <w:w w:val="110"/>
        </w:rPr>
        <w:t>increased competition, expenditure on vehicles </w:t>
      </w:r>
      <w:r>
        <w:rPr>
          <w:spacing w:val="-3"/>
          <w:w w:val="110"/>
        </w:rPr>
        <w:t>recovered </w:t>
      </w:r>
      <w:r>
        <w:rPr>
          <w:w w:val="110"/>
        </w:rPr>
        <w:t>in Q4: </w:t>
      </w:r>
      <w:r>
        <w:rPr>
          <w:spacing w:val="-3"/>
          <w:w w:val="110"/>
        </w:rPr>
        <w:t>private </w:t>
      </w:r>
      <w:r>
        <w:rPr>
          <w:w w:val="110"/>
        </w:rPr>
        <w:t>registrations rose </w:t>
      </w:r>
      <w:r>
        <w:rPr>
          <w:spacing w:val="-3"/>
          <w:w w:val="110"/>
        </w:rPr>
        <w:t>by </w:t>
      </w:r>
      <w:r>
        <w:rPr>
          <w:spacing w:val="-9"/>
          <w:w w:val="110"/>
        </w:rPr>
        <w:t>27% </w:t>
      </w:r>
      <w:r>
        <w:rPr>
          <w:w w:val="110"/>
        </w:rPr>
        <w:t>compared with a year </w:t>
      </w:r>
      <w:r>
        <w:rPr>
          <w:spacing w:val="-3"/>
          <w:w w:val="110"/>
        </w:rPr>
        <w:t>earlier. </w:t>
      </w:r>
      <w:r>
        <w:rPr>
          <w:w w:val="110"/>
        </w:rPr>
        <w:t>Furthermore, the CBI Distributive </w:t>
      </w:r>
      <w:r>
        <w:rPr>
          <w:spacing w:val="-5"/>
          <w:w w:val="110"/>
        </w:rPr>
        <w:t>Trades </w:t>
      </w:r>
      <w:r>
        <w:rPr>
          <w:spacing w:val="-3"/>
          <w:w w:val="110"/>
        </w:rPr>
        <w:t>survey </w:t>
      </w:r>
      <w:r>
        <w:rPr>
          <w:w w:val="110"/>
        </w:rPr>
        <w:t>indicates that motor </w:t>
      </w:r>
      <w:r>
        <w:rPr>
          <w:spacing w:val="-3"/>
          <w:w w:val="110"/>
        </w:rPr>
        <w:t>traders’ </w:t>
      </w:r>
      <w:r>
        <w:rPr>
          <w:w w:val="110"/>
        </w:rPr>
        <w:t>sales rose in December and January compared with a year ago, the first annual increases since September </w:t>
      </w:r>
      <w:r>
        <w:rPr>
          <w:spacing w:val="-12"/>
          <w:w w:val="110"/>
        </w:rPr>
        <w:t>1999.</w:t>
      </w:r>
    </w:p>
    <w:p>
      <w:pPr>
        <w:spacing w:after="0" w:line="292" w:lineRule="auto"/>
        <w:sectPr>
          <w:type w:val="continuous"/>
          <w:pgSz w:w="11900" w:h="16840"/>
          <w:pgMar w:top="1260" w:bottom="280" w:left="640" w:right="640"/>
          <w:cols w:num="2" w:equalWidth="0">
            <w:col w:w="3841" w:space="1095"/>
            <w:col w:w="5684"/>
          </w:cols>
        </w:sectPr>
      </w:pPr>
    </w:p>
    <w:p>
      <w:pPr>
        <w:spacing w:line="107" w:lineRule="exact" w:before="0"/>
        <w:ind w:left="433" w:right="0" w:firstLine="0"/>
        <w:jc w:val="left"/>
        <w:rPr>
          <w:sz w:val="12"/>
        </w:rPr>
      </w:pPr>
      <w:r>
        <w:rPr/>
        <w:pict>
          <v:group style="position:absolute;margin-left:42.915001pt;margin-top:-1.426276pt;width:8.2pt;height:16.05pt;mso-position-horizontal-relative:page;mso-position-vertical-relative:paragraph;z-index:15978496" coordorigin="858,-29" coordsize="164,321">
            <v:rect style="position:absolute;left:863;top:133;width:154;height:154" filled="true" fillcolor="#c0a2c7" stroked="false">
              <v:fill type="solid"/>
            </v:rect>
            <v:rect style="position:absolute;left:863;top:133;width:154;height:154" filled="false" stroked="true" strokeweight=".5pt" strokecolor="#000000">
              <v:stroke dashstyle="solid"/>
            </v:rect>
            <v:rect style="position:absolute;left:863;top:-24;width:154;height:154" filled="true" fillcolor="#acbc4a" stroked="false">
              <v:fill type="solid"/>
            </v:rect>
            <v:rect style="position:absolute;left:863;top:-24;width:154;height:154" filled="false" stroked="true" strokeweight=".5pt" strokecolor="#000000">
              <v:stroke dashstyle="solid"/>
            </v:rect>
            <w10:wrap type="none"/>
          </v:group>
        </w:pict>
      </w:r>
      <w:r>
        <w:rPr>
          <w:w w:val="110"/>
          <w:sz w:val="12"/>
        </w:rPr>
        <w:t>Non-durable goods</w:t>
      </w:r>
    </w:p>
    <w:p>
      <w:pPr>
        <w:spacing w:before="16"/>
        <w:ind w:left="433" w:right="0" w:firstLine="0"/>
        <w:jc w:val="left"/>
        <w:rPr>
          <w:sz w:val="12"/>
        </w:rPr>
      </w:pPr>
      <w:r>
        <w:rPr>
          <w:w w:val="110"/>
          <w:sz w:val="12"/>
        </w:rPr>
        <w:t>Non-vehicle</w:t>
      </w:r>
      <w:r>
        <w:rPr>
          <w:spacing w:val="-17"/>
          <w:w w:val="110"/>
          <w:sz w:val="12"/>
        </w:rPr>
        <w:t> </w:t>
      </w:r>
      <w:r>
        <w:rPr>
          <w:spacing w:val="-3"/>
          <w:w w:val="110"/>
          <w:sz w:val="12"/>
        </w:rPr>
        <w:t>durables</w:t>
      </w:r>
    </w:p>
    <w:p>
      <w:pPr>
        <w:spacing w:before="16"/>
        <w:ind w:left="218" w:right="0" w:firstLine="0"/>
        <w:jc w:val="left"/>
        <w:rPr>
          <w:sz w:val="12"/>
        </w:rPr>
      </w:pPr>
      <w:r>
        <w:rPr>
          <w:sz w:val="12"/>
          <w:u w:val="single" w:color="DE0035"/>
        </w:rPr>
        <w:t>      </w:t>
      </w:r>
      <w:r>
        <w:rPr>
          <w:sz w:val="12"/>
        </w:rPr>
        <w:t> </w:t>
      </w:r>
      <w:r>
        <w:rPr>
          <w:w w:val="105"/>
          <w:sz w:val="12"/>
        </w:rPr>
        <w:t>Total consumption</w:t>
      </w:r>
    </w:p>
    <w:p>
      <w:pPr>
        <w:pStyle w:val="BodyText"/>
        <w:spacing w:before="6" w:after="39"/>
        <w:rPr>
          <w:sz w:val="13"/>
        </w:rPr>
      </w:pPr>
    </w:p>
    <w:p>
      <w:pPr>
        <w:pStyle w:val="BodyText"/>
        <w:spacing w:line="20" w:lineRule="exact"/>
        <w:ind w:left="213"/>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10"/>
        <w:rPr>
          <w:sz w:val="24"/>
        </w:rPr>
      </w:pPr>
      <w:r>
        <w:rPr/>
        <w:pict>
          <v:shape style="position:absolute;margin-left:42.915001pt;margin-top:16.500977pt;width:4.350pt;height:.1pt;mso-position-horizontal-relative:page;mso-position-vertical-relative:paragraph;z-index:-15491584;mso-wrap-distance-left:0;mso-wrap-distance-right:0" coordorigin="858,330" coordsize="87,0" path="m858,330l945,330e" filled="false" stroked="true" strokeweight=".5pt" strokecolor="#000000">
            <v:path arrowok="t"/>
            <v:stroke dashstyle="solid"/>
            <w10:wrap type="topAndBottom"/>
          </v:shape>
        </w:pict>
      </w:r>
    </w:p>
    <w:p>
      <w:pPr>
        <w:pStyle w:val="BodyText"/>
      </w:pPr>
    </w:p>
    <w:p>
      <w:pPr>
        <w:pStyle w:val="BodyText"/>
        <w:spacing w:before="2"/>
        <w:rPr>
          <w:sz w:val="23"/>
        </w:rPr>
      </w:pPr>
      <w:r>
        <w:rPr/>
        <w:pict>
          <v:shape style="position:absolute;margin-left:42.915001pt;margin-top:15.550977pt;width:4.350pt;height:.1pt;mso-position-horizontal-relative:page;mso-position-vertical-relative:paragraph;z-index:-15491072;mso-wrap-distance-left:0;mso-wrap-distance-right:0" coordorigin="858,311" coordsize="87,0" path="m858,311l945,311e" filled="false" stroked="true" strokeweight=".5pt" strokecolor="#000000">
            <v:path arrowok="t"/>
            <v:stroke dashstyle="solid"/>
            <w10:wrap type="topAndBottom"/>
          </v:shape>
        </w:pict>
      </w:r>
    </w:p>
    <w:p>
      <w:pPr>
        <w:pStyle w:val="BodyText"/>
      </w:pPr>
    </w:p>
    <w:p>
      <w:pPr>
        <w:pStyle w:val="BodyText"/>
        <w:spacing w:before="2"/>
        <w:rPr>
          <w:sz w:val="23"/>
        </w:rPr>
      </w:pPr>
      <w:r>
        <w:rPr/>
        <w:pict>
          <v:shape style="position:absolute;margin-left:42.915001pt;margin-top:15.550977pt;width:4.350pt;height:.1pt;mso-position-horizontal-relative:page;mso-position-vertical-relative:paragraph;z-index:-15490560;mso-wrap-distance-left:0;mso-wrap-distance-right:0" coordorigin="858,311" coordsize="87,0" path="m858,311l945,311e" filled="false" stroked="true" strokeweight=".5pt" strokecolor="#000000">
            <v:path arrowok="t"/>
            <v:stroke dashstyle="solid"/>
            <w10:wrap type="topAndBottom"/>
          </v:shape>
        </w:pict>
      </w:r>
    </w:p>
    <w:p>
      <w:pPr>
        <w:pStyle w:val="BodyText"/>
      </w:pPr>
    </w:p>
    <w:p>
      <w:pPr>
        <w:pStyle w:val="BodyText"/>
        <w:spacing w:before="2"/>
        <w:rPr>
          <w:sz w:val="23"/>
        </w:rPr>
      </w:pPr>
      <w:r>
        <w:rPr/>
        <w:pict>
          <v:shape style="position:absolute;margin-left:42.915001pt;margin-top:15.550977pt;width:4.350pt;height:.1pt;mso-position-horizontal-relative:page;mso-position-vertical-relative:paragraph;z-index:-15490048;mso-wrap-distance-left:0;mso-wrap-distance-right:0" coordorigin="858,311" coordsize="87,0" path="m858,311l945,311e" filled="false" stroked="true" strokeweight=".5pt" strokecolor="#000000">
            <v:path arrowok="t"/>
            <v:stroke dashstyle="solid"/>
            <w10:wrap type="topAndBottom"/>
          </v:shape>
        </w:pict>
      </w:r>
    </w:p>
    <w:p>
      <w:pPr>
        <w:spacing w:line="107" w:lineRule="exact" w:before="0"/>
        <w:ind w:left="291" w:right="0" w:firstLine="0"/>
        <w:jc w:val="left"/>
        <w:rPr>
          <w:sz w:val="12"/>
        </w:rPr>
      </w:pPr>
      <w:r>
        <w:rPr/>
        <w:br w:type="column"/>
      </w:r>
      <w:r>
        <w:rPr>
          <w:w w:val="105"/>
          <w:sz w:val="12"/>
        </w:rPr>
        <w:t>Services</w:t>
      </w:r>
    </w:p>
    <w:p>
      <w:pPr>
        <w:spacing w:before="16"/>
        <w:ind w:left="291" w:right="0" w:firstLine="0"/>
        <w:jc w:val="left"/>
        <w:rPr>
          <w:sz w:val="12"/>
        </w:rPr>
      </w:pPr>
      <w:r>
        <w:rPr/>
        <w:pict>
          <v:group style="position:absolute;margin-left:113.974998pt;margin-top:-6.798426pt;width:8.2pt;height:16.05pt;mso-position-horizontal-relative:page;mso-position-vertical-relative:paragraph;z-index:15979008" coordorigin="2279,-136" coordsize="164,321">
            <v:rect style="position:absolute;left:2284;top:-131;width:154;height:154" filled="true" fillcolor="#f6bd61" stroked="false">
              <v:fill type="solid"/>
            </v:rect>
            <v:rect style="position:absolute;left:2284;top:-131;width:154;height:154" filled="false" stroked="true" strokeweight=".5pt" strokecolor="#000000">
              <v:stroke dashstyle="solid"/>
            </v:rect>
            <v:rect style="position:absolute;left:2284;top:26;width:154;height:154" filled="true" fillcolor="#a64991" stroked="false">
              <v:fill type="solid"/>
            </v:rect>
            <v:rect style="position:absolute;left:2284;top:26;width:154;height:154" filled="false" stroked="true" strokeweight=".5pt" strokecolor="#000000">
              <v:stroke dashstyle="solid"/>
            </v:rect>
            <w10:wrap type="none"/>
          </v:group>
        </w:pict>
      </w:r>
      <w:r>
        <w:rPr>
          <w:sz w:val="12"/>
        </w:rPr>
        <w:t>Vehicles</w:t>
      </w:r>
    </w:p>
    <w:p>
      <w:pPr>
        <w:spacing w:line="129" w:lineRule="exact" w:before="78"/>
        <w:ind w:left="95" w:right="0" w:firstLine="0"/>
        <w:jc w:val="left"/>
        <w:rPr>
          <w:sz w:val="12"/>
        </w:rPr>
      </w:pPr>
      <w:r>
        <w:rPr>
          <w:w w:val="110"/>
          <w:sz w:val="12"/>
        </w:rPr>
        <w:t>Contributions to quarterly growth,</w:t>
      </w:r>
    </w:p>
    <w:p>
      <w:pPr>
        <w:spacing w:line="218" w:lineRule="auto" w:before="0"/>
        <w:ind w:left="952" w:right="0" w:firstLine="0"/>
        <w:jc w:val="left"/>
        <w:rPr>
          <w:sz w:val="12"/>
        </w:rPr>
      </w:pPr>
      <w:r>
        <w:rPr/>
        <w:pict>
          <v:group style="position:absolute;margin-left:51.790001pt;margin-top:13.26525pt;width:144.5pt;height:126.25pt;mso-position-horizontal-relative:page;mso-position-vertical-relative:paragraph;z-index:15975424" coordorigin="1036,265" coordsize="2890,2525">
            <v:rect style="position:absolute;left:1040;top:1862;width:68;height:590" filled="true" fillcolor="#f6bd61" stroked="false">
              <v:fill type="solid"/>
            </v:rect>
            <v:rect style="position:absolute;left:1040;top:1862;width:68;height:590" filled="false" stroked="true" strokeweight=".5pt" strokecolor="#000000">
              <v:stroke dashstyle="solid"/>
            </v:rect>
            <v:rect style="position:absolute;left:1040;top:1560;width:68;height:305" filled="true" fillcolor="#c0a2c7" stroked="false">
              <v:fill type="solid"/>
            </v:rect>
            <v:rect style="position:absolute;left:1040;top:1560;width:68;height:305" filled="false" stroked="true" strokeweight=".5pt" strokecolor="#000000">
              <v:stroke dashstyle="solid"/>
            </v:rect>
            <v:rect style="position:absolute;left:1040;top:1287;width:68;height:275" filled="true" fillcolor="#acbc4a" stroked="false">
              <v:fill type="solid"/>
            </v:rect>
            <v:rect style="position:absolute;left:1040;top:1287;width:68;height:275" filled="false" stroked="true" strokeweight=".5pt" strokecolor="#000000">
              <v:stroke dashstyle="solid"/>
            </v:rect>
            <v:rect style="position:absolute;left:1040;top:2450;width:68;height:305" filled="true" fillcolor="#a64991" stroked="false">
              <v:fill type="solid"/>
            </v:rect>
            <v:rect style="position:absolute;left:1040;top:2450;width:68;height:305" filled="false" stroked="true" strokeweight=".5pt" strokecolor="#000000">
              <v:stroke dashstyle="solid"/>
            </v:rect>
            <v:rect style="position:absolute;left:1243;top:1680;width:68;height:773" filled="true" fillcolor="#f6bd61" stroked="false">
              <v:fill type="solid"/>
            </v:rect>
            <v:rect style="position:absolute;left:1243;top:1680;width:68;height:773" filled="false" stroked="true" strokeweight=".5pt" strokecolor="#000000">
              <v:stroke dashstyle="solid"/>
            </v:rect>
            <v:rect style="position:absolute;left:1243;top:1392;width:68;height:290" filled="true" fillcolor="#c0a2c7" stroked="false">
              <v:fill type="solid"/>
            </v:rect>
            <v:rect style="position:absolute;left:1243;top:1392;width:68;height:290" filled="false" stroked="true" strokeweight=".5pt" strokecolor="#000000">
              <v:stroke dashstyle="solid"/>
            </v:rect>
            <v:rect style="position:absolute;left:1243;top:1242;width:68;height:153" filled="true" fillcolor="#acbc4a" stroked="false">
              <v:fill type="solid"/>
            </v:rect>
            <v:rect style="position:absolute;left:1243;top:1242;width:68;height:153" filled="false" stroked="true" strokeweight=".5pt" strokecolor="#000000">
              <v:stroke dashstyle="solid"/>
            </v:rect>
            <v:rect style="position:absolute;left:1243;top:652;width:68;height:593" filled="true" fillcolor="#a64991" stroked="false">
              <v:fill type="solid"/>
            </v:rect>
            <v:rect style="position:absolute;left:1243;top:652;width:68;height:593" filled="false" stroked="true" strokeweight=".5pt" strokecolor="#000000">
              <v:stroke dashstyle="solid"/>
            </v:rect>
            <v:line style="position:absolute" from="1073,1590" to="1276,653" stroked="true" strokeweight="1pt" strokecolor="#de0035">
              <v:stroke dashstyle="solid"/>
            </v:line>
            <v:rect style="position:absolute;left:1445;top:1922;width:68;height:530" filled="true" fillcolor="#f6bd61" stroked="false">
              <v:fill type="solid"/>
            </v:rect>
            <v:rect style="position:absolute;left:1445;top:1922;width:68;height:530" filled="false" stroked="true" strokeweight=".5pt" strokecolor="#000000">
              <v:stroke dashstyle="solid"/>
            </v:rect>
            <v:rect style="position:absolute;left:1445;top:1770;width:68;height:155" filled="true" fillcolor="#c0a2c7" stroked="false">
              <v:fill type="solid"/>
            </v:rect>
            <v:rect style="position:absolute;left:1445;top:1770;width:68;height:155" filled="false" stroked="true" strokeweight=".5pt" strokecolor="#000000">
              <v:stroke dashstyle="solid"/>
            </v:rect>
            <v:rect style="position:absolute;left:1445;top:2450;width:68;height:125" filled="true" fillcolor="#acbc4a" stroked="false">
              <v:fill type="solid"/>
            </v:rect>
            <v:rect style="position:absolute;left:1445;top:2450;width:68;height:125" filled="false" stroked="true" strokeweight=".5pt" strokecolor="#000000">
              <v:stroke dashstyle="solid"/>
            </v:rect>
            <v:rect style="position:absolute;left:1445;top:1362;width:68;height:410" filled="true" fillcolor="#a64991" stroked="false">
              <v:fill type="solid"/>
            </v:rect>
            <v:rect style="position:absolute;left:1445;top:1362;width:68;height:410" filled="false" stroked="true" strokeweight=".5pt" strokecolor="#000000">
              <v:stroke dashstyle="solid"/>
            </v:rect>
            <v:line style="position:absolute" from="1276,653" to="1478,1483" stroked="true" strokeweight="1pt" strokecolor="#de0035">
              <v:stroke dashstyle="solid"/>
            </v:line>
            <v:rect style="position:absolute;left:1648;top:2240;width:68;height:213" filled="true" fillcolor="#f6bd61" stroked="false">
              <v:fill type="solid"/>
            </v:rect>
            <v:rect style="position:absolute;left:1648;top:2240;width:68;height:213" filled="false" stroked="true" strokeweight=".5pt" strokecolor="#000000">
              <v:stroke dashstyle="solid"/>
            </v:rect>
            <v:rect style="position:absolute;left:1648;top:2042;width:68;height:200" filled="true" fillcolor="#c0a2c7" stroked="false">
              <v:fill type="solid"/>
            </v:rect>
            <v:rect style="position:absolute;left:1648;top:2042;width:68;height:200" filled="false" stroked="true" strokeweight=".5pt" strokecolor="#000000">
              <v:stroke dashstyle="solid"/>
            </v:rect>
            <v:rect style="position:absolute;left:1648;top:1407;width:68;height:638" filled="true" fillcolor="#acbc4a" stroked="false">
              <v:fill type="solid"/>
            </v:rect>
            <v:rect style="position:absolute;left:1648;top:1407;width:68;height:638" filled="false" stroked="true" strokeweight=".5pt" strokecolor="#000000">
              <v:stroke dashstyle="solid"/>
            </v:rect>
            <v:rect style="position:absolute;left:1648;top:1165;width:68;height:245" filled="true" fillcolor="#a64991" stroked="false">
              <v:fill type="solid"/>
            </v:rect>
            <v:rect style="position:absolute;left:1648;top:1165;width:68;height:245" filled="false" stroked="true" strokeweight=".5pt" strokecolor="#000000">
              <v:stroke dashstyle="solid"/>
            </v:rect>
            <v:line style="position:absolute" from="1478,1483" to="1681,1165" stroked="true" strokeweight="1pt" strokecolor="#de0035">
              <v:stroke dashstyle="solid"/>
            </v:line>
            <v:rect style="position:absolute;left:1840;top:1512;width:78;height:940" filled="true" fillcolor="#f6bd61" stroked="false">
              <v:fill type="solid"/>
            </v:rect>
            <v:rect style="position:absolute;left:1840;top:1512;width:78;height:940" filled="false" stroked="true" strokeweight=".5pt" strokecolor="#000000">
              <v:stroke dashstyle="solid"/>
            </v:rect>
            <v:rect style="position:absolute;left:1840;top:1347;width:78;height:168" filled="true" fillcolor="#c0a2c7" stroked="false">
              <v:fill type="solid"/>
            </v:rect>
            <v:rect style="position:absolute;left:1840;top:1347;width:78;height:168" filled="false" stroked="true" strokeweight=".5pt" strokecolor="#000000">
              <v:stroke dashstyle="solid"/>
            </v:rect>
            <v:rect style="position:absolute;left:1840;top:1197;width:78;height:153" filled="true" fillcolor="#acbc4a" stroked="false">
              <v:fill type="solid"/>
            </v:rect>
            <v:rect style="position:absolute;left:1840;top:1197;width:78;height:153" filled="false" stroked="true" strokeweight=".5pt" strokecolor="#000000">
              <v:stroke dashstyle="solid"/>
            </v:rect>
            <v:rect style="position:absolute;left:1840;top:2450;width:78;height:18" filled="true" fillcolor="#a64991" stroked="false">
              <v:fill type="solid"/>
            </v:rect>
            <v:rect style="position:absolute;left:1840;top:2450;width:78;height:18" filled="false" stroked="true" strokeweight=".5pt" strokecolor="#000000">
              <v:stroke dashstyle="solid"/>
            </v:rect>
            <v:line style="position:absolute" from="1681,1165" to="1873,1213" stroked="true" strokeweight="1pt" strokecolor="#de0035">
              <v:stroke dashstyle="solid"/>
            </v:line>
            <v:rect style="position:absolute;left:2043;top:1770;width:68;height:683" filled="true" fillcolor="#f6bd61" stroked="false">
              <v:fill type="solid"/>
            </v:rect>
            <v:rect style="position:absolute;left:2043;top:1770;width:68;height:683" filled="false" stroked="true" strokeweight=".5pt" strokecolor="#000000">
              <v:stroke dashstyle="solid"/>
            </v:rect>
            <v:rect style="position:absolute;left:2043;top:1605;width:68;height:168" filled="true" fillcolor="#c0a2c7" stroked="false">
              <v:fill type="solid"/>
            </v:rect>
            <v:rect style="position:absolute;left:2043;top:1605;width:68;height:168" filled="false" stroked="true" strokeweight=".5pt" strokecolor="#000000">
              <v:stroke dashstyle="solid"/>
            </v:rect>
            <v:rect style="position:absolute;left:2043;top:1060;width:68;height:548" filled="true" fillcolor="#acbc4a" stroked="false">
              <v:fill type="solid"/>
            </v:rect>
            <v:rect style="position:absolute;left:2043;top:1060;width:68;height:548" filled="false" stroked="true" strokeweight=".5pt" strokecolor="#000000">
              <v:stroke dashstyle="solid"/>
            </v:rect>
            <v:rect style="position:absolute;left:2043;top:2450;width:68;height:335" filled="true" fillcolor="#a64991" stroked="false">
              <v:fill type="solid"/>
            </v:rect>
            <v:rect style="position:absolute;left:2043;top:2450;width:68;height:335" filled="false" stroked="true" strokeweight=".5pt" strokecolor="#000000">
              <v:stroke dashstyle="solid"/>
            </v:rect>
            <v:line style="position:absolute" from="1873,1213" to="2076,1408" stroked="true" strokeweight="1pt" strokecolor="#de0035">
              <v:stroke dashstyle="solid"/>
            </v:line>
            <v:rect style="position:absolute;left:2245;top:1770;width:68;height:683" filled="true" fillcolor="#f6bd61" stroked="false">
              <v:fill type="solid"/>
            </v:rect>
            <v:rect style="position:absolute;left:2245;top:1770;width:68;height:683" filled="false" stroked="true" strokeweight=".5pt" strokecolor="#000000">
              <v:stroke dashstyle="solid"/>
            </v:rect>
            <v:rect style="position:absolute;left:2245;top:1620;width:68;height:153" filled="true" fillcolor="#c0a2c7" stroked="false">
              <v:fill type="solid"/>
            </v:rect>
            <v:rect style="position:absolute;left:2245;top:1620;width:68;height:153" filled="false" stroked="true" strokeweight=".5pt" strokecolor="#000000">
              <v:stroke dashstyle="solid"/>
            </v:rect>
            <v:rect style="position:absolute;left:2245;top:2450;width:68;height:48" filled="true" fillcolor="#acbc4a" stroked="false">
              <v:fill type="solid"/>
            </v:rect>
            <v:rect style="position:absolute;left:2245;top:2450;width:68;height:48" filled="false" stroked="true" strokeweight=".5pt" strokecolor="#000000">
              <v:stroke dashstyle="solid"/>
            </v:rect>
            <v:rect style="position:absolute;left:2245;top:2495;width:68;height:125" filled="true" fillcolor="#a64991" stroked="false">
              <v:fill type="solid"/>
            </v:rect>
            <v:rect style="position:absolute;left:2245;top:2495;width:68;height:125" filled="false" stroked="true" strokeweight=".5pt" strokecolor="#000000">
              <v:stroke dashstyle="solid"/>
            </v:rect>
            <v:line style="position:absolute" from="2076,1408" to="2278,1785" stroked="true" strokeweight="1pt" strokecolor="#de0035">
              <v:stroke dashstyle="solid"/>
            </v:line>
            <v:rect style="position:absolute;left:2448;top:1830;width:68;height:623" filled="true" fillcolor="#f6bd61" stroked="false">
              <v:fill type="solid"/>
            </v:rect>
            <v:rect style="position:absolute;left:2448;top:1830;width:68;height:623" filled="false" stroked="true" strokeweight=".5pt" strokecolor="#000000">
              <v:stroke dashstyle="solid"/>
            </v:rect>
            <v:rect style="position:absolute;left:2448;top:1695;width:68;height:138" filled="true" fillcolor="#c0a2c7" stroked="false">
              <v:fill type="solid"/>
            </v:rect>
            <v:rect style="position:absolute;left:2448;top:1695;width:68;height:138" filled="false" stroked="true" strokeweight=".5pt" strokecolor="#000000">
              <v:stroke dashstyle="solid"/>
            </v:rect>
            <v:rect style="position:absolute;left:2448;top:1635;width:68;height:63" filled="true" fillcolor="#acbc4a" stroked="false">
              <v:fill type="solid"/>
            </v:rect>
            <v:rect style="position:absolute;left:2448;top:1635;width:68;height:63" filled="false" stroked="true" strokeweight=".5pt" strokecolor="#000000">
              <v:stroke dashstyle="solid"/>
            </v:rect>
            <v:rect style="position:absolute;left:2448;top:1575;width:68;height:63" filled="true" fillcolor="#a64991" stroked="false">
              <v:fill type="solid"/>
            </v:rect>
            <v:rect style="position:absolute;left:2448;top:1575;width:68;height:63" filled="false" stroked="true" strokeweight=".5pt" strokecolor="#000000">
              <v:stroke dashstyle="solid"/>
            </v:rect>
            <v:line style="position:absolute" from="2278,1785" to="2481,1575" stroked="true" strokeweight="1pt" strokecolor="#de0035">
              <v:stroke dashstyle="solid"/>
            </v:line>
            <v:rect style="position:absolute;left:2650;top:1272;width:68;height:1180" filled="true" fillcolor="#f6bd61" stroked="false">
              <v:fill type="solid"/>
            </v:rect>
            <v:rect style="position:absolute;left:2650;top:1272;width:68;height:1180" filled="false" stroked="true" strokeweight=".5pt" strokecolor="#000000">
              <v:stroke dashstyle="solid"/>
            </v:rect>
            <v:rect style="position:absolute;left:2650;top:1030;width:68;height:245" filled="true" fillcolor="#c0a2c7" stroked="false">
              <v:fill type="solid"/>
            </v:rect>
            <v:rect style="position:absolute;left:2650;top:1030;width:68;height:245" filled="false" stroked="true" strokeweight=".5pt" strokecolor="#000000">
              <v:stroke dashstyle="solid"/>
            </v:rect>
            <v:rect style="position:absolute;left:2650;top:320;width:68;height:713" filled="true" fillcolor="#acbc4a" stroked="false">
              <v:fill type="solid"/>
            </v:rect>
            <v:rect style="position:absolute;left:2650;top:320;width:68;height:713" filled="false" stroked="true" strokeweight=".5pt" strokecolor="#000000">
              <v:stroke dashstyle="solid"/>
            </v:rect>
            <v:rect style="position:absolute;left:2650;top:275;width:68;height:48" filled="true" fillcolor="#a64991" stroked="false">
              <v:fill type="solid"/>
            </v:rect>
            <v:rect style="position:absolute;left:2650;top:275;width:68;height:48" filled="false" stroked="true" strokeweight=".5pt" strokecolor="#000000">
              <v:stroke dashstyle="solid"/>
            </v:rect>
            <v:line style="position:absolute" from="2481,1575" to="2683,275" stroked="true" strokeweight="1pt" strokecolor="#de0035">
              <v:stroke dashstyle="solid"/>
            </v:line>
            <v:rect style="position:absolute;left:2853;top:2315;width:68;height:138" filled="true" fillcolor="#f6bd61" stroked="false">
              <v:fill type="solid"/>
            </v:rect>
            <v:rect style="position:absolute;left:2853;top:2315;width:68;height:138" filled="false" stroked="true" strokeweight=".5pt" strokecolor="#000000">
              <v:stroke dashstyle="solid"/>
            </v:rect>
            <v:rect style="position:absolute;left:2853;top:2057;width:68;height:260" filled="true" fillcolor="#c0a2c7" stroked="false">
              <v:fill type="solid"/>
            </v:rect>
            <v:rect style="position:absolute;left:2853;top:2057;width:68;height:260" filled="false" stroked="true" strokeweight=".5pt" strokecolor="#000000">
              <v:stroke dashstyle="solid"/>
            </v:rect>
            <v:rect style="position:absolute;left:2853;top:1242;width:68;height:818" filled="true" fillcolor="#acbc4a" stroked="false">
              <v:fill type="solid"/>
            </v:rect>
            <v:rect style="position:absolute;left:2853;top:1242;width:68;height:818" filled="false" stroked="true" strokeweight=".5pt" strokecolor="#000000">
              <v:stroke dashstyle="solid"/>
            </v:rect>
            <v:rect style="position:absolute;left:2853;top:2450;width:68;height:33" filled="true" fillcolor="#a64991" stroked="false">
              <v:fill type="solid"/>
            </v:rect>
            <v:rect style="position:absolute;left:2853;top:2450;width:68;height:33" filled="false" stroked="true" strokeweight=".5pt" strokecolor="#000000">
              <v:stroke dashstyle="solid"/>
            </v:rect>
            <v:line style="position:absolute" from="2683,275" to="2886,1273" stroked="true" strokeweight="1pt" strokecolor="#de0035">
              <v:stroke dashstyle="solid"/>
            </v:line>
            <v:rect style="position:absolute;left:3045;top:2405;width:75;height:48" filled="true" fillcolor="#f6bd61" stroked="false">
              <v:fill type="solid"/>
            </v:rect>
            <v:rect style="position:absolute;left:3045;top:2405;width:75;height:48" filled="false" stroked="true" strokeweight=".5pt" strokecolor="#000000">
              <v:stroke dashstyle="solid"/>
            </v:rect>
            <v:rect style="position:absolute;left:3045;top:2147;width:75;height:260" filled="true" fillcolor="#c0a2c7" stroked="false">
              <v:fill type="solid"/>
            </v:rect>
            <v:rect style="position:absolute;left:3045;top:2147;width:75;height:260" filled="false" stroked="true" strokeweight=".5pt" strokecolor="#000000">
              <v:stroke dashstyle="solid"/>
            </v:rect>
            <v:rect style="position:absolute;left:3045;top:1695;width:75;height:455" filled="true" fillcolor="#acbc4a" stroked="false">
              <v:fill type="solid"/>
            </v:rect>
            <v:rect style="position:absolute;left:3045;top:1695;width:75;height:455" filled="false" stroked="true" strokeweight=".5pt" strokecolor="#000000">
              <v:stroke dashstyle="solid"/>
            </v:rect>
            <v:rect style="position:absolute;left:3045;top:2450;width:75;height:48" filled="true" fillcolor="#a64991" stroked="false">
              <v:fill type="solid"/>
            </v:rect>
            <v:rect style="position:absolute;left:3045;top:2450;width:75;height:48" filled="false" stroked="true" strokeweight=".5pt" strokecolor="#000000">
              <v:stroke dashstyle="solid"/>
            </v:rect>
            <v:line style="position:absolute" from="2886,1273" to="3088,1740" stroked="true" strokeweight="1pt" strokecolor="#de0035">
              <v:stroke dashstyle="solid"/>
            </v:line>
            <v:rect style="position:absolute;left:3248;top:1302;width:65;height:1150" filled="true" fillcolor="#f6bd61" stroked="false">
              <v:fill type="solid"/>
            </v:rect>
            <v:rect style="position:absolute;left:3248;top:1302;width:65;height:1150" filled="false" stroked="true" strokeweight=".5pt" strokecolor="#000000">
              <v:stroke dashstyle="solid"/>
            </v:rect>
            <v:rect style="position:absolute;left:3248;top:1165;width:65;height:140" filled="true" fillcolor="#c0a2c7" stroked="false">
              <v:fill type="solid"/>
            </v:rect>
            <v:rect style="position:absolute;left:3248;top:1165;width:65;height:140" filled="false" stroked="true" strokeweight=".5pt" strokecolor="#000000">
              <v:stroke dashstyle="solid"/>
            </v:rect>
            <v:rect style="position:absolute;left:3248;top:880;width:65;height:288" filled="true" fillcolor="#acbc4a" stroked="false">
              <v:fill type="solid"/>
            </v:rect>
            <v:rect style="position:absolute;left:3248;top:880;width:65;height:288" filled="false" stroked="true" strokeweight=".5pt" strokecolor="#000000">
              <v:stroke dashstyle="solid"/>
            </v:rect>
            <v:line style="position:absolute" from="3088,1740" to="3278,880" stroked="true" strokeweight="1pt" strokecolor="#de0035">
              <v:stroke dashstyle="solid"/>
            </v:line>
            <v:rect style="position:absolute;left:3450;top:2177;width:65;height:275" filled="true" fillcolor="#f6bd61" stroked="false">
              <v:fill type="solid"/>
            </v:rect>
            <v:rect style="position:absolute;left:3450;top:2177;width:65;height:275" filled="false" stroked="true" strokeweight=".5pt" strokecolor="#000000">
              <v:stroke dashstyle="solid"/>
            </v:rect>
            <v:rect style="position:absolute;left:3450;top:1862;width:65;height:318" filled="true" fillcolor="#c0a2c7" stroked="false">
              <v:fill type="solid"/>
            </v:rect>
            <v:rect style="position:absolute;left:3450;top:1862;width:65;height:318" filled="false" stroked="true" strokeweight=".5pt" strokecolor="#000000">
              <v:stroke dashstyle="solid"/>
            </v:rect>
            <v:rect style="position:absolute;left:3450;top:1530;width:65;height:335" filled="true" fillcolor="#acbc4a" stroked="false">
              <v:fill type="solid"/>
            </v:rect>
            <v:rect style="position:absolute;left:3450;top:1530;width:65;height:335" filled="false" stroked="true" strokeweight=".5pt" strokecolor="#000000">
              <v:stroke dashstyle="solid"/>
            </v:rect>
            <v:rect style="position:absolute;left:3450;top:2450;width:65;height:80" filled="true" fillcolor="#a64991" stroked="false">
              <v:fill type="solid"/>
            </v:rect>
            <v:rect style="position:absolute;left:3450;top:2450;width:65;height:80" filled="false" stroked="true" strokeweight=".5pt" strokecolor="#000000">
              <v:stroke dashstyle="solid"/>
            </v:rect>
            <v:line style="position:absolute" from="3278,880" to="3481,1590" stroked="true" strokeweight="1pt" strokecolor="#de0035">
              <v:stroke dashstyle="solid"/>
            </v:line>
            <v:rect style="position:absolute;left:3653;top:1815;width:65;height:638" filled="true" fillcolor="#f6bd61" stroked="false">
              <v:fill type="solid"/>
            </v:rect>
            <v:rect style="position:absolute;left:3653;top:1815;width:65;height:638" filled="false" stroked="true" strokeweight=".5pt" strokecolor="#000000">
              <v:stroke dashstyle="solid"/>
            </v:rect>
            <v:rect style="position:absolute;left:3653;top:1725;width:65;height:93" filled="true" fillcolor="#c0a2c7" stroked="false">
              <v:fill type="solid"/>
            </v:rect>
            <v:rect style="position:absolute;left:3653;top:1725;width:65;height:93" filled="false" stroked="true" strokeweight=".5pt" strokecolor="#000000">
              <v:stroke dashstyle="solid"/>
            </v:rect>
            <v:rect style="position:absolute;left:3653;top:1302;width:65;height:425" filled="true" fillcolor="#acbc4a" stroked="false">
              <v:fill type="solid"/>
            </v:rect>
            <v:rect style="position:absolute;left:3653;top:1302;width:65;height:425" filled="false" stroked="true" strokeweight=".5pt" strokecolor="#000000">
              <v:stroke dashstyle="solid"/>
            </v:rect>
            <v:line style="position:absolute" from="3481,1590" to="3683,1303" stroked="true" strokeweight="1pt" strokecolor="#de0035">
              <v:stroke dashstyle="solid"/>
            </v:line>
            <v:rect style="position:absolute;left:3855;top:1922;width:65;height:530" filled="true" fillcolor="#f6bd61" stroked="false">
              <v:fill type="solid"/>
            </v:rect>
            <v:rect style="position:absolute;left:3855;top:1922;width:65;height:530" filled="false" stroked="true" strokeweight=".5pt" strokecolor="#000000">
              <v:stroke dashstyle="solid"/>
            </v:rect>
            <v:rect style="position:absolute;left:3855;top:1755;width:65;height:170" filled="true" fillcolor="#c0a2c7" stroked="false">
              <v:fill type="solid"/>
            </v:rect>
            <v:rect style="position:absolute;left:3855;top:1755;width:65;height:170" filled="false" stroked="true" strokeweight=".5pt" strokecolor="#000000">
              <v:stroke dashstyle="solid"/>
            </v:rect>
            <v:rect style="position:absolute;left:3855;top:1227;width:65;height:530" filled="true" fillcolor="#acbc4a" stroked="false">
              <v:fill type="solid"/>
            </v:rect>
            <v:rect style="position:absolute;left:3855;top:1227;width:65;height:530" filled="false" stroked="true" strokeweight=".5pt" strokecolor="#000000">
              <v:stroke dashstyle="solid"/>
            </v:rect>
            <v:rect style="position:absolute;left:3855;top:2450;width:65;height:18" filled="true" fillcolor="#a64991" stroked="false">
              <v:fill type="solid"/>
            </v:rect>
            <v:rect style="position:absolute;left:3855;top:2450;width:65;height:18" filled="false" stroked="true" strokeweight=".5pt" strokecolor="#000000">
              <v:stroke dashstyle="solid"/>
            </v:rect>
            <v:line style="position:absolute" from="3673,1304" to="3896,1304" stroked="true" strokeweight="1.125pt" strokecolor="#de0035">
              <v:stroke dashstyle="solid"/>
            </v:line>
            <v:line style="position:absolute" from="1042,2453" to="3922,2453" stroked="true" strokeweight=".5pt" strokecolor="#000000">
              <v:stroke dashstyle="solid"/>
            </v:line>
            <w10:wrap type="none"/>
          </v:group>
        </w:pict>
      </w:r>
      <w:r>
        <w:rPr>
          <w:w w:val="110"/>
          <w:sz w:val="12"/>
        </w:rPr>
        <w:t>percentage poin</w:t>
      </w:r>
      <w:r>
        <w:rPr>
          <w:w w:val="110"/>
          <w:sz w:val="12"/>
          <w:u w:val="single"/>
        </w:rPr>
        <w:t>ts</w:t>
      </w:r>
      <w:r>
        <w:rPr>
          <w:spacing w:val="17"/>
          <w:w w:val="110"/>
          <w:sz w:val="12"/>
        </w:rPr>
        <w:t> </w:t>
      </w:r>
      <w:r>
        <w:rPr>
          <w:w w:val="110"/>
          <w:position w:val="-7"/>
          <w:sz w:val="12"/>
        </w:rPr>
        <w:t>2.0</w:t>
      </w:r>
    </w:p>
    <w:p>
      <w:pPr>
        <w:pStyle w:val="BodyText"/>
      </w:pPr>
    </w:p>
    <w:p>
      <w:pPr>
        <w:pStyle w:val="BodyText"/>
        <w:spacing w:before="8"/>
        <w:rPr>
          <w:sz w:val="17"/>
        </w:rPr>
      </w:pPr>
    </w:p>
    <w:p>
      <w:pPr>
        <w:spacing w:before="1"/>
        <w:ind w:left="0" w:right="38" w:firstLine="0"/>
        <w:jc w:val="right"/>
        <w:rPr>
          <w:sz w:val="12"/>
        </w:rPr>
      </w:pPr>
      <w:r>
        <w:rPr/>
        <w:pict>
          <v:line style="position:absolute;mso-position-horizontal-relative:page;mso-position-vertical-relative:paragraph;z-index:15975936" from="200.623993pt,4.020692pt" to="204.955993pt,4.020692pt" stroked="true" strokeweight=".5pt" strokecolor="#000000">
            <v:stroke dashstyle="solid"/>
            <w10:wrap type="none"/>
          </v:line>
        </w:pict>
      </w:r>
      <w:r>
        <w:rPr>
          <w:w w:val="110"/>
          <w:sz w:val="12"/>
        </w:rPr>
        <w:t>1.5</w:t>
      </w:r>
    </w:p>
    <w:p>
      <w:pPr>
        <w:pStyle w:val="BodyText"/>
        <w:rPr>
          <w:sz w:val="12"/>
        </w:rPr>
      </w:pPr>
    </w:p>
    <w:p>
      <w:pPr>
        <w:pStyle w:val="BodyText"/>
        <w:rPr>
          <w:sz w:val="12"/>
        </w:rPr>
      </w:pPr>
    </w:p>
    <w:p>
      <w:pPr>
        <w:pStyle w:val="BodyText"/>
        <w:spacing w:before="10"/>
        <w:rPr>
          <w:sz w:val="13"/>
        </w:rPr>
      </w:pPr>
    </w:p>
    <w:p>
      <w:pPr>
        <w:spacing w:before="1"/>
        <w:ind w:left="0" w:right="38" w:firstLine="0"/>
        <w:jc w:val="right"/>
        <w:rPr>
          <w:sz w:val="12"/>
        </w:rPr>
      </w:pPr>
      <w:r>
        <w:rPr/>
        <w:pict>
          <v:line style="position:absolute;mso-position-horizontal-relative:page;mso-position-vertical-relative:paragraph;z-index:15976448" from="200.623993pt,4.045106pt" to="204.955993pt,4.045106pt" stroked="true" strokeweight=".5pt" strokecolor="#000000">
            <v:stroke dashstyle="solid"/>
            <w10:wrap type="none"/>
          </v:line>
        </w:pict>
      </w:r>
      <w:r>
        <w:rPr>
          <w:w w:val="110"/>
          <w:sz w:val="12"/>
        </w:rPr>
        <w:t>1.0</w:t>
      </w:r>
    </w:p>
    <w:p>
      <w:pPr>
        <w:pStyle w:val="BodyText"/>
        <w:rPr>
          <w:sz w:val="12"/>
        </w:rPr>
      </w:pPr>
    </w:p>
    <w:p>
      <w:pPr>
        <w:pStyle w:val="BodyText"/>
        <w:rPr>
          <w:sz w:val="12"/>
        </w:rPr>
      </w:pPr>
    </w:p>
    <w:p>
      <w:pPr>
        <w:pStyle w:val="BodyText"/>
        <w:spacing w:before="11"/>
        <w:rPr>
          <w:sz w:val="13"/>
        </w:rPr>
      </w:pPr>
    </w:p>
    <w:p>
      <w:pPr>
        <w:spacing w:before="0"/>
        <w:ind w:left="0" w:right="38" w:firstLine="0"/>
        <w:jc w:val="right"/>
        <w:rPr>
          <w:sz w:val="12"/>
        </w:rPr>
      </w:pPr>
      <w:r>
        <w:rPr/>
        <w:pict>
          <v:line style="position:absolute;mso-position-horizontal-relative:page;mso-position-vertical-relative:paragraph;z-index:15976960" from="200.623993pt,4.01952pt" to="204.955993pt,4.01952pt" stroked="true" strokeweight=".5pt" strokecolor="#000000">
            <v:stroke dashstyle="solid"/>
            <w10:wrap type="none"/>
          </v:line>
        </w:pict>
      </w:r>
      <w:r>
        <w:rPr>
          <w:w w:val="110"/>
          <w:sz w:val="12"/>
        </w:rPr>
        <w:t>0.5</w:t>
      </w:r>
    </w:p>
    <w:p>
      <w:pPr>
        <w:pStyle w:val="BodyText"/>
        <w:rPr>
          <w:sz w:val="12"/>
        </w:rPr>
      </w:pPr>
    </w:p>
    <w:p>
      <w:pPr>
        <w:spacing w:before="99"/>
        <w:ind w:left="1871" w:right="0" w:firstLine="0"/>
        <w:jc w:val="left"/>
        <w:rPr>
          <w:sz w:val="16"/>
        </w:rPr>
      </w:pPr>
      <w:r>
        <w:rPr>
          <w:w w:val="107"/>
          <w:sz w:val="16"/>
        </w:rPr>
        <w:t>+</w:t>
      </w:r>
    </w:p>
    <w:p>
      <w:pPr>
        <w:spacing w:line="126" w:lineRule="exact" w:before="15"/>
        <w:ind w:left="1925" w:right="0" w:firstLine="0"/>
        <w:jc w:val="left"/>
        <w:rPr>
          <w:sz w:val="12"/>
        </w:rPr>
      </w:pPr>
      <w:r>
        <w:rPr/>
        <w:pict>
          <v:line style="position:absolute;mso-position-horizontal-relative:page;mso-position-vertical-relative:paragraph;z-index:15977472" from="200.623993pt,4.793903pt" to="204.955993pt,4.793903pt" stroked="true" strokeweight=".5pt" strokecolor="#000000">
            <v:stroke dashstyle="solid"/>
            <w10:wrap type="none"/>
          </v:line>
        </w:pict>
      </w:r>
      <w:r>
        <w:rPr>
          <w:w w:val="115"/>
          <w:sz w:val="12"/>
        </w:rPr>
        <w:t>0.0</w:t>
      </w:r>
    </w:p>
    <w:p>
      <w:pPr>
        <w:spacing w:line="172" w:lineRule="exact" w:before="0"/>
        <w:ind w:left="1873" w:right="0" w:firstLine="0"/>
        <w:jc w:val="left"/>
        <w:rPr>
          <w:sz w:val="16"/>
        </w:rPr>
      </w:pPr>
      <w:r>
        <w:rPr>
          <w:w w:val="117"/>
          <w:sz w:val="16"/>
        </w:rPr>
        <w:t>–</w:t>
      </w:r>
    </w:p>
    <w:p>
      <w:pPr>
        <w:pStyle w:val="BodyText"/>
        <w:spacing w:before="4"/>
        <w:rPr>
          <w:sz w:val="23"/>
        </w:rPr>
      </w:pPr>
      <w:r>
        <w:rPr/>
        <w:br w:type="column"/>
      </w:r>
      <w:r>
        <w:rPr>
          <w:sz w:val="23"/>
        </w:rPr>
      </w:r>
    </w:p>
    <w:p>
      <w:pPr>
        <w:pStyle w:val="BodyText"/>
        <w:spacing w:line="292" w:lineRule="auto"/>
        <w:ind w:left="218" w:right="113"/>
      </w:pPr>
      <w:r>
        <w:rPr>
          <w:w w:val="110"/>
        </w:rPr>
        <w:t>Some increase in spending on vehicles </w:t>
      </w:r>
      <w:r>
        <w:rPr>
          <w:spacing w:val="-3"/>
          <w:w w:val="110"/>
        </w:rPr>
        <w:t>may </w:t>
      </w:r>
      <w:r>
        <w:rPr>
          <w:w w:val="110"/>
        </w:rPr>
        <w:t>represent a substitution</w:t>
      </w:r>
      <w:r>
        <w:rPr>
          <w:spacing w:val="-19"/>
          <w:w w:val="110"/>
        </w:rPr>
        <w:t> </w:t>
      </w:r>
      <w:r>
        <w:rPr>
          <w:spacing w:val="-4"/>
          <w:w w:val="110"/>
        </w:rPr>
        <w:t>away</w:t>
      </w:r>
      <w:r>
        <w:rPr>
          <w:spacing w:val="-18"/>
          <w:w w:val="110"/>
        </w:rPr>
        <w:t> </w:t>
      </w:r>
      <w:r>
        <w:rPr>
          <w:w w:val="110"/>
        </w:rPr>
        <w:t>from</w:t>
      </w:r>
      <w:r>
        <w:rPr>
          <w:spacing w:val="-18"/>
          <w:w w:val="110"/>
        </w:rPr>
        <w:t> </w:t>
      </w:r>
      <w:r>
        <w:rPr>
          <w:w w:val="110"/>
        </w:rPr>
        <w:t>spending</w:t>
      </w:r>
      <w:r>
        <w:rPr>
          <w:spacing w:val="-19"/>
          <w:w w:val="110"/>
        </w:rPr>
        <w:t> </w:t>
      </w:r>
      <w:r>
        <w:rPr>
          <w:w w:val="110"/>
        </w:rPr>
        <w:t>on</w:t>
      </w:r>
      <w:r>
        <w:rPr>
          <w:spacing w:val="-18"/>
          <w:w w:val="110"/>
        </w:rPr>
        <w:t> </w:t>
      </w:r>
      <w:r>
        <w:rPr>
          <w:w w:val="110"/>
        </w:rPr>
        <w:t>other</w:t>
      </w:r>
      <w:r>
        <w:rPr>
          <w:spacing w:val="-18"/>
          <w:w w:val="110"/>
        </w:rPr>
        <w:t> </w:t>
      </w:r>
      <w:r>
        <w:rPr>
          <w:w w:val="110"/>
        </w:rPr>
        <w:t>goods</w:t>
      </w:r>
      <w:r>
        <w:rPr>
          <w:spacing w:val="-19"/>
          <w:w w:val="110"/>
        </w:rPr>
        <w:t> </w:t>
      </w:r>
      <w:r>
        <w:rPr>
          <w:w w:val="110"/>
        </w:rPr>
        <w:t>and</w:t>
      </w:r>
      <w:r>
        <w:rPr>
          <w:spacing w:val="-18"/>
          <w:w w:val="110"/>
        </w:rPr>
        <w:t> </w:t>
      </w:r>
      <w:r>
        <w:rPr>
          <w:w w:val="110"/>
        </w:rPr>
        <w:t>services. But</w:t>
      </w:r>
      <w:r>
        <w:rPr>
          <w:spacing w:val="-28"/>
          <w:w w:val="110"/>
        </w:rPr>
        <w:t> </w:t>
      </w:r>
      <w:r>
        <w:rPr>
          <w:w w:val="110"/>
        </w:rPr>
        <w:t>growth</w:t>
      </w:r>
      <w:r>
        <w:rPr>
          <w:spacing w:val="-28"/>
          <w:w w:val="110"/>
        </w:rPr>
        <w:t> </w:t>
      </w:r>
      <w:r>
        <w:rPr>
          <w:w w:val="110"/>
        </w:rPr>
        <w:t>in</w:t>
      </w:r>
      <w:r>
        <w:rPr>
          <w:spacing w:val="-28"/>
          <w:w w:val="110"/>
        </w:rPr>
        <w:t> </w:t>
      </w:r>
      <w:r>
        <w:rPr>
          <w:w w:val="110"/>
        </w:rPr>
        <w:t>retail</w:t>
      </w:r>
      <w:r>
        <w:rPr>
          <w:spacing w:val="-28"/>
          <w:w w:val="110"/>
        </w:rPr>
        <w:t> </w:t>
      </w:r>
      <w:r>
        <w:rPr>
          <w:w w:val="110"/>
        </w:rPr>
        <w:t>sales,</w:t>
      </w:r>
      <w:r>
        <w:rPr>
          <w:spacing w:val="-27"/>
          <w:w w:val="110"/>
        </w:rPr>
        <w:t> </w:t>
      </w:r>
      <w:r>
        <w:rPr>
          <w:w w:val="110"/>
        </w:rPr>
        <w:t>which</w:t>
      </w:r>
      <w:r>
        <w:rPr>
          <w:spacing w:val="-28"/>
          <w:w w:val="110"/>
        </w:rPr>
        <w:t> </w:t>
      </w:r>
      <w:r>
        <w:rPr>
          <w:spacing w:val="-3"/>
          <w:w w:val="110"/>
        </w:rPr>
        <w:t>exclude</w:t>
      </w:r>
      <w:r>
        <w:rPr>
          <w:spacing w:val="-28"/>
          <w:w w:val="110"/>
        </w:rPr>
        <w:t> </w:t>
      </w:r>
      <w:r>
        <w:rPr>
          <w:w w:val="110"/>
        </w:rPr>
        <w:t>purchases</w:t>
      </w:r>
      <w:r>
        <w:rPr>
          <w:spacing w:val="-28"/>
          <w:w w:val="110"/>
        </w:rPr>
        <w:t> </w:t>
      </w:r>
      <w:r>
        <w:rPr>
          <w:w w:val="110"/>
        </w:rPr>
        <w:t>of</w:t>
      </w:r>
      <w:r>
        <w:rPr>
          <w:spacing w:val="-27"/>
          <w:w w:val="110"/>
        </w:rPr>
        <w:t> </w:t>
      </w:r>
      <w:r>
        <w:rPr>
          <w:w w:val="110"/>
        </w:rPr>
        <w:t>vehicles, remained robust in Q4 (see Chart 2.8) and </w:t>
      </w:r>
      <w:r>
        <w:rPr>
          <w:spacing w:val="-3"/>
          <w:w w:val="110"/>
        </w:rPr>
        <w:t>into </w:t>
      </w:r>
      <w:r>
        <w:rPr>
          <w:w w:val="110"/>
        </w:rPr>
        <w:t>January according </w:t>
      </w:r>
      <w:r>
        <w:rPr>
          <w:spacing w:val="-4"/>
          <w:w w:val="110"/>
        </w:rPr>
        <w:t>to </w:t>
      </w:r>
      <w:r>
        <w:rPr>
          <w:w w:val="110"/>
        </w:rPr>
        <w:t>the CBI Distributive </w:t>
      </w:r>
      <w:r>
        <w:rPr>
          <w:spacing w:val="-5"/>
          <w:w w:val="110"/>
        </w:rPr>
        <w:t>Trades survey. </w:t>
      </w:r>
      <w:r>
        <w:rPr>
          <w:spacing w:val="-3"/>
          <w:w w:val="110"/>
        </w:rPr>
        <w:t>Surveys </w:t>
      </w:r>
      <w:r>
        <w:rPr>
          <w:w w:val="110"/>
        </w:rPr>
        <w:t>suggest</w:t>
      </w:r>
      <w:r>
        <w:rPr>
          <w:spacing w:val="-19"/>
          <w:w w:val="110"/>
        </w:rPr>
        <w:t> </w:t>
      </w:r>
      <w:r>
        <w:rPr>
          <w:w w:val="110"/>
        </w:rPr>
        <w:t>that</w:t>
      </w:r>
      <w:r>
        <w:rPr>
          <w:spacing w:val="-18"/>
          <w:w w:val="110"/>
        </w:rPr>
        <w:t> </w:t>
      </w:r>
      <w:r>
        <w:rPr>
          <w:w w:val="110"/>
        </w:rPr>
        <w:t>growth</w:t>
      </w:r>
      <w:r>
        <w:rPr>
          <w:spacing w:val="-19"/>
          <w:w w:val="110"/>
        </w:rPr>
        <w:t> </w:t>
      </w:r>
      <w:r>
        <w:rPr>
          <w:w w:val="110"/>
        </w:rPr>
        <w:t>in</w:t>
      </w:r>
      <w:r>
        <w:rPr>
          <w:spacing w:val="-18"/>
          <w:w w:val="110"/>
        </w:rPr>
        <w:t> </w:t>
      </w:r>
      <w:r>
        <w:rPr>
          <w:w w:val="110"/>
        </w:rPr>
        <w:t>expenditure</w:t>
      </w:r>
      <w:r>
        <w:rPr>
          <w:spacing w:val="-18"/>
          <w:w w:val="110"/>
        </w:rPr>
        <w:t> </w:t>
      </w:r>
      <w:r>
        <w:rPr>
          <w:w w:val="110"/>
        </w:rPr>
        <w:t>on</w:t>
      </w:r>
      <w:r>
        <w:rPr>
          <w:spacing w:val="-19"/>
          <w:w w:val="110"/>
        </w:rPr>
        <w:t> </w:t>
      </w:r>
      <w:r>
        <w:rPr>
          <w:w w:val="110"/>
        </w:rPr>
        <w:t>services</w:t>
      </w:r>
      <w:r>
        <w:rPr>
          <w:spacing w:val="-18"/>
          <w:w w:val="110"/>
        </w:rPr>
        <w:t> </w:t>
      </w:r>
      <w:r>
        <w:rPr>
          <w:w w:val="110"/>
        </w:rPr>
        <w:t>remained</w:t>
      </w:r>
      <w:r>
        <w:rPr>
          <w:spacing w:val="-19"/>
          <w:w w:val="110"/>
        </w:rPr>
        <w:t> </w:t>
      </w:r>
      <w:r>
        <w:rPr>
          <w:w w:val="110"/>
        </w:rPr>
        <w:t>firm in Q4. Money and credit data are also consistent with relatively</w:t>
      </w:r>
      <w:r>
        <w:rPr>
          <w:spacing w:val="-24"/>
          <w:w w:val="110"/>
        </w:rPr>
        <w:t> </w:t>
      </w:r>
      <w:r>
        <w:rPr>
          <w:w w:val="110"/>
        </w:rPr>
        <w:t>buoyant</w:t>
      </w:r>
      <w:r>
        <w:rPr>
          <w:spacing w:val="-24"/>
          <w:w w:val="110"/>
        </w:rPr>
        <w:t> </w:t>
      </w:r>
      <w:r>
        <w:rPr>
          <w:w w:val="110"/>
        </w:rPr>
        <w:t>outturns</w:t>
      </w:r>
      <w:r>
        <w:rPr>
          <w:spacing w:val="-24"/>
          <w:w w:val="110"/>
        </w:rPr>
        <w:t> </w:t>
      </w:r>
      <w:r>
        <w:rPr>
          <w:w w:val="110"/>
        </w:rPr>
        <w:t>for</w:t>
      </w:r>
      <w:r>
        <w:rPr>
          <w:spacing w:val="-23"/>
          <w:w w:val="110"/>
        </w:rPr>
        <w:t> </w:t>
      </w:r>
      <w:r>
        <w:rPr>
          <w:w w:val="110"/>
        </w:rPr>
        <w:t>household</w:t>
      </w:r>
      <w:r>
        <w:rPr>
          <w:spacing w:val="-24"/>
          <w:w w:val="110"/>
        </w:rPr>
        <w:t> </w:t>
      </w:r>
      <w:r>
        <w:rPr>
          <w:w w:val="110"/>
        </w:rPr>
        <w:t>consumption</w:t>
      </w:r>
      <w:r>
        <w:rPr>
          <w:spacing w:val="-24"/>
          <w:w w:val="110"/>
        </w:rPr>
        <w:t> </w:t>
      </w:r>
      <w:r>
        <w:rPr>
          <w:spacing w:val="-3"/>
          <w:w w:val="110"/>
        </w:rPr>
        <w:t>growth </w:t>
      </w:r>
      <w:r>
        <w:rPr>
          <w:w w:val="110"/>
        </w:rPr>
        <w:t>in Q4 </w:t>
      </w:r>
      <w:hyperlink w:history="true" w:anchor="_bookmark2">
        <w:r>
          <w:rPr>
            <w:w w:val="110"/>
          </w:rPr>
          <w:t>(see </w:t>
        </w:r>
        <w:r>
          <w:rPr>
            <w:color w:val="FF0000"/>
            <w:w w:val="110"/>
          </w:rPr>
          <w:t>Section 1</w:t>
        </w:r>
        <w:r>
          <w:rPr>
            <w:w w:val="110"/>
          </w:rPr>
          <w:t>).</w:t>
        </w:r>
      </w:hyperlink>
      <w:r>
        <w:rPr>
          <w:w w:val="110"/>
        </w:rPr>
        <w:t> Preliminary information on services and energy output in Q4 does, </w:t>
      </w:r>
      <w:r>
        <w:rPr>
          <w:spacing w:val="-4"/>
          <w:w w:val="110"/>
        </w:rPr>
        <w:t>however, </w:t>
      </w:r>
      <w:r>
        <w:rPr>
          <w:w w:val="110"/>
        </w:rPr>
        <w:t>suggest that consumption</w:t>
      </w:r>
      <w:r>
        <w:rPr>
          <w:spacing w:val="-15"/>
          <w:w w:val="110"/>
        </w:rPr>
        <w:t> </w:t>
      </w:r>
      <w:r>
        <w:rPr>
          <w:w w:val="110"/>
        </w:rPr>
        <w:t>of</w:t>
      </w:r>
      <w:r>
        <w:rPr>
          <w:spacing w:val="-15"/>
          <w:w w:val="110"/>
        </w:rPr>
        <w:t> </w:t>
      </w:r>
      <w:r>
        <w:rPr>
          <w:w w:val="110"/>
        </w:rPr>
        <w:t>energy</w:t>
      </w:r>
      <w:r>
        <w:rPr>
          <w:spacing w:val="-15"/>
          <w:w w:val="110"/>
        </w:rPr>
        <w:t> </w:t>
      </w:r>
      <w:r>
        <w:rPr>
          <w:w w:val="110"/>
        </w:rPr>
        <w:t>and</w:t>
      </w:r>
      <w:r>
        <w:rPr>
          <w:spacing w:val="-15"/>
          <w:w w:val="110"/>
        </w:rPr>
        <w:t> </w:t>
      </w:r>
      <w:r>
        <w:rPr>
          <w:w w:val="110"/>
        </w:rPr>
        <w:t>transport</w:t>
      </w:r>
      <w:r>
        <w:rPr>
          <w:spacing w:val="-14"/>
          <w:w w:val="110"/>
        </w:rPr>
        <w:t> </w:t>
      </w:r>
      <w:r>
        <w:rPr>
          <w:w w:val="110"/>
        </w:rPr>
        <w:t>services</w:t>
      </w:r>
      <w:r>
        <w:rPr>
          <w:spacing w:val="-15"/>
          <w:w w:val="110"/>
        </w:rPr>
        <w:t> </w:t>
      </w:r>
      <w:r>
        <w:rPr>
          <w:spacing w:val="-3"/>
          <w:w w:val="110"/>
        </w:rPr>
        <w:t>may</w:t>
      </w:r>
      <w:r>
        <w:rPr>
          <w:spacing w:val="-15"/>
          <w:w w:val="110"/>
        </w:rPr>
        <w:t> </w:t>
      </w:r>
      <w:r>
        <w:rPr>
          <w:w w:val="110"/>
        </w:rPr>
        <w:t>have</w:t>
      </w:r>
      <w:r>
        <w:rPr>
          <w:spacing w:val="-15"/>
          <w:w w:val="110"/>
        </w:rPr>
        <w:t> </w:t>
      </w:r>
      <w:r>
        <w:rPr>
          <w:w w:val="110"/>
        </w:rPr>
        <w:t>been</w:t>
      </w:r>
    </w:p>
    <w:p>
      <w:pPr>
        <w:spacing w:after="0" w:line="292" w:lineRule="auto"/>
        <w:sectPr>
          <w:type w:val="continuous"/>
          <w:pgSz w:w="11900" w:h="16840"/>
          <w:pgMar w:top="1260" w:bottom="280" w:left="640" w:right="640"/>
          <w:cols w:num="3" w:equalWidth="0">
            <w:col w:w="1537" w:space="40"/>
            <w:col w:w="2138" w:space="1182"/>
            <w:col w:w="5723"/>
          </w:cols>
        </w:sectPr>
      </w:pPr>
    </w:p>
    <w:p>
      <w:pPr>
        <w:pStyle w:val="BodyText"/>
        <w:spacing w:before="4"/>
        <w:rPr>
          <w:sz w:val="5"/>
        </w:rPr>
      </w:pPr>
    </w:p>
    <w:p>
      <w:pPr>
        <w:spacing w:line="77" w:lineRule="exact"/>
        <w:ind w:left="213" w:right="-58" w:firstLine="0"/>
        <w:rPr>
          <w:sz w:val="7"/>
        </w:rPr>
      </w:pPr>
      <w:r>
        <w:rPr>
          <w:position w:val="-1"/>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position w:val="-1"/>
          <w:sz w:val="2"/>
        </w:rPr>
      </w:r>
      <w:r>
        <w:rPr>
          <w:spacing w:val="55"/>
          <w:position w:val="-1"/>
          <w:sz w:val="7"/>
        </w:rPr>
        <w:t> </w:t>
      </w:r>
      <w:r>
        <w:rPr>
          <w:spacing w:val="55"/>
          <w:position w:val="0"/>
          <w:sz w:val="7"/>
        </w:rPr>
        <w:pict>
          <v:group style="width:144.4pt;height:3.65pt;mso-position-horizontal-relative:char;mso-position-vertical-relative:line" coordorigin="0,0" coordsize="2888,73">
            <v:shape style="position:absolute;left:5;top:0;width:2883;height:68" coordorigin="5,0" coordsize="2883,68" path="m8,67l2888,67m5,0l5,67m807,0l807,67m1609,0l1609,67m2412,0l2412,67e" filled="false" stroked="true" strokeweight=".5pt" strokecolor="#000000">
              <v:path arrowok="t"/>
              <v:stroke dashstyle="solid"/>
            </v:shape>
          </v:group>
        </w:pict>
      </w:r>
      <w:r>
        <w:rPr>
          <w:spacing w:val="55"/>
          <w:position w:val="0"/>
          <w:sz w:val="7"/>
        </w:rPr>
      </w:r>
    </w:p>
    <w:p>
      <w:pPr>
        <w:tabs>
          <w:tab w:pos="1534" w:val="left" w:leader="none"/>
          <w:tab w:pos="2344" w:val="left" w:leader="none"/>
          <w:tab w:pos="3009" w:val="left" w:leader="none"/>
        </w:tabs>
        <w:spacing w:before="21"/>
        <w:ind w:left="667" w:right="0" w:firstLine="0"/>
        <w:jc w:val="left"/>
        <w:rPr>
          <w:sz w:val="12"/>
        </w:rPr>
      </w:pPr>
      <w:r>
        <w:rPr/>
        <w:pict>
          <v:line style="position:absolute;mso-position-horizontal-relative:page;mso-position-vertical-relative:paragraph;z-index:15977984" from="200.623993pt,-.222442pt" to="204.955993pt,-.222442pt" stroked="true" strokeweight=".5pt" strokecolor="#000000">
            <v:stroke dashstyle="solid"/>
            <w10:wrap type="none"/>
          </v:line>
        </w:pict>
      </w:r>
      <w:r>
        <w:rPr>
          <w:w w:val="120"/>
          <w:sz w:val="12"/>
        </w:rPr>
        <w:t>1997</w:t>
        <w:tab/>
        <w:t>98</w:t>
        <w:tab/>
        <w:t>99</w:t>
        <w:tab/>
      </w:r>
      <w:r>
        <w:rPr>
          <w:spacing w:val="-5"/>
          <w:w w:val="120"/>
          <w:sz w:val="12"/>
        </w:rPr>
        <w:t>2000</w:t>
      </w:r>
    </w:p>
    <w:p>
      <w:pPr>
        <w:spacing w:before="72"/>
        <w:ind w:left="186" w:right="0" w:firstLine="0"/>
        <w:jc w:val="left"/>
        <w:rPr>
          <w:sz w:val="12"/>
        </w:rPr>
      </w:pPr>
      <w:r>
        <w:rPr>
          <w:w w:val="105"/>
          <w:sz w:val="12"/>
        </w:rPr>
        <w:t>(a) At constant 1995 market prices.</w:t>
      </w:r>
    </w:p>
    <w:p>
      <w:pPr>
        <w:spacing w:before="53"/>
        <w:ind w:left="160" w:right="0" w:firstLine="0"/>
        <w:jc w:val="left"/>
        <w:rPr>
          <w:sz w:val="12"/>
        </w:rPr>
      </w:pPr>
      <w:r>
        <w:rPr/>
        <w:br w:type="column"/>
      </w:r>
      <w:r>
        <w:rPr>
          <w:w w:val="115"/>
          <w:sz w:val="12"/>
        </w:rPr>
        <w:t>0.5</w:t>
      </w:r>
    </w:p>
    <w:p>
      <w:pPr>
        <w:pStyle w:val="BodyText"/>
        <w:spacing w:line="292" w:lineRule="auto"/>
        <w:ind w:left="186" w:right="78"/>
      </w:pPr>
      <w:r>
        <w:rPr/>
        <w:br w:type="column"/>
      </w:r>
      <w:r>
        <w:rPr>
          <w:spacing w:val="-3"/>
          <w:w w:val="110"/>
        </w:rPr>
        <w:t>temporarily </w:t>
      </w:r>
      <w:r>
        <w:rPr>
          <w:w w:val="110"/>
        </w:rPr>
        <w:t>depressed by the unusual weather and disruptions </w:t>
      </w:r>
      <w:r>
        <w:rPr>
          <w:spacing w:val="-4"/>
          <w:w w:val="110"/>
        </w:rPr>
        <w:t>to </w:t>
      </w:r>
      <w:r>
        <w:rPr>
          <w:w w:val="110"/>
        </w:rPr>
        <w:t>the </w:t>
      </w:r>
      <w:r>
        <w:rPr>
          <w:spacing w:val="-3"/>
          <w:w w:val="110"/>
        </w:rPr>
        <w:t>rail network.</w:t>
      </w:r>
    </w:p>
    <w:p>
      <w:pPr>
        <w:spacing w:after="0" w:line="292" w:lineRule="auto"/>
        <w:sectPr>
          <w:type w:val="continuous"/>
          <w:pgSz w:w="11900" w:h="16840"/>
          <w:pgMar w:top="1260" w:bottom="280" w:left="640" w:right="640"/>
          <w:cols w:num="3" w:equalWidth="0">
            <w:col w:w="3302" w:space="40"/>
            <w:col w:w="373" w:space="1213"/>
            <w:col w:w="5692"/>
          </w:cols>
        </w:sectPr>
      </w:pPr>
    </w:p>
    <w:p>
      <w:pPr>
        <w:pStyle w:val="BodyText"/>
        <w:spacing w:before="4"/>
        <w:rPr>
          <w:sz w:val="18"/>
        </w:rPr>
      </w:pPr>
    </w:p>
    <w:p>
      <w:pPr>
        <w:spacing w:after="0"/>
        <w:rPr>
          <w:sz w:val="18"/>
        </w:rPr>
        <w:sectPr>
          <w:type w:val="continuous"/>
          <w:pgSz w:w="11900" w:h="16840"/>
          <w:pgMar w:top="1260" w:bottom="280" w:left="640" w:right="640"/>
        </w:sectPr>
      </w:pPr>
    </w:p>
    <w:p>
      <w:pPr>
        <w:pStyle w:val="Heading6"/>
        <w:spacing w:before="143"/>
        <w:ind w:left="190"/>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7"/>
        </w:rPr>
        <w:t>2.8</w:t>
      </w:r>
    </w:p>
    <w:p>
      <w:pPr>
        <w:spacing w:before="8"/>
        <w:ind w:left="190" w:right="0" w:firstLine="0"/>
        <w:jc w:val="left"/>
        <w:rPr>
          <w:rFonts w:ascii="Trebuchet MS"/>
          <w:b/>
          <w:sz w:val="20"/>
        </w:rPr>
      </w:pPr>
      <w:r>
        <w:rPr>
          <w:rFonts w:ascii="Trebuchet MS"/>
          <w:b/>
          <w:color w:val="89C6DC"/>
          <w:sz w:val="20"/>
        </w:rPr>
        <w:t>Growth in retail sales volumes</w:t>
      </w:r>
    </w:p>
    <w:p>
      <w:pPr>
        <w:spacing w:line="117" w:lineRule="exact" w:before="51"/>
        <w:ind w:left="2379" w:right="0" w:firstLine="0"/>
        <w:jc w:val="left"/>
        <w:rPr>
          <w:sz w:val="12"/>
        </w:rPr>
      </w:pPr>
      <w:r>
        <w:rPr>
          <w:w w:val="110"/>
          <w:sz w:val="12"/>
        </w:rPr>
        <w:t>Percentage changes</w:t>
      </w:r>
    </w:p>
    <w:p>
      <w:pPr>
        <w:spacing w:line="117" w:lineRule="exact" w:before="0"/>
        <w:ind w:left="3463" w:right="0" w:firstLine="0"/>
        <w:jc w:val="left"/>
        <w:rPr>
          <w:sz w:val="12"/>
        </w:rPr>
      </w:pPr>
      <w:r>
        <w:rPr/>
        <w:pict>
          <v:group style="position:absolute;margin-left:50.646pt;margin-top:2.417316pt;width:151.6pt;height:144.6pt;mso-position-horizontal-relative:page;mso-position-vertical-relative:paragraph;z-index:15980544" coordorigin="1013,48" coordsize="3032,2892">
            <v:rect style="position:absolute;left:1019;top:2281;width:55;height:435" filled="true" fillcolor="#cee7e8" stroked="false">
              <v:fill type="solid"/>
            </v:rect>
            <v:rect style="position:absolute;left:1019;top:2281;width:55;height:435" filled="false" stroked="true" strokeweight=".5pt" strokecolor="#000000">
              <v:stroke dashstyle="solid"/>
            </v:rect>
            <v:rect style="position:absolute;left:1079;top:2358;width:55;height:358" filled="true" fillcolor="#cee7e8" stroked="false">
              <v:fill type="solid"/>
            </v:rect>
            <v:rect style="position:absolute;left:1079;top:2358;width:55;height:358" filled="false" stroked="true" strokeweight=".5pt" strokecolor="#000000">
              <v:stroke dashstyle="solid"/>
            </v:rect>
            <v:rect style="position:absolute;left:1139;top:2136;width:55;height:580" filled="true" fillcolor="#cee7e8" stroked="false">
              <v:fill type="solid"/>
            </v:rect>
            <v:rect style="position:absolute;left:1139;top:2136;width:55;height:580" filled="false" stroked="true" strokeweight=".5pt" strokecolor="#000000">
              <v:stroke dashstyle="solid"/>
            </v:rect>
            <v:rect style="position:absolute;left:1199;top:1913;width:55;height:803" filled="true" fillcolor="#cee7e8" stroked="false">
              <v:fill type="solid"/>
            </v:rect>
            <v:rect style="position:absolute;left:1199;top:1913;width:55;height:803" filled="false" stroked="true" strokeweight=".5pt" strokecolor="#000000">
              <v:stroke dashstyle="solid"/>
            </v:rect>
            <v:rect style="position:absolute;left:1260;top:1808;width:55;height:908" filled="true" fillcolor="#cee7e8" stroked="false">
              <v:fill type="solid"/>
            </v:rect>
            <v:rect style="position:absolute;left:1260;top:1808;width:55;height:908" filled="false" stroked="true" strokeweight=".5pt" strokecolor="#000000">
              <v:stroke dashstyle="solid"/>
            </v:rect>
            <v:rect style="position:absolute;left:1320;top:1966;width:55;height:750" filled="true" fillcolor="#cee7e8" stroked="false">
              <v:fill type="solid"/>
            </v:rect>
            <v:rect style="position:absolute;left:1320;top:1966;width:55;height:750" filled="false" stroked="true" strokeweight=".5pt" strokecolor="#000000">
              <v:stroke dashstyle="solid"/>
            </v:rect>
            <v:rect style="position:absolute;left:1380;top:2006;width:55;height:710" filled="true" fillcolor="#cee7e8" stroked="false">
              <v:fill type="solid"/>
            </v:rect>
            <v:rect style="position:absolute;left:1380;top:2006;width:55;height:710" filled="false" stroked="true" strokeweight=".5pt" strokecolor="#000000">
              <v:stroke dashstyle="solid"/>
            </v:rect>
            <v:rect style="position:absolute;left:1440;top:2071;width:55;height:645" filled="true" fillcolor="#cee7e8" stroked="false">
              <v:fill type="solid"/>
            </v:rect>
            <v:rect style="position:absolute;left:1440;top:2071;width:55;height:645" filled="false" stroked="true" strokeweight=".5pt" strokecolor="#000000">
              <v:stroke dashstyle="solid"/>
            </v:rect>
            <v:rect style="position:absolute;left:1500;top:2373;width:55;height:343" filled="true" fillcolor="#cee7e8" stroked="false">
              <v:fill type="solid"/>
            </v:rect>
            <v:rect style="position:absolute;left:1500;top:2373;width:55;height:343" filled="false" stroked="true" strokeweight=".5pt" strokecolor="#000000">
              <v:stroke dashstyle="solid"/>
            </v:rect>
            <v:rect style="position:absolute;left:1560;top:2451;width:55;height:265" filled="true" fillcolor="#cee7e8" stroked="false">
              <v:fill type="solid"/>
            </v:rect>
            <v:rect style="position:absolute;left:1560;top:2451;width:55;height:265" filled="false" stroked="true" strokeweight=".5pt" strokecolor="#000000">
              <v:stroke dashstyle="solid"/>
            </v:rect>
            <v:rect style="position:absolute;left:1620;top:2608;width:55;height:108" filled="true" fillcolor="#cee7e8" stroked="false">
              <v:fill type="solid"/>
            </v:rect>
            <v:rect style="position:absolute;left:1620;top:2608;width:55;height:108" filled="false" stroked="true" strokeweight=".5pt" strokecolor="#000000">
              <v:stroke dashstyle="solid"/>
            </v:rect>
            <v:rect style="position:absolute;left:1680;top:2123;width:55;height:593" filled="true" fillcolor="#cee7e8" stroked="false">
              <v:fill type="solid"/>
            </v:rect>
            <v:rect style="position:absolute;left:1680;top:2123;width:55;height:593" filled="false" stroked="true" strokeweight=".5pt" strokecolor="#000000">
              <v:stroke dashstyle="solid"/>
            </v:rect>
            <v:rect style="position:absolute;left:1738;top:2111;width:55;height:605" filled="true" fillcolor="#cee7e8" stroked="false">
              <v:fill type="solid"/>
            </v:rect>
            <v:rect style="position:absolute;left:1738;top:2111;width:55;height:605" filled="false" stroked="true" strokeweight=".5pt" strokecolor="#000000">
              <v:stroke dashstyle="solid"/>
            </v:rect>
            <v:rect style="position:absolute;left:1798;top:1993;width:55;height:723" filled="true" fillcolor="#cee7e8" stroked="false">
              <v:fill type="solid"/>
            </v:rect>
            <v:rect style="position:absolute;left:1798;top:1993;width:55;height:723" filled="false" stroked="true" strokeweight=".5pt" strokecolor="#000000">
              <v:stroke dashstyle="solid"/>
            </v:rect>
            <v:rect style="position:absolute;left:1857;top:2306;width:55;height:410" filled="true" fillcolor="#cee7e8" stroked="false">
              <v:fill type="solid"/>
            </v:rect>
            <v:rect style="position:absolute;left:1857;top:2306;width:55;height:410" filled="false" stroked="true" strokeweight=".5pt" strokecolor="#000000">
              <v:stroke dashstyle="solid"/>
            </v:rect>
            <v:rect style="position:absolute;left:1917;top:2596;width:55;height:120" filled="true" fillcolor="#cee7e8" stroked="false">
              <v:fill type="solid"/>
            </v:rect>
            <v:rect style="position:absolute;left:1917;top:2596;width:55;height:120" filled="false" stroked="true" strokeweight=".5pt" strokecolor="#000000">
              <v:stroke dashstyle="solid"/>
            </v:rect>
            <v:rect style="position:absolute;left:1976;top:2568;width:55;height:148" filled="true" fillcolor="#cee7e8" stroked="false">
              <v:fill type="solid"/>
            </v:rect>
            <v:rect style="position:absolute;left:1976;top:2568;width:55;height:148" filled="false" stroked="true" strokeweight=".5pt" strokecolor="#000000">
              <v:stroke dashstyle="solid"/>
            </v:rect>
            <v:line style="position:absolute" from="2032,2720" to="2092,2720" stroked="true" strokeweight=".6248pt" strokecolor="#7f7f7f">
              <v:stroke dashstyle="solid"/>
            </v:line>
            <v:rect style="position:absolute;left:2036;top:2713;width:55;height:15" filled="true" fillcolor="#cee7e8" stroked="false">
              <v:fill type="solid"/>
            </v:rect>
            <v:rect style="position:absolute;left:2036;top:2713;width:55;height:15" filled="false" stroked="true" strokeweight=".5pt" strokecolor="#000000">
              <v:stroke dashstyle="solid"/>
            </v:rect>
            <v:rect style="position:absolute;left:2096;top:2531;width:55;height:185" filled="true" fillcolor="#cee7e8" stroked="false">
              <v:fill type="solid"/>
            </v:rect>
            <v:rect style="position:absolute;left:2096;top:2531;width:55;height:185" filled="false" stroked="true" strokeweight=".5pt" strokecolor="#000000">
              <v:stroke dashstyle="solid"/>
            </v:rect>
            <v:rect style="position:absolute;left:2155;top:2713;width:55;height:68" filled="true" fillcolor="#cee7e8" stroked="false">
              <v:fill type="solid"/>
            </v:rect>
            <v:rect style="position:absolute;left:2155;top:2713;width:55;height:68" filled="false" stroked="true" strokeweight=".5pt" strokecolor="#000000">
              <v:stroke dashstyle="solid"/>
            </v:rect>
            <v:rect style="position:absolute;left:2215;top:2478;width:55;height:238" filled="true" fillcolor="#cee7e8" stroked="false">
              <v:fill type="solid"/>
            </v:rect>
            <v:rect style="position:absolute;left:2215;top:2478;width:55;height:238" filled="false" stroked="true" strokeweight=".5pt" strokecolor="#000000">
              <v:stroke dashstyle="solid"/>
            </v:rect>
            <v:rect style="position:absolute;left:2275;top:2633;width:55;height:83" filled="true" fillcolor="#cee7e8" stroked="false">
              <v:fill type="solid"/>
            </v:rect>
            <v:rect style="position:absolute;left:2275;top:2633;width:55;height:83" filled="false" stroked="true" strokeweight=".5pt" strokecolor="#000000">
              <v:stroke dashstyle="solid"/>
            </v:rect>
            <v:rect style="position:absolute;left:2334;top:2503;width:55;height:213" filled="true" fillcolor="#cee7e8" stroked="false">
              <v:fill type="solid"/>
            </v:rect>
            <v:rect style="position:absolute;left:2334;top:2503;width:55;height:213" filled="false" stroked="true" strokeweight=".5pt" strokecolor="#000000">
              <v:stroke dashstyle="solid"/>
            </v:rect>
            <v:line style="position:absolute" from="2395,2720" to="2454,2720" stroked="true" strokeweight=".6248pt" strokecolor="#7f7f7f">
              <v:stroke dashstyle="solid"/>
            </v:line>
            <v:rect style="position:absolute;left:2394;top:2713;width:55;height:15" filled="true" fillcolor="#cee7e8" stroked="false">
              <v:fill type="solid"/>
            </v:rect>
            <v:rect style="position:absolute;left:2394;top:2713;width:55;height:15" filled="false" stroked="true" strokeweight=".5pt" strokecolor="#000000">
              <v:stroke dashstyle="solid"/>
            </v:rect>
            <v:rect style="position:absolute;left:2455;top:2503;width:55;height:213" filled="true" fillcolor="#cee7e8" stroked="false">
              <v:fill type="solid"/>
            </v:rect>
            <v:rect style="position:absolute;left:2455;top:2503;width:55;height:213" filled="false" stroked="true" strokeweight=".5pt" strokecolor="#000000">
              <v:stroke dashstyle="solid"/>
            </v:rect>
            <v:rect style="position:absolute;left:2515;top:2491;width:55;height:225" filled="true" fillcolor="#cee7e8" stroked="false">
              <v:fill type="solid"/>
            </v:rect>
            <v:rect style="position:absolute;left:2515;top:2491;width:55;height:225" filled="false" stroked="true" strokeweight=".5pt" strokecolor="#000000">
              <v:stroke dashstyle="solid"/>
            </v:rect>
            <v:rect style="position:absolute;left:2576;top:2203;width:56;height:513" filled="true" fillcolor="#cee7e8" stroked="false">
              <v:fill type="solid"/>
            </v:rect>
            <v:rect style="position:absolute;left:2576;top:2203;width:56;height:513" filled="false" stroked="true" strokeweight=".5pt" strokecolor="#000000">
              <v:stroke dashstyle="solid"/>
            </v:rect>
            <v:rect style="position:absolute;left:2636;top:2293;width:55;height:423" filled="true" fillcolor="#cee7e8" stroked="false">
              <v:fill type="solid"/>
            </v:rect>
            <v:rect style="position:absolute;left:2636;top:2293;width:55;height:423" filled="false" stroked="true" strokeweight=".5pt" strokecolor="#000000">
              <v:stroke dashstyle="solid"/>
            </v:rect>
            <v:rect style="position:absolute;left:2696;top:2111;width:55;height:605" filled="true" fillcolor="#cee7e8" stroked="false">
              <v:fill type="solid"/>
            </v:rect>
            <v:rect style="position:absolute;left:2696;top:2111;width:55;height:605" filled="false" stroked="true" strokeweight=".5pt" strokecolor="#000000">
              <v:stroke dashstyle="solid"/>
            </v:rect>
            <v:rect style="position:absolute;left:2756;top:2241;width:55;height:475" filled="true" fillcolor="#cee7e8" stroked="false">
              <v:fill type="solid"/>
            </v:rect>
            <v:rect style="position:absolute;left:2756;top:2241;width:55;height:475" filled="false" stroked="true" strokeweight=".5pt" strokecolor="#000000">
              <v:stroke dashstyle="solid"/>
            </v:rect>
            <v:rect style="position:absolute;left:2816;top:2058;width:55;height:658" filled="true" fillcolor="#cee7e8" stroked="false">
              <v:fill type="solid"/>
            </v:rect>
            <v:rect style="position:absolute;left:2816;top:2058;width:55;height:658" filled="false" stroked="true" strokeweight=".5pt" strokecolor="#000000">
              <v:stroke dashstyle="solid"/>
            </v:rect>
            <v:rect style="position:absolute;left:2876;top:2203;width:55;height:513" filled="true" fillcolor="#cee7e8" stroked="false">
              <v:fill type="solid"/>
            </v:rect>
            <v:rect style="position:absolute;left:2876;top:2203;width:55;height:513" filled="false" stroked="true" strokeweight=".5pt" strokecolor="#000000">
              <v:stroke dashstyle="solid"/>
            </v:rect>
            <v:rect style="position:absolute;left:2936;top:2123;width:55;height:593" filled="true" fillcolor="#cee7e8" stroked="false">
              <v:fill type="solid"/>
            </v:rect>
            <v:rect style="position:absolute;left:2936;top:2123;width:55;height:593" filled="false" stroked="true" strokeweight=".5pt" strokecolor="#000000">
              <v:stroke dashstyle="solid"/>
            </v:rect>
            <v:rect style="position:absolute;left:2996;top:2176;width:55;height:540" filled="true" fillcolor="#cee7e8" stroked="false">
              <v:fill type="solid"/>
            </v:rect>
            <v:rect style="position:absolute;left:2996;top:2176;width:55;height:540" filled="false" stroked="true" strokeweight=".5pt" strokecolor="#000000">
              <v:stroke dashstyle="solid"/>
            </v:rect>
            <v:rect style="position:absolute;left:3056;top:2176;width:55;height:540" filled="true" fillcolor="#cee7e8" stroked="false">
              <v:fill type="solid"/>
            </v:rect>
            <v:rect style="position:absolute;left:3056;top:2176;width:55;height:540" filled="false" stroked="true" strokeweight=".5pt" strokecolor="#000000">
              <v:stroke dashstyle="solid"/>
            </v:rect>
            <v:rect style="position:absolute;left:3117;top:2216;width:55;height:500" filled="true" fillcolor="#cee7e8" stroked="false">
              <v:fill type="solid"/>
            </v:rect>
            <v:rect style="position:absolute;left:3117;top:2216;width:55;height:500" filled="false" stroked="true" strokeweight=".5pt" strokecolor="#000000">
              <v:stroke dashstyle="solid"/>
            </v:rect>
            <v:rect style="position:absolute;left:3173;top:2071;width:55;height:645" filled="true" fillcolor="#cee7e8" stroked="false">
              <v:fill type="solid"/>
            </v:rect>
            <v:rect style="position:absolute;left:3173;top:2071;width:55;height:645" filled="false" stroked="true" strokeweight=".5pt" strokecolor="#000000">
              <v:stroke dashstyle="solid"/>
            </v:rect>
            <v:rect style="position:absolute;left:3233;top:2046;width:55;height:670" filled="true" fillcolor="#cee7e8" stroked="false">
              <v:fill type="solid"/>
            </v:rect>
            <v:rect style="position:absolute;left:3233;top:2046;width:55;height:670" filled="false" stroked="true" strokeweight=".5pt" strokecolor="#000000">
              <v:stroke dashstyle="solid"/>
            </v:rect>
            <v:rect style="position:absolute;left:3292;top:2058;width:55;height:658" filled="true" fillcolor="#cee7e8" stroked="false">
              <v:fill type="solid"/>
            </v:rect>
            <v:rect style="position:absolute;left:3292;top:2058;width:55;height:658" filled="false" stroked="true" strokeweight=".5pt" strokecolor="#000000">
              <v:stroke dashstyle="solid"/>
            </v:rect>
            <v:rect style="position:absolute;left:3352;top:2543;width:55;height:173" filled="true" fillcolor="#cee7e8" stroked="false">
              <v:fill type="solid"/>
            </v:rect>
            <v:rect style="position:absolute;left:3352;top:2543;width:55;height:173" filled="false" stroked="true" strokeweight=".5pt" strokecolor="#000000">
              <v:stroke dashstyle="solid"/>
            </v:rect>
            <v:rect style="position:absolute;left:3411;top:2568;width:55;height:148" filled="true" fillcolor="#cee7e8" stroked="false">
              <v:fill type="solid"/>
            </v:rect>
            <v:rect style="position:absolute;left:3411;top:2568;width:55;height:148" filled="false" stroked="true" strokeweight=".5pt" strokecolor="#000000">
              <v:stroke dashstyle="solid"/>
            </v:rect>
            <v:rect style="position:absolute;left:3471;top:2583;width:55;height:133" filled="true" fillcolor="#cee7e8" stroked="false">
              <v:fill type="solid"/>
            </v:rect>
            <v:rect style="position:absolute;left:3471;top:2583;width:55;height:133" filled="false" stroked="true" strokeweight=".5pt" strokecolor="#000000">
              <v:stroke dashstyle="solid"/>
            </v:rect>
            <v:rect style="position:absolute;left:3531;top:2281;width:55;height:435" filled="true" fillcolor="#cee7e8" stroked="false">
              <v:fill type="solid"/>
            </v:rect>
            <v:rect style="position:absolute;left:3531;top:2281;width:55;height:435" filled="false" stroked="true" strokeweight=".5pt" strokecolor="#000000">
              <v:stroke dashstyle="solid"/>
            </v:rect>
            <v:rect style="position:absolute;left:3590;top:2228;width:55;height:488" filled="true" fillcolor="#cee7e8" stroked="false">
              <v:fill type="solid"/>
            </v:rect>
            <v:rect style="position:absolute;left:3590;top:2228;width:55;height:488" filled="false" stroked="true" strokeweight=".5pt" strokecolor="#000000">
              <v:stroke dashstyle="solid"/>
            </v:rect>
            <v:rect style="position:absolute;left:3650;top:2151;width:55;height:565" filled="true" fillcolor="#cee7e8" stroked="false">
              <v:fill type="solid"/>
            </v:rect>
            <v:rect style="position:absolute;left:3650;top:2151;width:55;height:565" filled="false" stroked="true" strokeweight=".5pt" strokecolor="#000000">
              <v:stroke dashstyle="solid"/>
            </v:rect>
            <v:rect style="position:absolute;left:3710;top:2111;width:55;height:605" filled="true" fillcolor="#cee7e8" stroked="false">
              <v:fill type="solid"/>
            </v:rect>
            <v:rect style="position:absolute;left:3710;top:2111;width:55;height:605" filled="false" stroked="true" strokeweight=".5pt" strokecolor="#000000">
              <v:stroke dashstyle="solid"/>
            </v:rect>
            <v:rect style="position:absolute;left:3769;top:2058;width:55;height:658" filled="true" fillcolor="#cee7e8" stroked="false">
              <v:fill type="solid"/>
            </v:rect>
            <v:rect style="position:absolute;left:3769;top:2058;width:55;height:658" filled="false" stroked="true" strokeweight=".5pt" strokecolor="#000000">
              <v:stroke dashstyle="solid"/>
            </v:rect>
            <v:rect style="position:absolute;left:3829;top:2151;width:55;height:565" filled="true" fillcolor="#cee7e8" stroked="false">
              <v:fill type="solid"/>
            </v:rect>
            <v:shape style="position:absolute;left:1019;top:2151;width:2878;height:565" coordorigin="1020,2151" coordsize="2878,565" path="m3830,2151l3885,2151,3885,2716,3830,2716,3830,2151xm1020,2714l3897,2716e" filled="false" stroked="true" strokeweight=".5pt" strokecolor="#000000">
              <v:path arrowok="t"/>
              <v:stroke dashstyle="solid"/>
            </v:shape>
            <v:shape style="position:absolute;left:1052;top:328;width:175;height:223" coordorigin="1052,329" coordsize="175,223" path="m1052,551l1115,526m1115,526l1165,329m1165,329l1227,381e" filled="false" stroked="true" strokeweight="1pt" strokecolor="#006caa">
              <v:path arrowok="t"/>
              <v:stroke dashstyle="solid"/>
            </v:shape>
            <v:line style="position:absolute" from="1217,382" to="1300,382" stroked="true" strokeweight="1.125pt" strokecolor="#006caa">
              <v:stroke dashstyle="solid"/>
            </v:line>
            <v:shape style="position:absolute;left:1289;top:78;width:2395;height:2125" coordorigin="1290,79" coordsize="2395,2125" path="m1290,381l1352,406m1352,406l1412,171m1412,171l1465,79m1465,79l1527,341m1527,341l1590,474m1590,474l1650,669m1650,669l1712,406m1712,406l1765,304m1765,304l1827,276m1827,276l1887,591m1887,591l1950,1011m1950,1011l2012,1064m2012,1064l2065,1376m2065,1376l2125,1534m2125,1534l2187,1796m2187,1796l2250,1481m2250,1481l2312,1719m2312,1719l2362,1691m2362,1691l2425,2099m2425,2099l2487,2111m2487,2111l2550,2204m2550,2204l2602,1979m2602,1979l2662,1809m2662,1809l2725,1731m2725,1731l2787,1496m2787,1496l2850,1339m2850,1339l2900,1141m2900,1141l2962,1129m2962,1129l3025,866m3025,866l3087,801m3087,801l3150,604m3150,604l3200,421m3200,421l3262,341m3262,341l3325,459m3325,459l3387,669m3387,669l3447,814m3447,814l3500,801m3500,801l3562,891m3562,891l3625,854m3625,854l3685,826e" filled="false" stroked="true" strokeweight="1pt" strokecolor="#006caa">
              <v:path arrowok="t"/>
              <v:stroke dashstyle="solid"/>
            </v:shape>
            <v:line style="position:absolute" from="3675,827" to="3757,827" stroked="true" strokeweight="1.125pt" strokecolor="#006caa">
              <v:stroke dashstyle="solid"/>
            </v:line>
            <v:shape style="position:absolute;left:3747;top:721;width:115;height:105" coordorigin="3747,721" coordsize="115,105" path="m3747,826l3800,721m3800,721l3862,761e" filled="false" stroked="true" strokeweight="1pt" strokecolor="#006caa">
              <v:path arrowok="t"/>
              <v:stroke dashstyle="solid"/>
            </v:shape>
            <v:shape style="position:absolute;left:1016;top:53;width:3029;height:2882" coordorigin="1017,53" coordsize="3029,2882" path="m1017,2935l3890,2935m1018,2819l1018,2935m1734,2819l1734,2935m2450,2819l2450,2935m3166,2819l3166,2935m3958,275l4045,275m3958,497l4045,497m3958,718l4045,718m3958,940l4045,940m3958,1383l4045,1383m3958,1827l4045,1827m3958,2270l4045,2270m3958,2713l4045,2713m3958,2492l4045,2492m3958,2935l4045,2935m3958,53l4045,53m3958,1162l4045,1162m3958,1605l4045,1605m3958,2048l4045,2048e" filled="false" stroked="true" strokeweight=".5pt" strokecolor="#000000">
              <v:path arrowok="t"/>
              <v:stroke dashstyle="solid"/>
            </v:shape>
            <v:shape style="position:absolute;left:1856;top:210;width:1051;height:241" type="#_x0000_t202" filled="false" stroked="false">
              <v:textbox inset="0,0,0,0">
                <w:txbxContent>
                  <w:p>
                    <w:pPr>
                      <w:spacing w:line="106" w:lineRule="exact" w:before="0"/>
                      <w:ind w:left="0" w:right="0" w:firstLine="0"/>
                      <w:jc w:val="left"/>
                      <w:rPr>
                        <w:sz w:val="12"/>
                      </w:rPr>
                    </w:pPr>
                    <w:r>
                      <w:rPr>
                        <w:w w:val="110"/>
                        <w:sz w:val="12"/>
                      </w:rPr>
                      <w:t>Latest three months</w:t>
                    </w:r>
                  </w:p>
                  <w:p>
                    <w:pPr>
                      <w:spacing w:line="129" w:lineRule="exact" w:before="0"/>
                      <w:ind w:left="60" w:right="0" w:firstLine="0"/>
                      <w:jc w:val="left"/>
                      <w:rPr>
                        <w:sz w:val="12"/>
                      </w:rPr>
                    </w:pPr>
                    <w:r>
                      <w:rPr>
                        <w:w w:val="110"/>
                        <w:sz w:val="12"/>
                      </w:rPr>
                      <w:t>on previous year</w:t>
                    </w:r>
                  </w:p>
                </w:txbxContent>
              </v:textbox>
              <w10:wrap type="none"/>
            </v:shape>
            <v:shape style="position:absolute;left:1025;top:1447;width:1051;height:361" type="#_x0000_t202" filled="false" stroked="false">
              <v:textbox inset="0,0,0,0">
                <w:txbxContent>
                  <w:p>
                    <w:pPr>
                      <w:spacing w:line="106" w:lineRule="exact" w:before="0"/>
                      <w:ind w:left="0" w:right="0" w:firstLine="0"/>
                      <w:jc w:val="left"/>
                      <w:rPr>
                        <w:sz w:val="12"/>
                      </w:rPr>
                    </w:pPr>
                    <w:r>
                      <w:rPr>
                        <w:w w:val="110"/>
                        <w:sz w:val="12"/>
                      </w:rPr>
                      <w:t>Latest three months</w:t>
                    </w:r>
                  </w:p>
                  <w:p>
                    <w:pPr>
                      <w:spacing w:line="208" w:lineRule="auto" w:before="5"/>
                      <w:ind w:left="60" w:right="285" w:firstLine="0"/>
                      <w:jc w:val="left"/>
                      <w:rPr>
                        <w:sz w:val="12"/>
                      </w:rPr>
                    </w:pPr>
                    <w:r>
                      <w:rPr>
                        <w:w w:val="110"/>
                        <w:sz w:val="12"/>
                      </w:rPr>
                      <w:t>on previous three months</w:t>
                    </w:r>
                  </w:p>
                </w:txbxContent>
              </v:textbox>
              <w10:wrap type="none"/>
            </v:shape>
            <w10:wrap type="none"/>
          </v:group>
        </w:pict>
      </w:r>
      <w:r>
        <w:rPr/>
        <w:pict>
          <v:line style="position:absolute;mso-position-horizontal-relative:page;mso-position-vertical-relative:paragraph;z-index:15986176" from="42.525002pt,2.677316pt" to="46.858002pt,2.677316pt" stroked="true" strokeweight=".5pt" strokecolor="#000000">
            <v:stroke dashstyle="solid"/>
            <w10:wrap type="none"/>
          </v:line>
        </w:pict>
      </w:r>
      <w:r>
        <w:rPr>
          <w:w w:val="115"/>
          <w:sz w:val="12"/>
        </w:rPr>
        <w:t>6.0</w:t>
      </w:r>
    </w:p>
    <w:p>
      <w:pPr>
        <w:spacing w:before="84"/>
        <w:ind w:left="0" w:right="38" w:firstLine="0"/>
        <w:jc w:val="right"/>
        <w:rPr>
          <w:sz w:val="12"/>
        </w:rPr>
      </w:pPr>
      <w:r>
        <w:rPr/>
        <w:pict>
          <v:line style="position:absolute;mso-position-horizontal-relative:page;mso-position-vertical-relative:paragraph;z-index:15981056" from="42.525002pt,7.945141pt" to="46.858002pt,7.945141pt" stroked="true" strokeweight=".5pt" strokecolor="#000000">
            <v:stroke dashstyle="solid"/>
            <w10:wrap type="none"/>
          </v:line>
        </w:pict>
      </w:r>
      <w:r>
        <w:rPr>
          <w:spacing w:val="-1"/>
          <w:w w:val="115"/>
          <w:sz w:val="12"/>
        </w:rPr>
        <w:t>5.5</w:t>
      </w:r>
    </w:p>
    <w:p>
      <w:pPr>
        <w:spacing w:before="83"/>
        <w:ind w:left="0" w:right="38" w:firstLine="0"/>
        <w:jc w:val="right"/>
        <w:rPr>
          <w:sz w:val="12"/>
        </w:rPr>
      </w:pPr>
      <w:r>
        <w:rPr/>
        <w:pict>
          <v:line style="position:absolute;mso-position-horizontal-relative:page;mso-position-vertical-relative:paragraph;z-index:15981568" from="42.525002pt,7.892349pt" to="46.858002pt,7.892349pt" stroked="true" strokeweight=".5pt" strokecolor="#000000">
            <v:stroke dashstyle="solid"/>
            <w10:wrap type="none"/>
          </v:line>
        </w:pict>
      </w:r>
      <w:r>
        <w:rPr>
          <w:spacing w:val="-1"/>
          <w:w w:val="115"/>
          <w:sz w:val="12"/>
        </w:rPr>
        <w:t>5.0</w:t>
      </w:r>
    </w:p>
    <w:p>
      <w:pPr>
        <w:spacing w:before="84"/>
        <w:ind w:left="0" w:right="38" w:firstLine="0"/>
        <w:jc w:val="right"/>
        <w:rPr>
          <w:sz w:val="12"/>
        </w:rPr>
      </w:pPr>
      <w:r>
        <w:rPr/>
        <w:pict>
          <v:line style="position:absolute;mso-position-horizontal-relative:page;mso-position-vertical-relative:paragraph;z-index:15982080" from="42.525002pt,7.939542pt" to="46.858002pt,7.939542pt" stroked="true" strokeweight=".5pt" strokecolor="#000000">
            <v:stroke dashstyle="solid"/>
            <w10:wrap type="none"/>
          </v:line>
        </w:pict>
      </w:r>
      <w:r>
        <w:rPr>
          <w:spacing w:val="-1"/>
          <w:w w:val="115"/>
          <w:sz w:val="12"/>
        </w:rPr>
        <w:t>4.5</w:t>
      </w:r>
    </w:p>
    <w:p>
      <w:pPr>
        <w:spacing w:before="84"/>
        <w:ind w:left="0" w:right="38" w:firstLine="0"/>
        <w:jc w:val="right"/>
        <w:rPr>
          <w:sz w:val="12"/>
        </w:rPr>
      </w:pPr>
      <w:r>
        <w:rPr/>
        <w:pict>
          <v:line style="position:absolute;mso-position-horizontal-relative:page;mso-position-vertical-relative:paragraph;z-index:15982592" from="42.525002pt,7.93575pt" to="46.858002pt,7.93575pt" stroked="true" strokeweight=".5pt" strokecolor="#000000">
            <v:stroke dashstyle="solid"/>
            <w10:wrap type="none"/>
          </v:line>
        </w:pict>
      </w:r>
      <w:r>
        <w:rPr>
          <w:spacing w:val="-1"/>
          <w:w w:val="115"/>
          <w:sz w:val="12"/>
        </w:rPr>
        <w:t>4.0</w:t>
      </w:r>
    </w:p>
    <w:p>
      <w:pPr>
        <w:spacing w:before="84"/>
        <w:ind w:left="0" w:right="38" w:firstLine="0"/>
        <w:jc w:val="right"/>
        <w:rPr>
          <w:sz w:val="12"/>
        </w:rPr>
      </w:pPr>
      <w:r>
        <w:rPr/>
        <w:pict>
          <v:line style="position:absolute;mso-position-horizontal-relative:page;mso-position-vertical-relative:paragraph;z-index:15986688" from="42.526001pt,7.932942pt" to="46.858001pt,7.932942pt" stroked="true" strokeweight=".5pt" strokecolor="#000000">
            <v:stroke dashstyle="solid"/>
            <w10:wrap type="none"/>
          </v:line>
        </w:pict>
      </w:r>
      <w:r>
        <w:rPr>
          <w:spacing w:val="-1"/>
          <w:w w:val="115"/>
          <w:sz w:val="12"/>
        </w:rPr>
        <w:t>3.5</w:t>
      </w:r>
    </w:p>
    <w:p>
      <w:pPr>
        <w:spacing w:before="83"/>
        <w:ind w:left="0" w:right="38" w:firstLine="0"/>
        <w:jc w:val="right"/>
        <w:rPr>
          <w:sz w:val="12"/>
        </w:rPr>
      </w:pPr>
      <w:r>
        <w:rPr/>
        <w:pict>
          <v:line style="position:absolute;mso-position-horizontal-relative:page;mso-position-vertical-relative:paragraph;z-index:15983104" from="42.525002pt,7.879151pt" to="46.858002pt,7.879151pt" stroked="true" strokeweight=".5pt" strokecolor="#000000">
            <v:stroke dashstyle="solid"/>
            <w10:wrap type="none"/>
          </v:line>
        </w:pict>
      </w:r>
      <w:r>
        <w:rPr>
          <w:spacing w:val="-1"/>
          <w:w w:val="115"/>
          <w:sz w:val="12"/>
        </w:rPr>
        <w:t>3.0</w:t>
      </w:r>
    </w:p>
    <w:p>
      <w:pPr>
        <w:spacing w:before="84"/>
        <w:ind w:left="0" w:right="38" w:firstLine="0"/>
        <w:jc w:val="right"/>
        <w:rPr>
          <w:sz w:val="12"/>
        </w:rPr>
      </w:pPr>
      <w:r>
        <w:rPr/>
        <w:pict>
          <v:line style="position:absolute;mso-position-horizontal-relative:page;mso-position-vertical-relative:paragraph;z-index:15987200" from="42.526001pt,7.925344pt" to="46.858001pt,7.925344pt" stroked="true" strokeweight=".5pt" strokecolor="#000000">
            <v:stroke dashstyle="solid"/>
            <w10:wrap type="none"/>
          </v:line>
        </w:pict>
      </w:r>
      <w:r>
        <w:rPr>
          <w:spacing w:val="-1"/>
          <w:w w:val="115"/>
          <w:sz w:val="12"/>
        </w:rPr>
        <w:t>2.5</w:t>
      </w:r>
    </w:p>
    <w:p>
      <w:pPr>
        <w:spacing w:before="84"/>
        <w:ind w:left="0" w:right="38" w:firstLine="0"/>
        <w:jc w:val="right"/>
        <w:rPr>
          <w:sz w:val="12"/>
        </w:rPr>
      </w:pPr>
      <w:r>
        <w:rPr/>
        <w:pict>
          <v:line style="position:absolute;mso-position-horizontal-relative:page;mso-position-vertical-relative:paragraph;z-index:15983616" from="42.525002pt,7.922544pt" to="46.858002pt,7.922544pt" stroked="true" strokeweight=".5pt" strokecolor="#000000">
            <v:stroke dashstyle="solid"/>
            <w10:wrap type="none"/>
          </v:line>
        </w:pict>
      </w:r>
      <w:r>
        <w:rPr>
          <w:spacing w:val="-1"/>
          <w:w w:val="115"/>
          <w:sz w:val="12"/>
        </w:rPr>
        <w:t>2.0</w:t>
      </w:r>
    </w:p>
    <w:p>
      <w:pPr>
        <w:spacing w:before="84"/>
        <w:ind w:left="0" w:right="38" w:firstLine="0"/>
        <w:jc w:val="right"/>
        <w:rPr>
          <w:sz w:val="12"/>
        </w:rPr>
      </w:pPr>
      <w:r>
        <w:rPr/>
        <w:pict>
          <v:line style="position:absolute;mso-position-horizontal-relative:page;mso-position-vertical-relative:paragraph;z-index:15987712" from="42.526001pt,7.918744pt" to="46.858001pt,7.918744pt" stroked="true" strokeweight=".5pt" strokecolor="#000000">
            <v:stroke dashstyle="solid"/>
            <w10:wrap type="none"/>
          </v:line>
        </w:pict>
      </w:r>
      <w:r>
        <w:rPr>
          <w:spacing w:val="-1"/>
          <w:w w:val="115"/>
          <w:sz w:val="12"/>
        </w:rPr>
        <w:t>1.5</w:t>
      </w:r>
    </w:p>
    <w:p>
      <w:pPr>
        <w:spacing w:before="83"/>
        <w:ind w:left="0" w:right="38" w:firstLine="0"/>
        <w:jc w:val="right"/>
        <w:rPr>
          <w:sz w:val="12"/>
        </w:rPr>
      </w:pPr>
      <w:r>
        <w:rPr/>
        <w:pict>
          <v:line style="position:absolute;mso-position-horizontal-relative:page;mso-position-vertical-relative:paragraph;z-index:15984128" from="42.525002pt,7.867142pt" to="46.858002pt,7.867142pt" stroked="true" strokeweight=".5pt" strokecolor="#000000">
            <v:stroke dashstyle="solid"/>
            <w10:wrap type="none"/>
          </v:line>
        </w:pict>
      </w:r>
      <w:r>
        <w:rPr>
          <w:spacing w:val="-1"/>
          <w:w w:val="115"/>
          <w:sz w:val="12"/>
        </w:rPr>
        <w:t>1.0</w:t>
      </w:r>
    </w:p>
    <w:p>
      <w:pPr>
        <w:spacing w:line="114" w:lineRule="exact" w:before="84"/>
        <w:ind w:left="3463" w:right="0" w:firstLine="0"/>
        <w:jc w:val="left"/>
        <w:rPr>
          <w:sz w:val="12"/>
        </w:rPr>
      </w:pPr>
      <w:r>
        <w:rPr/>
        <w:pict>
          <v:line style="position:absolute;mso-position-horizontal-relative:page;mso-position-vertical-relative:paragraph;z-index:15985152" from="42.525002pt,7.913342pt" to="46.858002pt,7.913342pt" stroked="true" strokeweight=".5pt" strokecolor="#000000">
            <v:stroke dashstyle="solid"/>
            <w10:wrap type="none"/>
          </v:line>
        </w:pict>
      </w:r>
      <w:r>
        <w:rPr>
          <w:w w:val="115"/>
          <w:sz w:val="12"/>
        </w:rPr>
        <w:t>0.5</w:t>
      </w:r>
    </w:p>
    <w:p>
      <w:pPr>
        <w:spacing w:line="134" w:lineRule="exact" w:before="0"/>
        <w:ind w:left="3397" w:right="0" w:firstLine="0"/>
        <w:jc w:val="left"/>
        <w:rPr>
          <w:sz w:val="16"/>
        </w:rPr>
      </w:pPr>
      <w:r>
        <w:rPr>
          <w:w w:val="107"/>
          <w:sz w:val="16"/>
        </w:rPr>
        <w:t>+</w:t>
      </w:r>
    </w:p>
    <w:p>
      <w:pPr>
        <w:spacing w:line="76" w:lineRule="exact" w:before="0"/>
        <w:ind w:left="3463" w:right="0" w:firstLine="0"/>
        <w:jc w:val="left"/>
        <w:rPr>
          <w:sz w:val="12"/>
        </w:rPr>
      </w:pPr>
      <w:r>
        <w:rPr/>
        <w:pict>
          <v:line style="position:absolute;mso-position-horizontal-relative:page;mso-position-vertical-relative:paragraph;z-index:15984640" from="42.525002pt,2.422785pt" to="46.858002pt,2.422785pt" stroked="true" strokeweight=".5pt" strokecolor="#000000">
            <v:stroke dashstyle="solid"/>
            <w10:wrap type="none"/>
          </v:line>
        </w:pict>
      </w:r>
      <w:r>
        <w:rPr>
          <w:w w:val="115"/>
          <w:sz w:val="12"/>
        </w:rPr>
        <w:t>0.0</w:t>
      </w:r>
    </w:p>
    <w:p>
      <w:pPr>
        <w:spacing w:line="134" w:lineRule="exact" w:before="0"/>
        <w:ind w:left="3398" w:right="0" w:firstLine="0"/>
        <w:jc w:val="left"/>
        <w:rPr>
          <w:sz w:val="16"/>
        </w:rPr>
      </w:pPr>
      <w:r>
        <w:rPr>
          <w:w w:val="117"/>
          <w:sz w:val="16"/>
        </w:rPr>
        <w:t>–</w:t>
      </w:r>
    </w:p>
    <w:p>
      <w:pPr>
        <w:spacing w:line="107" w:lineRule="exact" w:before="0"/>
        <w:ind w:left="3463" w:right="0" w:firstLine="0"/>
        <w:jc w:val="left"/>
        <w:rPr>
          <w:sz w:val="12"/>
        </w:rPr>
      </w:pPr>
      <w:r>
        <w:rPr/>
        <w:pict>
          <v:line style="position:absolute;mso-position-horizontal-relative:page;mso-position-vertical-relative:paragraph;z-index:15985664" from="42.525002pt,3.026396pt" to="46.858002pt,3.026396pt" stroked="true" strokeweight=".5pt" strokecolor="#000000">
            <v:stroke dashstyle="solid"/>
            <w10:wrap type="none"/>
          </v:line>
        </w:pict>
      </w:r>
      <w:r>
        <w:rPr>
          <w:w w:val="115"/>
          <w:sz w:val="12"/>
        </w:rPr>
        <w:t>0.5</w:t>
      </w:r>
    </w:p>
    <w:p>
      <w:pPr>
        <w:tabs>
          <w:tab w:pos="1378" w:val="left" w:leader="none"/>
          <w:tab w:pos="2100" w:val="left" w:leader="none"/>
          <w:tab w:pos="2735" w:val="left" w:leader="none"/>
        </w:tabs>
        <w:spacing w:line="120" w:lineRule="exact" w:before="0"/>
        <w:ind w:left="585" w:right="0" w:firstLine="0"/>
        <w:jc w:val="left"/>
        <w:rPr>
          <w:sz w:val="12"/>
        </w:rPr>
      </w:pPr>
      <w:r>
        <w:rPr>
          <w:w w:val="120"/>
          <w:sz w:val="12"/>
        </w:rPr>
        <w:t>1997</w:t>
        <w:tab/>
        <w:t>98</w:t>
        <w:tab/>
        <w:t>99</w:t>
        <w:tab/>
        <w:t>2000</w:t>
      </w:r>
    </w:p>
    <w:p>
      <w:pPr>
        <w:pStyle w:val="BodyText"/>
        <w:spacing w:line="292" w:lineRule="auto" w:before="61"/>
        <w:ind w:left="190" w:right="257"/>
      </w:pPr>
      <w:r>
        <w:rPr/>
        <w:br w:type="column"/>
      </w:r>
      <w:r>
        <w:rPr>
          <w:w w:val="105"/>
        </w:rPr>
        <w:t>For some time consumption has been stronger than would  </w:t>
      </w:r>
      <w:r>
        <w:rPr>
          <w:spacing w:val="-3"/>
          <w:w w:val="105"/>
        </w:rPr>
        <w:t>have </w:t>
      </w:r>
      <w:r>
        <w:rPr>
          <w:w w:val="105"/>
        </w:rPr>
        <w:t>been suggested </w:t>
      </w:r>
      <w:r>
        <w:rPr>
          <w:spacing w:val="-3"/>
          <w:w w:val="105"/>
        </w:rPr>
        <w:t>by </w:t>
      </w:r>
      <w:r>
        <w:rPr>
          <w:w w:val="105"/>
        </w:rPr>
        <w:t>developments in official </w:t>
      </w:r>
      <w:r>
        <w:rPr>
          <w:spacing w:val="-3"/>
          <w:w w:val="105"/>
        </w:rPr>
        <w:t>interest </w:t>
      </w:r>
      <w:r>
        <w:rPr>
          <w:spacing w:val="-4"/>
          <w:w w:val="105"/>
        </w:rPr>
        <w:t>rates, </w:t>
      </w:r>
      <w:r>
        <w:rPr>
          <w:w w:val="105"/>
        </w:rPr>
        <w:t>household income, wealth, and proxies for confidence. There are a number of possible reasons for this. One is that </w:t>
      </w:r>
      <w:r>
        <w:rPr>
          <w:spacing w:val="-4"/>
          <w:w w:val="105"/>
        </w:rPr>
        <w:t>rates </w:t>
      </w:r>
      <w:r>
        <w:rPr>
          <w:w w:val="105"/>
        </w:rPr>
        <w:t>of </w:t>
      </w:r>
      <w:r>
        <w:rPr>
          <w:spacing w:val="-3"/>
          <w:w w:val="105"/>
        </w:rPr>
        <w:t>interest </w:t>
      </w:r>
      <w:r>
        <w:rPr>
          <w:w w:val="105"/>
        </w:rPr>
        <w:t>faced </w:t>
      </w:r>
      <w:r>
        <w:rPr>
          <w:spacing w:val="-3"/>
          <w:w w:val="105"/>
        </w:rPr>
        <w:t>by </w:t>
      </w:r>
      <w:r>
        <w:rPr>
          <w:w w:val="105"/>
        </w:rPr>
        <w:t>consumers </w:t>
      </w:r>
      <w:r>
        <w:rPr>
          <w:spacing w:val="-3"/>
          <w:w w:val="105"/>
        </w:rPr>
        <w:t>have diverged </w:t>
      </w:r>
      <w:r>
        <w:rPr>
          <w:w w:val="105"/>
        </w:rPr>
        <w:t>from their usual relationship with the </w:t>
      </w:r>
      <w:r>
        <w:rPr>
          <w:spacing w:val="-3"/>
          <w:w w:val="105"/>
        </w:rPr>
        <w:t>short-term </w:t>
      </w:r>
      <w:r>
        <w:rPr>
          <w:w w:val="105"/>
        </w:rPr>
        <w:t>official </w:t>
      </w:r>
      <w:r>
        <w:rPr>
          <w:spacing w:val="-3"/>
          <w:w w:val="105"/>
        </w:rPr>
        <w:t>interest </w:t>
      </w:r>
      <w:r>
        <w:rPr>
          <w:spacing w:val="-4"/>
          <w:w w:val="105"/>
        </w:rPr>
        <w:t>rate </w:t>
      </w:r>
      <w:r>
        <w:rPr>
          <w:w w:val="105"/>
        </w:rPr>
        <w:t>set </w:t>
      </w:r>
      <w:r>
        <w:rPr>
          <w:spacing w:val="-3"/>
          <w:w w:val="105"/>
        </w:rPr>
        <w:t>by </w:t>
      </w:r>
      <w:r>
        <w:rPr>
          <w:w w:val="105"/>
        </w:rPr>
        <w:t>the MPC. As discussed in </w:t>
      </w:r>
      <w:hyperlink w:history="true" w:anchor="_bookmark5">
        <w:r>
          <w:rPr>
            <w:w w:val="105"/>
          </w:rPr>
          <w:t>the </w:t>
        </w:r>
        <w:r>
          <w:rPr>
            <w:color w:val="FF0000"/>
            <w:spacing w:val="-3"/>
            <w:w w:val="105"/>
          </w:rPr>
          <w:t>box </w:t>
        </w:r>
        <w:r>
          <w:rPr>
            <w:w w:val="105"/>
          </w:rPr>
          <w:t>on page 6 </w:t>
        </w:r>
      </w:hyperlink>
      <w:r>
        <w:rPr>
          <w:w w:val="105"/>
        </w:rPr>
        <w:t>in Section 1, competition in the retail lending </w:t>
      </w:r>
      <w:r>
        <w:rPr>
          <w:spacing w:val="-2"/>
          <w:w w:val="105"/>
        </w:rPr>
        <w:t>market </w:t>
      </w:r>
      <w:r>
        <w:rPr>
          <w:w w:val="105"/>
        </w:rPr>
        <w:t>appears </w:t>
      </w:r>
      <w:r>
        <w:rPr>
          <w:spacing w:val="-4"/>
          <w:w w:val="105"/>
        </w:rPr>
        <w:t>to </w:t>
      </w:r>
      <w:r>
        <w:rPr>
          <w:spacing w:val="-3"/>
          <w:w w:val="105"/>
        </w:rPr>
        <w:t>have </w:t>
      </w:r>
      <w:r>
        <w:rPr>
          <w:w w:val="105"/>
        </w:rPr>
        <w:t>intensified, and that has partly offset the impact of past increases in the official </w:t>
      </w:r>
      <w:r>
        <w:rPr>
          <w:spacing w:val="-3"/>
          <w:w w:val="105"/>
        </w:rPr>
        <w:t>interest</w:t>
      </w:r>
      <w:r>
        <w:rPr>
          <w:spacing w:val="-4"/>
          <w:w w:val="105"/>
        </w:rPr>
        <w:t> rate.</w:t>
      </w:r>
    </w:p>
    <w:p>
      <w:pPr>
        <w:pStyle w:val="BodyText"/>
        <w:spacing w:before="1"/>
        <w:rPr>
          <w:sz w:val="22"/>
        </w:rPr>
      </w:pPr>
    </w:p>
    <w:p>
      <w:pPr>
        <w:pStyle w:val="BodyText"/>
        <w:spacing w:line="292" w:lineRule="auto" w:before="1"/>
        <w:ind w:left="190" w:right="482"/>
      </w:pPr>
      <w:r>
        <w:rPr>
          <w:w w:val="110"/>
        </w:rPr>
        <w:t>Household consumption should be </w:t>
      </w:r>
      <w:r>
        <w:rPr>
          <w:spacing w:val="-3"/>
          <w:w w:val="110"/>
        </w:rPr>
        <w:t>related </w:t>
      </w:r>
      <w:r>
        <w:rPr>
          <w:spacing w:val="-4"/>
          <w:w w:val="110"/>
        </w:rPr>
        <w:t>to </w:t>
      </w:r>
      <w:r>
        <w:rPr>
          <w:w w:val="110"/>
        </w:rPr>
        <w:t>the present value</w:t>
      </w:r>
      <w:r>
        <w:rPr>
          <w:spacing w:val="-16"/>
          <w:w w:val="110"/>
        </w:rPr>
        <w:t> </w:t>
      </w:r>
      <w:r>
        <w:rPr>
          <w:w w:val="110"/>
        </w:rPr>
        <w:t>of</w:t>
      </w:r>
      <w:r>
        <w:rPr>
          <w:spacing w:val="-15"/>
          <w:w w:val="110"/>
        </w:rPr>
        <w:t> </w:t>
      </w:r>
      <w:r>
        <w:rPr>
          <w:w w:val="110"/>
        </w:rPr>
        <w:t>current</w:t>
      </w:r>
      <w:r>
        <w:rPr>
          <w:spacing w:val="-15"/>
          <w:w w:val="110"/>
        </w:rPr>
        <w:t> </w:t>
      </w:r>
      <w:r>
        <w:rPr>
          <w:w w:val="110"/>
        </w:rPr>
        <w:t>and</w:t>
      </w:r>
      <w:r>
        <w:rPr>
          <w:spacing w:val="-15"/>
          <w:w w:val="110"/>
        </w:rPr>
        <w:t> </w:t>
      </w:r>
      <w:r>
        <w:rPr>
          <w:w w:val="110"/>
        </w:rPr>
        <w:t>expected</w:t>
      </w:r>
      <w:r>
        <w:rPr>
          <w:spacing w:val="-15"/>
          <w:w w:val="110"/>
        </w:rPr>
        <w:t> </w:t>
      </w:r>
      <w:r>
        <w:rPr>
          <w:w w:val="110"/>
        </w:rPr>
        <w:t>future</w:t>
      </w:r>
      <w:r>
        <w:rPr>
          <w:spacing w:val="-16"/>
          <w:w w:val="110"/>
        </w:rPr>
        <w:t> </w:t>
      </w:r>
      <w:r>
        <w:rPr>
          <w:w w:val="110"/>
        </w:rPr>
        <w:t>household</w:t>
      </w:r>
      <w:r>
        <w:rPr>
          <w:spacing w:val="-15"/>
          <w:w w:val="110"/>
        </w:rPr>
        <w:t> </w:t>
      </w:r>
      <w:r>
        <w:rPr>
          <w:w w:val="110"/>
        </w:rPr>
        <w:t>income,</w:t>
      </w:r>
      <w:r>
        <w:rPr>
          <w:spacing w:val="-15"/>
          <w:w w:val="110"/>
        </w:rPr>
        <w:t> </w:t>
      </w:r>
      <w:r>
        <w:rPr>
          <w:spacing w:val="-6"/>
          <w:w w:val="110"/>
        </w:rPr>
        <w:t>or </w:t>
      </w:r>
      <w:r>
        <w:rPr>
          <w:w w:val="110"/>
        </w:rPr>
        <w:t>human</w:t>
      </w:r>
      <w:r>
        <w:rPr>
          <w:spacing w:val="-15"/>
          <w:w w:val="110"/>
        </w:rPr>
        <w:t> </w:t>
      </w:r>
      <w:r>
        <w:rPr>
          <w:w w:val="110"/>
        </w:rPr>
        <w:t>wealth.</w:t>
      </w:r>
      <w:r>
        <w:rPr>
          <w:spacing w:val="28"/>
          <w:w w:val="110"/>
        </w:rPr>
        <w:t> </w:t>
      </w:r>
      <w:r>
        <w:rPr>
          <w:w w:val="110"/>
        </w:rPr>
        <w:t>Human</w:t>
      </w:r>
      <w:r>
        <w:rPr>
          <w:spacing w:val="-14"/>
          <w:w w:val="110"/>
        </w:rPr>
        <w:t> </w:t>
      </w:r>
      <w:r>
        <w:rPr>
          <w:w w:val="110"/>
        </w:rPr>
        <w:t>wealth</w:t>
      </w:r>
      <w:r>
        <w:rPr>
          <w:spacing w:val="-14"/>
          <w:w w:val="110"/>
        </w:rPr>
        <w:t> </w:t>
      </w:r>
      <w:r>
        <w:rPr>
          <w:w w:val="110"/>
        </w:rPr>
        <w:t>is</w:t>
      </w:r>
      <w:r>
        <w:rPr>
          <w:spacing w:val="-14"/>
          <w:w w:val="110"/>
        </w:rPr>
        <w:t> </w:t>
      </w:r>
      <w:r>
        <w:rPr>
          <w:w w:val="110"/>
        </w:rPr>
        <w:t>unobservable,</w:t>
      </w:r>
      <w:r>
        <w:rPr>
          <w:spacing w:val="-14"/>
          <w:w w:val="110"/>
        </w:rPr>
        <w:t> </w:t>
      </w:r>
      <w:r>
        <w:rPr>
          <w:w w:val="110"/>
        </w:rPr>
        <w:t>but</w:t>
      </w:r>
      <w:r>
        <w:rPr>
          <w:spacing w:val="-15"/>
          <w:w w:val="110"/>
        </w:rPr>
        <w:t> </w:t>
      </w:r>
      <w:r>
        <w:rPr>
          <w:w w:val="110"/>
        </w:rPr>
        <w:t>in</w:t>
      </w:r>
    </w:p>
    <w:p>
      <w:pPr>
        <w:spacing w:after="0" w:line="292" w:lineRule="auto"/>
        <w:sectPr>
          <w:type w:val="continuous"/>
          <w:pgSz w:w="11900" w:h="16840"/>
          <w:pgMar w:top="1260" w:bottom="280" w:left="640" w:right="640"/>
          <w:cols w:num="2" w:equalWidth="0">
            <w:col w:w="3676" w:space="1248"/>
            <w:col w:w="5696"/>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1"/>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7"/>
        </w:rPr>
        <w:t>2.9</w:t>
      </w:r>
    </w:p>
    <w:p>
      <w:pPr>
        <w:spacing w:line="247" w:lineRule="auto" w:before="8"/>
        <w:ind w:left="181" w:right="310" w:firstLine="0"/>
        <w:jc w:val="left"/>
        <w:rPr>
          <w:sz w:val="12"/>
        </w:rPr>
      </w:pPr>
      <w:r>
        <w:rPr>
          <w:rFonts w:ascii="Trebuchet MS"/>
          <w:b/>
          <w:color w:val="89C6DC"/>
          <w:w w:val="95"/>
          <w:sz w:val="20"/>
        </w:rPr>
        <w:t>Real household post-tax income and </w:t>
      </w:r>
      <w:r>
        <w:rPr>
          <w:rFonts w:ascii="Trebuchet MS"/>
          <w:b/>
          <w:color w:val="89C6DC"/>
          <w:sz w:val="20"/>
        </w:rPr>
        <w:t>consumption</w:t>
      </w:r>
      <w:r>
        <w:rPr>
          <w:position w:val="4"/>
          <w:sz w:val="12"/>
        </w:rPr>
        <w:t>(a)</w:t>
      </w:r>
    </w:p>
    <w:p>
      <w:pPr>
        <w:spacing w:line="112" w:lineRule="exact" w:before="20"/>
        <w:ind w:left="1545" w:right="0" w:firstLine="0"/>
        <w:jc w:val="left"/>
        <w:rPr>
          <w:sz w:val="12"/>
        </w:rPr>
      </w:pPr>
      <w:r>
        <w:rPr>
          <w:w w:val="110"/>
          <w:sz w:val="12"/>
        </w:rPr>
        <w:t>Percentage changes on a year earlier</w:t>
      </w:r>
    </w:p>
    <w:p>
      <w:pPr>
        <w:spacing w:line="112" w:lineRule="exact" w:before="0"/>
        <w:ind w:left="3509" w:right="0" w:firstLine="0"/>
        <w:jc w:val="left"/>
        <w:rPr>
          <w:sz w:val="12"/>
        </w:rPr>
      </w:pPr>
      <w:r>
        <w:rPr/>
        <w:pict>
          <v:line style="position:absolute;mso-position-horizontal-relative:page;mso-position-vertical-relative:paragraph;z-index:16000512" from="199.054001pt,2.671002pt" to="203.386001pt,2.671002pt" stroked="true" strokeweight=".5pt" strokecolor="#000000">
            <v:stroke dashstyle="solid"/>
            <w10:wrap type="none"/>
          </v:line>
        </w:pict>
      </w:r>
      <w:r>
        <w:rPr/>
        <w:pict>
          <v:line style="position:absolute;mso-position-horizontal-relative:page;mso-position-vertical-relative:paragraph;z-index:16006144" from="41.721001pt,2.671002pt" to="46.053001pt,2.671002pt" stroked="true" strokeweight=".5pt" strokecolor="#000000">
            <v:stroke dashstyle="solid"/>
            <w10:wrap type="none"/>
          </v:line>
        </w:pict>
      </w:r>
      <w:r>
        <w:rPr>
          <w:w w:val="121"/>
          <w:sz w:val="12"/>
        </w:rPr>
        <w:t>7</w:t>
      </w:r>
    </w:p>
    <w:p>
      <w:pPr>
        <w:pStyle w:val="BodyText"/>
        <w:rPr>
          <w:sz w:val="13"/>
        </w:rPr>
      </w:pPr>
    </w:p>
    <w:p>
      <w:pPr>
        <w:spacing w:before="0"/>
        <w:ind w:left="0" w:right="143" w:firstLine="0"/>
        <w:jc w:val="right"/>
        <w:rPr>
          <w:sz w:val="12"/>
        </w:rPr>
      </w:pPr>
      <w:r>
        <w:rPr/>
        <w:pict>
          <v:group style="position:absolute;margin-left:50.345001pt;margin-top:4.35011pt;width:153.050pt;height:112.25pt;mso-position-horizontal-relative:page;mso-position-vertical-relative:paragraph;z-index:15995392" coordorigin="1007,87" coordsize="3061,2245">
            <v:rect style="position:absolute;left:1011;top:1272;width:58;height:545" filled="true" fillcolor="#9ed01a" stroked="false">
              <v:fill type="solid"/>
            </v:rect>
            <v:rect style="position:absolute;left:1011;top:1272;width:58;height:545" filled="false" stroked="true" strokeweight=".5pt" strokecolor="#000000">
              <v:stroke dashstyle="solid"/>
            </v:rect>
            <v:rect style="position:absolute;left:1209;top:332;width:58;height:1485" filled="true" fillcolor="#9ed01a" stroked="false">
              <v:fill type="solid"/>
            </v:rect>
            <v:rect style="position:absolute;left:1209;top:332;width:58;height:1485" filled="false" stroked="true" strokeweight=".5pt" strokecolor="#000000">
              <v:stroke dashstyle="solid"/>
            </v:rect>
            <v:line style="position:absolute" from="1044,890" to="1242,650" stroked="true" strokeweight="1pt" strokecolor="#006caa">
              <v:stroke dashstyle="solid"/>
            </v:line>
            <v:rect style="position:absolute;left:1406;top:427;width:60;height:1390" filled="true" fillcolor="#9ed01a" stroked="false">
              <v:fill type="solid"/>
            </v:rect>
            <v:rect style="position:absolute;left:1406;top:427;width:60;height:1390" filled="false" stroked="true" strokeweight=".5pt" strokecolor="#000000">
              <v:stroke dashstyle="solid"/>
            </v:rect>
            <v:line style="position:absolute" from="1242,650" to="1442,570" stroked="true" strokeweight="1pt" strokecolor="#006caa">
              <v:stroke dashstyle="solid"/>
            </v:line>
            <v:line style="position:absolute" from="1432,562" to="1662,562" stroked="true" strokeweight="1.75pt" strokecolor="#006caa">
              <v:stroke dashstyle="solid"/>
            </v:line>
            <v:shape style="position:absolute;left:1651;top:459;width:1003;height:365" coordorigin="1652,460" coordsize="1003,365" path="m1652,555l1849,460m1849,460l2049,650m2049,650l2247,730m2247,730l2457,825m2457,825l2654,587e" filled="false" stroked="true" strokeweight="1pt" strokecolor="#006caa">
              <v:path arrowok="t"/>
              <v:stroke dashstyle="solid"/>
            </v:shape>
            <v:rect style="position:absolute;left:2821;top:92;width:58;height:1725" filled="true" fillcolor="#9ed01a" stroked="false">
              <v:fill type="solid"/>
            </v:rect>
            <v:rect style="position:absolute;left:2821;top:92;width:58;height:1725" filled="false" stroked="true" strokeweight=".5pt" strokecolor="#000000">
              <v:stroke dashstyle="solid"/>
            </v:rect>
            <v:line style="position:absolute" from="2654,587" to="2854,555" stroked="true" strokeweight="1pt" strokecolor="#006caa">
              <v:stroke dashstyle="solid"/>
            </v:line>
            <v:line style="position:absolute" from="2844,546" to="3062,546" stroked="true" strokeweight="1.875pt" strokecolor="#006caa">
              <v:stroke dashstyle="solid"/>
            </v:line>
            <v:rect style="position:absolute;left:3216;top:474;width:60;height:1343" filled="true" fillcolor="#9ed01a" stroked="false">
              <v:fill type="solid"/>
            </v:rect>
            <v:rect style="position:absolute;left:3216;top:474;width:60;height:1343" filled="false" stroked="true" strokeweight=".5pt" strokecolor="#000000">
              <v:stroke dashstyle="solid"/>
            </v:rect>
            <v:line style="position:absolute" from="3052,537" to="3252,362" stroked="true" strokeweight="1pt" strokecolor="#006caa">
              <v:stroke dashstyle="solid"/>
            </v:line>
            <v:rect style="position:absolute;left:3426;top:442;width:58;height:1375" filled="true" fillcolor="#9ed01a" stroked="false">
              <v:fill type="solid"/>
            </v:rect>
            <v:rect style="position:absolute;left:3426;top:442;width:58;height:1375" filled="false" stroked="true" strokeweight=".5pt" strokecolor="#000000">
              <v:stroke dashstyle="solid"/>
            </v:rect>
            <v:line style="position:absolute" from="3252,362" to="3462,715" stroked="true" strokeweight="1pt" strokecolor="#006caa">
              <v:stroke dashstyle="solid"/>
            </v:line>
            <v:line style="position:absolute" from="3452,716" to="3669,716" stroked="true" strokeweight="1.125pt" strokecolor="#006caa">
              <v:stroke dashstyle="solid"/>
            </v:line>
            <v:line style="position:absolute" from="3659,715" to="3859,587" stroked="true" strokeweight="1pt" strokecolor="#006caa">
              <v:stroke dashstyle="solid"/>
            </v:line>
            <v:rect style="position:absolute;left:1616;top:842;width:58;height:975" filled="true" fillcolor="#9ed01a" stroked="false">
              <v:fill type="solid"/>
            </v:rect>
            <v:rect style="position:absolute;left:1616;top:842;width:58;height:975" filled="false" stroked="true" strokeweight=".5pt" strokecolor="#000000">
              <v:stroke dashstyle="solid"/>
            </v:rect>
            <v:rect style="position:absolute;left:1816;top:1097;width:58;height:720" filled="true" fillcolor="#9ed01a" stroked="false">
              <v:fill type="solid"/>
            </v:rect>
            <v:rect style="position:absolute;left:1816;top:1097;width:58;height:720" filled="false" stroked="true" strokeweight=".5pt" strokecolor="#000000">
              <v:stroke dashstyle="solid"/>
            </v:rect>
            <v:rect style="position:absolute;left:2014;top:1814;width:58;height:513" filled="true" fillcolor="#9ed01a" stroked="false">
              <v:fill type="solid"/>
            </v:rect>
            <v:rect style="position:absolute;left:2014;top:1814;width:58;height:513" filled="false" stroked="true" strokeweight=".5pt" strokecolor="#000000">
              <v:stroke dashstyle="solid"/>
            </v:rect>
            <v:rect style="position:absolute;left:2214;top:1814;width:58;height:273" filled="true" fillcolor="#9ed01a" stroked="false">
              <v:fill type="solid"/>
            </v:rect>
            <v:rect style="position:absolute;left:2214;top:1814;width:58;height:273" filled="false" stroked="true" strokeweight=".5pt" strokecolor="#000000">
              <v:stroke dashstyle="solid"/>
            </v:rect>
            <v:rect style="position:absolute;left:2411;top:1559;width:70;height:258" filled="true" fillcolor="#9ed01a" stroked="false">
              <v:fill type="solid"/>
            </v:rect>
            <v:rect style="position:absolute;left:2411;top:1559;width:70;height:258" filled="false" stroked="true" strokeweight=".5pt" strokecolor="#000000">
              <v:stroke dashstyle="solid"/>
            </v:rect>
            <v:rect style="position:absolute;left:2621;top:1639;width:58;height:178" filled="true" fillcolor="#9ed01a" stroked="false">
              <v:fill type="solid"/>
            </v:rect>
            <v:rect style="position:absolute;left:2621;top:1639;width:58;height:178" filled="false" stroked="true" strokeweight=".5pt" strokecolor="#000000">
              <v:stroke dashstyle="solid"/>
            </v:rect>
            <v:rect style="position:absolute;left:3019;top:729;width:58;height:1088" filled="true" fillcolor="#9ed01a" stroked="false">
              <v:fill type="solid"/>
            </v:rect>
            <v:rect style="position:absolute;left:3019;top:729;width:58;height:1088" filled="false" stroked="true" strokeweight=".5pt" strokecolor="#000000">
              <v:stroke dashstyle="solid"/>
            </v:rect>
            <v:rect style="position:absolute;left:3626;top:1749;width:58;height:68" filled="true" fillcolor="#9ed01a" stroked="false">
              <v:fill type="solid"/>
            </v:rect>
            <v:rect style="position:absolute;left:3626;top:1749;width:58;height:68" filled="false" stroked="true" strokeweight=".5pt" strokecolor="#000000">
              <v:stroke dashstyle="solid"/>
            </v:rect>
            <v:rect style="position:absolute;left:3824;top:1049;width:58;height:768" filled="true" fillcolor="#9ed01a" stroked="false">
              <v:fill type="solid"/>
            </v:rect>
            <v:shape style="position:absolute;left:1006;top:1049;width:3061;height:768" coordorigin="1007,1050" coordsize="3061,768" path="m3824,1050l3882,1050,3882,1817,3824,1817,3824,1050xm3981,1817l4068,1817m1007,1817l3914,1817e" filled="false" stroked="true" strokeweight=".5pt" strokecolor="#000000">
              <v:path arrowok="t"/>
              <v:stroke dashstyle="solid"/>
            </v:shape>
            <v:shape style="position:absolute;left:1702;top:313;width:720;height:121" type="#_x0000_t202" filled="false" stroked="false">
              <v:textbox inset="0,0,0,0">
                <w:txbxContent>
                  <w:p>
                    <w:pPr>
                      <w:spacing w:line="115" w:lineRule="exact" w:before="0"/>
                      <w:ind w:left="0" w:right="0" w:firstLine="0"/>
                      <w:jc w:val="left"/>
                      <w:rPr>
                        <w:sz w:val="12"/>
                      </w:rPr>
                    </w:pPr>
                    <w:r>
                      <w:rPr>
                        <w:w w:val="110"/>
                        <w:sz w:val="12"/>
                      </w:rPr>
                      <w:t>Consumption</w:t>
                    </w:r>
                  </w:p>
                </w:txbxContent>
              </v:textbox>
              <w10:wrap type="none"/>
            </v:shape>
            <w10:wrap type="none"/>
          </v:group>
        </w:pict>
      </w:r>
      <w:r>
        <w:rPr/>
        <w:pict>
          <v:line style="position:absolute;mso-position-horizontal-relative:page;mso-position-vertical-relative:paragraph;z-index:15995904" from="199.054001pt,3.97511pt" to="203.386001pt,3.97511pt" stroked="true" strokeweight=".5pt" strokecolor="#000000">
            <v:stroke dashstyle="solid"/>
            <w10:wrap type="none"/>
          </v:line>
        </w:pict>
      </w:r>
      <w:r>
        <w:rPr/>
        <w:pict>
          <v:line style="position:absolute;mso-position-horizontal-relative:page;mso-position-vertical-relative:paragraph;z-index:16001024" from="41.721001pt,3.97511pt" to="46.053001pt,3.97511pt" stroked="true" strokeweight=".5pt" strokecolor="#000000">
            <v:stroke dashstyle="solid"/>
            <w10:wrap type="none"/>
          </v:line>
        </w:pict>
      </w:r>
      <w:r>
        <w:rPr>
          <w:w w:val="121"/>
          <w:sz w:val="12"/>
        </w:rPr>
        <w:t>6</w:t>
      </w:r>
    </w:p>
    <w:p>
      <w:pPr>
        <w:pStyle w:val="BodyText"/>
        <w:rPr>
          <w:sz w:val="13"/>
        </w:rPr>
      </w:pPr>
    </w:p>
    <w:p>
      <w:pPr>
        <w:spacing w:before="0"/>
        <w:ind w:left="0" w:right="143" w:firstLine="0"/>
        <w:jc w:val="right"/>
        <w:rPr>
          <w:sz w:val="12"/>
        </w:rPr>
      </w:pPr>
      <w:r>
        <w:rPr/>
        <w:pict>
          <v:line style="position:absolute;mso-position-horizontal-relative:page;mso-position-vertical-relative:paragraph;z-index:15996416" from="199.054001pt,3.850293pt" to="203.386001pt,3.850293pt" stroked="true" strokeweight=".5pt" strokecolor="#000000">
            <v:stroke dashstyle="solid"/>
            <w10:wrap type="none"/>
          </v:line>
        </w:pict>
      </w:r>
      <w:r>
        <w:rPr/>
        <w:pict>
          <v:line style="position:absolute;mso-position-horizontal-relative:page;mso-position-vertical-relative:paragraph;z-index:16001536" from="41.721001pt,3.850293pt" to="46.053001pt,3.850293pt" stroked="true" strokeweight=".5pt" strokecolor="#000000">
            <v:stroke dashstyle="solid"/>
            <w10:wrap type="none"/>
          </v:line>
        </w:pict>
      </w:r>
      <w:r>
        <w:rPr>
          <w:w w:val="121"/>
          <w:sz w:val="12"/>
        </w:rPr>
        <w:t>5</w:t>
      </w:r>
    </w:p>
    <w:p>
      <w:pPr>
        <w:pStyle w:val="BodyText"/>
        <w:spacing w:before="9"/>
        <w:rPr>
          <w:sz w:val="12"/>
        </w:rPr>
      </w:pPr>
    </w:p>
    <w:p>
      <w:pPr>
        <w:spacing w:before="0"/>
        <w:ind w:left="0" w:right="143" w:firstLine="0"/>
        <w:jc w:val="right"/>
        <w:rPr>
          <w:sz w:val="12"/>
        </w:rPr>
      </w:pPr>
      <w:r>
        <w:rPr/>
        <w:pict>
          <v:line style="position:absolute;mso-position-horizontal-relative:page;mso-position-vertical-relative:paragraph;z-index:15996928" from="199.054001pt,3.975293pt" to="203.386001pt,3.975293pt" stroked="true" strokeweight=".5pt" strokecolor="#000000">
            <v:stroke dashstyle="solid"/>
            <w10:wrap type="none"/>
          </v:line>
        </w:pict>
      </w:r>
      <w:r>
        <w:rPr/>
        <w:pict>
          <v:line style="position:absolute;mso-position-horizontal-relative:page;mso-position-vertical-relative:paragraph;z-index:16002048" from="41.721001pt,3.975293pt" to="46.053001pt,3.975293pt" stroked="true" strokeweight=".5pt" strokecolor="#000000">
            <v:stroke dashstyle="solid"/>
            <w10:wrap type="none"/>
          </v:line>
        </w:pict>
      </w:r>
      <w:r>
        <w:rPr>
          <w:w w:val="121"/>
          <w:sz w:val="12"/>
        </w:rPr>
        <w:t>4</w:t>
      </w:r>
    </w:p>
    <w:p>
      <w:pPr>
        <w:pStyle w:val="BodyText"/>
        <w:rPr>
          <w:sz w:val="13"/>
        </w:rPr>
      </w:pPr>
    </w:p>
    <w:p>
      <w:pPr>
        <w:spacing w:before="0"/>
        <w:ind w:left="0" w:right="143" w:firstLine="0"/>
        <w:jc w:val="right"/>
        <w:rPr>
          <w:sz w:val="12"/>
        </w:rPr>
      </w:pPr>
      <w:r>
        <w:rPr/>
        <w:pict>
          <v:line style="position:absolute;mso-position-horizontal-relative:page;mso-position-vertical-relative:paragraph;z-index:15997440" from="199.054001pt,3.975476pt" to="203.386001pt,3.975476pt" stroked="true" strokeweight=".5pt" strokecolor="#000000">
            <v:stroke dashstyle="solid"/>
            <w10:wrap type="none"/>
          </v:line>
        </w:pict>
      </w:r>
      <w:r>
        <w:rPr/>
        <w:pict>
          <v:line style="position:absolute;mso-position-horizontal-relative:page;mso-position-vertical-relative:paragraph;z-index:16002560" from="41.721001pt,3.975476pt" to="46.053001pt,3.975476pt" stroked="true" strokeweight=".5pt" strokecolor="#000000">
            <v:stroke dashstyle="solid"/>
            <w10:wrap type="none"/>
          </v:line>
        </w:pict>
      </w:r>
      <w:r>
        <w:rPr>
          <w:w w:val="121"/>
          <w:sz w:val="12"/>
        </w:rPr>
        <w:t>3</w:t>
      </w:r>
    </w:p>
    <w:p>
      <w:pPr>
        <w:pStyle w:val="BodyText"/>
        <w:spacing w:before="3"/>
        <w:rPr>
          <w:sz w:val="14"/>
        </w:rPr>
      </w:pPr>
    </w:p>
    <w:p>
      <w:pPr>
        <w:spacing w:before="1"/>
        <w:ind w:left="0" w:right="143" w:firstLine="0"/>
        <w:jc w:val="right"/>
        <w:rPr>
          <w:sz w:val="12"/>
        </w:rPr>
      </w:pPr>
      <w:r>
        <w:rPr/>
        <w:pict>
          <v:line style="position:absolute;mso-position-horizontal-relative:page;mso-position-vertical-relative:paragraph;z-index:15997952" from="199.054001pt,4.025659pt" to="203.386001pt,4.025659pt" stroked="true" strokeweight=".5pt" strokecolor="#000000">
            <v:stroke dashstyle="solid"/>
            <w10:wrap type="none"/>
          </v:line>
        </w:pict>
      </w:r>
      <w:r>
        <w:rPr/>
        <w:pict>
          <v:line style="position:absolute;mso-position-horizontal-relative:page;mso-position-vertical-relative:paragraph;z-index:16003072" from="41.721001pt,4.025659pt" to="46.053001pt,4.025659pt" stroked="true" strokeweight=".5pt" strokecolor="#000000">
            <v:stroke dashstyle="solid"/>
            <w10:wrap type="none"/>
          </v:line>
        </w:pict>
      </w:r>
      <w:r>
        <w:rPr>
          <w:w w:val="121"/>
          <w:sz w:val="12"/>
        </w:rPr>
        <w:t>2</w:t>
      </w:r>
    </w:p>
    <w:p>
      <w:pPr>
        <w:pStyle w:val="BodyText"/>
        <w:spacing w:before="11"/>
        <w:rPr>
          <w:sz w:val="12"/>
        </w:rPr>
      </w:pPr>
    </w:p>
    <w:p>
      <w:pPr>
        <w:spacing w:line="130" w:lineRule="exact" w:before="0"/>
        <w:ind w:left="3509" w:right="0" w:firstLine="0"/>
        <w:jc w:val="left"/>
        <w:rPr>
          <w:sz w:val="12"/>
        </w:rPr>
      </w:pPr>
      <w:r>
        <w:rPr/>
        <w:pict>
          <v:line style="position:absolute;mso-position-horizontal-relative:page;mso-position-vertical-relative:paragraph;z-index:15998464" from="199.054001pt,3.975903pt" to="203.386001pt,3.975903pt" stroked="true" strokeweight=".5pt" strokecolor="#000000">
            <v:stroke dashstyle="solid"/>
            <w10:wrap type="none"/>
          </v:line>
        </w:pict>
      </w:r>
      <w:r>
        <w:rPr/>
        <w:pict>
          <v:line style="position:absolute;mso-position-horizontal-relative:page;mso-position-vertical-relative:paragraph;z-index:16003584" from="41.721001pt,3.975903pt" to="46.053001pt,3.975903pt" stroked="true" strokeweight=".5pt" strokecolor="#000000">
            <v:stroke dashstyle="solid"/>
            <w10:wrap type="none"/>
          </v:line>
        </w:pict>
      </w:r>
      <w:r>
        <w:rPr>
          <w:w w:val="121"/>
          <w:sz w:val="12"/>
        </w:rPr>
        <w:t>1</w:t>
      </w:r>
    </w:p>
    <w:p>
      <w:pPr>
        <w:spacing w:line="167" w:lineRule="exact" w:before="0"/>
        <w:ind w:left="3458" w:right="0" w:firstLine="0"/>
        <w:jc w:val="left"/>
        <w:rPr>
          <w:sz w:val="16"/>
        </w:rPr>
      </w:pPr>
      <w:r>
        <w:rPr>
          <w:w w:val="107"/>
          <w:sz w:val="16"/>
        </w:rPr>
        <w:t>+</w:t>
      </w:r>
    </w:p>
    <w:p>
      <w:pPr>
        <w:spacing w:line="105" w:lineRule="exact" w:before="0"/>
        <w:ind w:left="3509" w:right="0" w:firstLine="0"/>
        <w:jc w:val="left"/>
        <w:rPr>
          <w:sz w:val="12"/>
        </w:rPr>
      </w:pPr>
      <w:r>
        <w:rPr/>
        <w:pict>
          <v:line style="position:absolute;mso-position-horizontal-relative:page;mso-position-vertical-relative:paragraph;z-index:16004096" from="41.721001pt,3.497815pt" to="46.053001pt,3.497815pt" stroked="true" strokeweight=".5pt" strokecolor="#000000">
            <v:stroke dashstyle="solid"/>
            <w10:wrap type="none"/>
          </v:line>
        </w:pict>
      </w:r>
      <w:r>
        <w:rPr>
          <w:w w:val="121"/>
          <w:sz w:val="12"/>
        </w:rPr>
        <w:t>0</w:t>
      </w:r>
    </w:p>
    <w:p>
      <w:pPr>
        <w:spacing w:line="160" w:lineRule="exact" w:before="0"/>
        <w:ind w:left="3460" w:right="0" w:firstLine="0"/>
        <w:jc w:val="left"/>
        <w:rPr>
          <w:sz w:val="16"/>
        </w:rPr>
      </w:pPr>
      <w:r>
        <w:rPr>
          <w:w w:val="117"/>
          <w:sz w:val="16"/>
        </w:rPr>
        <w:t>–</w:t>
      </w:r>
    </w:p>
    <w:p>
      <w:pPr>
        <w:spacing w:before="14"/>
        <w:ind w:left="0" w:right="143" w:firstLine="0"/>
        <w:jc w:val="right"/>
        <w:rPr>
          <w:sz w:val="12"/>
        </w:rPr>
      </w:pPr>
      <w:r>
        <w:rPr/>
        <w:pict>
          <v:line style="position:absolute;mso-position-horizontal-relative:page;mso-position-vertical-relative:paragraph;z-index:15999488" from="199.054001pt,4.676270pt" to="203.386001pt,4.676270pt" stroked="true" strokeweight=".5pt" strokecolor="#000000">
            <v:stroke dashstyle="solid"/>
            <w10:wrap type="none"/>
          </v:line>
        </w:pict>
      </w:r>
      <w:r>
        <w:rPr/>
        <w:pict>
          <v:line style="position:absolute;mso-position-horizontal-relative:page;mso-position-vertical-relative:paragraph;z-index:16005120" from="41.721001pt,4.676270pt" to="46.053001pt,4.676270pt" stroked="true" strokeweight=".5pt" strokecolor="#000000">
            <v:stroke dashstyle="solid"/>
            <w10:wrap type="none"/>
          </v:line>
        </w:pict>
      </w:r>
      <w:r>
        <w:rPr>
          <w:w w:val="121"/>
          <w:sz w:val="12"/>
        </w:rPr>
        <w:t>1</w:t>
      </w:r>
    </w:p>
    <w:p>
      <w:pPr>
        <w:tabs>
          <w:tab w:pos="3582" w:val="right" w:leader="none"/>
        </w:tabs>
        <w:spacing w:before="149"/>
        <w:ind w:left="841" w:right="0" w:firstLine="0"/>
        <w:jc w:val="left"/>
        <w:rPr>
          <w:sz w:val="12"/>
        </w:rPr>
      </w:pPr>
      <w:r>
        <w:rPr/>
        <w:pict>
          <v:line style="position:absolute;mso-position-horizontal-relative:page;mso-position-vertical-relative:paragraph;z-index:-23330816" from="199.054001pt,11.301208pt" to="203.386001pt,11.301208pt" stroked="true" strokeweight=".5pt" strokecolor="#000000">
            <v:stroke dashstyle="solid"/>
            <w10:wrap type="none"/>
          </v:line>
        </w:pict>
      </w:r>
      <w:r>
        <w:rPr/>
        <w:pict>
          <v:line style="position:absolute;mso-position-horizontal-relative:page;mso-position-vertical-relative:paragraph;z-index:16004608" from="41.721001pt,11.301208pt" to="46.053001pt,11.301208pt" stroked="true" strokeweight=".5pt" strokecolor="#000000">
            <v:stroke dashstyle="solid"/>
            <w10:wrap type="none"/>
          </v:line>
        </w:pict>
      </w:r>
      <w:r>
        <w:rPr>
          <w:w w:val="110"/>
          <w:sz w:val="12"/>
        </w:rPr>
        <w:t>Real</w:t>
      </w:r>
      <w:r>
        <w:rPr>
          <w:spacing w:val="-4"/>
          <w:w w:val="110"/>
          <w:sz w:val="12"/>
        </w:rPr>
        <w:t> </w:t>
      </w:r>
      <w:r>
        <w:rPr>
          <w:w w:val="110"/>
          <w:sz w:val="12"/>
        </w:rPr>
        <w:t>post-tax</w:t>
      </w:r>
      <w:r>
        <w:rPr>
          <w:spacing w:val="-4"/>
          <w:w w:val="110"/>
          <w:sz w:val="12"/>
        </w:rPr>
        <w:t> </w:t>
      </w:r>
      <w:r>
        <w:rPr>
          <w:w w:val="110"/>
          <w:sz w:val="12"/>
        </w:rPr>
        <w:t>income</w:t>
        <w:tab/>
      </w:r>
      <w:r>
        <w:rPr>
          <w:w w:val="110"/>
          <w:position w:val="3"/>
          <w:sz w:val="12"/>
        </w:rPr>
        <w:t>2</w:t>
      </w:r>
    </w:p>
    <w:p>
      <w:pPr>
        <w:spacing w:line="123" w:lineRule="exact" w:before="117"/>
        <w:ind w:left="3509" w:right="0" w:firstLine="0"/>
        <w:jc w:val="left"/>
        <w:rPr>
          <w:sz w:val="12"/>
        </w:rPr>
      </w:pPr>
      <w:r>
        <w:rPr/>
        <w:pict>
          <v:shape style="position:absolute;margin-left:50.346001pt;margin-top:4.387514pt;width:153.050pt;height:5.7pt;mso-position-horizontal-relative:page;mso-position-vertical-relative:paragraph;z-index:16000000" coordorigin="1007,88" coordsize="3061,114" path="m3981,197l4068,197m1007,197l3914,197m1012,88l1012,202m1409,134l1409,202m1819,88l1819,202m2017,134l2017,202m2624,88l2624,202m3217,134l3217,202m3824,134l3824,202m3427,88l3427,202m1212,134l1212,202m1619,134l1619,202m2217,134l2217,202m2412,134l2412,202m2824,134l2824,202m3019,134l3019,202m3627,134l3627,202e" filled="false" stroked="true" strokeweight=".5pt" strokecolor="#000000">
            <v:path arrowok="t"/>
            <v:stroke dashstyle="solid"/>
            <w10:wrap type="none"/>
          </v:shape>
        </w:pict>
      </w:r>
      <w:r>
        <w:rPr/>
        <w:pict>
          <v:line style="position:absolute;mso-position-horizontal-relative:page;mso-position-vertical-relative:paragraph;z-index:16005632" from="41.721001pt,9.826513pt" to="46.053001pt,9.826513pt" stroked="true" strokeweight=".5pt" strokecolor="#000000">
            <v:stroke dashstyle="solid"/>
            <w10:wrap type="none"/>
          </v:line>
        </w:pict>
      </w:r>
      <w:r>
        <w:rPr>
          <w:w w:val="121"/>
          <w:sz w:val="12"/>
        </w:rPr>
        <w:t>3</w:t>
      </w:r>
    </w:p>
    <w:p>
      <w:pPr>
        <w:tabs>
          <w:tab w:pos="1019" w:val="left" w:leader="none"/>
          <w:tab w:pos="1824" w:val="left" w:leader="none"/>
          <w:tab w:pos="2466" w:val="left" w:leader="none"/>
        </w:tabs>
        <w:spacing w:line="123" w:lineRule="exact" w:before="0"/>
        <w:ind w:left="132" w:right="0" w:firstLine="0"/>
        <w:jc w:val="center"/>
        <w:rPr>
          <w:sz w:val="12"/>
        </w:rPr>
      </w:pPr>
      <w:r>
        <w:rPr>
          <w:w w:val="120"/>
          <w:sz w:val="12"/>
        </w:rPr>
        <w:t>1997</w:t>
        <w:tab/>
        <w:t>98</w:t>
        <w:tab/>
        <w:t>99</w:t>
        <w:tab/>
        <w:t>2000</w:t>
      </w:r>
    </w:p>
    <w:p>
      <w:pPr>
        <w:pStyle w:val="BodyText"/>
        <w:spacing w:before="3"/>
        <w:rPr>
          <w:sz w:val="11"/>
        </w:rPr>
      </w:pPr>
    </w:p>
    <w:p>
      <w:pPr>
        <w:spacing w:before="0"/>
        <w:ind w:left="168" w:right="0" w:firstLine="0"/>
        <w:jc w:val="left"/>
        <w:rPr>
          <w:sz w:val="12"/>
        </w:rPr>
      </w:pPr>
      <w:r>
        <w:rPr>
          <w:w w:val="110"/>
          <w:sz w:val="12"/>
        </w:rPr>
        <w:t>(a) Deflated by the household consumption deflator.</w:t>
      </w:r>
    </w:p>
    <w:p>
      <w:pPr>
        <w:pStyle w:val="BodyText"/>
        <w:rPr>
          <w:sz w:val="12"/>
        </w:rPr>
      </w:pPr>
    </w:p>
    <w:p>
      <w:pPr>
        <w:pStyle w:val="BodyText"/>
        <w:spacing w:before="5"/>
        <w:rPr>
          <w:sz w:val="16"/>
        </w:rPr>
      </w:pPr>
    </w:p>
    <w:p>
      <w:pPr>
        <w:pStyle w:val="Heading6"/>
        <w:spacing w:before="1"/>
        <w:ind w:left="199"/>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2.10</w:t>
      </w:r>
    </w:p>
    <w:p>
      <w:pPr>
        <w:spacing w:before="7"/>
        <w:ind w:left="199" w:right="0" w:firstLine="0"/>
        <w:jc w:val="left"/>
        <w:rPr>
          <w:sz w:val="12"/>
        </w:rPr>
      </w:pPr>
      <w:r>
        <w:rPr>
          <w:rFonts w:ascii="Trebuchet MS"/>
          <w:b/>
          <w:color w:val="89C6DC"/>
          <w:sz w:val="20"/>
        </w:rPr>
        <w:t>Household assets and liabilities</w:t>
      </w:r>
      <w:r>
        <w:rPr>
          <w:position w:val="4"/>
          <w:sz w:val="12"/>
        </w:rPr>
        <w:t>(a)</w:t>
      </w:r>
    </w:p>
    <w:p>
      <w:pPr>
        <w:spacing w:line="130" w:lineRule="exact" w:before="52"/>
        <w:ind w:left="1728" w:right="0" w:firstLine="0"/>
        <w:jc w:val="left"/>
        <w:rPr>
          <w:sz w:val="12"/>
        </w:rPr>
      </w:pPr>
      <w:r>
        <w:rPr>
          <w:w w:val="110"/>
          <w:sz w:val="12"/>
        </w:rPr>
        <w:t>Ratios</w:t>
      </w:r>
      <w:r>
        <w:rPr>
          <w:spacing w:val="-11"/>
          <w:w w:val="110"/>
          <w:sz w:val="12"/>
        </w:rPr>
        <w:t> </w:t>
      </w:r>
      <w:r>
        <w:rPr>
          <w:w w:val="110"/>
          <w:sz w:val="12"/>
        </w:rPr>
        <w:t>to</w:t>
      </w:r>
      <w:r>
        <w:rPr>
          <w:spacing w:val="-11"/>
          <w:w w:val="110"/>
          <w:sz w:val="12"/>
        </w:rPr>
        <w:t> </w:t>
      </w:r>
      <w:r>
        <w:rPr>
          <w:w w:val="110"/>
          <w:sz w:val="12"/>
        </w:rPr>
        <w:t>annual</w:t>
      </w:r>
      <w:r>
        <w:rPr>
          <w:spacing w:val="-10"/>
          <w:w w:val="110"/>
          <w:sz w:val="12"/>
        </w:rPr>
        <w:t> </w:t>
      </w:r>
      <w:r>
        <w:rPr>
          <w:w w:val="110"/>
          <w:sz w:val="12"/>
        </w:rPr>
        <w:t>post-tax</w:t>
      </w:r>
      <w:r>
        <w:rPr>
          <w:spacing w:val="-11"/>
          <w:w w:val="110"/>
          <w:sz w:val="12"/>
        </w:rPr>
        <w:t> </w:t>
      </w:r>
      <w:r>
        <w:rPr>
          <w:w w:val="110"/>
          <w:sz w:val="12"/>
        </w:rPr>
        <w:t>income</w:t>
      </w:r>
    </w:p>
    <w:p>
      <w:pPr>
        <w:spacing w:line="130" w:lineRule="exact" w:before="0"/>
        <w:ind w:left="3497" w:right="0" w:firstLine="0"/>
        <w:jc w:val="left"/>
        <w:rPr>
          <w:sz w:val="12"/>
        </w:rPr>
      </w:pPr>
      <w:r>
        <w:rPr/>
        <w:pict>
          <v:group style="position:absolute;margin-left:42.851002pt;margin-top:2.582505pt;width:152.5pt;height:89.35pt;mso-position-horizontal-relative:page;mso-position-vertical-relative:paragraph;z-index:15989248" coordorigin="857,52" coordsize="3050,1787">
            <v:shape style="position:absolute;left:1019;top:834;width:2878;height:980" coordorigin="1020,834" coordsize="2878,980" path="m1020,1812l1055,1814,1055,1813,1062,1809,1078,1803,1095,1797,1102,1794,1137,1797,1137,1795,1142,1789,1153,1776,1164,1763,1170,1757,1217,1702,1252,1684,1287,1687,1287,1685,1294,1682,1310,1676,1325,1669,1332,1667,1367,1629,1415,1612,1450,1629,1485,1612,1530,1594,1565,1577,1600,1557,1647,1539,1682,1504,1715,1467,1762,1449,1797,1432,1832,1377,1877,1304,1912,1269,1947,1197,1995,1069,2030,924,2065,887,2110,869,2145,834,2192,852,2262,1032,2307,1069,2342,1104,2377,1159,2422,1214,2492,1249,2540,1304,2575,1359,2610,1412,2655,1467,2725,1507,2725,1505,2732,1505,2748,1505,2765,1506,2772,1505,2772,1504,2807,1522,2852,1539,2887,1557,2922,1559,2922,1558,2929,1558,2945,1558,2960,1558,2967,1558,2972,1563,2985,1576,2997,1588,3002,1594,3037,1612,3085,1629,3120,1649,3155,1667,3181,1668,3194,1669,3199,1669,3200,1668,3200,1667,3235,1669,3235,1668,3240,1661,3252,1648,3264,1635,3270,1629,3297,1631,3311,1631,3316,1631,3317,1630,3317,1629,3352,1612,3385,1594,3412,1596,3426,1596,3431,1596,3432,1595,3432,1594,3467,1597,3467,1595,3472,1586,3485,1567,3497,1548,3502,1539,3547,1467,3582,1432,3609,1433,3624,1434,3629,1434,3630,1433,3635,1426,3647,1413,3659,1400,3665,1394,3700,1359,3745,1304,3780,1287,3815,1249,3862,1177,3897,1142e" filled="false" stroked="true" strokeweight="1pt" strokecolor="#f6bd61">
              <v:path arrowok="t"/>
              <v:stroke dashstyle="solid"/>
            </v:shape>
            <v:shape style="position:absolute;left:1019;top:71;width:2878;height:1685" coordorigin="1020,72" coordsize="2878,1685" path="m1020,1757l1055,1739,1102,1702,1137,1649,1170,1612,1217,1539,1252,1557,1287,1539,1332,1484,1367,1539,1415,1484,1450,1432,1485,1412,1530,1449,1565,1432,1600,1359,1647,1232,1682,1234,1682,1233,1687,1244,1698,1268,1709,1293,1715,1304,1762,1197,1797,1069,1832,907,1877,869,1912,1159,1947,1052,1995,1014,2030,1052,2065,1124,2110,907,2145,909,2145,908,2152,910,2168,916,2185,921,2192,924,2227,979,2262,1032,2307,979,2342,1159,2377,1142,2422,997,2457,1014,2492,979,2540,1069,2575,1104,2610,1107,2610,1105,2617,1102,2632,1096,2647,1089,2655,1087,2690,997,2725,979,2772,942,2807,869,2852,762,2887,852,2922,887,2948,888,2961,889,2966,889,2967,888,2967,887,3002,889,3002,888,3002,887,3037,869,3085,852,3120,779,3155,724,3181,726,3194,726,3199,726,3200,725,3200,724,3235,707,3270,689,3297,691,3311,691,3316,691,3317,690,3322,675,3335,643,3347,611,3352,597,3385,507,3432,379,3467,417,3502,272,3547,254,3582,507,3630,327,3665,182,3700,184,3700,183,3707,199,3722,236,3737,272,3745,289,3780,72,3815,217,3862,234,3897,254e" filled="false" stroked="true" strokeweight="1pt" strokecolor="#835335">
              <v:path arrowok="t"/>
              <v:stroke dashstyle="solid"/>
            </v:shape>
            <v:shape style="position:absolute;left:857;top:56;width:87;height:1720" coordorigin="857,57" coordsize="87,1720" path="m857,637l944,637m857,1217l944,1217m857,1777l944,1777m857,57l944,57e" filled="false" stroked="true" strokeweight=".5pt" strokecolor="#000000">
              <v:path arrowok="t"/>
              <v:stroke dashstyle="solid"/>
            </v:shape>
            <v:shape style="position:absolute;left:2167;top:358;width:1163;height:121" type="#_x0000_t202" filled="false" stroked="false">
              <v:textbox inset="0,0,0,0">
                <w:txbxContent>
                  <w:p>
                    <w:pPr>
                      <w:spacing w:line="115" w:lineRule="exact" w:before="0"/>
                      <w:ind w:left="0" w:right="0" w:firstLine="0"/>
                      <w:jc w:val="left"/>
                      <w:rPr>
                        <w:sz w:val="12"/>
                      </w:rPr>
                    </w:pPr>
                    <w:r>
                      <w:rPr>
                        <w:w w:val="105"/>
                        <w:sz w:val="12"/>
                      </w:rPr>
                      <w:t>Gross financial wealth</w:t>
                    </w:r>
                  </w:p>
                </w:txbxContent>
              </v:textbox>
              <w10:wrap type="none"/>
            </v:shape>
            <v:shape style="position:absolute;left:2552;top:1717;width:1129;height:121" type="#_x0000_t202" filled="false" stroked="false">
              <v:textbox inset="0,0,0,0">
                <w:txbxContent>
                  <w:p>
                    <w:pPr>
                      <w:spacing w:line="115" w:lineRule="exact" w:before="0"/>
                      <w:ind w:left="0" w:right="0" w:firstLine="0"/>
                      <w:jc w:val="left"/>
                      <w:rPr>
                        <w:sz w:val="12"/>
                      </w:rPr>
                    </w:pPr>
                    <w:r>
                      <w:rPr>
                        <w:w w:val="105"/>
                        <w:sz w:val="12"/>
                      </w:rPr>
                      <w:t>Gross housing wealth</w:t>
                    </w:r>
                  </w:p>
                </w:txbxContent>
              </v:textbox>
              <w10:wrap type="none"/>
            </v:shape>
            <w10:wrap type="none"/>
          </v:group>
        </w:pict>
      </w:r>
      <w:r>
        <w:rPr/>
        <w:pict>
          <v:line style="position:absolute;mso-position-horizontal-relative:page;mso-position-vertical-relative:paragraph;z-index:15993344" from="199.591995pt,2.832505pt" to="203.925995pt,2.832505pt" stroked="true" strokeweight=".5pt" strokecolor="#000000">
            <v:stroke dashstyle="solid"/>
            <w10:wrap type="none"/>
          </v:line>
        </w:pict>
      </w:r>
      <w:r>
        <w:rPr>
          <w:w w:val="121"/>
          <w:sz w:val="12"/>
        </w:rPr>
        <w:t>5</w:t>
      </w:r>
    </w:p>
    <w:p>
      <w:pPr>
        <w:pStyle w:val="BodyText"/>
        <w:rPr>
          <w:sz w:val="12"/>
        </w:rPr>
      </w:pPr>
    </w:p>
    <w:p>
      <w:pPr>
        <w:pStyle w:val="BodyText"/>
        <w:rPr>
          <w:sz w:val="12"/>
        </w:rPr>
      </w:pPr>
    </w:p>
    <w:p>
      <w:pPr>
        <w:pStyle w:val="BodyText"/>
        <w:rPr>
          <w:sz w:val="15"/>
        </w:rPr>
      </w:pPr>
    </w:p>
    <w:p>
      <w:pPr>
        <w:spacing w:before="0"/>
        <w:ind w:left="0" w:right="156" w:firstLine="0"/>
        <w:jc w:val="right"/>
        <w:rPr>
          <w:sz w:val="12"/>
        </w:rPr>
      </w:pPr>
      <w:r>
        <w:rPr/>
        <w:pict>
          <v:line style="position:absolute;mso-position-horizontal-relative:page;mso-position-vertical-relative:paragraph;z-index:15990784" from="199.591995pt,2.893174pt" to="203.925995pt,2.893174pt" stroked="true" strokeweight=".5pt" strokecolor="#000000">
            <v:stroke dashstyle="solid"/>
            <w10:wrap type="none"/>
          </v:line>
        </w:pict>
      </w:r>
      <w:r>
        <w:rPr>
          <w:w w:val="121"/>
          <w:sz w:val="12"/>
        </w:rPr>
        <w:t>4</w:t>
      </w:r>
    </w:p>
    <w:p>
      <w:pPr>
        <w:pStyle w:val="BodyText"/>
        <w:rPr>
          <w:sz w:val="12"/>
        </w:rPr>
      </w:pPr>
    </w:p>
    <w:p>
      <w:pPr>
        <w:pStyle w:val="BodyText"/>
        <w:rPr>
          <w:sz w:val="12"/>
        </w:rPr>
      </w:pPr>
    </w:p>
    <w:p>
      <w:pPr>
        <w:pStyle w:val="BodyText"/>
        <w:spacing w:before="8"/>
        <w:rPr>
          <w:sz w:val="12"/>
        </w:rPr>
      </w:pPr>
    </w:p>
    <w:p>
      <w:pPr>
        <w:spacing w:before="0"/>
        <w:ind w:left="0" w:right="156" w:firstLine="0"/>
        <w:jc w:val="right"/>
        <w:rPr>
          <w:sz w:val="12"/>
        </w:rPr>
      </w:pPr>
      <w:r>
        <w:rPr/>
        <w:pict>
          <v:line style="position:absolute;mso-position-horizontal-relative:page;mso-position-vertical-relative:paragraph;z-index:15991296" from="199.591995pt,3.89296pt" to="203.925995pt,3.89296pt" stroked="true" strokeweight=".5pt" strokecolor="#000000">
            <v:stroke dashstyle="solid"/>
            <w10:wrap type="none"/>
          </v:line>
        </w:pict>
      </w:r>
      <w:r>
        <w:rPr>
          <w:w w:val="121"/>
          <w:sz w:val="12"/>
        </w:rPr>
        <w:t>3</w:t>
      </w:r>
    </w:p>
    <w:p>
      <w:pPr>
        <w:pStyle w:val="BodyText"/>
        <w:rPr>
          <w:sz w:val="12"/>
        </w:rPr>
      </w:pPr>
    </w:p>
    <w:p>
      <w:pPr>
        <w:pStyle w:val="BodyText"/>
        <w:rPr>
          <w:sz w:val="12"/>
        </w:rPr>
      </w:pPr>
    </w:p>
    <w:p>
      <w:pPr>
        <w:pStyle w:val="BodyText"/>
        <w:spacing w:before="3"/>
        <w:rPr>
          <w:sz w:val="13"/>
        </w:rPr>
      </w:pPr>
    </w:p>
    <w:p>
      <w:pPr>
        <w:spacing w:before="0"/>
        <w:ind w:left="0" w:right="156" w:firstLine="0"/>
        <w:jc w:val="right"/>
        <w:rPr>
          <w:sz w:val="12"/>
        </w:rPr>
      </w:pPr>
      <w:r>
        <w:rPr/>
        <w:pict>
          <v:line style="position:absolute;mso-position-horizontal-relative:page;mso-position-vertical-relative:paragraph;z-index:15991808" from="199.591995pt,3.601151pt" to="203.925995pt,3.601151pt" stroked="true" strokeweight=".5pt" strokecolor="#000000">
            <v:stroke dashstyle="solid"/>
            <w10:wrap type="none"/>
          </v:line>
        </w:pict>
      </w:r>
      <w:r>
        <w:rPr>
          <w:w w:val="121"/>
          <w:sz w:val="12"/>
        </w:rPr>
        <w:t>2</w:t>
      </w:r>
    </w:p>
    <w:p>
      <w:pPr>
        <w:pStyle w:val="BodyText"/>
        <w:rPr>
          <w:sz w:val="12"/>
        </w:rPr>
      </w:pPr>
    </w:p>
    <w:p>
      <w:pPr>
        <w:pStyle w:val="BodyText"/>
        <w:rPr>
          <w:sz w:val="12"/>
        </w:rPr>
      </w:pPr>
    </w:p>
    <w:p>
      <w:pPr>
        <w:pStyle w:val="BodyText"/>
        <w:spacing w:before="5"/>
        <w:rPr>
          <w:sz w:val="14"/>
        </w:rPr>
      </w:pPr>
    </w:p>
    <w:p>
      <w:pPr>
        <w:spacing w:before="0"/>
        <w:ind w:left="0" w:right="156" w:firstLine="0"/>
        <w:jc w:val="right"/>
        <w:rPr>
          <w:sz w:val="12"/>
        </w:rPr>
      </w:pPr>
      <w:r>
        <w:rPr/>
        <w:pict>
          <v:group style="position:absolute;margin-left:42.851002pt;margin-top:-1.523635pt;width:152.5pt;height:17.4pt;mso-position-horizontal-relative:page;mso-position-vertical-relative:paragraph;z-index:15990272" coordorigin="857,-30" coordsize="3050,348">
            <v:shape style="position:absolute;left:1019;top:-21;width:2878;height:328" coordorigin="1020,-20" coordsize="2878,328" path="m1020,307l1055,287,1082,288,1096,289,1101,289,1102,288,1102,287,1137,270,1170,252,1197,253,1211,254,1216,254,1217,253,1217,252,1252,235,1287,237,1287,236,1294,235,1310,236,1325,236,1332,236,1415,197,1450,200,1450,198,1450,197,1485,200,1485,198,1492,195,1507,188,1522,182,1530,180,1565,182,1565,181,1565,180,1600,162,1627,163,1641,164,1646,164,1647,163,1647,162,1682,165,1682,163,1682,162,1715,142,1762,125,1797,127,1797,126,1797,125,1832,107,1877,90,1912,92,1912,91,1917,87,1930,80,1942,73,1947,70,1995,52,2030,55,2030,53,2030,52,2065,35,2091,36,2104,37,2109,36,2110,36,2110,35,2145,37,2145,36,2152,32,2168,26,2185,20,2192,17,2227,20,2227,18,2227,17,2262,20,2262,18,2269,18,2285,18,2300,19,2307,18,2307,17,2342,20,2342,18,2342,17,2377,20,2377,18,2384,18,2400,18,2415,19,2422,18,2422,17,2457,20,2457,18,2457,17,2492,20,2492,18,2499,18,2516,18,2532,19,2540,18,2540,17,2575,20,2575,18,2575,17,2610,35,2636,36,2649,37,2654,36,2655,36,2655,35,2690,37,2690,36,2690,35,2725,37,2725,36,2732,38,2748,43,2765,49,2772,52,2807,55,2807,53,2814,53,2830,53,2845,54,2852,53,2852,52,2887,55,2887,53,2887,52,2922,55,2922,53,2929,53,2945,53,2960,54,2967,53,2967,52,3002,35,3037,52,3064,53,3079,54,3084,54,3085,53,3085,52,3120,55,3120,53,3120,52,3155,55,3155,53,3162,53,3177,53,3192,54,3200,53,3200,52,3235,55,3235,53,3235,52,3270,55,3270,53,3277,53,3293,53,3310,54,3317,53,3317,52,3352,55,3352,53,3352,52,3385,55,3385,53,3392,53,3408,53,3425,54,3432,53,3432,52,3467,55,3467,53,3467,52,3502,55,3502,53,3509,53,3525,53,3540,54,3547,53,3547,52,3582,35,3609,36,3624,37,3629,36,3630,36,3630,35,3665,17,3700,35,3745,17,3780,20,3780,18,3780,17,3815,20,3815,18,3822,14,3838,7,3855,0,3862,-3,3897,-20e" filled="false" stroked="true" strokeweight="1pt" strokecolor="#006caa">
              <v:path arrowok="t"/>
              <v:stroke dashstyle="solid"/>
            </v:shape>
            <v:line style="position:absolute" from="857,72" to="944,72" stroked="true" strokeweight=".5pt" strokecolor="#000000">
              <v:stroke dashstyle="solid"/>
            </v:line>
            <v:shape style="position:absolute;left:857;top:-31;width:3050;height:348" type="#_x0000_t202" filled="false" stroked="false">
              <v:textbox inset="0,0,0,0">
                <w:txbxContent>
                  <w:p>
                    <w:pPr>
                      <w:spacing w:line="240" w:lineRule="auto" w:before="7"/>
                      <w:rPr>
                        <w:sz w:val="12"/>
                      </w:rPr>
                    </w:pPr>
                  </w:p>
                  <w:p>
                    <w:pPr>
                      <w:spacing w:before="0"/>
                      <w:ind w:left="1487" w:right="0" w:firstLine="0"/>
                      <w:jc w:val="left"/>
                      <w:rPr>
                        <w:sz w:val="12"/>
                      </w:rPr>
                    </w:pPr>
                    <w:r>
                      <w:rPr>
                        <w:w w:val="110"/>
                        <w:sz w:val="12"/>
                      </w:rPr>
                      <w:t>Household debt</w:t>
                    </w:r>
                  </w:p>
                </w:txbxContent>
              </v:textbox>
              <w10:wrap type="none"/>
            </v:shape>
            <w10:wrap type="none"/>
          </v:group>
        </w:pict>
      </w:r>
      <w:r>
        <w:rPr/>
        <w:pict>
          <v:line style="position:absolute;mso-position-horizontal-relative:page;mso-position-vertical-relative:paragraph;z-index:15992320" from="199.591995pt,3.601365pt" to="203.925995pt,3.601365pt" stroked="true" strokeweight=".5pt" strokecolor="#000000">
            <v:stroke dashstyle="solid"/>
            <w10:wrap type="none"/>
          </v:line>
        </w:pict>
      </w:r>
      <w:r>
        <w:rPr>
          <w:w w:val="121"/>
          <w:sz w:val="12"/>
        </w:rPr>
        <w:t>1</w:t>
      </w:r>
    </w:p>
    <w:p>
      <w:pPr>
        <w:pStyle w:val="BodyText"/>
        <w:rPr>
          <w:sz w:val="12"/>
        </w:rPr>
      </w:pPr>
    </w:p>
    <w:p>
      <w:pPr>
        <w:pStyle w:val="BodyText"/>
        <w:rPr>
          <w:sz w:val="12"/>
        </w:rPr>
      </w:pPr>
    </w:p>
    <w:p>
      <w:pPr>
        <w:pStyle w:val="BodyText"/>
        <w:spacing w:before="5"/>
        <w:rPr>
          <w:sz w:val="14"/>
        </w:rPr>
      </w:pPr>
    </w:p>
    <w:p>
      <w:pPr>
        <w:spacing w:line="119" w:lineRule="exact" w:before="0"/>
        <w:ind w:left="3497" w:right="0" w:firstLine="0"/>
        <w:jc w:val="left"/>
        <w:rPr>
          <w:sz w:val="12"/>
        </w:rPr>
      </w:pPr>
      <w:r>
        <w:rPr/>
        <w:pict>
          <v:line style="position:absolute;mso-position-horizontal-relative:page;mso-position-vertical-relative:paragraph;z-index:15992832" from="199.591995pt,3.601548pt" to="203.925995pt,3.601548pt" stroked="true" strokeweight=".5pt" strokecolor="#000000">
            <v:stroke dashstyle="solid"/>
            <w10:wrap type="none"/>
          </v:line>
        </w:pict>
      </w:r>
      <w:r>
        <w:rPr/>
        <w:pict>
          <v:shape style="position:absolute;margin-left:50.893002pt;margin-top:.498548pt;width:144.4pt;height:3.4pt;mso-position-horizontal-relative:page;mso-position-vertical-relative:paragraph;z-index:15993856" coordorigin="1018,10" coordsize="2888,68" path="m1018,72l3905,72m1023,10l1023,77m1332,10l1332,77m1647,10l1647,77m1947,10l1947,77m2262,10l2262,77m2887,10l2887,77m3502,10l3502,77m3815,10l3815,77m2575,10l2575,77m3200,10l3200,77m1170,10l1170,77m1485,10l1485,77m1797,10l1797,77m2110,10l2110,77m2422,10l2422,77m3037,10l3037,77m3665,10l3665,77m2725,10l2725,77m3352,10l3352,77e" filled="false" stroked="true" strokeweight=".5pt" strokecolor="#000000">
            <v:path arrowok="t"/>
            <v:stroke dashstyle="solid"/>
            <w10:wrap type="none"/>
          </v:shape>
        </w:pict>
      </w:r>
      <w:r>
        <w:rPr/>
        <w:pict>
          <v:line style="position:absolute;mso-position-horizontal-relative:page;mso-position-vertical-relative:paragraph;z-index:15994368" from="42.851002pt,3.601548pt" to="47.183002pt,3.601548pt" stroked="true" strokeweight=".5pt" strokecolor="#000000">
            <v:stroke dashstyle="solid"/>
            <w10:wrap type="none"/>
          </v:line>
        </w:pict>
      </w:r>
      <w:r>
        <w:rPr>
          <w:w w:val="121"/>
          <w:sz w:val="12"/>
        </w:rPr>
        <w:t>0</w:t>
      </w:r>
    </w:p>
    <w:p>
      <w:pPr>
        <w:tabs>
          <w:tab w:pos="856" w:val="left" w:leader="none"/>
          <w:tab w:pos="1321" w:val="left" w:leader="none"/>
          <w:tab w:pos="1796" w:val="left" w:leader="none"/>
          <w:tab w:pos="2259" w:val="left" w:leader="none"/>
          <w:tab w:pos="2724" w:val="left" w:leader="none"/>
          <w:tab w:pos="3124" w:val="left" w:leader="none"/>
        </w:tabs>
        <w:spacing w:line="119" w:lineRule="exact" w:before="0"/>
        <w:ind w:left="314" w:right="0" w:firstLine="0"/>
        <w:jc w:val="left"/>
        <w:rPr>
          <w:sz w:val="12"/>
        </w:rPr>
      </w:pPr>
      <w:r>
        <w:rPr>
          <w:w w:val="120"/>
          <w:sz w:val="12"/>
        </w:rPr>
        <w:t>1982</w:t>
        <w:tab/>
        <w:t>85</w:t>
        <w:tab/>
        <w:t>88</w:t>
        <w:tab/>
        <w:t>91</w:t>
        <w:tab/>
        <w:t>94</w:t>
        <w:tab/>
        <w:t>97</w:t>
        <w:tab/>
        <w:t>2000</w:t>
      </w:r>
    </w:p>
    <w:p>
      <w:pPr>
        <w:pStyle w:val="BodyText"/>
        <w:spacing w:before="4"/>
        <w:rPr>
          <w:sz w:val="14"/>
        </w:rPr>
      </w:pPr>
    </w:p>
    <w:p>
      <w:pPr>
        <w:spacing w:before="0"/>
        <w:ind w:left="179" w:right="0" w:firstLine="0"/>
        <w:jc w:val="left"/>
        <w:rPr>
          <w:sz w:val="12"/>
        </w:rPr>
      </w:pPr>
      <w:r>
        <w:rPr>
          <w:w w:val="105"/>
          <w:sz w:val="12"/>
        </w:rPr>
        <w:t>Sources: ONS and Bank of England.</w:t>
      </w:r>
    </w:p>
    <w:p>
      <w:pPr>
        <w:spacing w:before="102"/>
        <w:ind w:left="179" w:right="0" w:firstLine="0"/>
        <w:jc w:val="left"/>
        <w:rPr>
          <w:sz w:val="12"/>
        </w:rPr>
      </w:pPr>
      <w:r>
        <w:rPr>
          <w:w w:val="110"/>
          <w:sz w:val="12"/>
        </w:rPr>
        <w:t>(a) Using a four-quarter moving sum of income.</w:t>
      </w:r>
    </w:p>
    <w:p>
      <w:pPr>
        <w:pStyle w:val="BodyText"/>
        <w:rPr>
          <w:sz w:val="12"/>
        </w:rPr>
      </w:pPr>
    </w:p>
    <w:p>
      <w:pPr>
        <w:pStyle w:val="BodyText"/>
        <w:spacing w:before="8"/>
        <w:rPr>
          <w:sz w:val="16"/>
        </w:rPr>
      </w:pPr>
    </w:p>
    <w:p>
      <w:pPr>
        <w:pStyle w:val="Heading6"/>
        <w:ind w:left="173"/>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2.11</w:t>
      </w:r>
    </w:p>
    <w:p>
      <w:pPr>
        <w:spacing w:line="247" w:lineRule="auto" w:before="8"/>
        <w:ind w:left="173" w:right="659" w:firstLine="0"/>
        <w:jc w:val="left"/>
        <w:rPr>
          <w:rFonts w:ascii="Trebuchet MS"/>
          <w:b/>
          <w:sz w:val="20"/>
        </w:rPr>
      </w:pPr>
      <w:r>
        <w:rPr>
          <w:rFonts w:ascii="Trebuchet MS"/>
          <w:b/>
          <w:color w:val="89C6DC"/>
          <w:w w:val="95"/>
          <w:sz w:val="20"/>
        </w:rPr>
        <w:t>Household sector saving and net </w:t>
      </w:r>
      <w:r>
        <w:rPr>
          <w:rFonts w:ascii="Trebuchet MS"/>
          <w:b/>
          <w:color w:val="89C6DC"/>
          <w:sz w:val="20"/>
        </w:rPr>
        <w:t>wealth to income ratios</w:t>
      </w:r>
    </w:p>
    <w:p>
      <w:pPr>
        <w:spacing w:line="136" w:lineRule="exact" w:before="85"/>
        <w:ind w:left="295" w:right="0" w:firstLine="0"/>
        <w:jc w:val="left"/>
        <w:rPr>
          <w:sz w:val="12"/>
        </w:rPr>
      </w:pPr>
      <w:r>
        <w:rPr>
          <w:w w:val="105"/>
          <w:sz w:val="12"/>
        </w:rPr>
        <w:t>Ratio (a)</w:t>
      </w:r>
    </w:p>
    <w:p>
      <w:pPr>
        <w:tabs>
          <w:tab w:pos="3075" w:val="left" w:leader="none"/>
        </w:tabs>
        <w:spacing w:line="120" w:lineRule="exact" w:before="0"/>
        <w:ind w:left="295" w:right="0" w:firstLine="0"/>
        <w:jc w:val="left"/>
        <w:rPr>
          <w:sz w:val="12"/>
        </w:rPr>
      </w:pPr>
      <w:r>
        <w:rPr>
          <w:w w:val="110"/>
          <w:sz w:val="12"/>
        </w:rPr>
        <w:t>(inverted</w:t>
      </w:r>
      <w:r>
        <w:rPr>
          <w:spacing w:val="-10"/>
          <w:w w:val="110"/>
          <w:sz w:val="12"/>
        </w:rPr>
        <w:t> </w:t>
      </w:r>
      <w:r>
        <w:rPr>
          <w:w w:val="110"/>
          <w:sz w:val="12"/>
        </w:rPr>
        <w:t>scale)</w:t>
        <w:tab/>
        <w:t>Per</w:t>
      </w:r>
      <w:r>
        <w:rPr>
          <w:spacing w:val="-3"/>
          <w:w w:val="110"/>
          <w:sz w:val="12"/>
        </w:rPr>
        <w:t> </w:t>
      </w:r>
      <w:r>
        <w:rPr>
          <w:w w:val="110"/>
          <w:sz w:val="12"/>
        </w:rPr>
        <w:t>cent</w:t>
      </w:r>
    </w:p>
    <w:p>
      <w:pPr>
        <w:tabs>
          <w:tab w:pos="3542" w:val="left" w:leader="none"/>
        </w:tabs>
        <w:spacing w:line="123" w:lineRule="exact" w:before="0"/>
        <w:ind w:left="189" w:right="0" w:firstLine="0"/>
        <w:jc w:val="left"/>
        <w:rPr>
          <w:sz w:val="12"/>
        </w:rPr>
      </w:pPr>
      <w:r>
        <w:rPr/>
        <w:pict>
          <v:line style="position:absolute;mso-position-horizontal-relative:page;mso-position-vertical-relative:paragraph;z-index:-23321088" from="47.452999pt,2.588731pt" to="51.784999pt,2.588731pt" stroked="true" strokeweight=".5pt" strokecolor="#000000">
            <v:stroke dashstyle="solid"/>
            <w10:wrap type="none"/>
          </v:line>
        </w:pict>
      </w:r>
      <w:r>
        <w:rPr/>
        <w:pict>
          <v:line style="position:absolute;mso-position-horizontal-relative:page;mso-position-vertical-relative:paragraph;z-index:-23319552" from="203.119995pt,2.588731pt" to="207.453995pt,2.588731pt" stroked="true" strokeweight=".5pt" strokecolor="#000000">
            <v:stroke dashstyle="solid"/>
            <w10:wrap type="none"/>
          </v:line>
        </w:pict>
      </w:r>
      <w:r>
        <w:rPr>
          <w:w w:val="120"/>
          <w:sz w:val="12"/>
        </w:rPr>
        <w:t>2</w:t>
        <w:tab/>
        <w:t>14</w:t>
      </w:r>
    </w:p>
    <w:p>
      <w:pPr>
        <w:pStyle w:val="BodyText"/>
        <w:rPr>
          <w:sz w:val="12"/>
        </w:rPr>
      </w:pPr>
    </w:p>
    <w:p>
      <w:pPr>
        <w:spacing w:line="129" w:lineRule="exact" w:before="89"/>
        <w:ind w:left="815" w:right="0" w:firstLine="0"/>
        <w:jc w:val="left"/>
        <w:rPr>
          <w:sz w:val="12"/>
        </w:rPr>
      </w:pPr>
      <w:r>
        <w:rPr>
          <w:w w:val="110"/>
          <w:sz w:val="12"/>
        </w:rPr>
        <w:t>Net wealth-income ratio</w:t>
      </w:r>
    </w:p>
    <w:p>
      <w:pPr>
        <w:tabs>
          <w:tab w:pos="876" w:val="left" w:leader="none"/>
          <w:tab w:pos="3542" w:val="left" w:leader="none"/>
        </w:tabs>
        <w:spacing w:line="149" w:lineRule="exact" w:before="0"/>
        <w:ind w:left="189" w:right="0" w:firstLine="0"/>
        <w:jc w:val="left"/>
        <w:rPr>
          <w:sz w:val="12"/>
        </w:rPr>
      </w:pPr>
      <w:r>
        <w:rPr/>
        <w:pict>
          <v:group style="position:absolute;margin-left:47.452999pt;margin-top:7.652062pt;width:160.050pt;height:94.9pt;mso-position-horizontal-relative:page;mso-position-vertical-relative:paragraph;z-index:-23322624" coordorigin="949,153" coordsize="3201,1898">
            <v:shape style="position:absolute;left:1104;top:163;width:2883;height:1835" coordorigin="1105,163" coordsize="2883,1835" path="m1105,273l1142,256,1180,331,1217,478,1265,626,1302,773,1340,941,1377,943,1377,942,1383,935,1396,922,1409,909,1415,903,1452,941,1487,773,1537,608,1575,626,1612,496,1650,588,1687,738,1722,811,1772,941,1847,1126,1922,1386,1960,1498,1995,1591,2045,1701,2082,1776,2120,1906,2157,1978,2195,1961,2230,1998,2267,1756,2317,1591,2355,1406,2392,1256,2430,1218,2465,1163,2502,1033,2552,903,2590,773,2627,681,2665,608,2702,441,2737,331,2775,181,2825,163,2862,181,2900,273,2937,311,2972,403,3010,571,3047,608,3097,681,3135,588,3172,516,3207,478,3245,458,3282,461,3282,459,3288,462,3370,553,3407,663,3445,718,3480,663,3517,626,3555,681,3605,793,3642,1126,3680,1386,3715,1533,3752,1738,3790,1646,3827,1663,3877,1683,3915,1628,3950,1831,3987,1923e" filled="false" stroked="true" strokeweight="1pt" strokecolor="#de0035">
              <v:path arrowok="t"/>
              <v:stroke dashstyle="solid"/>
            </v:shape>
            <v:shape style="position:absolute;left:1104;top:218;width:2883;height:1613" coordorigin="1105,218" coordsize="2883,1613" path="m1105,218l1142,236,1180,273,1217,293,1265,348,1302,441,1340,443,1340,442,1346,444,1359,449,1372,455,1377,458,1415,516,1452,478,1487,533,1537,571,1575,588,1612,571,1650,588,1687,663,1722,773,1772,793,1810,756,1847,831,1885,978,1922,1146,1960,1218,1995,1016,2045,1146,2082,1276,2120,1348,2157,1311,2195,1516,2230,1533,2267,1478,2317,1368,2355,1256,2392,1258,2392,1257,2398,1230,2411,1173,2424,1116,2430,1091,2465,1053,2502,1126,2552,1091,2590,1108,2627,996,2665,923,2702,868,2737,848,2775,903,2804,904,2819,905,2824,905,2825,904,2831,909,2900,996,2937,1071,2972,996,3010,961,3047,941,3097,923,3135,926,3135,924,3135,923,3172,926,3172,924,3178,932,3190,951,3202,969,3207,978,3245,996,3282,998,3282,997,3288,1002,3301,1014,3314,1027,3320,1033,3370,1071,3407,1073,3407,1072,3413,1083,3445,1146,3480,1238,3517,1348,3555,1311,3605,1498,3642,1553,3680,1368,3715,1516,3752,1663,3790,1701,3827,1628,3877,1831,3915,1738,3950,1756,3987,1776e" filled="false" stroked="true" strokeweight="1pt" strokecolor="#610e7a">
              <v:path arrowok="t"/>
              <v:stroke dashstyle="solid"/>
            </v:shape>
            <v:shape style="position:absolute;left:949;top:190;width:3201;height:1773" coordorigin="949,191" coordsize="3201,1773" path="m949,536l1036,536m949,1018l1036,1018m949,1481l1036,1481m949,1963l1036,1963m4062,536l4149,536m4062,1018l4149,1018m4062,1481l4149,1481m4062,1963l4149,1963m1996,191l1996,851e" filled="false" stroked="true" strokeweight=".5pt" strokecolor="#000000">
              <v:path arrowok="t"/>
              <v:stroke dashstyle="solid"/>
            </v:shape>
            <v:shape style="position:absolute;left:1970;top:833;width:51;height:85" coordorigin="1970,834" coordsize="51,85" path="m2021,834l1970,834,1977,849,1981,862,1996,918,1997,910,1999,899,2002,887,2006,874,2010,863,2021,834xe" filled="true" fillcolor="#000000" stroked="false">
              <v:path arrowok="t"/>
              <v:fill type="solid"/>
            </v:shape>
            <v:shape style="position:absolute;left:2306;top:1790;width:1002;height:261" type="#_x0000_t202" filled="false" stroked="false">
              <v:textbox inset="0,0,0,0">
                <w:txbxContent>
                  <w:p>
                    <w:pPr>
                      <w:spacing w:line="115" w:lineRule="exact" w:before="0"/>
                      <w:ind w:left="0" w:right="0" w:firstLine="0"/>
                      <w:jc w:val="left"/>
                      <w:rPr>
                        <w:sz w:val="12"/>
                      </w:rPr>
                    </w:pPr>
                    <w:r>
                      <w:rPr>
                        <w:w w:val="105"/>
                        <w:sz w:val="12"/>
                      </w:rPr>
                      <w:t>Saving ratio (b)</w:t>
                    </w:r>
                  </w:p>
                  <w:p>
                    <w:pPr>
                      <w:spacing w:before="2"/>
                      <w:ind w:left="60" w:right="0" w:firstLine="0"/>
                      <w:jc w:val="left"/>
                      <w:rPr>
                        <w:sz w:val="12"/>
                      </w:rPr>
                    </w:pPr>
                    <w:r>
                      <w:rPr>
                        <w:w w:val="110"/>
                        <w:sz w:val="12"/>
                      </w:rPr>
                      <w:t>(right-hand scale)</w:t>
                    </w:r>
                  </w:p>
                </w:txbxContent>
              </v:textbox>
              <w10:wrap type="none"/>
            </v:shape>
            <w10:wrap type="none"/>
          </v:group>
        </w:pict>
      </w:r>
      <w:r>
        <w:rPr/>
        <w:pict>
          <v:line style="position:absolute;mso-position-horizontal-relative:page;mso-position-vertical-relative:paragraph;z-index:-23322112" from="47.452999pt,2.652062pt" to="51.784999pt,2.652062pt" stroked="true" strokeweight=".5pt" strokecolor="#000000">
            <v:stroke dashstyle="solid"/>
            <w10:wrap type="none"/>
          </v:line>
        </w:pict>
      </w:r>
      <w:r>
        <w:rPr/>
        <w:pict>
          <v:line style="position:absolute;mso-position-horizontal-relative:page;mso-position-vertical-relative:paragraph;z-index:-23320576" from="203.119995pt,2.652062pt" to="207.453995pt,2.652062pt" stroked="true" strokeweight=".5pt" strokecolor="#000000">
            <v:stroke dashstyle="solid"/>
            <w10:wrap type="none"/>
          </v:line>
        </w:pict>
      </w:r>
      <w:r>
        <w:rPr>
          <w:w w:val="115"/>
          <w:position w:val="2"/>
          <w:sz w:val="12"/>
        </w:rPr>
        <w:t>3</w:t>
        <w:tab/>
      </w:r>
      <w:r>
        <w:rPr>
          <w:w w:val="115"/>
          <w:sz w:val="12"/>
        </w:rPr>
        <w:t>(left-hand</w:t>
      </w:r>
      <w:r>
        <w:rPr>
          <w:spacing w:val="-21"/>
          <w:w w:val="115"/>
          <w:sz w:val="12"/>
        </w:rPr>
        <w:t> </w:t>
      </w:r>
      <w:r>
        <w:rPr>
          <w:w w:val="115"/>
          <w:sz w:val="12"/>
        </w:rPr>
        <w:t>scale)</w:t>
        <w:tab/>
      </w:r>
      <w:r>
        <w:rPr>
          <w:w w:val="115"/>
          <w:position w:val="2"/>
          <w:sz w:val="12"/>
        </w:rPr>
        <w:t>12</w:t>
      </w:r>
    </w:p>
    <w:p>
      <w:pPr>
        <w:pStyle w:val="BodyText"/>
        <w:rPr>
          <w:sz w:val="14"/>
        </w:rPr>
      </w:pPr>
    </w:p>
    <w:p>
      <w:pPr>
        <w:pStyle w:val="BodyText"/>
        <w:rPr>
          <w:sz w:val="14"/>
        </w:rPr>
      </w:pPr>
    </w:p>
    <w:p>
      <w:pPr>
        <w:tabs>
          <w:tab w:pos="3542" w:val="left" w:leader="none"/>
        </w:tabs>
        <w:spacing w:before="1"/>
        <w:ind w:left="189" w:right="0" w:firstLine="0"/>
        <w:jc w:val="left"/>
        <w:rPr>
          <w:sz w:val="12"/>
        </w:rPr>
      </w:pPr>
      <w:r>
        <w:rPr>
          <w:w w:val="120"/>
          <w:sz w:val="12"/>
        </w:rPr>
        <w:t>4</w:t>
        <w:tab/>
        <w:t>10</w:t>
      </w:r>
    </w:p>
    <w:p>
      <w:pPr>
        <w:pStyle w:val="BodyText"/>
        <w:rPr>
          <w:sz w:val="12"/>
        </w:rPr>
      </w:pPr>
    </w:p>
    <w:p>
      <w:pPr>
        <w:pStyle w:val="BodyText"/>
        <w:spacing w:before="7"/>
        <w:rPr>
          <w:sz w:val="17"/>
        </w:rPr>
      </w:pPr>
    </w:p>
    <w:p>
      <w:pPr>
        <w:tabs>
          <w:tab w:pos="3615" w:val="left" w:leader="none"/>
        </w:tabs>
        <w:spacing w:before="0"/>
        <w:ind w:left="189" w:right="0" w:firstLine="0"/>
        <w:jc w:val="left"/>
        <w:rPr>
          <w:sz w:val="12"/>
        </w:rPr>
      </w:pPr>
      <w:r>
        <w:rPr>
          <w:w w:val="120"/>
          <w:sz w:val="12"/>
        </w:rPr>
        <w:t>5</w:t>
        <w:tab/>
        <w:t>8</w:t>
      </w:r>
    </w:p>
    <w:p>
      <w:pPr>
        <w:pStyle w:val="BodyText"/>
        <w:rPr>
          <w:sz w:val="12"/>
        </w:rPr>
      </w:pPr>
    </w:p>
    <w:p>
      <w:pPr>
        <w:pStyle w:val="BodyText"/>
        <w:spacing w:before="3"/>
        <w:rPr>
          <w:sz w:val="16"/>
        </w:rPr>
      </w:pPr>
    </w:p>
    <w:p>
      <w:pPr>
        <w:tabs>
          <w:tab w:pos="3615" w:val="left" w:leader="none"/>
        </w:tabs>
        <w:spacing w:before="0"/>
        <w:ind w:left="189" w:right="0" w:firstLine="0"/>
        <w:jc w:val="left"/>
        <w:rPr>
          <w:sz w:val="12"/>
        </w:rPr>
      </w:pPr>
      <w:r>
        <w:rPr>
          <w:w w:val="120"/>
          <w:sz w:val="12"/>
        </w:rPr>
        <w:t>6</w:t>
        <w:tab/>
        <w:t>6</w:t>
      </w:r>
    </w:p>
    <w:p>
      <w:pPr>
        <w:pStyle w:val="BodyText"/>
        <w:rPr>
          <w:sz w:val="12"/>
        </w:rPr>
      </w:pPr>
    </w:p>
    <w:p>
      <w:pPr>
        <w:pStyle w:val="BodyText"/>
        <w:spacing w:before="11"/>
        <w:rPr>
          <w:sz w:val="17"/>
        </w:rPr>
      </w:pPr>
    </w:p>
    <w:p>
      <w:pPr>
        <w:tabs>
          <w:tab w:pos="3615" w:val="left" w:leader="none"/>
        </w:tabs>
        <w:spacing w:before="0"/>
        <w:ind w:left="189" w:right="0" w:firstLine="0"/>
        <w:jc w:val="left"/>
        <w:rPr>
          <w:sz w:val="12"/>
        </w:rPr>
      </w:pPr>
      <w:r>
        <w:rPr>
          <w:w w:val="120"/>
          <w:sz w:val="12"/>
        </w:rPr>
        <w:t>7</w:t>
        <w:tab/>
        <w:t>4</w:t>
      </w:r>
    </w:p>
    <w:p>
      <w:pPr>
        <w:pStyle w:val="BodyText"/>
        <w:rPr>
          <w:sz w:val="12"/>
        </w:rPr>
      </w:pPr>
    </w:p>
    <w:p>
      <w:pPr>
        <w:pStyle w:val="BodyText"/>
        <w:spacing w:before="11"/>
        <w:rPr>
          <w:sz w:val="17"/>
        </w:rPr>
      </w:pPr>
    </w:p>
    <w:p>
      <w:pPr>
        <w:tabs>
          <w:tab w:pos="3575" w:val="left" w:leader="none"/>
        </w:tabs>
        <w:spacing w:line="116" w:lineRule="exact" w:before="0"/>
        <w:ind w:left="149" w:right="0" w:firstLine="0"/>
        <w:jc w:val="center"/>
        <w:rPr>
          <w:sz w:val="12"/>
        </w:rPr>
      </w:pPr>
      <w:r>
        <w:rPr/>
        <w:pict>
          <v:shape style="position:absolute;margin-left:47.452999pt;margin-top:.244907pt;width:151.950pt;height:3.4pt;mso-position-horizontal-relative:page;mso-position-vertical-relative:paragraph;z-index:-23321600" coordorigin="949,5" coordsize="3039,68" path="m949,67l1036,67m1102,67l3987,67m1109,5l1109,72m1421,5l1421,72m1722,5l1722,72m2045,5l2045,72m2355,5l2355,72m2665,5l2665,72m3282,5l3282,72m3915,5l3915,72m2972,5l2972,72m3605,5l3605,72m1265,5l1265,72m1577,5l1577,72m1885,5l1885,72m2195,5l2195,72m2502,5l2502,72m2825,5l2825,72m3445,5l3445,72m3135,5l3135,72m3752,5l3752,72e" filled="false" stroked="true" strokeweight=".5pt" strokecolor="#000000">
            <v:path arrowok="t"/>
            <v:stroke dashstyle="solid"/>
            <w10:wrap type="none"/>
          </v:shape>
        </w:pict>
      </w:r>
      <w:r>
        <w:rPr/>
        <w:pict>
          <v:line style="position:absolute;mso-position-horizontal-relative:page;mso-position-vertical-relative:paragraph;z-index:-23320064" from="203.119995pt,3.350907pt" to="207.453995pt,3.350907pt" stroked="true" strokeweight=".5pt" strokecolor="#000000">
            <v:stroke dashstyle="solid"/>
            <w10:wrap type="none"/>
          </v:line>
        </w:pict>
      </w:r>
      <w:r>
        <w:rPr>
          <w:w w:val="120"/>
          <w:sz w:val="12"/>
        </w:rPr>
        <w:t>8</w:t>
        <w:tab/>
        <w:t>2</w:t>
      </w:r>
    </w:p>
    <w:p>
      <w:pPr>
        <w:tabs>
          <w:tab w:pos="720" w:val="left" w:leader="none"/>
          <w:tab w:pos="1190" w:val="left" w:leader="none"/>
          <w:tab w:pos="1648" w:val="left" w:leader="none"/>
          <w:tab w:pos="2118" w:val="left" w:leader="none"/>
          <w:tab w:pos="2588" w:val="left" w:leader="none"/>
          <w:tab w:pos="2983" w:val="left" w:leader="none"/>
        </w:tabs>
        <w:spacing w:line="116" w:lineRule="exact" w:before="0"/>
        <w:ind w:left="170" w:right="0" w:firstLine="0"/>
        <w:jc w:val="center"/>
        <w:rPr>
          <w:sz w:val="12"/>
        </w:rPr>
      </w:pPr>
      <w:r>
        <w:rPr>
          <w:w w:val="120"/>
          <w:sz w:val="12"/>
        </w:rPr>
        <w:t>1982</w:t>
        <w:tab/>
        <w:t>85</w:t>
        <w:tab/>
        <w:t>88</w:t>
        <w:tab/>
        <w:t>91</w:t>
        <w:tab/>
        <w:t>94</w:t>
        <w:tab/>
        <w:t>97</w:t>
        <w:tab/>
        <w:t>2000</w:t>
      </w:r>
    </w:p>
    <w:p>
      <w:pPr>
        <w:pStyle w:val="BodyText"/>
        <w:spacing w:before="8"/>
        <w:rPr>
          <w:sz w:val="11"/>
        </w:rPr>
      </w:pPr>
    </w:p>
    <w:p>
      <w:pPr>
        <w:spacing w:before="0"/>
        <w:ind w:left="173" w:right="0" w:firstLine="0"/>
        <w:jc w:val="left"/>
        <w:rPr>
          <w:sz w:val="12"/>
        </w:rPr>
      </w:pPr>
      <w:r>
        <w:rPr>
          <w:w w:val="105"/>
          <w:sz w:val="12"/>
        </w:rPr>
        <w:t>Sources: ONS and Bank of England.</w:t>
      </w:r>
    </w:p>
    <w:p>
      <w:pPr>
        <w:pStyle w:val="ListParagraph"/>
        <w:numPr>
          <w:ilvl w:val="0"/>
          <w:numId w:val="11"/>
        </w:numPr>
        <w:tabs>
          <w:tab w:pos="372" w:val="left" w:leader="none"/>
        </w:tabs>
        <w:spacing w:line="129" w:lineRule="exact" w:before="102" w:after="0"/>
        <w:ind w:left="371" w:right="0" w:hanging="199"/>
        <w:jc w:val="left"/>
        <w:rPr>
          <w:sz w:val="12"/>
        </w:rPr>
      </w:pPr>
      <w:r>
        <w:rPr>
          <w:w w:val="110"/>
          <w:sz w:val="12"/>
        </w:rPr>
        <w:t>Using</w:t>
      </w:r>
      <w:r>
        <w:rPr>
          <w:spacing w:val="-6"/>
          <w:w w:val="110"/>
          <w:sz w:val="12"/>
        </w:rPr>
        <w:t> </w:t>
      </w:r>
      <w:r>
        <w:rPr>
          <w:w w:val="110"/>
          <w:sz w:val="12"/>
        </w:rPr>
        <w:t>a</w:t>
      </w:r>
      <w:r>
        <w:rPr>
          <w:spacing w:val="-5"/>
          <w:w w:val="110"/>
          <w:sz w:val="12"/>
        </w:rPr>
        <w:t> </w:t>
      </w:r>
      <w:r>
        <w:rPr>
          <w:w w:val="110"/>
          <w:sz w:val="12"/>
        </w:rPr>
        <w:t>four-quarter</w:t>
      </w:r>
      <w:r>
        <w:rPr>
          <w:spacing w:val="-6"/>
          <w:w w:val="110"/>
          <w:sz w:val="12"/>
        </w:rPr>
        <w:t> </w:t>
      </w:r>
      <w:r>
        <w:rPr>
          <w:w w:val="110"/>
          <w:sz w:val="12"/>
        </w:rPr>
        <w:t>moving</w:t>
      </w:r>
      <w:r>
        <w:rPr>
          <w:spacing w:val="-5"/>
          <w:w w:val="110"/>
          <w:sz w:val="12"/>
        </w:rPr>
        <w:t> </w:t>
      </w:r>
      <w:r>
        <w:rPr>
          <w:w w:val="110"/>
          <w:sz w:val="12"/>
        </w:rPr>
        <w:t>sum</w:t>
      </w:r>
      <w:r>
        <w:rPr>
          <w:spacing w:val="-5"/>
          <w:w w:val="110"/>
          <w:sz w:val="12"/>
        </w:rPr>
        <w:t> </w:t>
      </w:r>
      <w:r>
        <w:rPr>
          <w:w w:val="110"/>
          <w:sz w:val="12"/>
        </w:rPr>
        <w:t>of</w:t>
      </w:r>
      <w:r>
        <w:rPr>
          <w:spacing w:val="-6"/>
          <w:w w:val="110"/>
          <w:sz w:val="12"/>
        </w:rPr>
        <w:t> </w:t>
      </w:r>
      <w:r>
        <w:rPr>
          <w:w w:val="110"/>
          <w:sz w:val="12"/>
        </w:rPr>
        <w:t>income.</w:t>
      </w:r>
    </w:p>
    <w:p>
      <w:pPr>
        <w:pStyle w:val="ListParagraph"/>
        <w:numPr>
          <w:ilvl w:val="0"/>
          <w:numId w:val="11"/>
        </w:numPr>
        <w:tabs>
          <w:tab w:pos="382" w:val="left" w:leader="none"/>
        </w:tabs>
        <w:spacing w:line="129" w:lineRule="exact" w:before="0" w:after="0"/>
        <w:ind w:left="381" w:right="0" w:hanging="209"/>
        <w:jc w:val="left"/>
        <w:rPr>
          <w:sz w:val="12"/>
        </w:rPr>
      </w:pPr>
      <w:r>
        <w:rPr>
          <w:spacing w:val="-3"/>
          <w:w w:val="105"/>
          <w:sz w:val="12"/>
        </w:rPr>
        <w:t>Four-quarter </w:t>
      </w:r>
      <w:r>
        <w:rPr>
          <w:w w:val="105"/>
          <w:sz w:val="12"/>
        </w:rPr>
        <w:t>moving average.</w:t>
      </w:r>
    </w:p>
    <w:p>
      <w:pPr>
        <w:pStyle w:val="BodyText"/>
        <w:spacing w:before="6"/>
        <w:rPr>
          <w:sz w:val="19"/>
        </w:rPr>
      </w:pPr>
      <w:r>
        <w:rPr/>
        <w:br w:type="column"/>
      </w:r>
      <w:r>
        <w:rPr>
          <w:sz w:val="19"/>
        </w:rPr>
      </w:r>
    </w:p>
    <w:p>
      <w:pPr>
        <w:pStyle w:val="BodyText"/>
        <w:spacing w:line="292" w:lineRule="auto" w:before="1"/>
        <w:ind w:left="168" w:right="164"/>
      </w:pPr>
      <w:r>
        <w:rPr>
          <w:w w:val="105"/>
        </w:rPr>
        <w:t>economic modelling it is often proxied by current real post-tax household income. Growth in real post-tax income has been volatile in recent quarters and, on average, much slower than consumption (see Chart 2.9). Forward-looking consumers will tend to smooth the impact of volatile current income on consumption by adjusting their saving or borrowing. And changes in current income would be a poor proxy for movements in human wealth if consumers believe that their incomes are likely to grow more quickly in the future because of an increase in productivity growth associated with</w:t>
      </w:r>
    </w:p>
    <w:p>
      <w:pPr>
        <w:pStyle w:val="BodyText"/>
        <w:spacing w:line="292" w:lineRule="auto"/>
        <w:ind w:left="168" w:right="145"/>
      </w:pPr>
      <w:r>
        <w:rPr>
          <w:w w:val="105"/>
        </w:rPr>
        <w:t>supply-side improvements in the </w:t>
      </w:r>
      <w:r>
        <w:rPr>
          <w:spacing w:val="-4"/>
          <w:w w:val="105"/>
        </w:rPr>
        <w:t>economy. </w:t>
      </w:r>
      <w:r>
        <w:rPr>
          <w:spacing w:val="-3"/>
          <w:w w:val="105"/>
        </w:rPr>
        <w:t>Alternatively, </w:t>
      </w:r>
      <w:r>
        <w:rPr>
          <w:w w:val="105"/>
        </w:rPr>
        <w:t>consumers could have become more certain about future  labour income, following persistent declines in unemployment, and so </w:t>
      </w:r>
      <w:r>
        <w:rPr>
          <w:spacing w:val="-3"/>
          <w:w w:val="105"/>
        </w:rPr>
        <w:t>have </w:t>
      </w:r>
      <w:r>
        <w:rPr>
          <w:w w:val="105"/>
        </w:rPr>
        <w:t>reduced the level of precautionary</w:t>
      </w:r>
      <w:r>
        <w:rPr>
          <w:spacing w:val="-2"/>
          <w:w w:val="105"/>
        </w:rPr>
        <w:t> </w:t>
      </w:r>
      <w:r>
        <w:rPr>
          <w:w w:val="105"/>
        </w:rPr>
        <w:t>saving.</w:t>
      </w:r>
    </w:p>
    <w:p>
      <w:pPr>
        <w:pStyle w:val="BodyText"/>
        <w:spacing w:before="1"/>
        <w:rPr>
          <w:sz w:val="27"/>
        </w:rPr>
      </w:pPr>
    </w:p>
    <w:p>
      <w:pPr>
        <w:pStyle w:val="BodyText"/>
        <w:spacing w:line="292" w:lineRule="auto"/>
        <w:ind w:left="168" w:right="142"/>
      </w:pPr>
      <w:r>
        <w:rPr>
          <w:w w:val="110"/>
        </w:rPr>
        <w:t>Household consumption should also be </w:t>
      </w:r>
      <w:r>
        <w:rPr>
          <w:spacing w:val="-3"/>
          <w:w w:val="110"/>
        </w:rPr>
        <w:t>related </w:t>
      </w:r>
      <w:r>
        <w:rPr>
          <w:spacing w:val="-4"/>
          <w:w w:val="110"/>
        </w:rPr>
        <w:t>to </w:t>
      </w:r>
      <w:r>
        <w:rPr>
          <w:w w:val="110"/>
        </w:rPr>
        <w:t>the </w:t>
      </w:r>
      <w:r>
        <w:rPr>
          <w:spacing w:val="-3"/>
          <w:w w:val="110"/>
        </w:rPr>
        <w:t>level </w:t>
      </w:r>
      <w:r>
        <w:rPr>
          <w:w w:val="110"/>
        </w:rPr>
        <w:t>of financial wealth. Higher </w:t>
      </w:r>
      <w:r>
        <w:rPr>
          <w:spacing w:val="-3"/>
          <w:w w:val="110"/>
        </w:rPr>
        <w:t>expected </w:t>
      </w:r>
      <w:r>
        <w:rPr>
          <w:w w:val="110"/>
        </w:rPr>
        <w:t>future growth in profits </w:t>
      </w:r>
      <w:r>
        <w:rPr>
          <w:spacing w:val="-3"/>
          <w:w w:val="110"/>
        </w:rPr>
        <w:t>related</w:t>
      </w:r>
      <w:r>
        <w:rPr>
          <w:spacing w:val="-22"/>
          <w:w w:val="110"/>
        </w:rPr>
        <w:t> </w:t>
      </w:r>
      <w:r>
        <w:rPr>
          <w:spacing w:val="-4"/>
          <w:w w:val="110"/>
        </w:rPr>
        <w:t>to</w:t>
      </w:r>
      <w:r>
        <w:rPr>
          <w:spacing w:val="-22"/>
          <w:w w:val="110"/>
        </w:rPr>
        <w:t> </w:t>
      </w:r>
      <w:r>
        <w:rPr>
          <w:w w:val="110"/>
        </w:rPr>
        <w:t>supply-side</w:t>
      </w:r>
      <w:r>
        <w:rPr>
          <w:spacing w:val="-21"/>
          <w:w w:val="110"/>
        </w:rPr>
        <w:t> </w:t>
      </w:r>
      <w:r>
        <w:rPr>
          <w:w w:val="110"/>
        </w:rPr>
        <w:t>improvements</w:t>
      </w:r>
      <w:r>
        <w:rPr>
          <w:spacing w:val="-22"/>
          <w:w w:val="110"/>
        </w:rPr>
        <w:t> </w:t>
      </w:r>
      <w:r>
        <w:rPr>
          <w:spacing w:val="-3"/>
          <w:w w:val="110"/>
        </w:rPr>
        <w:t>may</w:t>
      </w:r>
      <w:r>
        <w:rPr>
          <w:spacing w:val="-21"/>
          <w:w w:val="110"/>
        </w:rPr>
        <w:t> </w:t>
      </w:r>
      <w:r>
        <w:rPr>
          <w:spacing w:val="-3"/>
          <w:w w:val="110"/>
        </w:rPr>
        <w:t>have</w:t>
      </w:r>
      <w:r>
        <w:rPr>
          <w:spacing w:val="-22"/>
          <w:w w:val="110"/>
        </w:rPr>
        <w:t> </w:t>
      </w:r>
      <w:r>
        <w:rPr>
          <w:w w:val="110"/>
        </w:rPr>
        <w:t>been</w:t>
      </w:r>
      <w:r>
        <w:rPr>
          <w:spacing w:val="-21"/>
          <w:w w:val="110"/>
        </w:rPr>
        <w:t> </w:t>
      </w:r>
      <w:r>
        <w:rPr>
          <w:w w:val="110"/>
        </w:rPr>
        <w:t>one</w:t>
      </w:r>
      <w:r>
        <w:rPr>
          <w:spacing w:val="-22"/>
          <w:w w:val="110"/>
        </w:rPr>
        <w:t> </w:t>
      </w:r>
      <w:r>
        <w:rPr>
          <w:w w:val="110"/>
        </w:rPr>
        <w:t>factor supporting the sharp increase in financial wealth in recent </w:t>
      </w:r>
      <w:r>
        <w:rPr>
          <w:spacing w:val="-3"/>
          <w:w w:val="110"/>
        </w:rPr>
        <w:t>years. </w:t>
      </w:r>
      <w:r>
        <w:rPr>
          <w:w w:val="110"/>
        </w:rPr>
        <w:t>House price increases </w:t>
      </w:r>
      <w:r>
        <w:rPr>
          <w:spacing w:val="-3"/>
          <w:w w:val="110"/>
        </w:rPr>
        <w:t>have </w:t>
      </w:r>
      <w:r>
        <w:rPr>
          <w:w w:val="110"/>
        </w:rPr>
        <w:t>also boosted gross wealth relative </w:t>
      </w:r>
      <w:r>
        <w:rPr>
          <w:spacing w:val="-4"/>
          <w:w w:val="110"/>
        </w:rPr>
        <w:t>to </w:t>
      </w:r>
      <w:r>
        <w:rPr>
          <w:w w:val="110"/>
        </w:rPr>
        <w:t>household debt (see Chart </w:t>
      </w:r>
      <w:r>
        <w:rPr>
          <w:spacing w:val="-5"/>
          <w:w w:val="110"/>
        </w:rPr>
        <w:t>2.10). </w:t>
      </w:r>
      <w:r>
        <w:rPr>
          <w:w w:val="110"/>
        </w:rPr>
        <w:t>Chart </w:t>
      </w:r>
      <w:r>
        <w:rPr>
          <w:spacing w:val="-13"/>
          <w:w w:val="110"/>
        </w:rPr>
        <w:t>2.11 </w:t>
      </w:r>
      <w:r>
        <w:rPr>
          <w:w w:val="110"/>
        </w:rPr>
        <w:t>shows that the proportion of current income that consumers </w:t>
      </w:r>
      <w:r>
        <w:rPr>
          <w:spacing w:val="-3"/>
          <w:w w:val="110"/>
        </w:rPr>
        <w:t>save </w:t>
      </w:r>
      <w:r>
        <w:rPr>
          <w:w w:val="110"/>
        </w:rPr>
        <w:t>tends</w:t>
      </w:r>
      <w:r>
        <w:rPr>
          <w:spacing w:val="-14"/>
          <w:w w:val="110"/>
        </w:rPr>
        <w:t> </w:t>
      </w:r>
      <w:r>
        <w:rPr>
          <w:spacing w:val="-4"/>
          <w:w w:val="110"/>
        </w:rPr>
        <w:t>to</w:t>
      </w:r>
      <w:r>
        <w:rPr>
          <w:spacing w:val="-13"/>
          <w:w w:val="110"/>
        </w:rPr>
        <w:t> </w:t>
      </w:r>
      <w:r>
        <w:rPr>
          <w:w w:val="110"/>
        </w:rPr>
        <w:t>be</w:t>
      </w:r>
      <w:r>
        <w:rPr>
          <w:spacing w:val="-14"/>
          <w:w w:val="110"/>
        </w:rPr>
        <w:t> </w:t>
      </w:r>
      <w:r>
        <w:rPr>
          <w:w w:val="110"/>
        </w:rPr>
        <w:t>related</w:t>
      </w:r>
      <w:r>
        <w:rPr>
          <w:spacing w:val="-13"/>
          <w:w w:val="110"/>
        </w:rPr>
        <w:t> </w:t>
      </w:r>
      <w:r>
        <w:rPr>
          <w:spacing w:val="-4"/>
          <w:w w:val="110"/>
        </w:rPr>
        <w:t>to</w:t>
      </w:r>
      <w:r>
        <w:rPr>
          <w:spacing w:val="-14"/>
          <w:w w:val="110"/>
        </w:rPr>
        <w:t> </w:t>
      </w:r>
      <w:r>
        <w:rPr>
          <w:w w:val="110"/>
        </w:rPr>
        <w:t>the</w:t>
      </w:r>
      <w:r>
        <w:rPr>
          <w:spacing w:val="-13"/>
          <w:w w:val="110"/>
        </w:rPr>
        <w:t> </w:t>
      </w:r>
      <w:r>
        <w:rPr>
          <w:w w:val="110"/>
        </w:rPr>
        <w:t>level</w:t>
      </w:r>
      <w:r>
        <w:rPr>
          <w:spacing w:val="-14"/>
          <w:w w:val="110"/>
        </w:rPr>
        <w:t> </w:t>
      </w:r>
      <w:r>
        <w:rPr>
          <w:w w:val="110"/>
        </w:rPr>
        <w:t>of</w:t>
      </w:r>
      <w:r>
        <w:rPr>
          <w:spacing w:val="-13"/>
          <w:w w:val="110"/>
        </w:rPr>
        <w:t> </w:t>
      </w:r>
      <w:r>
        <w:rPr>
          <w:w w:val="110"/>
        </w:rPr>
        <w:t>net</w:t>
      </w:r>
      <w:r>
        <w:rPr>
          <w:spacing w:val="-14"/>
          <w:w w:val="110"/>
        </w:rPr>
        <w:t> </w:t>
      </w:r>
      <w:r>
        <w:rPr>
          <w:w w:val="110"/>
        </w:rPr>
        <w:t>wealth</w:t>
      </w:r>
      <w:r>
        <w:rPr>
          <w:spacing w:val="-13"/>
          <w:w w:val="110"/>
        </w:rPr>
        <w:t> </w:t>
      </w:r>
      <w:r>
        <w:rPr>
          <w:w w:val="110"/>
        </w:rPr>
        <w:t>relative</w:t>
      </w:r>
      <w:r>
        <w:rPr>
          <w:spacing w:val="-14"/>
          <w:w w:val="110"/>
        </w:rPr>
        <w:t> </w:t>
      </w:r>
      <w:r>
        <w:rPr>
          <w:spacing w:val="-4"/>
          <w:w w:val="110"/>
        </w:rPr>
        <w:t>to</w:t>
      </w:r>
      <w:r>
        <w:rPr>
          <w:spacing w:val="-13"/>
          <w:w w:val="110"/>
        </w:rPr>
        <w:t> </w:t>
      </w:r>
      <w:r>
        <w:rPr>
          <w:w w:val="110"/>
        </w:rPr>
        <w:t>income. It could be that changes in wealth are exerting a more powerful or more rapid effect on consumption than in the past, for example because it is easier </w:t>
      </w:r>
      <w:r>
        <w:rPr>
          <w:spacing w:val="-4"/>
          <w:w w:val="110"/>
        </w:rPr>
        <w:t>to </w:t>
      </w:r>
      <w:r>
        <w:rPr>
          <w:spacing w:val="-2"/>
          <w:w w:val="110"/>
        </w:rPr>
        <w:t>borrow </w:t>
      </w:r>
      <w:r>
        <w:rPr>
          <w:w w:val="110"/>
        </w:rPr>
        <w:t>against housing</w:t>
      </w:r>
      <w:r>
        <w:rPr>
          <w:spacing w:val="-13"/>
          <w:w w:val="110"/>
        </w:rPr>
        <w:t> </w:t>
      </w:r>
      <w:r>
        <w:rPr>
          <w:w w:val="110"/>
        </w:rPr>
        <w:t>wealth</w:t>
      </w:r>
      <w:r>
        <w:rPr>
          <w:spacing w:val="-13"/>
          <w:w w:val="110"/>
        </w:rPr>
        <w:t> </w:t>
      </w:r>
      <w:r>
        <w:rPr>
          <w:w w:val="110"/>
        </w:rPr>
        <w:t>following</w:t>
      </w:r>
      <w:r>
        <w:rPr>
          <w:spacing w:val="-13"/>
          <w:w w:val="110"/>
        </w:rPr>
        <w:t> </w:t>
      </w:r>
      <w:r>
        <w:rPr>
          <w:w w:val="110"/>
        </w:rPr>
        <w:t>innovations</w:t>
      </w:r>
      <w:r>
        <w:rPr>
          <w:spacing w:val="-13"/>
          <w:w w:val="110"/>
        </w:rPr>
        <w:t> </w:t>
      </w:r>
      <w:r>
        <w:rPr>
          <w:w w:val="110"/>
        </w:rPr>
        <w:t>in</w:t>
      </w:r>
      <w:r>
        <w:rPr>
          <w:spacing w:val="-13"/>
          <w:w w:val="110"/>
        </w:rPr>
        <w:t> </w:t>
      </w:r>
      <w:r>
        <w:rPr>
          <w:w w:val="110"/>
        </w:rPr>
        <w:t>the</w:t>
      </w:r>
      <w:r>
        <w:rPr>
          <w:spacing w:val="-13"/>
          <w:w w:val="110"/>
        </w:rPr>
        <w:t> </w:t>
      </w:r>
      <w:r>
        <w:rPr>
          <w:w w:val="110"/>
        </w:rPr>
        <w:t>mortgage</w:t>
      </w:r>
    </w:p>
    <w:p>
      <w:pPr>
        <w:pStyle w:val="BodyText"/>
        <w:spacing w:line="223" w:lineRule="exact"/>
        <w:ind w:left="168"/>
      </w:pPr>
      <w:r>
        <w:rPr>
          <w:w w:val="105"/>
        </w:rPr>
        <w:t>market.</w:t>
      </w:r>
    </w:p>
    <w:p>
      <w:pPr>
        <w:pStyle w:val="BodyText"/>
      </w:pPr>
    </w:p>
    <w:p>
      <w:pPr>
        <w:pStyle w:val="BodyText"/>
        <w:spacing w:line="292" w:lineRule="auto" w:before="160"/>
        <w:ind w:left="168" w:right="296"/>
      </w:pPr>
      <w:r>
        <w:rPr>
          <w:w w:val="110"/>
        </w:rPr>
        <w:t>Households’ observable wealth has changed little since the end of </w:t>
      </w:r>
      <w:r>
        <w:rPr>
          <w:spacing w:val="-15"/>
          <w:w w:val="110"/>
        </w:rPr>
        <w:t>1999 </w:t>
      </w:r>
      <w:r>
        <w:rPr>
          <w:w w:val="110"/>
        </w:rPr>
        <w:t>as increases in house prices </w:t>
      </w:r>
      <w:r>
        <w:rPr>
          <w:spacing w:val="-3"/>
          <w:w w:val="110"/>
        </w:rPr>
        <w:t>have </w:t>
      </w:r>
      <w:r>
        <w:rPr>
          <w:w w:val="110"/>
        </w:rPr>
        <w:t>been offset </w:t>
      </w:r>
      <w:r>
        <w:rPr>
          <w:spacing w:val="-3"/>
          <w:w w:val="110"/>
        </w:rPr>
        <w:t>by lower </w:t>
      </w:r>
      <w:r>
        <w:rPr>
          <w:w w:val="110"/>
        </w:rPr>
        <w:t>financial asset prices. </w:t>
      </w:r>
      <w:r>
        <w:rPr>
          <w:spacing w:val="-4"/>
          <w:w w:val="110"/>
        </w:rPr>
        <w:t>Weaker </w:t>
      </w:r>
      <w:r>
        <w:rPr>
          <w:w w:val="110"/>
        </w:rPr>
        <w:t>share prices </w:t>
      </w:r>
      <w:r>
        <w:rPr>
          <w:spacing w:val="-3"/>
          <w:w w:val="110"/>
        </w:rPr>
        <w:t>were </w:t>
      </w:r>
      <w:r>
        <w:rPr>
          <w:w w:val="110"/>
        </w:rPr>
        <w:t>associated with a moderation in aggregate measures of consumer confidence during </w:t>
      </w:r>
      <w:r>
        <w:rPr>
          <w:spacing w:val="-4"/>
          <w:w w:val="110"/>
        </w:rPr>
        <w:t>2000 </w:t>
      </w:r>
      <w:r>
        <w:rPr>
          <w:w w:val="110"/>
        </w:rPr>
        <w:t>(see Chart </w:t>
      </w:r>
      <w:r>
        <w:rPr>
          <w:spacing w:val="-5"/>
          <w:w w:val="110"/>
        </w:rPr>
        <w:t>2.12), </w:t>
      </w:r>
      <w:r>
        <w:rPr>
          <w:w w:val="110"/>
        </w:rPr>
        <w:t>but confidence rebounded sharply in January this </w:t>
      </w:r>
      <w:r>
        <w:rPr>
          <w:spacing w:val="-4"/>
          <w:w w:val="110"/>
        </w:rPr>
        <w:t>year.</w:t>
      </w:r>
    </w:p>
    <w:p>
      <w:pPr>
        <w:pStyle w:val="BodyText"/>
        <w:spacing w:line="292" w:lineRule="auto"/>
        <w:ind w:left="168" w:right="164"/>
      </w:pPr>
      <w:r>
        <w:rPr>
          <w:w w:val="110"/>
        </w:rPr>
        <w:t>Aggregate measures of consumer confidence mask quite different expectations </w:t>
      </w:r>
      <w:r>
        <w:rPr>
          <w:spacing w:val="-3"/>
          <w:w w:val="110"/>
        </w:rPr>
        <w:t>by </w:t>
      </w:r>
      <w:r>
        <w:rPr>
          <w:w w:val="110"/>
        </w:rPr>
        <w:t>households of their own financial situation</w:t>
      </w:r>
      <w:r>
        <w:rPr>
          <w:spacing w:val="-21"/>
          <w:w w:val="110"/>
        </w:rPr>
        <w:t> </w:t>
      </w:r>
      <w:r>
        <w:rPr>
          <w:w w:val="110"/>
        </w:rPr>
        <w:t>relative</w:t>
      </w:r>
      <w:r>
        <w:rPr>
          <w:spacing w:val="-20"/>
          <w:w w:val="110"/>
        </w:rPr>
        <w:t> </w:t>
      </w:r>
      <w:r>
        <w:rPr>
          <w:spacing w:val="-4"/>
          <w:w w:val="110"/>
        </w:rPr>
        <w:t>to</w:t>
      </w:r>
      <w:r>
        <w:rPr>
          <w:spacing w:val="-20"/>
          <w:w w:val="110"/>
        </w:rPr>
        <w:t> </w:t>
      </w:r>
      <w:r>
        <w:rPr>
          <w:w w:val="110"/>
        </w:rPr>
        <w:t>their</w:t>
      </w:r>
      <w:r>
        <w:rPr>
          <w:spacing w:val="-20"/>
          <w:w w:val="110"/>
        </w:rPr>
        <w:t> </w:t>
      </w:r>
      <w:r>
        <w:rPr>
          <w:w w:val="110"/>
        </w:rPr>
        <w:t>view</w:t>
      </w:r>
      <w:r>
        <w:rPr>
          <w:spacing w:val="-21"/>
          <w:w w:val="110"/>
        </w:rPr>
        <w:t> </w:t>
      </w:r>
      <w:r>
        <w:rPr>
          <w:w w:val="110"/>
        </w:rPr>
        <w:t>of</w:t>
      </w:r>
      <w:r>
        <w:rPr>
          <w:spacing w:val="-20"/>
          <w:w w:val="110"/>
        </w:rPr>
        <w:t> </w:t>
      </w:r>
      <w:r>
        <w:rPr>
          <w:w w:val="110"/>
        </w:rPr>
        <w:t>prospects</w:t>
      </w:r>
      <w:r>
        <w:rPr>
          <w:spacing w:val="-20"/>
          <w:w w:val="110"/>
        </w:rPr>
        <w:t> </w:t>
      </w:r>
      <w:r>
        <w:rPr>
          <w:w w:val="110"/>
        </w:rPr>
        <w:t>for</w:t>
      </w:r>
      <w:r>
        <w:rPr>
          <w:spacing w:val="-20"/>
          <w:w w:val="110"/>
        </w:rPr>
        <w:t> </w:t>
      </w:r>
      <w:r>
        <w:rPr>
          <w:w w:val="110"/>
        </w:rPr>
        <w:t>the</w:t>
      </w:r>
      <w:r>
        <w:rPr>
          <w:spacing w:val="-21"/>
          <w:w w:val="110"/>
        </w:rPr>
        <w:t> </w:t>
      </w:r>
      <w:r>
        <w:rPr>
          <w:w w:val="110"/>
        </w:rPr>
        <w:t>economy</w:t>
      </w:r>
      <w:r>
        <w:rPr>
          <w:spacing w:val="-20"/>
          <w:w w:val="110"/>
        </w:rPr>
        <w:t> </w:t>
      </w:r>
      <w:r>
        <w:rPr>
          <w:w w:val="110"/>
        </w:rPr>
        <w:t>as a whole. As shown in Chart </w:t>
      </w:r>
      <w:r>
        <w:rPr>
          <w:spacing w:val="-9"/>
          <w:w w:val="110"/>
        </w:rPr>
        <w:t>2.13, </w:t>
      </w:r>
      <w:r>
        <w:rPr>
          <w:w w:val="110"/>
        </w:rPr>
        <w:t>consumers remain very optimistic about their own financial situation </w:t>
      </w:r>
      <w:r>
        <w:rPr>
          <w:spacing w:val="-3"/>
          <w:w w:val="110"/>
        </w:rPr>
        <w:t>over </w:t>
      </w:r>
      <w:r>
        <w:rPr>
          <w:w w:val="110"/>
        </w:rPr>
        <w:t>the next </w:t>
      </w:r>
      <w:r>
        <w:rPr>
          <w:spacing w:val="-4"/>
          <w:w w:val="110"/>
        </w:rPr>
        <w:t>twelve </w:t>
      </w:r>
      <w:r>
        <w:rPr>
          <w:w w:val="110"/>
        </w:rPr>
        <w:t>months, which is </w:t>
      </w:r>
      <w:r>
        <w:rPr>
          <w:spacing w:val="-3"/>
          <w:w w:val="110"/>
        </w:rPr>
        <w:t>corroborated by </w:t>
      </w:r>
      <w:r>
        <w:rPr>
          <w:w w:val="110"/>
        </w:rPr>
        <w:t>robust credit demand.</w:t>
      </w:r>
    </w:p>
    <w:p>
      <w:pPr>
        <w:pStyle w:val="BodyText"/>
        <w:spacing w:before="10"/>
        <w:rPr>
          <w:sz w:val="28"/>
        </w:rPr>
      </w:pPr>
    </w:p>
    <w:p>
      <w:pPr>
        <w:pStyle w:val="BodyText"/>
        <w:spacing w:line="292" w:lineRule="auto" w:before="1"/>
        <w:ind w:left="168" w:right="98"/>
      </w:pPr>
      <w:r>
        <w:rPr>
          <w:w w:val="110"/>
        </w:rPr>
        <w:t>Given the </w:t>
      </w:r>
      <w:r>
        <w:rPr>
          <w:spacing w:val="-3"/>
          <w:w w:val="110"/>
        </w:rPr>
        <w:t>stronger-than-projected </w:t>
      </w:r>
      <w:r>
        <w:rPr>
          <w:w w:val="110"/>
        </w:rPr>
        <w:t>outturns for consumption during </w:t>
      </w:r>
      <w:r>
        <w:rPr>
          <w:spacing w:val="-4"/>
          <w:w w:val="110"/>
        </w:rPr>
        <w:t>2000, </w:t>
      </w:r>
      <w:r>
        <w:rPr>
          <w:w w:val="110"/>
        </w:rPr>
        <w:t>and the resilience of households’ confidence in their own financial situation, the MPC has revised up its projections relative </w:t>
      </w:r>
      <w:r>
        <w:rPr>
          <w:spacing w:val="-4"/>
          <w:w w:val="110"/>
        </w:rPr>
        <w:t>to </w:t>
      </w:r>
      <w:r>
        <w:rPr>
          <w:w w:val="110"/>
        </w:rPr>
        <w:t>the November </w:t>
      </w:r>
      <w:r>
        <w:rPr>
          <w:i/>
          <w:w w:val="110"/>
        </w:rPr>
        <w:t>Report</w:t>
      </w:r>
      <w:r>
        <w:rPr>
          <w:w w:val="110"/>
        </w:rPr>
        <w:t>. But the MPC continues </w:t>
      </w:r>
      <w:r>
        <w:rPr>
          <w:spacing w:val="-4"/>
          <w:w w:val="110"/>
        </w:rPr>
        <w:t>to </w:t>
      </w:r>
      <w:r>
        <w:rPr>
          <w:w w:val="110"/>
        </w:rPr>
        <w:t>expect consumption growth </w:t>
      </w:r>
      <w:r>
        <w:rPr>
          <w:spacing w:val="-4"/>
          <w:w w:val="110"/>
        </w:rPr>
        <w:t>to </w:t>
      </w:r>
      <w:r>
        <w:rPr>
          <w:w w:val="110"/>
        </w:rPr>
        <w:t>moderate </w:t>
      </w:r>
      <w:r>
        <w:rPr>
          <w:spacing w:val="-3"/>
          <w:w w:val="110"/>
        </w:rPr>
        <w:t>over </w:t>
      </w:r>
      <w:r>
        <w:rPr>
          <w:w w:val="110"/>
        </w:rPr>
        <w:t>the forecast period as the impetus from wealth gains fades and labour income growth slows, and the balance of risks is thought </w:t>
      </w:r>
      <w:r>
        <w:rPr>
          <w:spacing w:val="-4"/>
          <w:w w:val="110"/>
        </w:rPr>
        <w:t>to </w:t>
      </w:r>
      <w:r>
        <w:rPr>
          <w:w w:val="110"/>
        </w:rPr>
        <w:t>be on the downside.</w:t>
      </w:r>
    </w:p>
    <w:p>
      <w:pPr>
        <w:spacing w:after="0" w:line="292" w:lineRule="auto"/>
        <w:sectPr>
          <w:type w:val="continuous"/>
          <w:pgSz w:w="11900" w:h="16840"/>
          <w:pgMar w:top="1260" w:bottom="280" w:left="640" w:right="640"/>
          <w:cols w:num="2" w:equalWidth="0">
            <w:col w:w="3729" w:space="1206"/>
            <w:col w:w="5685"/>
          </w:cols>
        </w:sectPr>
      </w:pPr>
    </w:p>
    <w:p>
      <w:pPr>
        <w:pStyle w:val="BodyText"/>
      </w:pPr>
    </w:p>
    <w:p>
      <w:pPr>
        <w:spacing w:after="0"/>
        <w:sectPr>
          <w:pgSz w:w="11900" w:h="16840"/>
          <w:pgMar w:header="601" w:footer="575" w:top="800" w:bottom="760" w:left="640" w:right="640"/>
        </w:sectPr>
      </w:pPr>
    </w:p>
    <w:p>
      <w:pPr>
        <w:pStyle w:val="BodyText"/>
        <w:spacing w:before="8"/>
        <w:rPr>
          <w:sz w:val="22"/>
        </w:rPr>
      </w:pPr>
    </w:p>
    <w:p>
      <w:pPr>
        <w:pStyle w:val="Heading6"/>
        <w:spacing w:before="1"/>
        <w:ind w:left="186"/>
      </w:pPr>
      <w:bookmarkStart w:name="Private sector investment" w:id="50"/>
      <w:bookmarkEnd w:id="50"/>
      <w:r>
        <w:rPr>
          <w:b w:val="0"/>
        </w:rPr>
      </w:r>
      <w:bookmarkStart w:name="_bookmark24" w:id="51"/>
      <w:bookmarkEnd w:id="51"/>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2.12</w:t>
      </w:r>
    </w:p>
    <w:p>
      <w:pPr>
        <w:spacing w:line="226" w:lineRule="exact" w:before="7"/>
        <w:ind w:left="186" w:right="0" w:firstLine="0"/>
        <w:jc w:val="left"/>
        <w:rPr>
          <w:rFonts w:ascii="Trebuchet MS"/>
          <w:b/>
          <w:sz w:val="20"/>
        </w:rPr>
      </w:pPr>
      <w:r>
        <w:rPr>
          <w:rFonts w:ascii="Trebuchet MS"/>
          <w:b/>
          <w:color w:val="89C6DC"/>
          <w:w w:val="95"/>
          <w:sz w:val="20"/>
        </w:rPr>
        <w:t>UK</w:t>
      </w:r>
      <w:r>
        <w:rPr>
          <w:rFonts w:ascii="Trebuchet MS"/>
          <w:b/>
          <w:color w:val="89C6DC"/>
          <w:spacing w:val="-26"/>
          <w:w w:val="95"/>
          <w:sz w:val="20"/>
        </w:rPr>
        <w:t> </w:t>
      </w:r>
      <w:r>
        <w:rPr>
          <w:rFonts w:ascii="Trebuchet MS"/>
          <w:b/>
          <w:color w:val="89C6DC"/>
          <w:w w:val="95"/>
          <w:sz w:val="20"/>
        </w:rPr>
        <w:t>consumer</w:t>
      </w:r>
      <w:r>
        <w:rPr>
          <w:rFonts w:ascii="Trebuchet MS"/>
          <w:b/>
          <w:color w:val="89C6DC"/>
          <w:spacing w:val="-25"/>
          <w:w w:val="95"/>
          <w:sz w:val="20"/>
        </w:rPr>
        <w:t> </w:t>
      </w:r>
      <w:r>
        <w:rPr>
          <w:rFonts w:ascii="Trebuchet MS"/>
          <w:b/>
          <w:color w:val="89C6DC"/>
          <w:w w:val="95"/>
          <w:sz w:val="20"/>
        </w:rPr>
        <w:t>confidence</w:t>
      </w:r>
      <w:r>
        <w:rPr>
          <w:rFonts w:ascii="Trebuchet MS"/>
          <w:b/>
          <w:color w:val="89C6DC"/>
          <w:spacing w:val="-25"/>
          <w:w w:val="95"/>
          <w:sz w:val="20"/>
        </w:rPr>
        <w:t> </w:t>
      </w:r>
      <w:r>
        <w:rPr>
          <w:rFonts w:ascii="Trebuchet MS"/>
          <w:b/>
          <w:color w:val="89C6DC"/>
          <w:w w:val="95"/>
          <w:sz w:val="20"/>
        </w:rPr>
        <w:t>and</w:t>
      </w:r>
      <w:r>
        <w:rPr>
          <w:rFonts w:ascii="Trebuchet MS"/>
          <w:b/>
          <w:color w:val="89C6DC"/>
          <w:spacing w:val="-25"/>
          <w:w w:val="95"/>
          <w:sz w:val="20"/>
        </w:rPr>
        <w:t> </w:t>
      </w:r>
      <w:r>
        <w:rPr>
          <w:rFonts w:ascii="Trebuchet MS"/>
          <w:b/>
          <w:color w:val="89C6DC"/>
          <w:w w:val="95"/>
          <w:sz w:val="20"/>
        </w:rPr>
        <w:t>share</w:t>
      </w:r>
      <w:r>
        <w:rPr>
          <w:rFonts w:ascii="Trebuchet MS"/>
          <w:b/>
          <w:color w:val="89C6DC"/>
          <w:spacing w:val="-25"/>
          <w:w w:val="95"/>
          <w:sz w:val="20"/>
        </w:rPr>
        <w:t> </w:t>
      </w:r>
      <w:r>
        <w:rPr>
          <w:rFonts w:ascii="Trebuchet MS"/>
          <w:b/>
          <w:color w:val="89C6DC"/>
          <w:w w:val="95"/>
          <w:sz w:val="20"/>
        </w:rPr>
        <w:t>prices</w:t>
      </w:r>
    </w:p>
    <w:p>
      <w:pPr>
        <w:pStyle w:val="BodyText"/>
        <w:spacing w:before="4"/>
        <w:rPr>
          <w:rFonts w:ascii="Trebuchet MS"/>
          <w:b/>
          <w:sz w:val="21"/>
        </w:rPr>
      </w:pPr>
      <w:r>
        <w:rPr/>
        <w:br w:type="column"/>
      </w:r>
      <w:r>
        <w:rPr>
          <w:rFonts w:ascii="Trebuchet MS"/>
          <w:b/>
          <w:sz w:val="21"/>
        </w:rPr>
      </w:r>
    </w:p>
    <w:p>
      <w:pPr>
        <w:spacing w:before="0"/>
        <w:ind w:left="186" w:right="0" w:firstLine="0"/>
        <w:jc w:val="left"/>
        <w:rPr>
          <w:rFonts w:ascii="Trebuchet MS"/>
          <w:b/>
          <w:sz w:val="20"/>
        </w:rPr>
      </w:pPr>
      <w:r>
        <w:rPr>
          <w:rFonts w:ascii="Trebuchet MS"/>
          <w:b/>
          <w:color w:val="89C6DC"/>
          <w:sz w:val="20"/>
        </w:rPr>
        <w:t>Private sector investment</w:t>
      </w:r>
    </w:p>
    <w:p>
      <w:pPr>
        <w:spacing w:after="0"/>
        <w:jc w:val="left"/>
        <w:rPr>
          <w:rFonts w:ascii="Trebuchet MS"/>
          <w:sz w:val="20"/>
        </w:rPr>
        <w:sectPr>
          <w:type w:val="continuous"/>
          <w:pgSz w:w="11900" w:h="16840"/>
          <w:pgMar w:top="1260" w:bottom="280" w:left="640" w:right="640"/>
          <w:cols w:num="2" w:equalWidth="0">
            <w:col w:w="3820" w:space="987"/>
            <w:col w:w="5813"/>
          </w:cols>
        </w:sectPr>
      </w:pPr>
    </w:p>
    <w:p>
      <w:pPr>
        <w:spacing w:line="208" w:lineRule="auto" w:before="88"/>
        <w:ind w:left="362" w:right="14" w:firstLine="0"/>
        <w:jc w:val="left"/>
        <w:rPr>
          <w:sz w:val="12"/>
        </w:rPr>
      </w:pPr>
      <w:r>
        <w:rPr>
          <w:w w:val="110"/>
          <w:sz w:val="12"/>
        </w:rPr>
        <w:t>Three months on three months, change</w:t>
      </w:r>
    </w:p>
    <w:p>
      <w:pPr>
        <w:pStyle w:val="BodyText"/>
        <w:spacing w:before="4"/>
        <w:rPr>
          <w:sz w:val="2"/>
        </w:rPr>
      </w:pPr>
    </w:p>
    <w:p>
      <w:pPr>
        <w:pStyle w:val="BodyText"/>
        <w:spacing w:line="20" w:lineRule="exact"/>
        <w:ind w:left="366"/>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51" w:lineRule="exact" w:before="0"/>
        <w:ind w:left="177" w:right="0" w:firstLine="0"/>
        <w:jc w:val="left"/>
        <w:rPr>
          <w:sz w:val="12"/>
        </w:rPr>
      </w:pPr>
      <w:r>
        <w:rPr>
          <w:w w:val="120"/>
          <w:sz w:val="12"/>
        </w:rPr>
        <w:t>20</w:t>
      </w:r>
    </w:p>
    <w:p>
      <w:pPr>
        <w:spacing w:line="129" w:lineRule="exact" w:before="74"/>
        <w:ind w:left="0" w:right="241" w:firstLine="0"/>
        <w:jc w:val="right"/>
        <w:rPr>
          <w:sz w:val="12"/>
        </w:rPr>
      </w:pPr>
      <w:r>
        <w:rPr/>
        <w:br w:type="column"/>
      </w:r>
      <w:r>
        <w:rPr>
          <w:w w:val="110"/>
          <w:sz w:val="12"/>
        </w:rPr>
        <w:t>Three months on three</w:t>
      </w:r>
      <w:r>
        <w:rPr>
          <w:spacing w:val="-20"/>
          <w:w w:val="110"/>
          <w:sz w:val="12"/>
        </w:rPr>
        <w:t> </w:t>
      </w:r>
      <w:r>
        <w:rPr>
          <w:w w:val="110"/>
          <w:sz w:val="12"/>
        </w:rPr>
        <w:t>months,</w:t>
      </w:r>
    </w:p>
    <w:p>
      <w:pPr>
        <w:spacing w:line="107" w:lineRule="exact" w:before="0"/>
        <w:ind w:left="0" w:right="241" w:firstLine="0"/>
        <w:jc w:val="right"/>
        <w:rPr>
          <w:sz w:val="12"/>
        </w:rPr>
      </w:pPr>
      <w:r>
        <w:rPr>
          <w:w w:val="110"/>
          <w:sz w:val="12"/>
        </w:rPr>
        <w:t>percentage</w:t>
      </w:r>
      <w:r>
        <w:rPr>
          <w:spacing w:val="-2"/>
          <w:w w:val="110"/>
          <w:sz w:val="12"/>
        </w:rPr>
        <w:t> </w:t>
      </w:r>
      <w:r>
        <w:rPr>
          <w:w w:val="110"/>
          <w:sz w:val="12"/>
        </w:rPr>
        <w:t>change</w:t>
      </w:r>
    </w:p>
    <w:p>
      <w:pPr>
        <w:spacing w:line="116" w:lineRule="exact" w:before="0"/>
        <w:ind w:left="0" w:right="38" w:firstLine="0"/>
        <w:jc w:val="right"/>
        <w:rPr>
          <w:sz w:val="12"/>
        </w:rPr>
      </w:pPr>
      <w:r>
        <w:rPr/>
        <w:pict>
          <v:line style="position:absolute;mso-position-horizontal-relative:page;mso-position-vertical-relative:paragraph;z-index:16016896" from="206.253006pt,2.508756pt" to="210.587006pt,2.508756pt" stroked="true" strokeweight=".5pt" strokecolor="#000000">
            <v:stroke dashstyle="solid"/>
            <w10:wrap type="none"/>
          </v:line>
        </w:pict>
      </w:r>
      <w:r>
        <w:rPr>
          <w:w w:val="120"/>
          <w:sz w:val="12"/>
        </w:rPr>
        <w:t>20</w:t>
      </w:r>
    </w:p>
    <w:p>
      <w:pPr>
        <w:pStyle w:val="BodyText"/>
        <w:spacing w:line="192" w:lineRule="exact"/>
        <w:ind w:left="177"/>
      </w:pPr>
      <w:r>
        <w:rPr/>
        <w:br w:type="column"/>
      </w:r>
      <w:r>
        <w:rPr>
          <w:w w:val="105"/>
        </w:rPr>
        <w:t>Whole-economy investment fell by 0.5% in 2000 Q3. In</w:t>
      </w:r>
    </w:p>
    <w:p>
      <w:pPr>
        <w:pStyle w:val="BodyText"/>
        <w:spacing w:before="50"/>
        <w:ind w:left="177"/>
      </w:pPr>
      <w:r>
        <w:rPr>
          <w:w w:val="110"/>
        </w:rPr>
        <w:t>contrast to consumption, investment growth has continued to</w:t>
      </w:r>
    </w:p>
    <w:p>
      <w:pPr>
        <w:spacing w:after="0"/>
        <w:sectPr>
          <w:type w:val="continuous"/>
          <w:pgSz w:w="11900" w:h="16840"/>
          <w:pgMar w:top="1260" w:bottom="280" w:left="640" w:right="640"/>
          <w:cols w:num="3" w:equalWidth="0">
            <w:col w:w="1588" w:space="162"/>
            <w:col w:w="2049" w:space="1136"/>
            <w:col w:w="5685"/>
          </w:cols>
        </w:sectPr>
      </w:pPr>
    </w:p>
    <w:p>
      <w:pPr>
        <w:tabs>
          <w:tab w:pos="1130" w:val="left" w:leader="none"/>
          <w:tab w:pos="3758" w:val="right" w:leader="none"/>
        </w:tabs>
        <w:spacing w:before="184"/>
        <w:ind w:left="177" w:right="0" w:firstLine="0"/>
        <w:jc w:val="left"/>
        <w:rPr>
          <w:sz w:val="12"/>
        </w:rPr>
      </w:pPr>
      <w:r>
        <w:rPr/>
        <w:pict>
          <v:group style="position:absolute;margin-left:58.669998pt;margin-top:14.548753pt;width:151.950pt;height:114.65pt;mso-position-horizontal-relative:page;mso-position-vertical-relative:paragraph;z-index:-23317504" coordorigin="1173,291" coordsize="3039,2293">
            <v:shape style="position:absolute;left:1183;top:353;width:2880;height:2220" coordorigin="1183,353" coordsize="2880,2220" path="m1183,1306l1238,1171,1308,1018,1363,1048,1421,1138,1478,1231,1546,1063,1603,1048,1658,958,1728,1003,1783,1201,1841,1351,1908,1501,1966,1078,2021,701,2078,353,2146,551,2261,1306,2328,1713,2386,2121,2441,2573,2498,2408,2566,1848,2623,913,2681,671,2748,641,2806,808,2861,838,2918,958,2986,1201,3043,1396,3101,1623,3168,1788,3226,1683,3281,1336,3348,958,3406,1138,3521,1683,3588,1608,3643,1638,3701,1486,3768,1366,3826,1276,3883,1426,3938,1623,4008,1758,4063,1728e" filled="false" stroked="true" strokeweight="1pt" strokecolor="#de0035">
              <v:path arrowok="t"/>
              <v:stroke dashstyle="solid"/>
            </v:shape>
            <v:shape style="position:absolute;left:1183;top:988;width:2880;height:1223" coordorigin="1183,988" coordsize="2880,1223" path="m1183,1396l1238,1471,1308,1261,1363,1441,1421,1366,1478,1276,1546,988,1603,1003,1658,1216,1728,1471,1783,1758,1841,1971,1908,2046,1966,1803,2021,1531,2078,1441,2146,1396,2203,1426,2261,1578,2328,2001,2386,2166,2441,2211,2498,1878,2566,1863,2623,1486,2681,1336,2748,988,2806,1048,2861,1018,2918,1138,2986,1216,3043,1426,3101,1623,3168,1638,3226,1788,3281,1728,3348,1593,3406,1291,3463,1366,3521,1818,3588,1971,3643,1818,3701,1441,3768,1471,3826,1653,3883,1638,3938,1683,4008,1426,4063,1351e" filled="false" stroked="true" strokeweight="1pt" strokecolor="#835335">
              <v:path arrowok="t"/>
              <v:stroke dashstyle="solid"/>
            </v:shape>
            <v:shape style="position:absolute;left:1178;top:295;width:3034;height:2070" coordorigin="1178,296" coordsize="3034,2070" path="m4125,296l4212,296m4125,718l4212,718m4125,1126l4212,1126m4125,1533l4212,1533m4125,1943l4212,1943m4125,2366l4212,2366m1178,1533l4065,1533e" filled="false" stroked="true" strokeweight=".5pt" strokecolor="#000000">
              <v:path arrowok="t"/>
              <v:stroke dashstyle="solid"/>
            </v:shape>
            <v:shape style="position:absolute;left:2776;top:1998;width:1319;height:241" type="#_x0000_t202" filled="false" stroked="false">
              <v:textbox inset="0,0,0,0">
                <w:txbxContent>
                  <w:p>
                    <w:pPr>
                      <w:spacing w:line="106" w:lineRule="exact" w:before="0"/>
                      <w:ind w:left="0" w:right="0" w:firstLine="0"/>
                      <w:jc w:val="left"/>
                      <w:rPr>
                        <w:sz w:val="12"/>
                      </w:rPr>
                    </w:pPr>
                    <w:r>
                      <w:rPr>
                        <w:w w:val="105"/>
                        <w:sz w:val="12"/>
                      </w:rPr>
                      <w:t>Consumer confidence (a)</w:t>
                    </w:r>
                  </w:p>
                  <w:p>
                    <w:pPr>
                      <w:spacing w:line="129" w:lineRule="exact" w:before="0"/>
                      <w:ind w:left="60" w:right="0" w:firstLine="0"/>
                      <w:jc w:val="left"/>
                      <w:rPr>
                        <w:sz w:val="12"/>
                      </w:rPr>
                    </w:pPr>
                    <w:r>
                      <w:rPr>
                        <w:w w:val="105"/>
                        <w:sz w:val="12"/>
                      </w:rPr>
                      <w:t>(left-hand scale)</w:t>
                    </w:r>
                  </w:p>
                </w:txbxContent>
              </v:textbox>
              <w10:wrap type="none"/>
            </v:shape>
            <w10:wrap type="none"/>
          </v:group>
        </w:pict>
      </w:r>
      <w:r>
        <w:rPr/>
        <w:pict>
          <v:line style="position:absolute;mso-position-horizontal-relative:page;mso-position-vertical-relative:paragraph;z-index:-23316992" from="50.573002pt,14.798753pt" to="54.906002pt,14.798753pt" stroked="true" strokeweight=".5pt" strokecolor="#000000">
            <v:stroke dashstyle="solid"/>
            <w10:wrap type="none"/>
          </v:line>
        </w:pict>
      </w:r>
      <w:r>
        <w:rPr>
          <w:w w:val="110"/>
          <w:position w:val="-3"/>
          <w:sz w:val="12"/>
        </w:rPr>
        <w:t>15</w:t>
        <w:tab/>
      </w:r>
      <w:r>
        <w:rPr>
          <w:w w:val="110"/>
          <w:sz w:val="12"/>
        </w:rPr>
        <w:t>FTSE All-Share</w:t>
      </w:r>
      <w:r>
        <w:rPr>
          <w:spacing w:val="-13"/>
          <w:w w:val="110"/>
          <w:sz w:val="12"/>
        </w:rPr>
        <w:t> </w:t>
      </w:r>
      <w:r>
        <w:rPr>
          <w:w w:val="110"/>
          <w:sz w:val="12"/>
        </w:rPr>
        <w:t>(right-hand</w:t>
      </w:r>
      <w:r>
        <w:rPr>
          <w:spacing w:val="-6"/>
          <w:w w:val="110"/>
          <w:sz w:val="12"/>
        </w:rPr>
        <w:t> </w:t>
      </w:r>
      <w:r>
        <w:rPr>
          <w:w w:val="110"/>
          <w:sz w:val="12"/>
        </w:rPr>
        <w:t>scale)</w:t>
        <w:tab/>
      </w:r>
      <w:r>
        <w:rPr>
          <w:w w:val="110"/>
          <w:position w:val="-3"/>
          <w:sz w:val="12"/>
        </w:rPr>
        <w:t>15</w:t>
      </w:r>
    </w:p>
    <w:p>
      <w:pPr>
        <w:pStyle w:val="BodyText"/>
        <w:spacing w:before="8"/>
        <w:rPr>
          <w:sz w:val="24"/>
        </w:rPr>
      </w:pPr>
    </w:p>
    <w:p>
      <w:pPr>
        <w:tabs>
          <w:tab w:pos="3613" w:val="left" w:leader="none"/>
        </w:tabs>
        <w:spacing w:before="0"/>
        <w:ind w:left="177" w:right="0" w:firstLine="0"/>
        <w:jc w:val="left"/>
        <w:rPr>
          <w:sz w:val="12"/>
        </w:rPr>
      </w:pPr>
      <w:r>
        <w:rPr/>
        <w:pict>
          <v:line style="position:absolute;mso-position-horizontal-relative:page;mso-position-vertical-relative:paragraph;z-index:-23316480" from="50.573002pt,3.59918pt" to="54.906002pt,3.59918pt" stroked="true" strokeweight=".5pt" strokecolor="#000000">
            <v:stroke dashstyle="solid"/>
            <w10:wrap type="none"/>
          </v:line>
        </w:pict>
      </w:r>
      <w:r>
        <w:rPr>
          <w:w w:val="120"/>
          <w:sz w:val="12"/>
        </w:rPr>
        <w:t>10</w:t>
        <w:tab/>
        <w:t>10</w:t>
      </w:r>
    </w:p>
    <w:p>
      <w:pPr>
        <w:pStyle w:val="BodyText"/>
        <w:rPr>
          <w:sz w:val="12"/>
        </w:rPr>
      </w:pPr>
    </w:p>
    <w:p>
      <w:pPr>
        <w:pStyle w:val="BodyText"/>
        <w:spacing w:before="5"/>
        <w:rPr>
          <w:sz w:val="11"/>
        </w:rPr>
      </w:pPr>
    </w:p>
    <w:p>
      <w:pPr>
        <w:tabs>
          <w:tab w:pos="3686" w:val="left" w:leader="none"/>
        </w:tabs>
        <w:spacing w:before="0"/>
        <w:ind w:left="250" w:right="0" w:firstLine="0"/>
        <w:jc w:val="left"/>
        <w:rPr>
          <w:sz w:val="12"/>
        </w:rPr>
      </w:pPr>
      <w:r>
        <w:rPr/>
        <w:pict>
          <v:line style="position:absolute;mso-position-horizontal-relative:page;mso-position-vertical-relative:paragraph;z-index:-23315968" from="50.573002pt,3.599546pt" to="54.906002pt,3.599546pt" stroked="true" strokeweight=".5pt" strokecolor="#000000">
            <v:stroke dashstyle="solid"/>
            <w10:wrap type="none"/>
          </v:line>
        </w:pict>
      </w:r>
      <w:r>
        <w:rPr>
          <w:w w:val="120"/>
          <w:sz w:val="12"/>
        </w:rPr>
        <w:t>5</w:t>
        <w:tab/>
        <w:t>5</w:t>
      </w:r>
    </w:p>
    <w:p>
      <w:pPr>
        <w:tabs>
          <w:tab w:pos="3573" w:val="left" w:leader="none"/>
        </w:tabs>
        <w:spacing w:before="59"/>
        <w:ind w:left="287" w:right="0" w:firstLine="0"/>
        <w:jc w:val="left"/>
        <w:rPr>
          <w:sz w:val="16"/>
        </w:rPr>
      </w:pPr>
      <w:r>
        <w:rPr>
          <w:w w:val="110"/>
          <w:sz w:val="16"/>
        </w:rPr>
        <w:t>+</w:t>
        <w:tab/>
        <w:t>+</w:t>
      </w:r>
    </w:p>
    <w:p>
      <w:pPr>
        <w:tabs>
          <w:tab w:pos="3686" w:val="left" w:leader="none"/>
        </w:tabs>
        <w:spacing w:before="27"/>
        <w:ind w:left="250" w:right="0" w:firstLine="0"/>
        <w:jc w:val="left"/>
        <w:rPr>
          <w:sz w:val="12"/>
        </w:rPr>
      </w:pPr>
      <w:r>
        <w:rPr/>
        <w:pict>
          <v:line style="position:absolute;mso-position-horizontal-relative:page;mso-position-vertical-relative:paragraph;z-index:-23315456" from="50.573002pt,4.949729pt" to="54.906002pt,4.949729pt" stroked="true" strokeweight=".5pt" strokecolor="#000000">
            <v:stroke dashstyle="solid"/>
            <w10:wrap type="none"/>
          </v:line>
        </w:pict>
      </w:r>
      <w:r>
        <w:rPr>
          <w:w w:val="120"/>
          <w:sz w:val="12"/>
        </w:rPr>
        <w:t>0</w:t>
        <w:tab/>
        <w:t>0</w:t>
      </w:r>
    </w:p>
    <w:p>
      <w:pPr>
        <w:tabs>
          <w:tab w:pos="3574" w:val="left" w:leader="none"/>
        </w:tabs>
        <w:spacing w:before="0"/>
        <w:ind w:left="289" w:right="0" w:firstLine="0"/>
        <w:jc w:val="left"/>
        <w:rPr>
          <w:sz w:val="16"/>
        </w:rPr>
      </w:pPr>
      <w:r>
        <w:rPr>
          <w:w w:val="115"/>
          <w:sz w:val="16"/>
        </w:rPr>
        <w:t>–</w:t>
        <w:tab/>
        <w:t>–</w:t>
      </w:r>
    </w:p>
    <w:p>
      <w:pPr>
        <w:tabs>
          <w:tab w:pos="3686" w:val="left" w:leader="none"/>
        </w:tabs>
        <w:spacing w:before="85"/>
        <w:ind w:left="250" w:right="0" w:firstLine="0"/>
        <w:jc w:val="left"/>
        <w:rPr>
          <w:sz w:val="12"/>
        </w:rPr>
      </w:pPr>
      <w:r>
        <w:rPr/>
        <w:pict>
          <v:line style="position:absolute;mso-position-horizontal-relative:page;mso-position-vertical-relative:paragraph;z-index:-23314944" from="50.573002pt,7.974912pt" to="54.906002pt,7.974912pt" stroked="true" strokeweight=".5pt" strokecolor="#000000">
            <v:stroke dashstyle="solid"/>
            <w10:wrap type="none"/>
          </v:line>
        </w:pict>
      </w:r>
      <w:r>
        <w:rPr>
          <w:w w:val="120"/>
          <w:sz w:val="12"/>
        </w:rPr>
        <w:t>5</w:t>
        <w:tab/>
        <w:t>5</w:t>
      </w:r>
    </w:p>
    <w:p>
      <w:pPr>
        <w:pStyle w:val="BodyText"/>
        <w:rPr>
          <w:sz w:val="12"/>
        </w:rPr>
      </w:pPr>
    </w:p>
    <w:p>
      <w:pPr>
        <w:pStyle w:val="BodyText"/>
        <w:spacing w:before="3"/>
        <w:rPr>
          <w:sz w:val="12"/>
        </w:rPr>
      </w:pPr>
    </w:p>
    <w:p>
      <w:pPr>
        <w:tabs>
          <w:tab w:pos="3613" w:val="left" w:leader="none"/>
        </w:tabs>
        <w:spacing w:before="0"/>
        <w:ind w:left="177" w:right="0" w:firstLine="0"/>
        <w:jc w:val="left"/>
        <w:rPr>
          <w:sz w:val="12"/>
        </w:rPr>
      </w:pPr>
      <w:r>
        <w:rPr/>
        <w:pict>
          <v:line style="position:absolute;mso-position-horizontal-relative:page;mso-position-vertical-relative:paragraph;z-index:-23314432" from="50.573002pt,4.023557pt" to="54.906002pt,4.023557pt" stroked="true" strokeweight=".5pt" strokecolor="#000000">
            <v:stroke dashstyle="solid"/>
            <w10:wrap type="none"/>
          </v:line>
        </w:pict>
      </w:r>
      <w:r>
        <w:rPr>
          <w:w w:val="120"/>
          <w:sz w:val="12"/>
        </w:rPr>
        <w:t>10</w:t>
        <w:tab/>
      </w:r>
      <w:r>
        <w:rPr>
          <w:w w:val="120"/>
          <w:position w:val="1"/>
          <w:sz w:val="12"/>
        </w:rPr>
        <w:t>10</w:t>
      </w:r>
    </w:p>
    <w:p>
      <w:pPr>
        <w:pStyle w:val="BodyText"/>
        <w:rPr>
          <w:sz w:val="12"/>
        </w:rPr>
      </w:pPr>
    </w:p>
    <w:p>
      <w:pPr>
        <w:pStyle w:val="BodyText"/>
        <w:spacing w:before="1"/>
        <w:rPr>
          <w:sz w:val="11"/>
        </w:rPr>
      </w:pPr>
    </w:p>
    <w:p>
      <w:pPr>
        <w:tabs>
          <w:tab w:pos="3613" w:val="left" w:leader="none"/>
        </w:tabs>
        <w:spacing w:line="124" w:lineRule="exact" w:before="0"/>
        <w:ind w:left="177" w:right="0" w:firstLine="0"/>
        <w:jc w:val="left"/>
        <w:rPr>
          <w:sz w:val="12"/>
        </w:rPr>
      </w:pPr>
      <w:r>
        <w:rPr/>
        <w:pict>
          <v:line style="position:absolute;mso-position-horizontal-relative:page;mso-position-vertical-relative:paragraph;z-index:-23313920" from="50.573002pt,3.725217pt" to="54.906002pt,3.725217pt" stroked="true" strokeweight=".5pt" strokecolor="#000000">
            <v:stroke dashstyle="solid"/>
            <w10:wrap type="none"/>
          </v:line>
        </w:pict>
      </w:r>
      <w:r>
        <w:rPr/>
        <w:pict>
          <v:shape style="position:absolute;margin-left:58.919998pt;margin-top:.620217pt;width:151.7pt;height:3.4pt;mso-position-horizontal-relative:page;mso-position-vertical-relative:paragraph;z-index:-23313408" coordorigin="1178,12" coordsize="3034,68" path="m4125,75l4212,75m1178,75l4065,75m1183,12l1183,80m1908,12l1908,80m2623,12l2623,80m3348,12l3348,80m4063,12l4063,80e" filled="false" stroked="true" strokeweight=".5pt" strokecolor="#000000">
            <v:path arrowok="t"/>
            <v:stroke dashstyle="solid"/>
            <w10:wrap type="none"/>
          </v:shape>
        </w:pict>
      </w:r>
      <w:r>
        <w:rPr>
          <w:w w:val="120"/>
          <w:sz w:val="12"/>
        </w:rPr>
        <w:t>15</w:t>
        <w:tab/>
        <w:t>15</w:t>
      </w:r>
    </w:p>
    <w:p>
      <w:pPr>
        <w:tabs>
          <w:tab w:pos="1551" w:val="left" w:leader="none"/>
          <w:tab w:pos="2278" w:val="left" w:leader="none"/>
          <w:tab w:pos="2938" w:val="left" w:leader="none"/>
        </w:tabs>
        <w:spacing w:line="124" w:lineRule="exact" w:before="0"/>
        <w:ind w:left="738" w:right="0" w:firstLine="0"/>
        <w:jc w:val="left"/>
        <w:rPr>
          <w:sz w:val="12"/>
        </w:rPr>
      </w:pPr>
      <w:r>
        <w:rPr>
          <w:w w:val="120"/>
          <w:sz w:val="12"/>
        </w:rPr>
        <w:t>1997</w:t>
        <w:tab/>
        <w:t>98</w:t>
        <w:tab/>
        <w:t>99</w:t>
        <w:tab/>
        <w:t>2000</w:t>
      </w:r>
      <w:r>
        <w:rPr>
          <w:spacing w:val="12"/>
          <w:w w:val="120"/>
          <w:sz w:val="12"/>
        </w:rPr>
        <w:t> </w:t>
      </w:r>
      <w:r>
        <w:rPr>
          <w:w w:val="120"/>
          <w:sz w:val="12"/>
        </w:rPr>
        <w:t>01</w:t>
      </w:r>
    </w:p>
    <w:p>
      <w:pPr>
        <w:pStyle w:val="BodyText"/>
        <w:spacing w:before="8"/>
        <w:rPr>
          <w:sz w:val="11"/>
        </w:rPr>
      </w:pPr>
    </w:p>
    <w:p>
      <w:pPr>
        <w:spacing w:before="0"/>
        <w:ind w:left="177" w:right="0" w:firstLine="0"/>
        <w:jc w:val="left"/>
        <w:rPr>
          <w:sz w:val="12"/>
        </w:rPr>
      </w:pPr>
      <w:r>
        <w:rPr>
          <w:w w:val="105"/>
          <w:sz w:val="12"/>
        </w:rPr>
        <w:t>Sources: GfK and Thomson Financial Datastream.</w:t>
      </w:r>
    </w:p>
    <w:p>
      <w:pPr>
        <w:spacing w:before="102"/>
        <w:ind w:left="177" w:right="0" w:firstLine="0"/>
        <w:jc w:val="left"/>
        <w:rPr>
          <w:sz w:val="12"/>
        </w:rPr>
      </w:pPr>
      <w:r>
        <w:rPr>
          <w:w w:val="105"/>
          <w:sz w:val="12"/>
        </w:rPr>
        <w:t>(a) GfK headline measure.</w:t>
      </w:r>
    </w:p>
    <w:p>
      <w:pPr>
        <w:pStyle w:val="BodyText"/>
        <w:rPr>
          <w:sz w:val="12"/>
        </w:rPr>
      </w:pPr>
    </w:p>
    <w:p>
      <w:pPr>
        <w:pStyle w:val="BodyText"/>
        <w:spacing w:before="10"/>
        <w:rPr>
          <w:sz w:val="16"/>
        </w:rPr>
      </w:pPr>
    </w:p>
    <w:p>
      <w:pPr>
        <w:pStyle w:val="Heading6"/>
        <w:ind w:left="183"/>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2.13</w:t>
      </w:r>
    </w:p>
    <w:p>
      <w:pPr>
        <w:spacing w:line="247" w:lineRule="auto" w:before="8"/>
        <w:ind w:left="183" w:right="0" w:firstLine="0"/>
        <w:jc w:val="left"/>
        <w:rPr>
          <w:sz w:val="12"/>
        </w:rPr>
      </w:pPr>
      <w:r>
        <w:rPr>
          <w:rFonts w:ascii="Trebuchet MS" w:hAnsi="Trebuchet MS"/>
          <w:b/>
          <w:color w:val="89C6DC"/>
          <w:w w:val="90"/>
          <w:sz w:val="20"/>
        </w:rPr>
        <w:t>Consumers’ expectations for the next </w:t>
      </w:r>
      <w:r>
        <w:rPr>
          <w:rFonts w:ascii="Trebuchet MS" w:hAnsi="Trebuchet MS"/>
          <w:b/>
          <w:color w:val="89C6DC"/>
          <w:sz w:val="20"/>
        </w:rPr>
        <w:t>twelve months</w:t>
      </w:r>
      <w:r>
        <w:rPr>
          <w:position w:val="4"/>
          <w:sz w:val="12"/>
        </w:rPr>
        <w:t>(a)</w:t>
      </w:r>
    </w:p>
    <w:p>
      <w:pPr>
        <w:spacing w:line="116" w:lineRule="exact" w:before="78"/>
        <w:ind w:left="2067" w:right="0" w:firstLine="0"/>
        <w:jc w:val="left"/>
        <w:rPr>
          <w:sz w:val="12"/>
        </w:rPr>
      </w:pPr>
      <w:r>
        <w:rPr>
          <w:w w:val="110"/>
          <w:sz w:val="12"/>
        </w:rPr>
        <w:t>Percentage point balances</w:t>
      </w:r>
    </w:p>
    <w:p>
      <w:pPr>
        <w:spacing w:line="116" w:lineRule="exact" w:before="0"/>
        <w:ind w:left="3484" w:right="0" w:firstLine="0"/>
        <w:jc w:val="left"/>
        <w:rPr>
          <w:sz w:val="12"/>
        </w:rPr>
      </w:pPr>
      <w:r>
        <w:rPr/>
        <w:pict>
          <v:group style="position:absolute;margin-left:51.705002pt;margin-top:10.290887pt;width:152.3pt;height:112.1pt;mso-position-horizontal-relative:page;mso-position-vertical-relative:paragraph;z-index:16018432" coordorigin="1034,206" coordsize="3046,2242">
            <v:line style="position:absolute" from="1037,1210" to="3923,1210" stroked="true" strokeweight=".5pt" strokecolor="#000000">
              <v:stroke dashstyle="solid"/>
            </v:line>
            <v:shape style="position:absolute;left:1044;top:607;width:345;height:588" coordorigin="1044,607" coordsize="345,588" path="m1044,607l1102,657m1102,657l1159,607m1159,607l1217,762m1217,762l1274,1160m1274,1160l1332,1195m1332,1195l1389,1160e" filled="false" stroked="true" strokeweight="1pt" strokecolor="#be869b">
              <v:path arrowok="t"/>
              <v:stroke dashstyle="solid"/>
            </v:shape>
            <v:line style="position:absolute" from="1412,1150" to="1412,1635" stroked="true" strokeweight="3.25pt" strokecolor="#be869b">
              <v:stroke dashstyle="solid"/>
            </v:line>
            <v:shape style="position:absolute;left:1434;top:467;width:575;height:1228" coordorigin="1434,467" coordsize="575,1228" path="m1434,1625l1492,1695m1492,1695l1549,1590m1549,1590l1607,1382m1607,1382l1664,1107m1664,1107l1722,1142m1722,1142l1779,780m1779,780l1837,745m1837,745l1894,657m1894,657l1952,692m1952,692l2009,467e" filled="false" stroked="true" strokeweight="1pt" strokecolor="#be869b">
              <v:path arrowok="t"/>
              <v:stroke dashstyle="solid"/>
            </v:shape>
            <v:line style="position:absolute" from="2038,457" to="2038,1047" stroked="true" strokeweight="3.875pt" strokecolor="#be869b">
              <v:stroke dashstyle="solid"/>
            </v:line>
            <v:shape style="position:absolute;left:2066;top:987;width:160;height:345" coordorigin="2067,987" coordsize="160,345" path="m2067,1037l2122,1332m2122,1332l2169,987m2169,987l2227,1055e" filled="false" stroked="true" strokeweight="1pt" strokecolor="#be869b">
              <v:path arrowok="t"/>
              <v:stroke dashstyle="solid"/>
            </v:shape>
            <v:line style="position:absolute" from="2217,1056" to="2294,1056" stroked="true" strokeweight="1.125pt" strokecolor="#be869b">
              <v:stroke dashstyle="solid"/>
            </v:line>
            <v:shape style="position:absolute;left:2284;top:1054;width:403;height:693" coordorigin="2284,1055" coordsize="403,693" path="m2284,1055l2342,1452m2342,1452l2399,1590m2399,1590l2457,1747m2457,1747l2514,1280m2514,1280l2572,1315m2572,1315l2629,1210m2629,1210l2687,1160e" filled="false" stroked="true" strokeweight="1pt" strokecolor="#be869b">
              <v:path arrowok="t"/>
              <v:stroke dashstyle="solid"/>
            </v:shape>
            <v:line style="position:absolute" from="2677,1161" to="2754,1161" stroked="true" strokeweight="1.125pt" strokecolor="#be869b">
              <v:stroke dashstyle="solid"/>
            </v:line>
            <v:shape style="position:absolute;left:2744;top:899;width:390;height:345" coordorigin="2744,900" coordsize="390,345" path="m2744,1160l2799,1245m2799,1245l2847,1195m2847,1195l2904,1160m2904,1160l2962,1055m2962,1055l3019,1177m3019,1177l3077,917m3077,917l3134,900e" filled="false" stroked="true" strokeweight="1pt" strokecolor="#be869b">
              <v:path arrowok="t"/>
              <v:stroke dashstyle="solid"/>
            </v:shape>
            <v:line style="position:absolute" from="3124,901" to="3202,901" stroked="true" strokeweight="1.125pt" strokecolor="#be869b">
              <v:stroke dashstyle="solid"/>
            </v:line>
            <v:line style="position:absolute" from="3192,900" to="3249,970" stroked="true" strokeweight="1pt" strokecolor="#be869b">
              <v:stroke dashstyle="solid"/>
            </v:line>
            <v:line style="position:absolute" from="3239,971" to="3317,971" stroked="true" strokeweight="1.125pt" strokecolor="#be869b">
              <v:stroke dashstyle="solid"/>
            </v:line>
            <v:shape style="position:absolute;left:3306;top:589;width:620;height:380" coordorigin="3307,590" coordsize="620,380" path="m3307,970l3364,865m3364,865l3422,952m3422,952l3477,865m3477,865l3534,657m3534,657l3582,675m3582,675l3639,710m3639,710l3697,780m3697,780l3754,762m3754,762l3812,710m3812,710l3869,727m3869,727l3927,590e" filled="false" stroked="true" strokeweight="1pt" strokecolor="#be869b">
              <v:path arrowok="t"/>
              <v:stroke dashstyle="solid"/>
            </v:shape>
            <v:shape style="position:absolute;left:1044;top:709;width:288;height:1140" coordorigin="1044,710" coordsize="288,1140" path="m1044,900l1102,710m1102,710l1159,1195m1159,1195l1217,1642m1217,1642l1274,1797m1274,1797l1332,1850e" filled="false" stroked="true" strokeweight="1pt" strokecolor="#0092c6">
              <v:path arrowok="t"/>
              <v:stroke dashstyle="solid"/>
            </v:shape>
            <v:line style="position:absolute" from="1322,1851" to="1399,1851" stroked="true" strokeweight="1.125pt" strokecolor="#0092c6">
              <v:stroke dashstyle="solid"/>
            </v:line>
            <v:line style="position:absolute" from="1412,1840" to="1412,2395" stroked="true" strokeweight="3.25pt" strokecolor="#0092c6">
              <v:stroke dashstyle="solid"/>
            </v:line>
            <v:shape style="position:absolute;left:1434;top:227;width:633;height:2210" coordorigin="1434,227" coordsize="633,2210" path="m1434,2385l1492,2437m1492,2437l1549,2315m1549,2315l1607,2385m1607,2385l1664,1607m1664,1607l1722,1920m1722,1920l1779,1005m1779,1005l1837,1037m1837,1037l1894,710m1894,710l1952,1055m1952,1055l2009,227m2009,227l2067,1815e" filled="false" stroked="true" strokeweight="1pt" strokecolor="#0092c6">
              <v:path arrowok="t"/>
              <v:stroke dashstyle="solid"/>
            </v:shape>
            <v:line style="position:absolute" from="2094,1805" to="2094,2430" stroked="true" strokeweight="3.75pt" strokecolor="#0092c6">
              <v:stroke dashstyle="solid"/>
            </v:line>
            <v:line style="position:absolute" from="2122,2420" to="2169,1625" stroked="true" strokeweight="1pt" strokecolor="#0092c6">
              <v:stroke dashstyle="solid"/>
            </v:line>
            <v:line style="position:absolute" from="2198,942" to="2198,1635" stroked="true" strokeweight="3.875pt" strokecolor="#0092c6">
              <v:stroke dashstyle="solid"/>
            </v:line>
            <v:shape style="position:absolute;left:2226;top:952;width:288;height:725" coordorigin="2227,952" coordsize="288,725" path="m2227,952l2284,1107m2284,1107l2342,1590m2342,1590l2399,1435m2399,1435l2457,1677m2457,1677l2514,1210e" filled="false" stroked="true" strokeweight="1pt" strokecolor="#0092c6">
              <v:path arrowok="t"/>
              <v:stroke dashstyle="solid"/>
            </v:shape>
            <v:shape style="position:absolute;left:2504;top:1062;width:583;height:643" type="#_x0000_t75" stroked="false">
              <v:imagedata r:id="rId106" o:title=""/>
            </v:shape>
            <v:line style="position:absolute" from="3105,442" to="3105,1082" stroked="true" strokeweight="3.875pt" strokecolor="#0092c6">
              <v:stroke dashstyle="solid"/>
            </v:line>
            <v:shape style="position:absolute;left:3134;top:452;width:400;height:1778" coordorigin="3134,452" coordsize="400,1778" path="m3134,452l3192,520m3192,520l3249,865m3249,865l3307,1227m3307,1227l3364,1005m3364,1005l3422,1970m3422,1970l3477,2230m3477,2230l3534,1712e" filled="false" stroked="true" strokeweight="1pt" strokecolor="#0092c6">
              <v:path arrowok="t"/>
              <v:stroke dashstyle="solid"/>
            </v:shape>
            <v:line style="position:absolute" from="3558,1217" to="3558,1722" stroked="true" strokeweight="3.375pt" strokecolor="#0092c6">
              <v:stroke dashstyle="solid"/>
            </v:line>
            <v:shape style="position:absolute;left:3581;top:1227;width:345;height:848" coordorigin="3582,1227" coordsize="345,848" path="m3582,1227l3639,1417m3639,1417l3697,1470m3697,1470l3754,1607m3754,1607l3812,1797m3812,1797l3869,2075m3869,2075l3927,1780e" filled="false" stroked="true" strokeweight="1pt" strokecolor="#0092c6">
              <v:path arrowok="t"/>
              <v:stroke dashstyle="solid"/>
            </v:shape>
            <v:line style="position:absolute" from="2677,465" to="2677,1075" stroked="true" strokeweight="3.166pt" strokecolor="#000000">
              <v:stroke dashstyle="solid"/>
            </v:line>
            <v:shape style="position:absolute;left:2676;top:1050;width:51;height:87" coordorigin="2677,1051" coordsize="51,87" path="m2727,1051l2677,1055,2684,1070,2690,1082,2709,1137,2710,1128,2711,1118,2713,1106,2716,1092,2718,1081,2727,1051xe" filled="true" fillcolor="#000000" stroked="false">
              <v:path arrowok="t"/>
              <v:fill type="solid"/>
            </v:shape>
            <v:shape style="position:absolute;left:3993;top:634;width:87;height:1731" coordorigin="3993,634" coordsize="87,1731" path="m3993,634l4080,634m3993,1210l4080,1210m3993,1788l4080,1788m3993,2365l4080,2365e" filled="false" stroked="true" strokeweight=".5pt" strokecolor="#000000">
              <v:path arrowok="t"/>
              <v:stroke dashstyle="solid"/>
            </v:shape>
            <v:shape style="position:absolute;left:2164;top:205;width:981;height:241" type="#_x0000_t202" filled="false" stroked="false">
              <v:textbox inset="0,0,0,0">
                <w:txbxContent>
                  <w:p>
                    <w:pPr>
                      <w:spacing w:line="106" w:lineRule="exact" w:before="0"/>
                      <w:ind w:left="0" w:right="0" w:firstLine="0"/>
                      <w:jc w:val="left"/>
                      <w:rPr>
                        <w:sz w:val="12"/>
                      </w:rPr>
                    </w:pPr>
                    <w:r>
                      <w:rPr>
                        <w:w w:val="110"/>
                        <w:sz w:val="12"/>
                      </w:rPr>
                      <w:t>Financial situation</w:t>
                    </w:r>
                  </w:p>
                  <w:p>
                    <w:pPr>
                      <w:spacing w:line="129" w:lineRule="exact" w:before="0"/>
                      <w:ind w:left="60" w:right="0" w:firstLine="0"/>
                      <w:jc w:val="left"/>
                      <w:rPr>
                        <w:sz w:val="12"/>
                      </w:rPr>
                    </w:pPr>
                    <w:r>
                      <w:rPr>
                        <w:w w:val="105"/>
                        <w:sz w:val="12"/>
                      </w:rPr>
                      <w:t>of household</w:t>
                    </w:r>
                  </w:p>
                </w:txbxContent>
              </v:textbox>
              <w10:wrap type="none"/>
            </v:shape>
            <v:shape style="position:absolute;left:2151;top:2319;width:1454;height:121" type="#_x0000_t202" filled="false" stroked="false">
              <v:textbox inset="0,0,0,0">
                <w:txbxContent>
                  <w:p>
                    <w:pPr>
                      <w:spacing w:line="115" w:lineRule="exact" w:before="0"/>
                      <w:ind w:left="0" w:right="0" w:firstLine="0"/>
                      <w:jc w:val="left"/>
                      <w:rPr>
                        <w:sz w:val="12"/>
                      </w:rPr>
                    </w:pPr>
                    <w:r>
                      <w:rPr>
                        <w:w w:val="110"/>
                        <w:sz w:val="12"/>
                      </w:rPr>
                      <w:t>General economic situation</w:t>
                    </w:r>
                  </w:p>
                </w:txbxContent>
              </v:textbox>
              <w10:wrap type="none"/>
            </v:shape>
            <w10:wrap type="none"/>
          </v:group>
        </w:pict>
      </w:r>
      <w:r>
        <w:rPr/>
        <w:pict>
          <v:line style="position:absolute;mso-position-horizontal-relative:page;mso-position-vertical-relative:paragraph;z-index:16020992" from="43.287998pt,2.738638pt" to="47.620998pt,2.738638pt" stroked="true" strokeweight=".5pt" strokecolor="#000000">
            <v:stroke dashstyle="solid"/>
            <w10:wrap type="none"/>
          </v:line>
        </w:pict>
      </w:r>
      <w:r>
        <w:rPr/>
        <w:pict>
          <v:line style="position:absolute;mso-position-horizontal-relative:page;mso-position-vertical-relative:paragraph;z-index:16021504" from="199.664001pt,2.874638pt" to="203.996001pt,2.874638pt" stroked="true" strokeweight=".5pt" strokecolor="#000000">
            <v:stroke dashstyle="solid"/>
            <w10:wrap type="none"/>
          </v:line>
        </w:pict>
      </w:r>
      <w:r>
        <w:rPr>
          <w:w w:val="120"/>
          <w:sz w:val="12"/>
        </w:rPr>
        <w:t>20</w:t>
      </w:r>
    </w:p>
    <w:p>
      <w:pPr>
        <w:pStyle w:val="BodyText"/>
        <w:rPr>
          <w:sz w:val="12"/>
        </w:rPr>
      </w:pPr>
    </w:p>
    <w:p>
      <w:pPr>
        <w:pStyle w:val="BodyText"/>
        <w:rPr>
          <w:sz w:val="12"/>
        </w:rPr>
      </w:pPr>
    </w:p>
    <w:p>
      <w:pPr>
        <w:pStyle w:val="BodyText"/>
        <w:spacing w:before="2"/>
        <w:rPr>
          <w:sz w:val="14"/>
        </w:rPr>
      </w:pPr>
    </w:p>
    <w:p>
      <w:pPr>
        <w:spacing w:before="0"/>
        <w:ind w:left="0" w:right="166" w:firstLine="0"/>
        <w:jc w:val="right"/>
        <w:rPr>
          <w:sz w:val="12"/>
        </w:rPr>
      </w:pPr>
      <w:r>
        <w:rPr/>
        <w:pict>
          <v:line style="position:absolute;mso-position-horizontal-relative:page;mso-position-vertical-relative:paragraph;z-index:16018944" from="43.287998pt,3.855253pt" to="47.620998pt,3.855253pt" stroked="true" strokeweight=".5pt" strokecolor="#000000">
            <v:stroke dashstyle="solid"/>
            <w10:wrap type="none"/>
          </v:line>
        </w:pict>
      </w:r>
      <w:r>
        <w:rPr>
          <w:w w:val="120"/>
          <w:sz w:val="12"/>
        </w:rPr>
        <w:t>10</w:t>
      </w:r>
    </w:p>
    <w:p>
      <w:pPr>
        <w:pStyle w:val="BodyText"/>
        <w:rPr>
          <w:sz w:val="12"/>
        </w:rPr>
      </w:pPr>
    </w:p>
    <w:p>
      <w:pPr>
        <w:pStyle w:val="BodyText"/>
        <w:spacing w:before="6"/>
        <w:rPr>
          <w:sz w:val="12"/>
        </w:rPr>
      </w:pPr>
    </w:p>
    <w:p>
      <w:pPr>
        <w:spacing w:line="170" w:lineRule="exact" w:before="0"/>
        <w:ind w:left="3455" w:right="0" w:firstLine="0"/>
        <w:jc w:val="left"/>
        <w:rPr>
          <w:sz w:val="16"/>
        </w:rPr>
      </w:pPr>
      <w:r>
        <w:rPr>
          <w:w w:val="107"/>
          <w:sz w:val="16"/>
        </w:rPr>
        <w:t>+</w:t>
      </w:r>
    </w:p>
    <w:p>
      <w:pPr>
        <w:spacing w:line="102" w:lineRule="exact" w:before="0"/>
        <w:ind w:left="3557" w:right="0" w:firstLine="0"/>
        <w:jc w:val="left"/>
        <w:rPr>
          <w:sz w:val="12"/>
        </w:rPr>
      </w:pPr>
      <w:r>
        <w:rPr/>
        <w:pict>
          <v:line style="position:absolute;mso-position-horizontal-relative:page;mso-position-vertical-relative:paragraph;z-index:16019456" from="43.287998pt,3.177052pt" to="47.620998pt,3.177052pt" stroked="true" strokeweight=".5pt" strokecolor="#000000">
            <v:stroke dashstyle="solid"/>
            <w10:wrap type="none"/>
          </v:line>
        </w:pict>
      </w:r>
      <w:r>
        <w:rPr>
          <w:w w:val="121"/>
          <w:sz w:val="12"/>
        </w:rPr>
        <w:t>0</w:t>
      </w:r>
    </w:p>
    <w:p>
      <w:pPr>
        <w:spacing w:line="161" w:lineRule="exact" w:before="0"/>
        <w:ind w:left="3457" w:right="0" w:firstLine="0"/>
        <w:jc w:val="left"/>
        <w:rPr>
          <w:sz w:val="16"/>
        </w:rPr>
      </w:pPr>
      <w:r>
        <w:rPr>
          <w:w w:val="117"/>
          <w:sz w:val="16"/>
        </w:rPr>
        <w:t>–</w:t>
      </w:r>
    </w:p>
    <w:p>
      <w:pPr>
        <w:pStyle w:val="BodyText"/>
        <w:rPr>
          <w:sz w:val="16"/>
        </w:rPr>
      </w:pPr>
    </w:p>
    <w:p>
      <w:pPr>
        <w:spacing w:before="116"/>
        <w:ind w:left="0" w:right="166" w:firstLine="0"/>
        <w:jc w:val="right"/>
        <w:rPr>
          <w:sz w:val="12"/>
        </w:rPr>
      </w:pPr>
      <w:r>
        <w:rPr/>
        <w:pict>
          <v:line style="position:absolute;mso-position-horizontal-relative:page;mso-position-vertical-relative:paragraph;z-index:16019968" from="43.287998pt,9.647637pt" to="47.620998pt,9.647637pt" stroked="true" strokeweight=".5pt" strokecolor="#000000">
            <v:stroke dashstyle="solid"/>
            <w10:wrap type="none"/>
          </v:line>
        </w:pict>
      </w:r>
      <w:r>
        <w:rPr>
          <w:w w:val="120"/>
          <w:sz w:val="12"/>
        </w:rPr>
        <w:t>10</w:t>
      </w:r>
    </w:p>
    <w:p>
      <w:pPr>
        <w:pStyle w:val="BodyText"/>
        <w:rPr>
          <w:sz w:val="12"/>
        </w:rPr>
      </w:pPr>
    </w:p>
    <w:p>
      <w:pPr>
        <w:pStyle w:val="BodyText"/>
        <w:rPr>
          <w:sz w:val="12"/>
        </w:rPr>
      </w:pPr>
    </w:p>
    <w:p>
      <w:pPr>
        <w:pStyle w:val="BodyText"/>
        <w:spacing w:before="2"/>
        <w:rPr>
          <w:sz w:val="14"/>
        </w:rPr>
      </w:pPr>
    </w:p>
    <w:p>
      <w:pPr>
        <w:spacing w:before="0"/>
        <w:ind w:left="0" w:right="166" w:firstLine="0"/>
        <w:jc w:val="right"/>
        <w:rPr>
          <w:sz w:val="12"/>
        </w:rPr>
      </w:pPr>
      <w:r>
        <w:rPr/>
        <w:pict>
          <v:line style="position:absolute;mso-position-horizontal-relative:page;mso-position-vertical-relative:paragraph;z-index:16020480" from="43.287998pt,3.842655pt" to="47.620998pt,3.842655pt" stroked="true" strokeweight=".5pt" strokecolor="#000000">
            <v:stroke dashstyle="solid"/>
            <w10:wrap type="none"/>
          </v:line>
        </w:pict>
      </w:r>
      <w:r>
        <w:rPr>
          <w:w w:val="120"/>
          <w:sz w:val="12"/>
        </w:rPr>
        <w:t>20</w:t>
      </w:r>
    </w:p>
    <w:p>
      <w:pPr>
        <w:pStyle w:val="BodyText"/>
        <w:spacing w:line="292" w:lineRule="auto" w:before="50"/>
        <w:ind w:left="177" w:right="161"/>
      </w:pPr>
      <w:r>
        <w:rPr/>
        <w:br w:type="column"/>
      </w:r>
      <w:r>
        <w:rPr>
          <w:w w:val="110"/>
        </w:rPr>
        <w:t>be </w:t>
      </w:r>
      <w:r>
        <w:rPr>
          <w:spacing w:val="-3"/>
          <w:w w:val="110"/>
        </w:rPr>
        <w:t>weaker </w:t>
      </w:r>
      <w:r>
        <w:rPr>
          <w:w w:val="110"/>
        </w:rPr>
        <w:t>than </w:t>
      </w:r>
      <w:r>
        <w:rPr>
          <w:spacing w:val="-3"/>
          <w:w w:val="110"/>
        </w:rPr>
        <w:t>projected. </w:t>
      </w:r>
      <w:r>
        <w:rPr>
          <w:w w:val="110"/>
        </w:rPr>
        <w:t>Within the </w:t>
      </w:r>
      <w:r>
        <w:rPr>
          <w:spacing w:val="-3"/>
          <w:w w:val="110"/>
        </w:rPr>
        <w:t>private </w:t>
      </w:r>
      <w:r>
        <w:rPr>
          <w:spacing w:val="-4"/>
          <w:w w:val="110"/>
        </w:rPr>
        <w:t>sector, </w:t>
      </w:r>
      <w:r>
        <w:rPr>
          <w:w w:val="110"/>
        </w:rPr>
        <w:t>business </w:t>
      </w:r>
      <w:r>
        <w:rPr>
          <w:spacing w:val="-3"/>
          <w:w w:val="110"/>
        </w:rPr>
        <w:t>investment </w:t>
      </w:r>
      <w:r>
        <w:rPr>
          <w:w w:val="110"/>
        </w:rPr>
        <w:t>fell by 0.2% in </w:t>
      </w:r>
      <w:r>
        <w:rPr>
          <w:spacing w:val="-4"/>
          <w:w w:val="110"/>
        </w:rPr>
        <w:t>2000 </w:t>
      </w:r>
      <w:r>
        <w:rPr>
          <w:w w:val="110"/>
        </w:rPr>
        <w:t>Q3. But </w:t>
      </w:r>
      <w:r>
        <w:rPr>
          <w:spacing w:val="-3"/>
          <w:w w:val="110"/>
        </w:rPr>
        <w:t>investment </w:t>
      </w:r>
      <w:r>
        <w:rPr>
          <w:w w:val="110"/>
        </w:rPr>
        <w:t>is a volatile component of GDP: the standard deviation of quarterly growth in </w:t>
      </w:r>
      <w:r>
        <w:rPr>
          <w:spacing w:val="-3"/>
          <w:w w:val="110"/>
        </w:rPr>
        <w:t>investment over </w:t>
      </w:r>
      <w:r>
        <w:rPr>
          <w:w w:val="110"/>
        </w:rPr>
        <w:t>the past </w:t>
      </w:r>
      <w:r>
        <w:rPr>
          <w:spacing w:val="-3"/>
          <w:w w:val="110"/>
        </w:rPr>
        <w:t>quarter-century </w:t>
      </w:r>
      <w:r>
        <w:rPr>
          <w:w w:val="110"/>
        </w:rPr>
        <w:t>has been more than </w:t>
      </w:r>
      <w:r>
        <w:rPr>
          <w:spacing w:val="-3"/>
          <w:w w:val="110"/>
        </w:rPr>
        <w:t>twice </w:t>
      </w:r>
      <w:r>
        <w:rPr>
          <w:w w:val="110"/>
        </w:rPr>
        <w:t>that for consumption. In recent </w:t>
      </w:r>
      <w:r>
        <w:rPr>
          <w:spacing w:val="-3"/>
          <w:w w:val="110"/>
        </w:rPr>
        <w:t>years</w:t>
      </w:r>
      <w:r>
        <w:rPr>
          <w:spacing w:val="-19"/>
          <w:w w:val="110"/>
        </w:rPr>
        <w:t> </w:t>
      </w:r>
      <w:r>
        <w:rPr>
          <w:w w:val="110"/>
        </w:rPr>
        <w:t>the</w:t>
      </w:r>
      <w:r>
        <w:rPr>
          <w:spacing w:val="-19"/>
          <w:w w:val="110"/>
        </w:rPr>
        <w:t> </w:t>
      </w:r>
      <w:r>
        <w:rPr>
          <w:w w:val="110"/>
        </w:rPr>
        <w:t>level</w:t>
      </w:r>
      <w:r>
        <w:rPr>
          <w:spacing w:val="-19"/>
          <w:w w:val="110"/>
        </w:rPr>
        <w:t> </w:t>
      </w:r>
      <w:r>
        <w:rPr>
          <w:w w:val="110"/>
        </w:rPr>
        <w:t>of</w:t>
      </w:r>
      <w:r>
        <w:rPr>
          <w:spacing w:val="-19"/>
          <w:w w:val="110"/>
        </w:rPr>
        <w:t> </w:t>
      </w:r>
      <w:r>
        <w:rPr>
          <w:w w:val="110"/>
        </w:rPr>
        <w:t>gross</w:t>
      </w:r>
      <w:r>
        <w:rPr>
          <w:spacing w:val="-19"/>
          <w:w w:val="110"/>
        </w:rPr>
        <w:t> </w:t>
      </w:r>
      <w:r>
        <w:rPr>
          <w:w w:val="110"/>
        </w:rPr>
        <w:t>business</w:t>
      </w:r>
      <w:r>
        <w:rPr>
          <w:spacing w:val="-19"/>
          <w:w w:val="110"/>
        </w:rPr>
        <w:t> </w:t>
      </w:r>
      <w:r>
        <w:rPr>
          <w:w w:val="110"/>
        </w:rPr>
        <w:t>sector</w:t>
      </w:r>
      <w:r>
        <w:rPr>
          <w:spacing w:val="-19"/>
          <w:w w:val="110"/>
        </w:rPr>
        <w:t> </w:t>
      </w:r>
      <w:r>
        <w:rPr>
          <w:spacing w:val="-3"/>
          <w:w w:val="110"/>
        </w:rPr>
        <w:t>investment</w:t>
      </w:r>
      <w:r>
        <w:rPr>
          <w:spacing w:val="-19"/>
          <w:w w:val="110"/>
        </w:rPr>
        <w:t> </w:t>
      </w:r>
      <w:r>
        <w:rPr>
          <w:w w:val="110"/>
        </w:rPr>
        <w:t>has</w:t>
      </w:r>
      <w:r>
        <w:rPr>
          <w:spacing w:val="-19"/>
          <w:w w:val="110"/>
        </w:rPr>
        <w:t> </w:t>
      </w:r>
      <w:r>
        <w:rPr>
          <w:w w:val="110"/>
        </w:rPr>
        <w:t>been</w:t>
      </w:r>
      <w:r>
        <w:rPr>
          <w:spacing w:val="-18"/>
          <w:w w:val="110"/>
        </w:rPr>
        <w:t> </w:t>
      </w:r>
      <w:r>
        <w:rPr>
          <w:w w:val="110"/>
        </w:rPr>
        <w:t>far </w:t>
      </w:r>
      <w:r>
        <w:rPr>
          <w:spacing w:val="-3"/>
          <w:w w:val="110"/>
        </w:rPr>
        <w:t>higher,</w:t>
      </w:r>
      <w:r>
        <w:rPr>
          <w:spacing w:val="-10"/>
          <w:w w:val="110"/>
        </w:rPr>
        <w:t> </w:t>
      </w:r>
      <w:r>
        <w:rPr>
          <w:w w:val="110"/>
        </w:rPr>
        <w:t>relative</w:t>
      </w:r>
      <w:r>
        <w:rPr>
          <w:spacing w:val="-9"/>
          <w:w w:val="110"/>
        </w:rPr>
        <w:t> </w:t>
      </w:r>
      <w:r>
        <w:rPr>
          <w:spacing w:val="-4"/>
          <w:w w:val="110"/>
        </w:rPr>
        <w:t>to</w:t>
      </w:r>
      <w:r>
        <w:rPr>
          <w:spacing w:val="-10"/>
          <w:w w:val="110"/>
        </w:rPr>
        <w:t> </w:t>
      </w:r>
      <w:r>
        <w:rPr>
          <w:w w:val="110"/>
        </w:rPr>
        <w:t>business</w:t>
      </w:r>
      <w:r>
        <w:rPr>
          <w:spacing w:val="-9"/>
          <w:w w:val="110"/>
        </w:rPr>
        <w:t> </w:t>
      </w:r>
      <w:r>
        <w:rPr>
          <w:w w:val="110"/>
        </w:rPr>
        <w:t>sector</w:t>
      </w:r>
      <w:r>
        <w:rPr>
          <w:spacing w:val="-10"/>
          <w:w w:val="110"/>
        </w:rPr>
        <w:t> </w:t>
      </w:r>
      <w:r>
        <w:rPr>
          <w:w w:val="110"/>
        </w:rPr>
        <w:t>output,</w:t>
      </w:r>
      <w:r>
        <w:rPr>
          <w:spacing w:val="-9"/>
          <w:w w:val="110"/>
        </w:rPr>
        <w:t> </w:t>
      </w:r>
      <w:r>
        <w:rPr>
          <w:w w:val="110"/>
        </w:rPr>
        <w:t>than</w:t>
      </w:r>
      <w:r>
        <w:rPr>
          <w:spacing w:val="-10"/>
          <w:w w:val="110"/>
        </w:rPr>
        <w:t> </w:t>
      </w:r>
      <w:r>
        <w:rPr>
          <w:w w:val="110"/>
        </w:rPr>
        <w:t>during</w:t>
      </w:r>
      <w:r>
        <w:rPr>
          <w:spacing w:val="-9"/>
          <w:w w:val="110"/>
        </w:rPr>
        <w:t> </w:t>
      </w:r>
      <w:r>
        <w:rPr>
          <w:w w:val="110"/>
        </w:rPr>
        <w:t>the</w:t>
      </w:r>
      <w:r>
        <w:rPr>
          <w:spacing w:val="-10"/>
          <w:w w:val="110"/>
        </w:rPr>
        <w:t> </w:t>
      </w:r>
      <w:r>
        <w:rPr>
          <w:w w:val="110"/>
        </w:rPr>
        <w:t>past </w:t>
      </w:r>
      <w:r>
        <w:rPr>
          <w:spacing w:val="-3"/>
          <w:w w:val="110"/>
        </w:rPr>
        <w:t>quarter-century </w:t>
      </w:r>
      <w:r>
        <w:rPr>
          <w:w w:val="110"/>
        </w:rPr>
        <w:t>(see Chart </w:t>
      </w:r>
      <w:r>
        <w:rPr>
          <w:spacing w:val="-7"/>
          <w:w w:val="110"/>
        </w:rPr>
        <w:t>2.14). </w:t>
      </w:r>
      <w:r>
        <w:rPr>
          <w:w w:val="110"/>
        </w:rPr>
        <w:t>The historical relationship with output alone might suggest the prospect of weaker investment. But the increase in the </w:t>
      </w:r>
      <w:r>
        <w:rPr>
          <w:spacing w:val="-3"/>
          <w:w w:val="110"/>
        </w:rPr>
        <w:t>investment-output </w:t>
      </w:r>
      <w:r>
        <w:rPr>
          <w:w w:val="110"/>
        </w:rPr>
        <w:t>ratio in recent</w:t>
      </w:r>
      <w:r>
        <w:rPr>
          <w:spacing w:val="-10"/>
          <w:w w:val="110"/>
        </w:rPr>
        <w:t> </w:t>
      </w:r>
      <w:r>
        <w:rPr>
          <w:spacing w:val="-3"/>
          <w:w w:val="110"/>
        </w:rPr>
        <w:t>years</w:t>
      </w:r>
      <w:r>
        <w:rPr>
          <w:spacing w:val="-9"/>
          <w:w w:val="110"/>
        </w:rPr>
        <w:t> </w:t>
      </w:r>
      <w:r>
        <w:rPr>
          <w:w w:val="110"/>
        </w:rPr>
        <w:t>can</w:t>
      </w:r>
      <w:r>
        <w:rPr>
          <w:spacing w:val="-10"/>
          <w:w w:val="110"/>
        </w:rPr>
        <w:t> </w:t>
      </w:r>
      <w:r>
        <w:rPr>
          <w:w w:val="110"/>
        </w:rPr>
        <w:t>in</w:t>
      </w:r>
      <w:r>
        <w:rPr>
          <w:spacing w:val="-9"/>
          <w:w w:val="110"/>
        </w:rPr>
        <w:t> </w:t>
      </w:r>
      <w:r>
        <w:rPr>
          <w:w w:val="110"/>
        </w:rPr>
        <w:t>part</w:t>
      </w:r>
      <w:r>
        <w:rPr>
          <w:spacing w:val="-10"/>
          <w:w w:val="110"/>
        </w:rPr>
        <w:t> </w:t>
      </w:r>
      <w:r>
        <w:rPr>
          <w:w w:val="110"/>
        </w:rPr>
        <w:t>be</w:t>
      </w:r>
      <w:r>
        <w:rPr>
          <w:spacing w:val="-9"/>
          <w:w w:val="110"/>
        </w:rPr>
        <w:t> </w:t>
      </w:r>
      <w:r>
        <w:rPr>
          <w:w w:val="110"/>
        </w:rPr>
        <w:t>explained</w:t>
      </w:r>
      <w:r>
        <w:rPr>
          <w:spacing w:val="-10"/>
          <w:w w:val="110"/>
        </w:rPr>
        <w:t> </w:t>
      </w:r>
      <w:r>
        <w:rPr>
          <w:spacing w:val="-3"/>
          <w:w w:val="110"/>
        </w:rPr>
        <w:t>by</w:t>
      </w:r>
      <w:r>
        <w:rPr>
          <w:spacing w:val="-9"/>
          <w:w w:val="110"/>
        </w:rPr>
        <w:t> </w:t>
      </w:r>
      <w:r>
        <w:rPr>
          <w:w w:val="110"/>
        </w:rPr>
        <w:t>a</w:t>
      </w:r>
      <w:r>
        <w:rPr>
          <w:spacing w:val="-10"/>
          <w:w w:val="110"/>
        </w:rPr>
        <w:t> </w:t>
      </w:r>
      <w:r>
        <w:rPr>
          <w:w w:val="110"/>
        </w:rPr>
        <w:t>rapid</w:t>
      </w:r>
      <w:r>
        <w:rPr>
          <w:spacing w:val="-9"/>
          <w:w w:val="110"/>
        </w:rPr>
        <w:t> </w:t>
      </w:r>
      <w:r>
        <w:rPr>
          <w:w w:val="110"/>
        </w:rPr>
        <w:t>decline</w:t>
      </w:r>
      <w:r>
        <w:rPr>
          <w:spacing w:val="-10"/>
          <w:w w:val="110"/>
        </w:rPr>
        <w:t> </w:t>
      </w:r>
      <w:r>
        <w:rPr>
          <w:w w:val="110"/>
        </w:rPr>
        <w:t>in</w:t>
      </w:r>
      <w:r>
        <w:rPr>
          <w:spacing w:val="-9"/>
          <w:w w:val="110"/>
        </w:rPr>
        <w:t> </w:t>
      </w:r>
      <w:r>
        <w:rPr>
          <w:w w:val="110"/>
        </w:rPr>
        <w:t>the relative</w:t>
      </w:r>
      <w:r>
        <w:rPr>
          <w:spacing w:val="-23"/>
          <w:w w:val="110"/>
        </w:rPr>
        <w:t> </w:t>
      </w:r>
      <w:r>
        <w:rPr>
          <w:w w:val="110"/>
        </w:rPr>
        <w:t>price</w:t>
      </w:r>
      <w:r>
        <w:rPr>
          <w:spacing w:val="-23"/>
          <w:w w:val="110"/>
        </w:rPr>
        <w:t> </w:t>
      </w:r>
      <w:r>
        <w:rPr>
          <w:w w:val="110"/>
        </w:rPr>
        <w:t>of</w:t>
      </w:r>
      <w:r>
        <w:rPr>
          <w:spacing w:val="-22"/>
          <w:w w:val="110"/>
        </w:rPr>
        <w:t> </w:t>
      </w:r>
      <w:r>
        <w:rPr>
          <w:w w:val="110"/>
        </w:rPr>
        <w:t>capital</w:t>
      </w:r>
      <w:r>
        <w:rPr>
          <w:spacing w:val="-23"/>
          <w:w w:val="110"/>
        </w:rPr>
        <w:t> </w:t>
      </w:r>
      <w:r>
        <w:rPr>
          <w:w w:val="110"/>
        </w:rPr>
        <w:t>goods,</w:t>
      </w:r>
      <w:r>
        <w:rPr>
          <w:spacing w:val="-23"/>
          <w:w w:val="110"/>
        </w:rPr>
        <w:t> </w:t>
      </w:r>
      <w:r>
        <w:rPr>
          <w:w w:val="110"/>
        </w:rPr>
        <w:t>in</w:t>
      </w:r>
      <w:r>
        <w:rPr>
          <w:spacing w:val="-22"/>
          <w:w w:val="110"/>
        </w:rPr>
        <w:t> </w:t>
      </w:r>
      <w:r>
        <w:rPr>
          <w:w w:val="110"/>
        </w:rPr>
        <w:t>particular</w:t>
      </w:r>
      <w:r>
        <w:rPr>
          <w:spacing w:val="-23"/>
          <w:w w:val="110"/>
        </w:rPr>
        <w:t> </w:t>
      </w:r>
      <w:r>
        <w:rPr>
          <w:w w:val="110"/>
        </w:rPr>
        <w:t>ICT</w:t>
      </w:r>
      <w:r>
        <w:rPr>
          <w:spacing w:val="-23"/>
          <w:w w:val="110"/>
        </w:rPr>
        <w:t> </w:t>
      </w:r>
      <w:r>
        <w:rPr>
          <w:w w:val="110"/>
        </w:rPr>
        <w:t>capital</w:t>
      </w:r>
      <w:r>
        <w:rPr>
          <w:spacing w:val="-22"/>
          <w:w w:val="110"/>
        </w:rPr>
        <w:t> </w:t>
      </w:r>
      <w:r>
        <w:rPr>
          <w:w w:val="110"/>
        </w:rPr>
        <w:t>goods. The relative price has fallen because of technical </w:t>
      </w:r>
      <w:r>
        <w:rPr>
          <w:spacing w:val="-3"/>
          <w:w w:val="110"/>
        </w:rPr>
        <w:t>progress </w:t>
      </w:r>
      <w:r>
        <w:rPr>
          <w:w w:val="110"/>
        </w:rPr>
        <w:t>in the</w:t>
      </w:r>
      <w:r>
        <w:rPr>
          <w:spacing w:val="-19"/>
          <w:w w:val="110"/>
        </w:rPr>
        <w:t> </w:t>
      </w:r>
      <w:r>
        <w:rPr>
          <w:w w:val="110"/>
        </w:rPr>
        <w:t>equipment-producing</w:t>
      </w:r>
      <w:r>
        <w:rPr>
          <w:spacing w:val="-18"/>
          <w:w w:val="110"/>
        </w:rPr>
        <w:t> </w:t>
      </w:r>
      <w:r>
        <w:rPr>
          <w:w w:val="110"/>
        </w:rPr>
        <w:t>industries,</w:t>
      </w:r>
      <w:r>
        <w:rPr>
          <w:spacing w:val="-18"/>
          <w:w w:val="110"/>
        </w:rPr>
        <w:t> </w:t>
      </w:r>
      <w:r>
        <w:rPr>
          <w:w w:val="110"/>
        </w:rPr>
        <w:t>and</w:t>
      </w:r>
      <w:r>
        <w:rPr>
          <w:spacing w:val="-18"/>
          <w:w w:val="110"/>
        </w:rPr>
        <w:t> </w:t>
      </w:r>
      <w:r>
        <w:rPr>
          <w:w w:val="110"/>
        </w:rPr>
        <w:t>is</w:t>
      </w:r>
      <w:r>
        <w:rPr>
          <w:spacing w:val="-18"/>
          <w:w w:val="110"/>
        </w:rPr>
        <w:t> </w:t>
      </w:r>
      <w:r>
        <w:rPr>
          <w:w w:val="110"/>
        </w:rPr>
        <w:t>therefore</w:t>
      </w:r>
      <w:r>
        <w:rPr>
          <w:spacing w:val="-18"/>
          <w:w w:val="110"/>
        </w:rPr>
        <w:t> </w:t>
      </w:r>
      <w:r>
        <w:rPr>
          <w:w w:val="110"/>
        </w:rPr>
        <w:t>likely</w:t>
      </w:r>
      <w:r>
        <w:rPr>
          <w:spacing w:val="-19"/>
          <w:w w:val="110"/>
        </w:rPr>
        <w:t> </w:t>
      </w:r>
      <w:r>
        <w:rPr>
          <w:spacing w:val="-4"/>
          <w:w w:val="110"/>
        </w:rPr>
        <w:t>to </w:t>
      </w:r>
      <w:r>
        <w:rPr>
          <w:w w:val="110"/>
        </w:rPr>
        <w:t>persist. That should help maintain the </w:t>
      </w:r>
      <w:r>
        <w:rPr>
          <w:spacing w:val="-3"/>
          <w:w w:val="110"/>
        </w:rPr>
        <w:t>investment-output </w:t>
      </w:r>
      <w:r>
        <w:rPr>
          <w:w w:val="110"/>
        </w:rPr>
        <w:t>ratio at a relatively high </w:t>
      </w:r>
      <w:r>
        <w:rPr>
          <w:spacing w:val="-3"/>
          <w:w w:val="110"/>
        </w:rPr>
        <w:t>level. Related </w:t>
      </w:r>
      <w:r>
        <w:rPr>
          <w:spacing w:val="-4"/>
          <w:w w:val="110"/>
        </w:rPr>
        <w:t>to </w:t>
      </w:r>
      <w:r>
        <w:rPr>
          <w:w w:val="110"/>
        </w:rPr>
        <w:t>this, a </w:t>
      </w:r>
      <w:r>
        <w:rPr>
          <w:spacing w:val="-3"/>
          <w:w w:val="110"/>
        </w:rPr>
        <w:t>greater </w:t>
      </w:r>
      <w:r>
        <w:rPr>
          <w:w w:val="110"/>
        </w:rPr>
        <w:t>share of</w:t>
      </w:r>
      <w:r>
        <w:rPr>
          <w:spacing w:val="-19"/>
          <w:w w:val="110"/>
        </w:rPr>
        <w:t> </w:t>
      </w:r>
      <w:r>
        <w:rPr>
          <w:w w:val="110"/>
        </w:rPr>
        <w:t>gross</w:t>
      </w:r>
      <w:r>
        <w:rPr>
          <w:spacing w:val="-19"/>
          <w:w w:val="110"/>
        </w:rPr>
        <w:t> </w:t>
      </w:r>
      <w:r>
        <w:rPr>
          <w:spacing w:val="-3"/>
          <w:w w:val="110"/>
        </w:rPr>
        <w:t>investment</w:t>
      </w:r>
      <w:r>
        <w:rPr>
          <w:spacing w:val="-19"/>
          <w:w w:val="110"/>
        </w:rPr>
        <w:t> </w:t>
      </w:r>
      <w:r>
        <w:rPr>
          <w:w w:val="110"/>
        </w:rPr>
        <w:t>is</w:t>
      </w:r>
      <w:r>
        <w:rPr>
          <w:spacing w:val="-19"/>
          <w:w w:val="110"/>
        </w:rPr>
        <w:t> </w:t>
      </w:r>
      <w:r>
        <w:rPr>
          <w:w w:val="110"/>
        </w:rPr>
        <w:t>accounted</w:t>
      </w:r>
      <w:r>
        <w:rPr>
          <w:spacing w:val="-19"/>
          <w:w w:val="110"/>
        </w:rPr>
        <w:t> </w:t>
      </w:r>
      <w:r>
        <w:rPr>
          <w:w w:val="110"/>
        </w:rPr>
        <w:t>for</w:t>
      </w:r>
      <w:r>
        <w:rPr>
          <w:spacing w:val="-19"/>
          <w:w w:val="110"/>
        </w:rPr>
        <w:t> </w:t>
      </w:r>
      <w:r>
        <w:rPr>
          <w:spacing w:val="-3"/>
          <w:w w:val="110"/>
        </w:rPr>
        <w:t>by</w:t>
      </w:r>
      <w:r>
        <w:rPr>
          <w:spacing w:val="-19"/>
          <w:w w:val="110"/>
        </w:rPr>
        <w:t> </w:t>
      </w:r>
      <w:r>
        <w:rPr>
          <w:w w:val="110"/>
        </w:rPr>
        <w:t>ICT</w:t>
      </w:r>
      <w:r>
        <w:rPr>
          <w:spacing w:val="-19"/>
          <w:w w:val="110"/>
        </w:rPr>
        <w:t> </w:t>
      </w:r>
      <w:r>
        <w:rPr>
          <w:w w:val="110"/>
        </w:rPr>
        <w:t>capital</w:t>
      </w:r>
      <w:r>
        <w:rPr>
          <w:spacing w:val="-19"/>
          <w:w w:val="110"/>
        </w:rPr>
        <w:t> </w:t>
      </w:r>
      <w:r>
        <w:rPr>
          <w:w w:val="110"/>
        </w:rPr>
        <w:t>goods</w:t>
      </w:r>
      <w:r>
        <w:rPr>
          <w:spacing w:val="-19"/>
          <w:w w:val="110"/>
        </w:rPr>
        <w:t> </w:t>
      </w:r>
      <w:r>
        <w:rPr>
          <w:w w:val="110"/>
        </w:rPr>
        <w:t>than in the past, which are estimated </w:t>
      </w:r>
      <w:r>
        <w:rPr>
          <w:spacing w:val="-4"/>
          <w:w w:val="110"/>
        </w:rPr>
        <w:t>to </w:t>
      </w:r>
      <w:r>
        <w:rPr>
          <w:spacing w:val="-3"/>
          <w:w w:val="110"/>
        </w:rPr>
        <w:t>have </w:t>
      </w:r>
      <w:r>
        <w:rPr>
          <w:w w:val="110"/>
        </w:rPr>
        <w:t>a higher </w:t>
      </w:r>
      <w:r>
        <w:rPr>
          <w:spacing w:val="-4"/>
          <w:w w:val="110"/>
        </w:rPr>
        <w:t>rate </w:t>
      </w:r>
      <w:r>
        <w:rPr>
          <w:w w:val="110"/>
        </w:rPr>
        <w:t>of depreciation than other </w:t>
      </w:r>
      <w:r>
        <w:rPr>
          <w:spacing w:val="-3"/>
          <w:w w:val="110"/>
        </w:rPr>
        <w:t>types </w:t>
      </w:r>
      <w:r>
        <w:rPr>
          <w:w w:val="110"/>
        </w:rPr>
        <w:t>of capital goods. So, compared </w:t>
      </w:r>
      <w:r>
        <w:rPr>
          <w:spacing w:val="-4"/>
          <w:w w:val="110"/>
        </w:rPr>
        <w:t>to </w:t>
      </w:r>
      <w:r>
        <w:rPr>
          <w:w w:val="110"/>
        </w:rPr>
        <w:t>the past, a higher </w:t>
      </w:r>
      <w:r>
        <w:rPr>
          <w:spacing w:val="-3"/>
          <w:w w:val="110"/>
        </w:rPr>
        <w:t>level </w:t>
      </w:r>
      <w:r>
        <w:rPr>
          <w:w w:val="110"/>
        </w:rPr>
        <w:t>of gross </w:t>
      </w:r>
      <w:r>
        <w:rPr>
          <w:spacing w:val="-3"/>
          <w:w w:val="110"/>
        </w:rPr>
        <w:t>investment </w:t>
      </w:r>
      <w:r>
        <w:rPr>
          <w:w w:val="110"/>
        </w:rPr>
        <w:t>is required </w:t>
      </w:r>
      <w:r>
        <w:rPr>
          <w:spacing w:val="-4"/>
          <w:w w:val="110"/>
        </w:rPr>
        <w:t>to </w:t>
      </w:r>
      <w:r>
        <w:rPr>
          <w:w w:val="110"/>
        </w:rPr>
        <w:t>maintain a given net capital-output ratio. Consistent with that,</w:t>
      </w:r>
      <w:r>
        <w:rPr>
          <w:spacing w:val="-8"/>
          <w:w w:val="110"/>
        </w:rPr>
        <w:t> </w:t>
      </w:r>
      <w:r>
        <w:rPr>
          <w:w w:val="110"/>
        </w:rPr>
        <w:t>ONS</w:t>
      </w:r>
      <w:r>
        <w:rPr>
          <w:spacing w:val="-8"/>
          <w:w w:val="110"/>
        </w:rPr>
        <w:t> </w:t>
      </w:r>
      <w:r>
        <w:rPr>
          <w:w w:val="110"/>
        </w:rPr>
        <w:t>estimates</w:t>
      </w:r>
      <w:r>
        <w:rPr>
          <w:spacing w:val="-7"/>
          <w:w w:val="110"/>
        </w:rPr>
        <w:t> </w:t>
      </w:r>
      <w:r>
        <w:rPr>
          <w:w w:val="110"/>
        </w:rPr>
        <w:t>suggest</w:t>
      </w:r>
      <w:r>
        <w:rPr>
          <w:spacing w:val="-8"/>
          <w:w w:val="110"/>
        </w:rPr>
        <w:t> </w:t>
      </w:r>
      <w:r>
        <w:rPr>
          <w:w w:val="110"/>
        </w:rPr>
        <w:t>that</w:t>
      </w:r>
      <w:r>
        <w:rPr>
          <w:spacing w:val="-7"/>
          <w:w w:val="110"/>
        </w:rPr>
        <w:t> </w:t>
      </w:r>
      <w:r>
        <w:rPr>
          <w:w w:val="110"/>
        </w:rPr>
        <w:t>the</w:t>
      </w:r>
      <w:r>
        <w:rPr>
          <w:spacing w:val="-8"/>
          <w:w w:val="110"/>
        </w:rPr>
        <w:t> </w:t>
      </w:r>
      <w:r>
        <w:rPr>
          <w:w w:val="110"/>
        </w:rPr>
        <w:t>net</w:t>
      </w:r>
      <w:r>
        <w:rPr>
          <w:spacing w:val="-7"/>
          <w:w w:val="110"/>
        </w:rPr>
        <w:t> </w:t>
      </w:r>
      <w:r>
        <w:rPr>
          <w:w w:val="110"/>
        </w:rPr>
        <w:t>business</w:t>
      </w:r>
    </w:p>
    <w:p>
      <w:pPr>
        <w:pStyle w:val="BodyText"/>
        <w:spacing w:line="217" w:lineRule="exact"/>
        <w:ind w:left="177"/>
      </w:pPr>
      <w:r>
        <w:rPr>
          <w:w w:val="110"/>
        </w:rPr>
        <w:t>capital-output ratio remains relatively low (see Chart 2.14).</w:t>
      </w:r>
    </w:p>
    <w:p>
      <w:pPr>
        <w:pStyle w:val="BodyText"/>
        <w:spacing w:before="8"/>
        <w:rPr>
          <w:sz w:val="28"/>
        </w:rPr>
      </w:pPr>
    </w:p>
    <w:p>
      <w:pPr>
        <w:pStyle w:val="BodyText"/>
        <w:spacing w:line="292" w:lineRule="auto"/>
        <w:ind w:left="177" w:right="597"/>
      </w:pPr>
      <w:r>
        <w:rPr/>
        <w:pict>
          <v:line style="position:absolute;mso-position-horizontal-relative:page;mso-position-vertical-relative:paragraph;z-index:16022016" from="52.370998pt,40.39394pt" to="52.370998pt,43.74794pt" stroked="true" strokeweight=".5pt" strokecolor="#000000">
            <v:stroke dashstyle="solid"/>
            <w10:wrap type="none"/>
          </v:line>
        </w:pict>
      </w:r>
      <w:r>
        <w:rPr/>
        <w:pict>
          <v:line style="position:absolute;mso-position-horizontal-relative:page;mso-position-vertical-relative:paragraph;z-index:16022528" from="63.659pt,40.39394pt" to="63.659pt,43.74794pt" stroked="true" strokeweight=".5pt" strokecolor="#000000">
            <v:stroke dashstyle="solid"/>
            <w10:wrap type="none"/>
          </v:line>
        </w:pict>
      </w:r>
      <w:r>
        <w:rPr/>
        <w:pict>
          <v:line style="position:absolute;mso-position-horizontal-relative:page;mso-position-vertical-relative:paragraph;z-index:16023040" from="74.947998pt,40.39394pt" to="74.947998pt,43.74794pt" stroked="true" strokeweight=".5pt" strokecolor="#000000">
            <v:stroke dashstyle="solid"/>
            <w10:wrap type="none"/>
          </v:line>
        </w:pict>
      </w:r>
      <w:r>
        <w:rPr/>
        <w:pict>
          <v:line style="position:absolute;mso-position-horizontal-relative:page;mso-position-vertical-relative:paragraph;z-index:16023552" from="86.236pt,40.39394pt" to="86.236pt,43.74794pt" stroked="true" strokeweight=".5pt" strokecolor="#000000">
            <v:stroke dashstyle="solid"/>
            <w10:wrap type="none"/>
          </v:line>
        </w:pict>
      </w:r>
      <w:r>
        <w:rPr/>
        <w:pict>
          <v:line style="position:absolute;mso-position-horizontal-relative:page;mso-position-vertical-relative:paragraph;z-index:16024064" from="108.811996pt,40.39394pt" to="108.811996pt,43.74794pt" stroked="true" strokeweight=".5pt" strokecolor="#000000">
            <v:stroke dashstyle="solid"/>
            <w10:wrap type="none"/>
          </v:line>
        </w:pict>
      </w:r>
      <w:r>
        <w:rPr/>
        <w:pict>
          <v:line style="position:absolute;mso-position-horizontal-relative:page;mso-position-vertical-relative:paragraph;z-index:16024576" from="142.677002pt,40.39394pt" to="142.677002pt,43.74794pt" stroked="true" strokeweight=".5pt" strokecolor="#000000">
            <v:stroke dashstyle="solid"/>
            <w10:wrap type="none"/>
          </v:line>
        </w:pict>
      </w:r>
      <w:r>
        <w:rPr/>
        <w:pict>
          <v:line style="position:absolute;mso-position-horizontal-relative:page;mso-position-vertical-relative:paragraph;z-index:16025088" from="176.542007pt,40.39394pt" to="176.542007pt,43.74794pt" stroked="true" strokeweight=".5pt" strokecolor="#000000">
            <v:stroke dashstyle="solid"/>
            <w10:wrap type="none"/>
          </v:line>
        </w:pict>
      </w:r>
      <w:r>
        <w:rPr/>
        <w:pict>
          <v:line style="position:absolute;mso-position-horizontal-relative:page;mso-position-vertical-relative:paragraph;z-index:16025600" from="120.099998pt,40.39394pt" to="120.099998pt,43.74794pt" stroked="true" strokeweight=".5pt" strokecolor="#000000">
            <v:stroke dashstyle="solid"/>
            <w10:wrap type="none"/>
          </v:line>
        </w:pict>
      </w:r>
      <w:r>
        <w:rPr/>
        <w:pict>
          <v:line style="position:absolute;mso-position-horizontal-relative:page;mso-position-vertical-relative:paragraph;z-index:16026112" from="153.964996pt,40.39394pt" to="153.964996pt,43.74794pt" stroked="true" strokeweight=".5pt" strokecolor="#000000">
            <v:stroke dashstyle="solid"/>
            <w10:wrap type="none"/>
          </v:line>
        </w:pict>
      </w:r>
      <w:r>
        <w:rPr/>
        <w:pict>
          <v:line style="position:absolute;mso-position-horizontal-relative:page;mso-position-vertical-relative:paragraph;z-index:16026624" from="187.830002pt,40.39394pt" to="187.830002pt,43.74794pt" stroked="true" strokeweight=".5pt" strokecolor="#000000">
            <v:stroke dashstyle="solid"/>
            <w10:wrap type="none"/>
          </v:line>
        </w:pict>
      </w:r>
      <w:r>
        <w:rPr/>
        <w:pict>
          <v:line style="position:absolute;mso-position-horizontal-relative:page;mso-position-vertical-relative:paragraph;z-index:16027136" from="97.524002pt,40.39394pt" to="97.524002pt,43.74794pt" stroked="true" strokeweight=".5pt" strokecolor="#000000">
            <v:stroke dashstyle="solid"/>
            <w10:wrap type="none"/>
          </v:line>
        </w:pict>
      </w:r>
      <w:r>
        <w:rPr/>
        <w:pict>
          <v:line style="position:absolute;mso-position-horizontal-relative:page;mso-position-vertical-relative:paragraph;z-index:16027648" from="131.389008pt,40.39394pt" to="131.389008pt,43.74794pt" stroked="true" strokeweight=".5pt" strokecolor="#000000">
            <v:stroke dashstyle="solid"/>
            <w10:wrap type="none"/>
          </v:line>
        </w:pict>
      </w:r>
      <w:r>
        <w:rPr/>
        <w:pict>
          <v:line style="position:absolute;mso-position-horizontal-relative:page;mso-position-vertical-relative:paragraph;z-index:16028160" from="165.253998pt,40.39394pt" to="165.253998pt,43.74794pt" stroked="true" strokeweight=".5pt" strokecolor="#000000">
            <v:stroke dashstyle="solid"/>
            <w10:wrap type="none"/>
          </v:line>
        </w:pict>
      </w:r>
      <w:r>
        <w:rPr>
          <w:w w:val="110"/>
        </w:rPr>
        <w:t>The</w:t>
      </w:r>
      <w:r>
        <w:rPr>
          <w:spacing w:val="-16"/>
          <w:w w:val="110"/>
        </w:rPr>
        <w:t> </w:t>
      </w:r>
      <w:r>
        <w:rPr>
          <w:w w:val="110"/>
        </w:rPr>
        <w:t>incentive</w:t>
      </w:r>
      <w:r>
        <w:rPr>
          <w:spacing w:val="-15"/>
          <w:w w:val="110"/>
        </w:rPr>
        <w:t> </w:t>
      </w:r>
      <w:r>
        <w:rPr>
          <w:w w:val="110"/>
        </w:rPr>
        <w:t>for</w:t>
      </w:r>
      <w:r>
        <w:rPr>
          <w:spacing w:val="-15"/>
          <w:w w:val="110"/>
        </w:rPr>
        <w:t> </w:t>
      </w:r>
      <w:r>
        <w:rPr>
          <w:w w:val="110"/>
        </w:rPr>
        <w:t>firms</w:t>
      </w:r>
      <w:r>
        <w:rPr>
          <w:spacing w:val="-15"/>
          <w:w w:val="110"/>
        </w:rPr>
        <w:t> </w:t>
      </w:r>
      <w:r>
        <w:rPr>
          <w:spacing w:val="-4"/>
          <w:w w:val="110"/>
        </w:rPr>
        <w:t>to</w:t>
      </w:r>
      <w:r>
        <w:rPr>
          <w:spacing w:val="-16"/>
          <w:w w:val="110"/>
        </w:rPr>
        <w:t> </w:t>
      </w:r>
      <w:r>
        <w:rPr>
          <w:spacing w:val="-3"/>
          <w:w w:val="110"/>
        </w:rPr>
        <w:t>invest</w:t>
      </w:r>
      <w:r>
        <w:rPr>
          <w:spacing w:val="-15"/>
          <w:w w:val="110"/>
        </w:rPr>
        <w:t> </w:t>
      </w:r>
      <w:r>
        <w:rPr>
          <w:w w:val="110"/>
        </w:rPr>
        <w:t>depends</w:t>
      </w:r>
      <w:r>
        <w:rPr>
          <w:spacing w:val="-15"/>
          <w:w w:val="110"/>
        </w:rPr>
        <w:t> </w:t>
      </w:r>
      <w:r>
        <w:rPr>
          <w:w w:val="110"/>
        </w:rPr>
        <w:t>on</w:t>
      </w:r>
      <w:r>
        <w:rPr>
          <w:spacing w:val="-15"/>
          <w:w w:val="110"/>
        </w:rPr>
        <w:t> </w:t>
      </w:r>
      <w:r>
        <w:rPr>
          <w:w w:val="110"/>
        </w:rPr>
        <w:t>the</w:t>
      </w:r>
      <w:r>
        <w:rPr>
          <w:spacing w:val="-15"/>
          <w:w w:val="110"/>
        </w:rPr>
        <w:t> </w:t>
      </w:r>
      <w:r>
        <w:rPr>
          <w:w w:val="110"/>
        </w:rPr>
        <w:t>expected return on new </w:t>
      </w:r>
      <w:r>
        <w:rPr>
          <w:spacing w:val="-3"/>
          <w:w w:val="110"/>
        </w:rPr>
        <w:t>investment </w:t>
      </w:r>
      <w:r>
        <w:rPr>
          <w:w w:val="110"/>
        </w:rPr>
        <w:t>projects relative </w:t>
      </w:r>
      <w:r>
        <w:rPr>
          <w:spacing w:val="-4"/>
          <w:w w:val="110"/>
        </w:rPr>
        <w:t>to </w:t>
      </w:r>
      <w:r>
        <w:rPr>
          <w:w w:val="110"/>
        </w:rPr>
        <w:t>the cost of capital.</w:t>
      </w:r>
      <w:r>
        <w:rPr>
          <w:spacing w:val="30"/>
          <w:w w:val="110"/>
        </w:rPr>
        <w:t> </w:t>
      </w:r>
      <w:hyperlink w:history="true" w:anchor="_bookmark2">
        <w:r>
          <w:rPr>
            <w:w w:val="110"/>
          </w:rPr>
          <w:t>As</w:t>
        </w:r>
        <w:r>
          <w:rPr>
            <w:spacing w:val="-13"/>
            <w:w w:val="110"/>
          </w:rPr>
          <w:t> </w:t>
        </w:r>
        <w:r>
          <w:rPr>
            <w:w w:val="110"/>
          </w:rPr>
          <w:t>discussed</w:t>
        </w:r>
        <w:r>
          <w:rPr>
            <w:spacing w:val="-12"/>
            <w:w w:val="110"/>
          </w:rPr>
          <w:t> </w:t>
        </w:r>
        <w:r>
          <w:rPr>
            <w:w w:val="110"/>
          </w:rPr>
          <w:t>in</w:t>
        </w:r>
        <w:r>
          <w:rPr>
            <w:spacing w:val="-13"/>
            <w:w w:val="110"/>
          </w:rPr>
          <w:t> </w:t>
        </w:r>
        <w:r>
          <w:rPr>
            <w:color w:val="FF0000"/>
            <w:w w:val="110"/>
          </w:rPr>
          <w:t>Section</w:t>
        </w:r>
        <w:r>
          <w:rPr>
            <w:color w:val="FF0000"/>
            <w:spacing w:val="-12"/>
            <w:w w:val="110"/>
          </w:rPr>
          <w:t> </w:t>
        </w:r>
        <w:r>
          <w:rPr>
            <w:color w:val="FF0000"/>
            <w:w w:val="110"/>
          </w:rPr>
          <w:t>1</w:t>
        </w:r>
        <w:r>
          <w:rPr>
            <w:w w:val="110"/>
          </w:rPr>
          <w:t>,</w:t>
        </w:r>
        <w:r>
          <w:rPr>
            <w:spacing w:val="-13"/>
            <w:w w:val="110"/>
          </w:rPr>
          <w:t> </w:t>
        </w:r>
      </w:hyperlink>
      <w:r>
        <w:rPr>
          <w:w w:val="110"/>
        </w:rPr>
        <w:t>a</w:t>
      </w:r>
      <w:r>
        <w:rPr>
          <w:spacing w:val="-13"/>
          <w:w w:val="110"/>
        </w:rPr>
        <w:t> </w:t>
      </w:r>
      <w:r>
        <w:rPr>
          <w:w w:val="110"/>
        </w:rPr>
        <w:t>sharp</w:t>
      </w:r>
      <w:r>
        <w:rPr>
          <w:spacing w:val="-12"/>
          <w:w w:val="110"/>
        </w:rPr>
        <w:t> </w:t>
      </w:r>
      <w:r>
        <w:rPr>
          <w:w w:val="110"/>
        </w:rPr>
        <w:t>decline</w:t>
      </w:r>
      <w:r>
        <w:rPr>
          <w:spacing w:val="-13"/>
          <w:w w:val="110"/>
        </w:rPr>
        <w:t> </w:t>
      </w:r>
      <w:r>
        <w:rPr>
          <w:w w:val="110"/>
        </w:rPr>
        <w:t>in</w:t>
      </w:r>
    </w:p>
    <w:p>
      <w:pPr>
        <w:spacing w:after="0" w:line="292" w:lineRule="auto"/>
        <w:sectPr>
          <w:type w:val="continuous"/>
          <w:pgSz w:w="11900" w:h="16840"/>
          <w:pgMar w:top="1260" w:bottom="280" w:left="640" w:right="640"/>
          <w:cols w:num="2" w:equalWidth="0">
            <w:col w:w="3800" w:space="1136"/>
            <w:col w:w="5684"/>
          </w:cols>
        </w:sectPr>
      </w:pPr>
    </w:p>
    <w:p>
      <w:pPr>
        <w:pStyle w:val="BodyText"/>
        <w:spacing w:before="10"/>
        <w:rPr>
          <w:sz w:val="2"/>
        </w:rPr>
      </w:pPr>
    </w:p>
    <w:tbl>
      <w:tblPr>
        <w:tblW w:w="0" w:type="auto"/>
        <w:jc w:val="left"/>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
        <w:gridCol w:w="322"/>
        <w:gridCol w:w="452"/>
        <w:gridCol w:w="452"/>
        <w:gridCol w:w="886"/>
        <w:gridCol w:w="437"/>
        <w:gridCol w:w="6913"/>
      </w:tblGrid>
      <w:tr>
        <w:trPr>
          <w:trHeight w:val="238" w:hRule="atLeast"/>
        </w:trPr>
        <w:tc>
          <w:tcPr>
            <w:tcW w:w="696" w:type="dxa"/>
            <w:tcBorders>
              <w:top w:val="single" w:sz="4" w:space="0" w:color="000000"/>
            </w:tcBorders>
          </w:tcPr>
          <w:p>
            <w:pPr>
              <w:pStyle w:val="TableParagraph"/>
              <w:spacing w:line="20" w:lineRule="exact"/>
              <w:ind w:left="29"/>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TableParagraph"/>
              <w:spacing w:before="4"/>
              <w:ind w:left="125"/>
              <w:rPr>
                <w:sz w:val="12"/>
              </w:rPr>
            </w:pPr>
            <w:r>
              <w:rPr>
                <w:w w:val="120"/>
                <w:sz w:val="12"/>
              </w:rPr>
              <w:t>1988</w:t>
            </w:r>
          </w:p>
        </w:tc>
        <w:tc>
          <w:tcPr>
            <w:tcW w:w="322" w:type="dxa"/>
            <w:tcBorders>
              <w:top w:val="single" w:sz="4" w:space="0" w:color="000000"/>
            </w:tcBorders>
          </w:tcPr>
          <w:p>
            <w:pPr>
              <w:pStyle w:val="TableParagraph"/>
              <w:spacing w:before="24"/>
              <w:ind w:left="24"/>
              <w:rPr>
                <w:sz w:val="12"/>
              </w:rPr>
            </w:pPr>
            <w:r>
              <w:rPr>
                <w:w w:val="120"/>
                <w:sz w:val="12"/>
              </w:rPr>
              <w:t>90</w:t>
            </w:r>
          </w:p>
        </w:tc>
        <w:tc>
          <w:tcPr>
            <w:tcW w:w="452" w:type="dxa"/>
            <w:tcBorders>
              <w:top w:val="single" w:sz="4" w:space="0" w:color="000000"/>
            </w:tcBorders>
          </w:tcPr>
          <w:p>
            <w:pPr>
              <w:pStyle w:val="TableParagraph"/>
              <w:spacing w:before="24"/>
              <w:ind w:left="134" w:right="132"/>
              <w:jc w:val="center"/>
              <w:rPr>
                <w:sz w:val="12"/>
              </w:rPr>
            </w:pPr>
            <w:r>
              <w:rPr>
                <w:w w:val="120"/>
                <w:sz w:val="12"/>
              </w:rPr>
              <w:t>92</w:t>
            </w:r>
          </w:p>
        </w:tc>
        <w:tc>
          <w:tcPr>
            <w:tcW w:w="452" w:type="dxa"/>
            <w:tcBorders>
              <w:top w:val="single" w:sz="4" w:space="0" w:color="000000"/>
            </w:tcBorders>
          </w:tcPr>
          <w:p>
            <w:pPr>
              <w:pStyle w:val="TableParagraph"/>
              <w:spacing w:before="24"/>
              <w:ind w:left="135" w:right="132"/>
              <w:jc w:val="center"/>
              <w:rPr>
                <w:sz w:val="12"/>
              </w:rPr>
            </w:pPr>
            <w:r>
              <w:rPr>
                <w:w w:val="120"/>
                <w:sz w:val="12"/>
              </w:rPr>
              <w:t>94</w:t>
            </w:r>
          </w:p>
        </w:tc>
        <w:tc>
          <w:tcPr>
            <w:tcW w:w="886" w:type="dxa"/>
            <w:tcBorders>
              <w:top w:val="single" w:sz="4" w:space="0" w:color="000000"/>
            </w:tcBorders>
          </w:tcPr>
          <w:p>
            <w:pPr>
              <w:pStyle w:val="TableParagraph"/>
              <w:tabs>
                <w:tab w:pos="607" w:val="left" w:leader="none"/>
              </w:tabs>
              <w:spacing w:before="24"/>
              <w:ind w:left="155"/>
              <w:rPr>
                <w:sz w:val="12"/>
              </w:rPr>
            </w:pPr>
            <w:r>
              <w:rPr>
                <w:w w:val="120"/>
                <w:sz w:val="12"/>
              </w:rPr>
              <w:t>96</w:t>
              <w:tab/>
              <w:t>98</w:t>
            </w:r>
          </w:p>
        </w:tc>
        <w:tc>
          <w:tcPr>
            <w:tcW w:w="437" w:type="dxa"/>
            <w:tcBorders>
              <w:top w:val="single" w:sz="4" w:space="0" w:color="000000"/>
            </w:tcBorders>
          </w:tcPr>
          <w:p>
            <w:pPr>
              <w:pStyle w:val="TableParagraph"/>
              <w:spacing w:before="24"/>
              <w:ind w:left="138"/>
              <w:rPr>
                <w:sz w:val="12"/>
              </w:rPr>
            </w:pPr>
            <w:r>
              <w:rPr>
                <w:w w:val="120"/>
                <w:sz w:val="12"/>
              </w:rPr>
              <w:t>2000</w:t>
            </w:r>
          </w:p>
        </w:tc>
        <w:tc>
          <w:tcPr>
            <w:tcW w:w="6913" w:type="dxa"/>
          </w:tcPr>
          <w:p>
            <w:pPr>
              <w:pStyle w:val="TableParagraph"/>
              <w:spacing w:line="7" w:lineRule="exact"/>
              <w:ind w:left="48"/>
              <w:rPr>
                <w:sz w:val="12"/>
              </w:rPr>
            </w:pPr>
            <w:r>
              <w:rPr>
                <w:w w:val="120"/>
                <w:sz w:val="12"/>
              </w:rPr>
              <w:t>30</w:t>
            </w:r>
          </w:p>
          <w:p>
            <w:pPr>
              <w:pStyle w:val="TableParagraph"/>
              <w:spacing w:line="183" w:lineRule="exact"/>
              <w:ind w:left="1677"/>
              <w:rPr>
                <w:sz w:val="20"/>
              </w:rPr>
            </w:pPr>
            <w:r>
              <w:rPr>
                <w:w w:val="110"/>
                <w:sz w:val="20"/>
              </w:rPr>
              <w:t>risk-free interest rates has reduced the cost of debt finance</w:t>
            </w:r>
          </w:p>
        </w:tc>
      </w:tr>
      <w:tr>
        <w:trPr>
          <w:trHeight w:val="240" w:hRule="atLeast"/>
        </w:trPr>
        <w:tc>
          <w:tcPr>
            <w:tcW w:w="696" w:type="dxa"/>
          </w:tcPr>
          <w:p>
            <w:pPr>
              <w:pStyle w:val="TableParagraph"/>
              <w:spacing w:before="78"/>
              <w:rPr>
                <w:sz w:val="12"/>
              </w:rPr>
            </w:pPr>
            <w:r>
              <w:rPr>
                <w:sz w:val="12"/>
              </w:rPr>
              <w:t>Source: GfK.</w:t>
            </w:r>
          </w:p>
        </w:tc>
        <w:tc>
          <w:tcPr>
            <w:tcW w:w="322" w:type="dxa"/>
          </w:tcPr>
          <w:p>
            <w:pPr>
              <w:pStyle w:val="TableParagraph"/>
              <w:rPr>
                <w:sz w:val="16"/>
              </w:rPr>
            </w:pPr>
          </w:p>
        </w:tc>
        <w:tc>
          <w:tcPr>
            <w:tcW w:w="452" w:type="dxa"/>
          </w:tcPr>
          <w:p>
            <w:pPr>
              <w:pStyle w:val="TableParagraph"/>
              <w:rPr>
                <w:sz w:val="16"/>
              </w:rPr>
            </w:pPr>
          </w:p>
        </w:tc>
        <w:tc>
          <w:tcPr>
            <w:tcW w:w="452" w:type="dxa"/>
          </w:tcPr>
          <w:p>
            <w:pPr>
              <w:pStyle w:val="TableParagraph"/>
              <w:rPr>
                <w:sz w:val="16"/>
              </w:rPr>
            </w:pPr>
          </w:p>
        </w:tc>
        <w:tc>
          <w:tcPr>
            <w:tcW w:w="886" w:type="dxa"/>
          </w:tcPr>
          <w:p>
            <w:pPr>
              <w:pStyle w:val="TableParagraph"/>
              <w:rPr>
                <w:sz w:val="16"/>
              </w:rPr>
            </w:pPr>
          </w:p>
        </w:tc>
        <w:tc>
          <w:tcPr>
            <w:tcW w:w="437" w:type="dxa"/>
          </w:tcPr>
          <w:p>
            <w:pPr>
              <w:pStyle w:val="TableParagraph"/>
              <w:rPr>
                <w:sz w:val="16"/>
              </w:rPr>
            </w:pPr>
          </w:p>
        </w:tc>
        <w:tc>
          <w:tcPr>
            <w:tcW w:w="6913" w:type="dxa"/>
          </w:tcPr>
          <w:p>
            <w:pPr>
              <w:pStyle w:val="TableParagraph"/>
              <w:spacing w:line="219" w:lineRule="exact" w:before="1"/>
              <w:ind w:left="1677"/>
              <w:rPr>
                <w:sz w:val="20"/>
              </w:rPr>
            </w:pPr>
            <w:r>
              <w:rPr>
                <w:w w:val="110"/>
                <w:sz w:val="20"/>
              </w:rPr>
              <w:t>during </w:t>
            </w:r>
            <w:r>
              <w:rPr>
                <w:spacing w:val="-4"/>
                <w:w w:val="110"/>
                <w:sz w:val="20"/>
              </w:rPr>
              <w:t>2000, </w:t>
            </w:r>
            <w:r>
              <w:rPr>
                <w:spacing w:val="-3"/>
                <w:w w:val="110"/>
                <w:sz w:val="20"/>
              </w:rPr>
              <w:t>even </w:t>
            </w:r>
            <w:r>
              <w:rPr>
                <w:w w:val="110"/>
                <w:sz w:val="20"/>
              </w:rPr>
              <w:t>for the less </w:t>
            </w:r>
            <w:r>
              <w:rPr>
                <w:spacing w:val="-3"/>
                <w:w w:val="110"/>
                <w:sz w:val="20"/>
              </w:rPr>
              <w:t>creditworthy corporates. </w:t>
            </w:r>
            <w:r>
              <w:rPr>
                <w:w w:val="110"/>
                <w:sz w:val="20"/>
              </w:rPr>
              <w:t>And,</w:t>
            </w:r>
          </w:p>
        </w:tc>
      </w:tr>
    </w:tbl>
    <w:p>
      <w:pPr>
        <w:spacing w:after="0" w:line="219" w:lineRule="exact"/>
        <w:rPr>
          <w:sz w:val="20"/>
        </w:rPr>
        <w:sectPr>
          <w:type w:val="continuous"/>
          <w:pgSz w:w="11900" w:h="16840"/>
          <w:pgMar w:top="1260" w:bottom="280" w:left="640" w:right="640"/>
        </w:sectPr>
      </w:pPr>
    </w:p>
    <w:p>
      <w:pPr>
        <w:spacing w:before="79"/>
        <w:ind w:left="191" w:right="0" w:firstLine="0"/>
        <w:jc w:val="left"/>
        <w:rPr>
          <w:sz w:val="12"/>
        </w:rPr>
      </w:pPr>
      <w:r>
        <w:rPr>
          <w:w w:val="105"/>
          <w:sz w:val="12"/>
        </w:rPr>
        <w:t>(a) Quarterly averages of monthly responses.</w:t>
      </w:r>
    </w:p>
    <w:p>
      <w:pPr>
        <w:pStyle w:val="BodyText"/>
        <w:rPr>
          <w:sz w:val="12"/>
        </w:rPr>
      </w:pPr>
    </w:p>
    <w:p>
      <w:pPr>
        <w:pStyle w:val="BodyText"/>
        <w:spacing w:before="5"/>
        <w:rPr>
          <w:sz w:val="16"/>
        </w:rPr>
      </w:pPr>
    </w:p>
    <w:p>
      <w:pPr>
        <w:pStyle w:val="Heading6"/>
        <w:ind w:left="181"/>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2.14</w:t>
      </w:r>
    </w:p>
    <w:p>
      <w:pPr>
        <w:spacing w:line="247" w:lineRule="auto" w:before="8"/>
        <w:ind w:left="181" w:right="35" w:firstLine="0"/>
        <w:jc w:val="left"/>
        <w:rPr>
          <w:sz w:val="12"/>
        </w:rPr>
      </w:pPr>
      <w:r>
        <w:rPr>
          <w:rFonts w:ascii="Trebuchet MS"/>
          <w:b/>
          <w:color w:val="89C6DC"/>
          <w:w w:val="95"/>
          <w:sz w:val="20"/>
        </w:rPr>
        <w:t>Business</w:t>
      </w:r>
      <w:r>
        <w:rPr>
          <w:rFonts w:ascii="Trebuchet MS"/>
          <w:b/>
          <w:color w:val="89C6DC"/>
          <w:spacing w:val="-24"/>
          <w:w w:val="95"/>
          <w:sz w:val="20"/>
        </w:rPr>
        <w:t> </w:t>
      </w:r>
      <w:r>
        <w:rPr>
          <w:rFonts w:ascii="Trebuchet MS"/>
          <w:b/>
          <w:color w:val="89C6DC"/>
          <w:w w:val="95"/>
          <w:sz w:val="20"/>
        </w:rPr>
        <w:t>sector</w:t>
      </w:r>
      <w:r>
        <w:rPr>
          <w:rFonts w:ascii="Trebuchet MS"/>
          <w:b/>
          <w:color w:val="89C6DC"/>
          <w:spacing w:val="-24"/>
          <w:w w:val="95"/>
          <w:sz w:val="20"/>
        </w:rPr>
        <w:t> </w:t>
      </w:r>
      <w:r>
        <w:rPr>
          <w:rFonts w:ascii="Trebuchet MS"/>
          <w:b/>
          <w:color w:val="89C6DC"/>
          <w:w w:val="95"/>
          <w:sz w:val="20"/>
        </w:rPr>
        <w:t>investment</w:t>
      </w:r>
      <w:r>
        <w:rPr>
          <w:rFonts w:ascii="Trebuchet MS"/>
          <w:b/>
          <w:color w:val="89C6DC"/>
          <w:spacing w:val="-24"/>
          <w:w w:val="95"/>
          <w:sz w:val="20"/>
        </w:rPr>
        <w:t> </w:t>
      </w:r>
      <w:r>
        <w:rPr>
          <w:rFonts w:ascii="Trebuchet MS"/>
          <w:b/>
          <w:color w:val="89C6DC"/>
          <w:w w:val="95"/>
          <w:sz w:val="20"/>
        </w:rPr>
        <w:t>and</w:t>
      </w:r>
      <w:r>
        <w:rPr>
          <w:rFonts w:ascii="Trebuchet MS"/>
          <w:b/>
          <w:color w:val="89C6DC"/>
          <w:spacing w:val="-24"/>
          <w:w w:val="95"/>
          <w:sz w:val="20"/>
        </w:rPr>
        <w:t> </w:t>
      </w:r>
      <w:r>
        <w:rPr>
          <w:rFonts w:ascii="Trebuchet MS"/>
          <w:b/>
          <w:color w:val="89C6DC"/>
          <w:w w:val="95"/>
          <w:sz w:val="20"/>
        </w:rPr>
        <w:t>the</w:t>
      </w:r>
      <w:r>
        <w:rPr>
          <w:rFonts w:ascii="Trebuchet MS"/>
          <w:b/>
          <w:color w:val="89C6DC"/>
          <w:spacing w:val="-24"/>
          <w:w w:val="95"/>
          <w:sz w:val="20"/>
        </w:rPr>
        <w:t> </w:t>
      </w:r>
      <w:r>
        <w:rPr>
          <w:rFonts w:ascii="Trebuchet MS"/>
          <w:b/>
          <w:color w:val="89C6DC"/>
          <w:w w:val="95"/>
          <w:sz w:val="20"/>
        </w:rPr>
        <w:t>stock </w:t>
      </w:r>
      <w:r>
        <w:rPr>
          <w:rFonts w:ascii="Trebuchet MS"/>
          <w:b/>
          <w:color w:val="89C6DC"/>
          <w:sz w:val="20"/>
        </w:rPr>
        <w:t>of capital relative to</w:t>
      </w:r>
      <w:r>
        <w:rPr>
          <w:rFonts w:ascii="Trebuchet MS"/>
          <w:b/>
          <w:color w:val="89C6DC"/>
          <w:spacing w:val="-37"/>
          <w:sz w:val="20"/>
        </w:rPr>
        <w:t> </w:t>
      </w:r>
      <w:r>
        <w:rPr>
          <w:rFonts w:ascii="Trebuchet MS"/>
          <w:b/>
          <w:color w:val="89C6DC"/>
          <w:sz w:val="20"/>
        </w:rPr>
        <w:t>output</w:t>
      </w:r>
      <w:r>
        <w:rPr>
          <w:position w:val="4"/>
          <w:sz w:val="12"/>
        </w:rPr>
        <w:t>(a)</w:t>
      </w:r>
    </w:p>
    <w:p>
      <w:pPr>
        <w:pStyle w:val="BodyText"/>
        <w:spacing w:line="280" w:lineRule="exact" w:before="4"/>
        <w:ind w:left="181" w:right="90"/>
      </w:pPr>
      <w:r>
        <w:rPr/>
        <w:br w:type="column"/>
      </w:r>
      <w:r>
        <w:rPr>
          <w:w w:val="110"/>
        </w:rPr>
        <w:t>according </w:t>
      </w:r>
      <w:r>
        <w:rPr>
          <w:spacing w:val="-4"/>
          <w:w w:val="110"/>
        </w:rPr>
        <w:t>to </w:t>
      </w:r>
      <w:r>
        <w:rPr>
          <w:w w:val="110"/>
        </w:rPr>
        <w:t>the BCC </w:t>
      </w:r>
      <w:r>
        <w:rPr>
          <w:spacing w:val="-4"/>
          <w:w w:val="110"/>
        </w:rPr>
        <w:t>survey, </w:t>
      </w:r>
      <w:r>
        <w:rPr>
          <w:w w:val="110"/>
        </w:rPr>
        <w:t>expectations about </w:t>
      </w:r>
      <w:r>
        <w:rPr>
          <w:spacing w:val="-3"/>
          <w:w w:val="110"/>
        </w:rPr>
        <w:t>profitability over</w:t>
      </w:r>
      <w:r>
        <w:rPr>
          <w:spacing w:val="-23"/>
          <w:w w:val="110"/>
        </w:rPr>
        <w:t> </w:t>
      </w:r>
      <w:r>
        <w:rPr>
          <w:w w:val="110"/>
        </w:rPr>
        <w:t>the</w:t>
      </w:r>
      <w:r>
        <w:rPr>
          <w:spacing w:val="-23"/>
          <w:w w:val="110"/>
        </w:rPr>
        <w:t> </w:t>
      </w:r>
      <w:r>
        <w:rPr>
          <w:w w:val="110"/>
        </w:rPr>
        <w:t>next</w:t>
      </w:r>
      <w:r>
        <w:rPr>
          <w:spacing w:val="-23"/>
          <w:w w:val="110"/>
        </w:rPr>
        <w:t> </w:t>
      </w:r>
      <w:r>
        <w:rPr>
          <w:spacing w:val="-4"/>
          <w:w w:val="110"/>
        </w:rPr>
        <w:t>twelve</w:t>
      </w:r>
      <w:r>
        <w:rPr>
          <w:spacing w:val="-22"/>
          <w:w w:val="110"/>
        </w:rPr>
        <w:t> </w:t>
      </w:r>
      <w:r>
        <w:rPr>
          <w:w w:val="110"/>
        </w:rPr>
        <w:t>months</w:t>
      </w:r>
      <w:r>
        <w:rPr>
          <w:spacing w:val="-23"/>
          <w:w w:val="110"/>
        </w:rPr>
        <w:t> </w:t>
      </w:r>
      <w:r>
        <w:rPr>
          <w:spacing w:val="-3"/>
          <w:w w:val="110"/>
        </w:rPr>
        <w:t>have</w:t>
      </w:r>
      <w:r>
        <w:rPr>
          <w:spacing w:val="-23"/>
          <w:w w:val="110"/>
        </w:rPr>
        <w:t> </w:t>
      </w:r>
      <w:r>
        <w:rPr>
          <w:spacing w:val="-3"/>
          <w:w w:val="110"/>
        </w:rPr>
        <w:t>recovered</w:t>
      </w:r>
      <w:r>
        <w:rPr>
          <w:spacing w:val="-22"/>
          <w:w w:val="110"/>
        </w:rPr>
        <w:t> </w:t>
      </w:r>
      <w:r>
        <w:rPr>
          <w:w w:val="110"/>
        </w:rPr>
        <w:t>significantly</w:t>
      </w:r>
      <w:r>
        <w:rPr>
          <w:spacing w:val="-23"/>
          <w:w w:val="110"/>
        </w:rPr>
        <w:t> </w:t>
      </w:r>
      <w:r>
        <w:rPr>
          <w:w w:val="110"/>
        </w:rPr>
        <w:t>since </w:t>
      </w:r>
      <w:r>
        <w:rPr>
          <w:spacing w:val="-14"/>
          <w:w w:val="110"/>
        </w:rPr>
        <w:t>1998, </w:t>
      </w:r>
      <w:r>
        <w:rPr>
          <w:spacing w:val="-3"/>
          <w:w w:val="110"/>
        </w:rPr>
        <w:t>even </w:t>
      </w:r>
      <w:r>
        <w:rPr>
          <w:w w:val="110"/>
        </w:rPr>
        <w:t>in the manufacturing </w:t>
      </w:r>
      <w:r>
        <w:rPr>
          <w:spacing w:val="-3"/>
          <w:w w:val="110"/>
        </w:rPr>
        <w:t>sector. </w:t>
      </w:r>
      <w:r>
        <w:rPr>
          <w:w w:val="110"/>
        </w:rPr>
        <w:t>The </w:t>
      </w:r>
      <w:r>
        <w:rPr>
          <w:spacing w:val="-3"/>
          <w:w w:val="110"/>
        </w:rPr>
        <w:t>average </w:t>
      </w:r>
      <w:r>
        <w:rPr>
          <w:w w:val="110"/>
        </w:rPr>
        <w:t>return on existing</w:t>
      </w:r>
      <w:r>
        <w:rPr>
          <w:spacing w:val="-21"/>
          <w:w w:val="110"/>
        </w:rPr>
        <w:t> </w:t>
      </w:r>
      <w:r>
        <w:rPr>
          <w:w w:val="110"/>
        </w:rPr>
        <w:t>capital</w:t>
      </w:r>
      <w:r>
        <w:rPr>
          <w:spacing w:val="-20"/>
          <w:w w:val="110"/>
        </w:rPr>
        <w:t> </w:t>
      </w:r>
      <w:r>
        <w:rPr>
          <w:w w:val="110"/>
        </w:rPr>
        <w:t>in</w:t>
      </w:r>
      <w:r>
        <w:rPr>
          <w:spacing w:val="-20"/>
          <w:w w:val="110"/>
        </w:rPr>
        <w:t> </w:t>
      </w:r>
      <w:r>
        <w:rPr>
          <w:w w:val="110"/>
        </w:rPr>
        <w:t>the</w:t>
      </w:r>
      <w:r>
        <w:rPr>
          <w:spacing w:val="-20"/>
          <w:w w:val="110"/>
        </w:rPr>
        <w:t> </w:t>
      </w:r>
      <w:r>
        <w:rPr>
          <w:w w:val="110"/>
        </w:rPr>
        <w:t>manufacturing</w:t>
      </w:r>
      <w:r>
        <w:rPr>
          <w:spacing w:val="-20"/>
          <w:w w:val="110"/>
        </w:rPr>
        <w:t> </w:t>
      </w:r>
      <w:r>
        <w:rPr>
          <w:w w:val="110"/>
        </w:rPr>
        <w:t>sector</w:t>
      </w:r>
      <w:r>
        <w:rPr>
          <w:spacing w:val="-20"/>
          <w:w w:val="110"/>
        </w:rPr>
        <w:t> </w:t>
      </w:r>
      <w:r>
        <w:rPr>
          <w:w w:val="110"/>
        </w:rPr>
        <w:t>has</w:t>
      </w:r>
      <w:r>
        <w:rPr>
          <w:spacing w:val="-20"/>
          <w:w w:val="110"/>
        </w:rPr>
        <w:t> </w:t>
      </w:r>
      <w:r>
        <w:rPr>
          <w:spacing w:val="-3"/>
          <w:w w:val="110"/>
        </w:rPr>
        <w:t>approximately </w:t>
      </w:r>
      <w:r>
        <w:rPr>
          <w:w w:val="110"/>
        </w:rPr>
        <w:t>halved</w:t>
      </w:r>
      <w:r>
        <w:rPr>
          <w:spacing w:val="-9"/>
          <w:w w:val="110"/>
        </w:rPr>
        <w:t> </w:t>
      </w:r>
      <w:r>
        <w:rPr>
          <w:w w:val="110"/>
        </w:rPr>
        <w:t>since</w:t>
      </w:r>
      <w:r>
        <w:rPr>
          <w:spacing w:val="-9"/>
          <w:w w:val="110"/>
        </w:rPr>
        <w:t> </w:t>
      </w:r>
      <w:r>
        <w:rPr>
          <w:spacing w:val="-14"/>
          <w:w w:val="110"/>
        </w:rPr>
        <w:t>1998,</w:t>
      </w:r>
      <w:r>
        <w:rPr>
          <w:spacing w:val="-8"/>
          <w:w w:val="110"/>
        </w:rPr>
        <w:t> </w:t>
      </w:r>
      <w:r>
        <w:rPr>
          <w:spacing w:val="-4"/>
          <w:w w:val="110"/>
        </w:rPr>
        <w:t>to</w:t>
      </w:r>
      <w:r>
        <w:rPr>
          <w:spacing w:val="-9"/>
          <w:w w:val="110"/>
        </w:rPr>
        <w:t> </w:t>
      </w:r>
      <w:r>
        <w:rPr>
          <w:w w:val="110"/>
        </w:rPr>
        <w:t>around</w:t>
      </w:r>
      <w:r>
        <w:rPr>
          <w:spacing w:val="-8"/>
          <w:w w:val="110"/>
        </w:rPr>
        <w:t> </w:t>
      </w:r>
      <w:r>
        <w:rPr>
          <w:w w:val="110"/>
        </w:rPr>
        <w:t>5%,</w:t>
      </w:r>
      <w:r>
        <w:rPr>
          <w:spacing w:val="-9"/>
          <w:w w:val="110"/>
        </w:rPr>
        <w:t> </w:t>
      </w:r>
      <w:r>
        <w:rPr>
          <w:w w:val="110"/>
        </w:rPr>
        <w:t>but</w:t>
      </w:r>
      <w:r>
        <w:rPr>
          <w:spacing w:val="-8"/>
          <w:w w:val="110"/>
        </w:rPr>
        <w:t> </w:t>
      </w:r>
      <w:r>
        <w:rPr>
          <w:w w:val="110"/>
        </w:rPr>
        <w:t>the</w:t>
      </w:r>
      <w:r>
        <w:rPr>
          <w:spacing w:val="-9"/>
          <w:w w:val="110"/>
        </w:rPr>
        <w:t> </w:t>
      </w:r>
      <w:r>
        <w:rPr>
          <w:spacing w:val="-3"/>
          <w:w w:val="110"/>
        </w:rPr>
        <w:t>expected</w:t>
      </w:r>
      <w:r>
        <w:rPr>
          <w:spacing w:val="-8"/>
          <w:w w:val="110"/>
        </w:rPr>
        <w:t> </w:t>
      </w:r>
      <w:r>
        <w:rPr>
          <w:w w:val="110"/>
        </w:rPr>
        <w:t>return</w:t>
      </w:r>
      <w:r>
        <w:rPr>
          <w:spacing w:val="-9"/>
          <w:w w:val="110"/>
        </w:rPr>
        <w:t> </w:t>
      </w:r>
      <w:r>
        <w:rPr>
          <w:w w:val="110"/>
        </w:rPr>
        <w:t>from</w:t>
      </w:r>
    </w:p>
    <w:p>
      <w:pPr>
        <w:spacing w:after="0" w:line="280" w:lineRule="exact"/>
        <w:sectPr>
          <w:type w:val="continuous"/>
          <w:pgSz w:w="11900" w:h="16840"/>
          <w:pgMar w:top="1260" w:bottom="280" w:left="640" w:right="640"/>
          <w:cols w:num="2" w:equalWidth="0">
            <w:col w:w="3786" w:space="1146"/>
            <w:col w:w="5688"/>
          </w:cols>
        </w:sectPr>
      </w:pPr>
    </w:p>
    <w:p>
      <w:pPr>
        <w:spacing w:line="38" w:lineRule="auto" w:before="0"/>
        <w:ind w:left="181" w:right="0" w:firstLine="0"/>
        <w:jc w:val="left"/>
        <w:rPr>
          <w:sz w:val="12"/>
        </w:rPr>
      </w:pPr>
      <w:r>
        <w:rPr/>
        <w:pict>
          <v:line style="position:absolute;mso-position-horizontal-relative:page;mso-position-vertical-relative:paragraph;z-index:16031744" from="50.759998pt,7.071882pt" to="55.091998pt,7.071882pt" stroked="true" strokeweight=".5pt" strokecolor="#000000">
            <v:stroke dashstyle="solid"/>
            <w10:wrap type="none"/>
          </v:line>
        </w:pict>
      </w:r>
      <w:r>
        <w:rPr>
          <w:w w:val="115"/>
          <w:position w:val="-7"/>
          <w:sz w:val="12"/>
        </w:rPr>
        <w:t>22 </w:t>
      </w:r>
      <w:r>
        <w:rPr>
          <w:w w:val="115"/>
          <w:sz w:val="12"/>
        </w:rPr>
        <w:t>Per cent</w:t>
      </w:r>
    </w:p>
    <w:p>
      <w:pPr>
        <w:pStyle w:val="BodyText"/>
      </w:pPr>
    </w:p>
    <w:p>
      <w:pPr>
        <w:pStyle w:val="BodyText"/>
        <w:spacing w:before="11"/>
        <w:rPr>
          <w:sz w:val="19"/>
        </w:rPr>
      </w:pPr>
    </w:p>
    <w:p>
      <w:pPr>
        <w:spacing w:before="0"/>
        <w:ind w:left="181" w:right="0" w:firstLine="0"/>
        <w:jc w:val="left"/>
        <w:rPr>
          <w:sz w:val="12"/>
        </w:rPr>
      </w:pPr>
      <w:r>
        <w:rPr/>
        <w:pict>
          <v:group style="position:absolute;margin-left:50.759998pt;margin-top:-8.16398pt;width:159.3pt;height:52.25pt;mso-position-horizontal-relative:page;mso-position-vertical-relative:paragraph;z-index:16030208" coordorigin="1015,-163" coordsize="3186,1045">
            <v:line style="position:absolute" from="1160,655" to="1210,655" stroked="true" strokeweight="1.125pt" strokecolor="#de0035">
              <v:stroke dashstyle="solid"/>
            </v:line>
            <v:shape style="position:absolute;left:1200;top:546;width:53;height:123" coordorigin="1200,547" coordsize="53,123" path="m1200,654l1223,547m1223,547l1253,669e" filled="false" stroked="true" strokeweight="1pt" strokecolor="#de0035">
              <v:path arrowok="t"/>
              <v:stroke dashstyle="solid"/>
            </v:shape>
            <v:line style="position:absolute" from="1243,670" to="1295,670" stroked="true" strokeweight="1.125pt" strokecolor="#de0035">
              <v:stroke dashstyle="solid"/>
            </v:line>
            <v:shape style="position:absolute;left:1285;top:591;width:418;height:173" coordorigin="1285,592" coordsize="418,173" path="m1285,669l1315,592m1315,592l1338,624m1338,624l1368,654m1368,654l1400,764m1400,764l1420,592m1420,592l1450,687m1450,687l1483,624m1483,624l1503,627m1503,624l1535,609m1535,609l1565,687m1565,687l1598,732m1598,732l1618,624m1618,624l1650,687m1650,687l1680,609m1680,609l1703,654e" filled="false" stroked="true" strokeweight="1pt" strokecolor="#de0035">
              <v:path arrowok="t"/>
              <v:stroke dashstyle="solid"/>
            </v:shape>
            <v:line style="position:absolute" from="1693,655" to="1743,655" stroked="true" strokeweight="1.125pt" strokecolor="#de0035">
              <v:stroke dashstyle="solid"/>
            </v:line>
            <v:shape style="position:absolute;left:1732;top:654;width:168;height:155" coordorigin="1733,654" coordsize="168,155" path="m1733,654l1765,669m1765,669l1795,687m1795,687l1818,702m1818,702l1848,779m1848,779l1880,794m1880,794l1900,809e" filled="false" stroked="true" strokeweight="1pt" strokecolor="#de0035">
              <v:path arrowok="t"/>
              <v:stroke dashstyle="solid"/>
            </v:shape>
            <v:line style="position:absolute" from="1890,810" to="1943,810" stroked="true" strokeweight="1.125pt" strokecolor="#de0035">
              <v:stroke dashstyle="solid"/>
            </v:line>
            <v:shape style="position:absolute;left:1932;top:406;width:365;height:465" coordorigin="1933,407" coordsize="365,465" path="m1933,809l1963,779m1963,779l1983,809m1983,809l2015,747m2015,747l2048,764m2048,764l2078,857m2078,857l2098,842m2098,842l2130,872m2130,872l2160,764m2160,764l2183,794m2183,794l2213,687m2213,687l2245,639m2245,639l2275,592m2275,592l2298,407e" filled="false" stroked="true" strokeweight="1pt" strokecolor="#de0035">
              <v:path arrowok="t"/>
              <v:stroke dashstyle="solid"/>
            </v:shape>
            <v:line style="position:absolute" from="2313,397" to="2313,742" stroked="true" strokeweight="2.5pt" strokecolor="#de0035">
              <v:stroke dashstyle="solid"/>
            </v:line>
            <v:shape style="position:absolute;left:2327;top:499;width:283;height:295" coordorigin="2328,499" coordsize="283,295" path="m2328,732l2360,669m2360,669l2380,672m2380,669l2413,687m2413,687l2443,794m2443,794l2465,717m2465,717l2495,764m2495,764l2528,779m2528,779l2558,717m2558,717l2578,609m2578,609l2610,499e" filled="false" stroked="true" strokeweight="1pt" strokecolor="#de0035">
              <v:path arrowok="t"/>
              <v:stroke dashstyle="solid"/>
            </v:shape>
            <v:line style="position:absolute" from="2600,500" to="2653,500" stroked="true" strokeweight="1.125pt" strokecolor="#de0035">
              <v:stroke dashstyle="solid"/>
            </v:line>
            <v:shape style="position:absolute;left:2642;top:189;width:218;height:310" coordorigin="2643,189" coordsize="218,310" path="m2643,499l2663,484m2663,484l2693,407m2693,407l2725,359m2725,359l2755,267m2755,267l2778,219m2778,219l2808,189m2808,189l2840,219m2840,219l2860,234e" filled="false" stroked="true" strokeweight="1pt" strokecolor="#de0035">
              <v:path arrowok="t"/>
              <v:stroke dashstyle="solid"/>
            </v:shape>
            <v:line style="position:absolute" from="2850,235" to="2903,235" stroked="true" strokeweight="1.125pt" strokecolor="#de0035">
              <v:stroke dashstyle="solid"/>
            </v:line>
            <v:shape style="position:absolute;left:2892;top:234;width:168;height:265" coordorigin="2893,234" coordsize="168,265" path="m2893,234l2923,252m2923,252l2945,282m2945,282l2975,312m2975,312l3008,407m3008,407l3038,499m3038,499l3060,422e" filled="false" stroked="true" strokeweight="1pt" strokecolor="#de0035">
              <v:path arrowok="t"/>
              <v:stroke dashstyle="solid"/>
            </v:shape>
            <v:line style="position:absolute" from="3050,423" to="3100,423" stroked="true" strokeweight="1.125pt" strokecolor="#de0035">
              <v:stroke dashstyle="solid"/>
            </v:line>
            <v:shape style="position:absolute;left:3090;top:421;width:198;height:220" coordorigin="3090,422" coordsize="198,220" path="m3090,422l3123,469m3123,469l3143,499m3143,499l3173,592m3173,592l3205,562m3205,562l3238,639m3238,639l3258,642m3258,639l3288,624e" filled="false" stroked="true" strokeweight="1pt" strokecolor="#de0035">
              <v:path arrowok="t"/>
              <v:stroke dashstyle="solid"/>
            </v:shape>
            <v:line style="position:absolute" from="3278,625" to="3330,625" stroked="true" strokeweight="1.125pt" strokecolor="#de0035">
              <v:stroke dashstyle="solid"/>
            </v:line>
            <v:shape style="position:absolute;left:3320;top:-154;width:730;height:855" coordorigin="3320,-153" coordsize="730,855" path="m3320,624l3340,702m3340,702l3373,654m3373,654l3403,624m3403,624l3425,654m3425,654l3455,592m3455,592l3488,484m3488,484l3518,499m3518,499l3540,392m3540,392l3570,437m3570,437l3603,422m3603,422l3623,452m3623,452l3655,374m3655,374l3685,252m3685,252l3718,234m3718,234l3738,174m3738,174l3770,64m3770,64l3800,49m3800,49l3820,2m3820,2l3853,-61m3853,-61l3883,-123m3883,-123l3905,-153m3905,-153l3935,-91m3935,-91l3968,-106m3968,-106l3998,-91m3998,-91l4020,-76m4020,-76l4050,-43e" filled="false" stroked="true" strokeweight="1pt" strokecolor="#de0035">
              <v:path arrowok="t"/>
              <v:stroke dashstyle="solid"/>
            </v:shape>
            <v:shape style="position:absolute;left:1015;top:82;width:3186;height:586" coordorigin="1015,83" coordsize="3186,586" path="m4114,83l4201,83m4114,661l4201,661m1015,90l1102,90m1015,668l1102,668e" filled="false" stroked="true" strokeweight=".5pt" strokecolor="#000000">
              <v:path arrowok="t"/>
              <v:stroke dashstyle="solid"/>
            </v:shape>
            <v:shape style="position:absolute;left:1015;top:-164;width:3186;height:1045" type="#_x0000_t202" filled="false" stroked="false">
              <v:textbox inset="0,0,0,0">
                <w:txbxContent>
                  <w:p>
                    <w:pPr>
                      <w:spacing w:line="208" w:lineRule="auto" w:before="66"/>
                      <w:ind w:left="1044" w:right="389" w:hanging="61"/>
                      <w:jc w:val="left"/>
                      <w:rPr>
                        <w:sz w:val="12"/>
                      </w:rPr>
                    </w:pPr>
                    <w:r>
                      <w:rPr>
                        <w:w w:val="110"/>
                        <w:sz w:val="12"/>
                      </w:rPr>
                      <w:t>Gross business investment/output (left-hand scale)</w:t>
                    </w:r>
                  </w:p>
                </w:txbxContent>
              </v:textbox>
              <w10:wrap type="none"/>
            </v:shape>
            <w10:wrap type="none"/>
          </v:group>
        </w:pict>
      </w:r>
      <w:r>
        <w:rPr>
          <w:w w:val="120"/>
          <w:sz w:val="12"/>
        </w:rPr>
        <w:t>18</w:t>
      </w:r>
    </w:p>
    <w:p>
      <w:pPr>
        <w:pStyle w:val="BodyText"/>
        <w:rPr>
          <w:sz w:val="12"/>
        </w:rPr>
      </w:pPr>
    </w:p>
    <w:p>
      <w:pPr>
        <w:pStyle w:val="BodyText"/>
        <w:rPr>
          <w:sz w:val="12"/>
        </w:rPr>
      </w:pPr>
    </w:p>
    <w:p>
      <w:pPr>
        <w:pStyle w:val="BodyText"/>
        <w:spacing w:before="3"/>
        <w:rPr>
          <w:sz w:val="14"/>
        </w:rPr>
      </w:pPr>
    </w:p>
    <w:p>
      <w:pPr>
        <w:spacing w:before="0"/>
        <w:ind w:left="181" w:right="0" w:firstLine="0"/>
        <w:jc w:val="left"/>
        <w:rPr>
          <w:sz w:val="12"/>
        </w:rPr>
      </w:pPr>
      <w:r>
        <w:rPr>
          <w:w w:val="120"/>
          <w:sz w:val="12"/>
        </w:rPr>
        <w:t>14</w:t>
      </w:r>
    </w:p>
    <w:p>
      <w:pPr>
        <w:pStyle w:val="BodyText"/>
        <w:rPr>
          <w:sz w:val="12"/>
        </w:rPr>
      </w:pPr>
    </w:p>
    <w:p>
      <w:pPr>
        <w:pStyle w:val="BodyText"/>
        <w:rPr>
          <w:sz w:val="12"/>
        </w:rPr>
      </w:pPr>
    </w:p>
    <w:p>
      <w:pPr>
        <w:pStyle w:val="BodyText"/>
        <w:spacing w:before="3"/>
        <w:rPr>
          <w:sz w:val="14"/>
        </w:rPr>
      </w:pPr>
    </w:p>
    <w:p>
      <w:pPr>
        <w:spacing w:before="0"/>
        <w:ind w:left="181" w:right="0" w:firstLine="0"/>
        <w:jc w:val="left"/>
        <w:rPr>
          <w:sz w:val="12"/>
        </w:rPr>
      </w:pPr>
      <w:r>
        <w:rPr/>
        <w:pict>
          <v:group style="position:absolute;margin-left:50.759998pt;margin-top:-2.214381pt;width:159.3pt;height:37.65pt;mso-position-horizontal-relative:page;mso-position-vertical-relative:paragraph;z-index:-23300608" coordorigin="1015,-44" coordsize="3186,753">
            <v:shape style="position:absolute;left:1170;top:290;width:198;height:155" coordorigin="1170,291" coordsize="198,155" path="m1170,446l1200,338m1200,338l1223,291m1223,291l1253,323m1253,323l1285,368m1285,368l1315,291m1315,291l1338,323m1338,323l1368,383e" filled="false" stroked="true" strokeweight="1pt" strokecolor="#006caa">
              <v:path arrowok="t"/>
              <v:stroke dashstyle="solid"/>
            </v:shape>
            <v:line style="position:absolute" from="1358,384" to="1410,384" stroked="true" strokeweight="1.125pt" strokecolor="#006caa">
              <v:stroke dashstyle="solid"/>
            </v:line>
            <v:shape style="position:absolute;left:1400;top:323;width:103;height:60" coordorigin="1400,323" coordsize="103,60" path="m1400,383l1420,323m1420,323l1450,338m1450,338l1483,368m1483,368l1503,371e" filled="false" stroked="true" strokeweight="1pt" strokecolor="#006caa">
              <v:path arrowok="t"/>
              <v:stroke dashstyle="solid"/>
            </v:shape>
            <v:line style="position:absolute" from="1493,369" to="1545,369" stroked="true" strokeweight="1.125pt" strokecolor="#006caa">
              <v:stroke dashstyle="solid"/>
            </v:line>
            <v:shape style="position:absolute;left:1535;top:-35;width:365;height:480" coordorigin="1535,-34" coordsize="365,480" path="m1535,368l1565,383m1565,383l1598,368m1598,368l1618,306m1618,306l1650,446m1650,446l1680,323m1680,323l1703,326m1703,323l1733,228m1733,228l1765,166m1765,166l1795,106m1795,106l1818,11m1818,11l1848,-34m1848,-34l1880,-19m1880,-19l1900,43e" filled="false" stroked="true" strokeweight="1pt" strokecolor="#006caa">
              <v:path arrowok="t"/>
              <v:stroke dashstyle="solid"/>
            </v:shape>
            <v:line style="position:absolute" from="1890,44" to="1943,44" stroked="true" strokeweight="1.125pt" strokecolor="#006caa">
              <v:stroke dashstyle="solid"/>
            </v:line>
            <v:shape style="position:absolute;left:1932;top:25;width:50;height:80" coordorigin="1933,26" coordsize="50,80" path="m1933,43l1963,26m1963,26l1983,106e" filled="false" stroked="true" strokeweight="1pt" strokecolor="#006caa">
              <v:path arrowok="t"/>
              <v:stroke dashstyle="solid"/>
            </v:shape>
            <v:shape style="position:absolute;left:1972;top:106;width:85;height:2" coordorigin="1973,107" coordsize="85,0" path="m1973,107l2025,107m2005,107l2058,107e" filled="false" stroked="true" strokeweight="1.125pt" strokecolor="#006caa">
              <v:path arrowok="t"/>
              <v:stroke dashstyle="solid"/>
            </v:shape>
            <v:shape style="position:absolute;left:2047;top:105;width:530;height:513" coordorigin="2048,106" coordsize="530,513" path="m2048,106l2078,198m2078,198l2098,183m2098,183l2130,228m2130,228l2160,276m2160,276l2183,306m2183,306l2213,261m2213,261l2245,243m2245,243l2275,291m2275,291l2298,338m2298,338l2328,431m2328,431l2360,383m2360,383l2380,401m2380,401l2413,416m2413,416l2443,478m2443,478l2465,493m2465,493l2495,541m2495,541l2528,523m2528,523l2558,571m2558,571l2578,618e" filled="false" stroked="true" strokeweight="1pt" strokecolor="#006caa">
              <v:path arrowok="t"/>
              <v:stroke dashstyle="solid"/>
            </v:shape>
            <v:line style="position:absolute" from="2568,619" to="2620,619" stroked="true" strokeweight="1.125pt" strokecolor="#006caa">
              <v:stroke dashstyle="solid"/>
            </v:line>
            <v:shape style="position:absolute;left:2610;top:275;width:815;height:420" coordorigin="2610,276" coordsize="815,420" path="m2610,618l2643,648m2643,648l2663,651m2663,648l2693,678m2693,678l2725,696m2725,696l2755,663m2755,663l2778,633m2778,633l2808,601m2808,601l2840,586m2840,586l2860,588m2860,586l2893,571m2893,571l2923,493m2923,493l2945,431m2945,431l2975,383m2975,383l3008,353m3008,353l3038,323m3038,323l3060,306m3060,306l3090,291m3090,291l3123,276m3123,276l3143,291m3143,291l3173,306m3173,306l3205,338m3205,338l3238,353m3238,353l3258,401m3258,401l3288,416m3288,416l3320,478m3320,478l3340,523m3340,523l3373,571m3373,571l3403,601m3403,601l3425,603e" filled="false" stroked="true" strokeweight="1pt" strokecolor="#006caa">
              <v:path arrowok="t"/>
              <v:stroke dashstyle="solid"/>
            </v:shape>
            <v:shape style="position:absolute;left:3415;top:601;width:83;height:2" coordorigin="3415,602" coordsize="83,0" path="m3415,602l3465,602m3445,602l3498,602e" filled="false" stroked="true" strokeweight="1.125pt" strokecolor="#006caa">
              <v:path arrowok="t"/>
              <v:stroke dashstyle="solid"/>
            </v:shape>
            <v:shape style="position:absolute;left:3487;top:600;width:168;height:63" coordorigin="3488,601" coordsize="168,63" path="m3488,601l3518,618m3518,618l3540,633m3540,633l3570,618m3570,618l3603,633m3603,633l3623,636m3623,633l3655,663e" filled="false" stroked="true" strokeweight="1pt" strokecolor="#006caa">
              <v:path arrowok="t"/>
              <v:stroke dashstyle="solid"/>
            </v:shape>
            <v:line style="position:absolute" from="3645,664" to="3695,664" stroked="true" strokeweight="1.125pt" strokecolor="#006caa">
              <v:stroke dashstyle="solid"/>
            </v:line>
            <v:shape style="position:absolute;left:3685;top:663;width:85;height:33" coordorigin="3685,663" coordsize="85,33" path="m3685,663l3718,678m3718,678l3738,681m3738,678l3770,696e" filled="false" stroked="true" strokeweight="1pt" strokecolor="#006caa">
              <v:path arrowok="t"/>
              <v:stroke dashstyle="solid"/>
            </v:shape>
            <v:line style="position:absolute" from="3760,697" to="3810,697" stroked="true" strokeweight="1.125pt" strokecolor="#006caa">
              <v:stroke dashstyle="solid"/>
            </v:line>
            <v:shape style="position:absolute;left:3800;top:618;width:135;height:78" coordorigin="3800,618" coordsize="135,78" path="m3800,696l3820,678m3820,678l3853,648m3853,648l3883,618m3883,618l3905,621m3905,618l3935,633e" filled="false" stroked="true" strokeweight="1pt" strokecolor="#006caa">
              <v:path arrowok="t"/>
              <v:stroke dashstyle="solid"/>
            </v:shape>
            <v:line style="position:absolute" from="3925,634" to="3978,634" stroked="true" strokeweight="1.125pt" strokecolor="#006caa">
              <v:stroke dashstyle="solid"/>
            </v:line>
            <v:shape style="position:absolute;left:3967;top:618;width:53;height:15" coordorigin="3968,618" coordsize="53,15" path="m3968,633l3998,618m3998,618l4020,633e" filled="false" stroked="true" strokeweight="1pt" strokecolor="#006caa">
              <v:path arrowok="t"/>
              <v:stroke dashstyle="solid"/>
            </v:shape>
            <v:line style="position:absolute" from="4010,634" to="4060,634" stroked="true" strokeweight="1.125pt" strokecolor="#006caa">
              <v:stroke dashstyle="solid"/>
            </v:line>
            <v:shape style="position:absolute;left:1015;top:83;width:3186;height:586" coordorigin="1015,84" coordsize="3186,586" path="m4114,662l4201,662m4114,84l4201,84m1015,669l1102,669m1015,91l1102,91e" filled="false" stroked="true" strokeweight=".5pt" strokecolor="#000000">
              <v:path arrowok="t"/>
              <v:stroke dashstyle="solid"/>
            </v:shape>
            <v:shape style="position:absolute;left:1015;top:-45;width:3186;height:753" type="#_x0000_t202" filled="false" stroked="false">
              <v:textbox inset="0,0,0,0">
                <w:txbxContent>
                  <w:p>
                    <w:pPr>
                      <w:spacing w:line="208" w:lineRule="auto" w:before="63"/>
                      <w:ind w:left="1311" w:right="185" w:hanging="61"/>
                      <w:jc w:val="left"/>
                      <w:rPr>
                        <w:sz w:val="12"/>
                      </w:rPr>
                    </w:pPr>
                    <w:r>
                      <w:rPr>
                        <w:w w:val="110"/>
                        <w:sz w:val="12"/>
                      </w:rPr>
                      <w:t>Net business capital-output ratio (right-hand scale)</w:t>
                    </w:r>
                  </w:p>
                </w:txbxContent>
              </v:textbox>
              <w10:wrap type="none"/>
            </v:shape>
            <w10:wrap type="none"/>
          </v:group>
        </w:pict>
      </w:r>
      <w:r>
        <w:rPr>
          <w:w w:val="120"/>
          <w:sz w:val="12"/>
        </w:rPr>
        <w:t>10</w:t>
      </w:r>
    </w:p>
    <w:p>
      <w:pPr>
        <w:spacing w:line="20" w:lineRule="exact" w:before="0"/>
        <w:ind w:left="181" w:right="0" w:firstLine="0"/>
        <w:jc w:val="left"/>
        <w:rPr>
          <w:sz w:val="12"/>
        </w:rPr>
      </w:pPr>
      <w:r>
        <w:rPr/>
        <w:br w:type="column"/>
      </w:r>
      <w:r>
        <w:rPr>
          <w:w w:val="105"/>
          <w:sz w:val="12"/>
        </w:rPr>
        <w:t>Ratio</w:t>
      </w:r>
    </w:p>
    <w:p>
      <w:pPr>
        <w:spacing w:line="113" w:lineRule="exact" w:before="0"/>
        <w:ind w:left="0" w:right="38" w:firstLine="0"/>
        <w:jc w:val="right"/>
        <w:rPr>
          <w:sz w:val="12"/>
        </w:rPr>
      </w:pPr>
      <w:r>
        <w:rPr/>
        <w:pict>
          <v:line style="position:absolute;mso-position-horizontal-relative:page;mso-position-vertical-relative:paragraph;z-index:16030720" from="205.718002pt,2.374441pt" to="210.050002pt,2.374441pt" stroked="true" strokeweight=".5pt" strokecolor="#000000">
            <v:stroke dashstyle="solid"/>
            <w10:wrap type="none"/>
          </v:line>
        </w:pict>
      </w:r>
      <w:r>
        <w:rPr>
          <w:w w:val="120"/>
          <w:sz w:val="12"/>
        </w:rPr>
        <w:t>10</w:t>
      </w:r>
    </w:p>
    <w:p>
      <w:pPr>
        <w:pStyle w:val="BodyText"/>
        <w:rPr>
          <w:sz w:val="12"/>
        </w:rPr>
      </w:pPr>
    </w:p>
    <w:p>
      <w:pPr>
        <w:pStyle w:val="BodyText"/>
        <w:rPr>
          <w:sz w:val="12"/>
        </w:rPr>
      </w:pPr>
    </w:p>
    <w:p>
      <w:pPr>
        <w:pStyle w:val="BodyText"/>
        <w:spacing w:before="3"/>
        <w:rPr>
          <w:sz w:val="14"/>
        </w:rPr>
      </w:pPr>
    </w:p>
    <w:p>
      <w:pPr>
        <w:spacing w:before="0"/>
        <w:ind w:left="0" w:right="38" w:firstLine="0"/>
        <w:jc w:val="right"/>
        <w:rPr>
          <w:sz w:val="12"/>
        </w:rPr>
      </w:pPr>
      <w:r>
        <w:rPr>
          <w:w w:val="121"/>
          <w:sz w:val="12"/>
        </w:rPr>
        <w:t>9</w:t>
      </w:r>
    </w:p>
    <w:p>
      <w:pPr>
        <w:pStyle w:val="BodyText"/>
        <w:rPr>
          <w:sz w:val="12"/>
        </w:rPr>
      </w:pPr>
    </w:p>
    <w:p>
      <w:pPr>
        <w:pStyle w:val="BodyText"/>
        <w:rPr>
          <w:sz w:val="12"/>
        </w:rPr>
      </w:pPr>
    </w:p>
    <w:p>
      <w:pPr>
        <w:pStyle w:val="BodyText"/>
        <w:spacing w:before="3"/>
        <w:rPr>
          <w:sz w:val="14"/>
        </w:rPr>
      </w:pPr>
    </w:p>
    <w:p>
      <w:pPr>
        <w:spacing w:before="0"/>
        <w:ind w:left="0" w:right="38" w:firstLine="0"/>
        <w:jc w:val="right"/>
        <w:rPr>
          <w:sz w:val="12"/>
        </w:rPr>
      </w:pPr>
      <w:r>
        <w:rPr>
          <w:w w:val="121"/>
          <w:sz w:val="12"/>
        </w:rPr>
        <w:t>8</w:t>
      </w:r>
    </w:p>
    <w:p>
      <w:pPr>
        <w:pStyle w:val="BodyText"/>
        <w:rPr>
          <w:sz w:val="12"/>
        </w:rPr>
      </w:pPr>
    </w:p>
    <w:p>
      <w:pPr>
        <w:pStyle w:val="BodyText"/>
        <w:rPr>
          <w:sz w:val="12"/>
        </w:rPr>
      </w:pPr>
    </w:p>
    <w:p>
      <w:pPr>
        <w:pStyle w:val="BodyText"/>
        <w:spacing w:before="3"/>
        <w:rPr>
          <w:sz w:val="14"/>
        </w:rPr>
      </w:pPr>
    </w:p>
    <w:p>
      <w:pPr>
        <w:spacing w:before="0"/>
        <w:ind w:left="0" w:right="38" w:firstLine="0"/>
        <w:jc w:val="right"/>
        <w:rPr>
          <w:sz w:val="12"/>
        </w:rPr>
      </w:pPr>
      <w:r>
        <w:rPr>
          <w:w w:val="121"/>
          <w:sz w:val="12"/>
        </w:rPr>
        <w:t>7</w:t>
      </w:r>
    </w:p>
    <w:p>
      <w:pPr>
        <w:pStyle w:val="BodyText"/>
        <w:spacing w:line="292" w:lineRule="auto" w:before="37"/>
        <w:ind w:left="181" w:right="138"/>
      </w:pPr>
      <w:r>
        <w:rPr/>
        <w:br w:type="column"/>
      </w:r>
      <w:r>
        <w:rPr>
          <w:w w:val="110"/>
        </w:rPr>
        <w:t>new capital equipment </w:t>
      </w:r>
      <w:r>
        <w:rPr>
          <w:spacing w:val="-3"/>
          <w:w w:val="110"/>
        </w:rPr>
        <w:t>may </w:t>
      </w:r>
      <w:r>
        <w:rPr>
          <w:w w:val="110"/>
        </w:rPr>
        <w:t>be significantly higher if it embodies new technology that facilitates </w:t>
      </w:r>
      <w:r>
        <w:rPr>
          <w:spacing w:val="-3"/>
          <w:w w:val="110"/>
        </w:rPr>
        <w:t>improved </w:t>
      </w:r>
      <w:r>
        <w:rPr>
          <w:spacing w:val="-4"/>
          <w:w w:val="110"/>
        </w:rPr>
        <w:t>productivity. </w:t>
      </w:r>
      <w:r>
        <w:rPr>
          <w:spacing w:val="-3"/>
          <w:w w:val="110"/>
        </w:rPr>
        <w:t>Together </w:t>
      </w:r>
      <w:r>
        <w:rPr>
          <w:w w:val="110"/>
        </w:rPr>
        <w:t>with </w:t>
      </w:r>
      <w:r>
        <w:rPr>
          <w:spacing w:val="-3"/>
          <w:w w:val="110"/>
        </w:rPr>
        <w:t>survey </w:t>
      </w:r>
      <w:r>
        <w:rPr>
          <w:w w:val="110"/>
        </w:rPr>
        <w:t>evidence suggesting relatively</w:t>
      </w:r>
      <w:r>
        <w:rPr>
          <w:spacing w:val="-24"/>
          <w:w w:val="110"/>
        </w:rPr>
        <w:t> </w:t>
      </w:r>
      <w:r>
        <w:rPr>
          <w:w w:val="110"/>
        </w:rPr>
        <w:t>high</w:t>
      </w:r>
      <w:r>
        <w:rPr>
          <w:spacing w:val="-23"/>
          <w:w w:val="110"/>
        </w:rPr>
        <w:t> </w:t>
      </w:r>
      <w:r>
        <w:rPr>
          <w:w w:val="110"/>
        </w:rPr>
        <w:t>levels</w:t>
      </w:r>
      <w:r>
        <w:rPr>
          <w:spacing w:val="-24"/>
          <w:w w:val="110"/>
        </w:rPr>
        <w:t> </w:t>
      </w:r>
      <w:r>
        <w:rPr>
          <w:w w:val="110"/>
        </w:rPr>
        <w:t>of</w:t>
      </w:r>
      <w:r>
        <w:rPr>
          <w:spacing w:val="-23"/>
          <w:w w:val="110"/>
        </w:rPr>
        <w:t> </w:t>
      </w:r>
      <w:r>
        <w:rPr>
          <w:w w:val="110"/>
        </w:rPr>
        <w:t>capacity</w:t>
      </w:r>
      <w:r>
        <w:rPr>
          <w:spacing w:val="-24"/>
          <w:w w:val="110"/>
        </w:rPr>
        <w:t> </w:t>
      </w:r>
      <w:r>
        <w:rPr>
          <w:w w:val="110"/>
        </w:rPr>
        <w:t>utilisation,</w:t>
      </w:r>
      <w:r>
        <w:rPr>
          <w:spacing w:val="-23"/>
          <w:w w:val="110"/>
        </w:rPr>
        <w:t> </w:t>
      </w:r>
      <w:r>
        <w:rPr>
          <w:w w:val="110"/>
        </w:rPr>
        <w:t>that</w:t>
      </w:r>
      <w:r>
        <w:rPr>
          <w:spacing w:val="-23"/>
          <w:w w:val="110"/>
        </w:rPr>
        <w:t> </w:t>
      </w:r>
      <w:r>
        <w:rPr>
          <w:spacing w:val="-3"/>
          <w:w w:val="110"/>
        </w:rPr>
        <w:t>may</w:t>
      </w:r>
      <w:r>
        <w:rPr>
          <w:spacing w:val="-24"/>
          <w:w w:val="110"/>
        </w:rPr>
        <w:t> </w:t>
      </w:r>
      <w:r>
        <w:rPr>
          <w:w w:val="110"/>
        </w:rPr>
        <w:t>explain </w:t>
      </w:r>
      <w:r>
        <w:rPr>
          <w:spacing w:val="-3"/>
          <w:w w:val="110"/>
        </w:rPr>
        <w:t>why</w:t>
      </w:r>
      <w:r>
        <w:rPr>
          <w:spacing w:val="-20"/>
          <w:w w:val="110"/>
        </w:rPr>
        <w:t> </w:t>
      </w:r>
      <w:r>
        <w:rPr>
          <w:w w:val="110"/>
        </w:rPr>
        <w:t>the</w:t>
      </w:r>
      <w:r>
        <w:rPr>
          <w:spacing w:val="-20"/>
          <w:w w:val="110"/>
        </w:rPr>
        <w:t> </w:t>
      </w:r>
      <w:r>
        <w:rPr>
          <w:w w:val="110"/>
        </w:rPr>
        <w:t>balance</w:t>
      </w:r>
      <w:r>
        <w:rPr>
          <w:spacing w:val="-19"/>
          <w:w w:val="110"/>
        </w:rPr>
        <w:t> </w:t>
      </w:r>
      <w:r>
        <w:rPr>
          <w:w w:val="110"/>
        </w:rPr>
        <w:t>of</w:t>
      </w:r>
      <w:r>
        <w:rPr>
          <w:spacing w:val="-20"/>
          <w:w w:val="110"/>
        </w:rPr>
        <w:t> </w:t>
      </w:r>
      <w:r>
        <w:rPr>
          <w:w w:val="110"/>
        </w:rPr>
        <w:t>firms</w:t>
      </w:r>
      <w:r>
        <w:rPr>
          <w:spacing w:val="-20"/>
          <w:w w:val="110"/>
        </w:rPr>
        <w:t> </w:t>
      </w:r>
      <w:r>
        <w:rPr>
          <w:w w:val="110"/>
        </w:rPr>
        <w:t>revising</w:t>
      </w:r>
      <w:r>
        <w:rPr>
          <w:spacing w:val="-19"/>
          <w:w w:val="110"/>
        </w:rPr>
        <w:t> </w:t>
      </w:r>
      <w:r>
        <w:rPr>
          <w:w w:val="110"/>
        </w:rPr>
        <w:t>up</w:t>
      </w:r>
      <w:r>
        <w:rPr>
          <w:spacing w:val="-20"/>
          <w:w w:val="110"/>
        </w:rPr>
        <w:t> </w:t>
      </w:r>
      <w:r>
        <w:rPr>
          <w:w w:val="110"/>
        </w:rPr>
        <w:t>their</w:t>
      </w:r>
      <w:r>
        <w:rPr>
          <w:spacing w:val="-20"/>
          <w:w w:val="110"/>
        </w:rPr>
        <w:t> </w:t>
      </w:r>
      <w:r>
        <w:rPr>
          <w:spacing w:val="-3"/>
          <w:w w:val="110"/>
        </w:rPr>
        <w:t>investment</w:t>
      </w:r>
      <w:r>
        <w:rPr>
          <w:spacing w:val="-19"/>
          <w:w w:val="110"/>
        </w:rPr>
        <w:t> </w:t>
      </w:r>
      <w:r>
        <w:rPr>
          <w:w w:val="110"/>
        </w:rPr>
        <w:t>plans</w:t>
      </w:r>
      <w:r>
        <w:rPr>
          <w:spacing w:val="-20"/>
          <w:w w:val="110"/>
        </w:rPr>
        <w:t> </w:t>
      </w:r>
      <w:r>
        <w:rPr>
          <w:w w:val="110"/>
        </w:rPr>
        <w:t>has risen since </w:t>
      </w:r>
      <w:r>
        <w:rPr>
          <w:spacing w:val="-14"/>
          <w:w w:val="110"/>
        </w:rPr>
        <w:t>1998, </w:t>
      </w:r>
      <w:r>
        <w:rPr>
          <w:w w:val="110"/>
        </w:rPr>
        <w:t>in both the manufacturing and service </w:t>
      </w:r>
      <w:r>
        <w:rPr>
          <w:spacing w:val="-3"/>
          <w:w w:val="110"/>
        </w:rPr>
        <w:t>sectors </w:t>
      </w:r>
      <w:r>
        <w:rPr>
          <w:w w:val="110"/>
        </w:rPr>
        <w:t>(see Chart</w:t>
      </w:r>
      <w:r>
        <w:rPr>
          <w:spacing w:val="-13"/>
          <w:w w:val="110"/>
        </w:rPr>
        <w:t> </w:t>
      </w:r>
      <w:r>
        <w:rPr>
          <w:spacing w:val="-7"/>
          <w:w w:val="110"/>
        </w:rPr>
        <w:t>2.15).</w:t>
      </w:r>
    </w:p>
    <w:p>
      <w:pPr>
        <w:spacing w:after="0" w:line="292" w:lineRule="auto"/>
        <w:sectPr>
          <w:type w:val="continuous"/>
          <w:pgSz w:w="11900" w:h="16840"/>
          <w:pgMar w:top="1260" w:bottom="280" w:left="640" w:right="640"/>
          <w:cols w:num="3" w:equalWidth="0">
            <w:col w:w="847" w:space="2258"/>
            <w:col w:w="684" w:space="1142"/>
            <w:col w:w="5689"/>
          </w:cols>
        </w:sectPr>
      </w:pPr>
    </w:p>
    <w:p>
      <w:pPr>
        <w:pStyle w:val="BodyText"/>
        <w:spacing w:before="11"/>
        <w:rPr>
          <w:sz w:val="16"/>
        </w:rPr>
      </w:pPr>
    </w:p>
    <w:p>
      <w:pPr>
        <w:spacing w:after="0"/>
        <w:rPr>
          <w:sz w:val="16"/>
        </w:rPr>
        <w:sectPr>
          <w:type w:val="continuous"/>
          <w:pgSz w:w="11900" w:h="16840"/>
          <w:pgMar w:top="1260" w:bottom="280" w:left="640" w:right="640"/>
        </w:sectPr>
      </w:pPr>
    </w:p>
    <w:p>
      <w:pPr>
        <w:tabs>
          <w:tab w:pos="3676" w:val="left" w:leader="none"/>
        </w:tabs>
        <w:spacing w:before="101"/>
        <w:ind w:left="254" w:right="0" w:firstLine="0"/>
        <w:jc w:val="left"/>
        <w:rPr>
          <w:sz w:val="12"/>
        </w:rPr>
      </w:pPr>
      <w:r>
        <w:rPr>
          <w:w w:val="120"/>
          <w:position w:val="1"/>
          <w:sz w:val="12"/>
        </w:rPr>
        <w:t>6</w:t>
        <w:tab/>
      </w:r>
      <w:r>
        <w:rPr>
          <w:w w:val="120"/>
          <w:sz w:val="12"/>
        </w:rPr>
        <w:t>6</w:t>
      </w:r>
    </w:p>
    <w:p>
      <w:pPr>
        <w:pStyle w:val="BodyText"/>
        <w:rPr>
          <w:sz w:val="12"/>
        </w:rPr>
      </w:pPr>
    </w:p>
    <w:p>
      <w:pPr>
        <w:pStyle w:val="BodyText"/>
        <w:rPr>
          <w:sz w:val="12"/>
        </w:rPr>
      </w:pPr>
    </w:p>
    <w:p>
      <w:pPr>
        <w:pStyle w:val="BodyText"/>
        <w:spacing w:before="4"/>
        <w:rPr>
          <w:sz w:val="13"/>
        </w:rPr>
      </w:pPr>
    </w:p>
    <w:p>
      <w:pPr>
        <w:tabs>
          <w:tab w:pos="3636" w:val="left" w:leader="none"/>
        </w:tabs>
        <w:spacing w:line="131" w:lineRule="exact" w:before="1"/>
        <w:ind w:left="214" w:right="0" w:firstLine="0"/>
        <w:jc w:val="center"/>
        <w:rPr>
          <w:sz w:val="12"/>
        </w:rPr>
      </w:pPr>
      <w:r>
        <w:rPr/>
        <w:pict>
          <v:shape style="position:absolute;margin-left:50.759998pt;margin-top:-1.67044pt;width:159.3pt;height:6.4pt;mso-position-horizontal-relative:page;mso-position-vertical-relative:paragraph;z-index:-23298560" coordorigin="1015,-33" coordsize="3186,128" path="m4114,86l4201,86m1015,93l1102,93m1172,94l4052,94m1169,-33l1169,94m1396,27l1396,94m1622,27l1622,94m1849,27l1849,94m2075,27l2075,94m2755,27l2755,94m2302,-33l2302,94m2981,27l2981,94m2528,27l2528,94m3434,-33l3434,94m1283,27l1283,94m1509,27l1509,94m1736,-33l1736,94m1962,27l1962,94m2188,27l2188,94m2868,-33l2868,94m2415,27l2415,94m3208,27l3208,94m2641,27l2641,94m3660,27l3660,94m3094,27l3094,94m3547,27l3547,94m3887,27l3887,94m3321,27l3321,94m3774,27l3774,94m4000,-33l4000,94e" filled="false" stroked="true" strokeweight=".5pt" strokecolor="#000000">
            <v:path arrowok="t"/>
            <v:stroke dashstyle="solid"/>
            <w10:wrap type="none"/>
          </v:shape>
        </w:pict>
      </w:r>
      <w:r>
        <w:rPr>
          <w:w w:val="120"/>
          <w:position w:val="1"/>
          <w:sz w:val="12"/>
        </w:rPr>
        <w:t>2</w:t>
        <w:tab/>
      </w:r>
      <w:r>
        <w:rPr>
          <w:w w:val="120"/>
          <w:sz w:val="12"/>
        </w:rPr>
        <w:t>5</w:t>
      </w:r>
    </w:p>
    <w:p>
      <w:pPr>
        <w:tabs>
          <w:tab w:pos="909" w:val="left" w:leader="none"/>
          <w:tab w:pos="1477" w:val="left" w:leader="none"/>
          <w:tab w:pos="2052" w:val="left" w:leader="none"/>
          <w:tab w:pos="2620" w:val="left" w:leader="none"/>
          <w:tab w:pos="3151" w:val="left" w:leader="none"/>
        </w:tabs>
        <w:spacing w:line="121" w:lineRule="exact" w:before="0"/>
        <w:ind w:left="261" w:right="0" w:firstLine="0"/>
        <w:jc w:val="center"/>
        <w:rPr>
          <w:sz w:val="12"/>
        </w:rPr>
      </w:pPr>
      <w:r>
        <w:rPr>
          <w:w w:val="120"/>
          <w:sz w:val="12"/>
        </w:rPr>
        <w:t>1975</w:t>
        <w:tab/>
        <w:t>80</w:t>
        <w:tab/>
        <w:t>85</w:t>
        <w:tab/>
        <w:t>90</w:t>
        <w:tab/>
        <w:t>95</w:t>
        <w:tab/>
        <w:t>2000</w:t>
      </w:r>
    </w:p>
    <w:p>
      <w:pPr>
        <w:pStyle w:val="BodyText"/>
        <w:spacing w:before="6"/>
        <w:rPr>
          <w:sz w:val="9"/>
        </w:rPr>
      </w:pPr>
    </w:p>
    <w:p>
      <w:pPr>
        <w:spacing w:before="0"/>
        <w:ind w:left="181" w:right="0" w:firstLine="0"/>
        <w:jc w:val="left"/>
        <w:rPr>
          <w:sz w:val="12"/>
        </w:rPr>
      </w:pPr>
      <w:r>
        <w:rPr>
          <w:w w:val="105"/>
          <w:sz w:val="12"/>
        </w:rPr>
        <w:t>Sources: ONS and Bank of England.</w:t>
      </w:r>
    </w:p>
    <w:p>
      <w:pPr>
        <w:pStyle w:val="BodyText"/>
        <w:spacing w:before="1"/>
        <w:rPr>
          <w:sz w:val="10"/>
        </w:rPr>
      </w:pPr>
    </w:p>
    <w:p>
      <w:pPr>
        <w:spacing w:line="208" w:lineRule="auto" w:before="1"/>
        <w:ind w:left="421" w:right="190" w:hanging="240"/>
        <w:jc w:val="both"/>
        <w:rPr>
          <w:sz w:val="12"/>
        </w:rPr>
      </w:pPr>
      <w:r>
        <w:rPr>
          <w:w w:val="110"/>
          <w:sz w:val="12"/>
        </w:rPr>
        <w:t>(a)</w:t>
      </w:r>
      <w:r>
        <w:rPr>
          <w:spacing w:val="13"/>
          <w:w w:val="110"/>
          <w:sz w:val="12"/>
        </w:rPr>
        <w:t> </w:t>
      </w:r>
      <w:r>
        <w:rPr>
          <w:w w:val="110"/>
          <w:sz w:val="12"/>
        </w:rPr>
        <w:t>Business</w:t>
      </w:r>
      <w:r>
        <w:rPr>
          <w:spacing w:val="-10"/>
          <w:w w:val="110"/>
          <w:sz w:val="12"/>
        </w:rPr>
        <w:t> </w:t>
      </w:r>
      <w:r>
        <w:rPr>
          <w:w w:val="110"/>
          <w:sz w:val="12"/>
        </w:rPr>
        <w:t>sector</w:t>
      </w:r>
      <w:r>
        <w:rPr>
          <w:spacing w:val="-10"/>
          <w:w w:val="110"/>
          <w:sz w:val="12"/>
        </w:rPr>
        <w:t> </w:t>
      </w:r>
      <w:r>
        <w:rPr>
          <w:w w:val="110"/>
          <w:sz w:val="12"/>
        </w:rPr>
        <w:t>output</w:t>
      </w:r>
      <w:r>
        <w:rPr>
          <w:spacing w:val="-9"/>
          <w:w w:val="110"/>
          <w:sz w:val="12"/>
        </w:rPr>
        <w:t> </w:t>
      </w:r>
      <w:r>
        <w:rPr>
          <w:w w:val="110"/>
          <w:sz w:val="12"/>
        </w:rPr>
        <w:t>is</w:t>
      </w:r>
      <w:r>
        <w:rPr>
          <w:spacing w:val="-10"/>
          <w:w w:val="110"/>
          <w:sz w:val="12"/>
        </w:rPr>
        <w:t> </w:t>
      </w:r>
      <w:r>
        <w:rPr>
          <w:w w:val="110"/>
          <w:sz w:val="12"/>
        </w:rPr>
        <w:t>defined</w:t>
      </w:r>
      <w:r>
        <w:rPr>
          <w:spacing w:val="-10"/>
          <w:w w:val="110"/>
          <w:sz w:val="12"/>
        </w:rPr>
        <w:t> </w:t>
      </w:r>
      <w:r>
        <w:rPr>
          <w:w w:val="110"/>
          <w:sz w:val="12"/>
        </w:rPr>
        <w:t>as</w:t>
      </w:r>
      <w:r>
        <w:rPr>
          <w:spacing w:val="-9"/>
          <w:w w:val="110"/>
          <w:sz w:val="12"/>
        </w:rPr>
        <w:t> </w:t>
      </w:r>
      <w:r>
        <w:rPr>
          <w:w w:val="110"/>
          <w:sz w:val="12"/>
        </w:rPr>
        <w:t>GDP</w:t>
      </w:r>
      <w:r>
        <w:rPr>
          <w:spacing w:val="-10"/>
          <w:w w:val="110"/>
          <w:sz w:val="12"/>
        </w:rPr>
        <w:t> </w:t>
      </w:r>
      <w:r>
        <w:rPr>
          <w:w w:val="110"/>
          <w:sz w:val="12"/>
        </w:rPr>
        <w:t>minus</w:t>
      </w:r>
      <w:r>
        <w:rPr>
          <w:spacing w:val="-10"/>
          <w:w w:val="110"/>
          <w:sz w:val="12"/>
        </w:rPr>
        <w:t> </w:t>
      </w:r>
      <w:r>
        <w:rPr>
          <w:w w:val="110"/>
          <w:sz w:val="12"/>
        </w:rPr>
        <w:t>output</w:t>
      </w:r>
      <w:r>
        <w:rPr>
          <w:spacing w:val="-9"/>
          <w:w w:val="110"/>
          <w:sz w:val="12"/>
        </w:rPr>
        <w:t> </w:t>
      </w:r>
      <w:r>
        <w:rPr>
          <w:w w:val="110"/>
          <w:sz w:val="12"/>
        </w:rPr>
        <w:t>of</w:t>
      </w:r>
      <w:r>
        <w:rPr>
          <w:spacing w:val="-10"/>
          <w:w w:val="110"/>
          <w:sz w:val="12"/>
        </w:rPr>
        <w:t> </w:t>
      </w:r>
      <w:r>
        <w:rPr>
          <w:w w:val="110"/>
          <w:sz w:val="12"/>
        </w:rPr>
        <w:t>the public</w:t>
      </w:r>
      <w:r>
        <w:rPr>
          <w:spacing w:val="-10"/>
          <w:w w:val="110"/>
          <w:sz w:val="12"/>
        </w:rPr>
        <w:t> </w:t>
      </w:r>
      <w:r>
        <w:rPr>
          <w:w w:val="110"/>
          <w:sz w:val="12"/>
        </w:rPr>
        <w:t>administration</w:t>
      </w:r>
      <w:r>
        <w:rPr>
          <w:spacing w:val="-10"/>
          <w:w w:val="110"/>
          <w:sz w:val="12"/>
        </w:rPr>
        <w:t> </w:t>
      </w:r>
      <w:r>
        <w:rPr>
          <w:w w:val="110"/>
          <w:sz w:val="12"/>
        </w:rPr>
        <w:t>and</w:t>
      </w:r>
      <w:r>
        <w:rPr>
          <w:spacing w:val="-9"/>
          <w:w w:val="110"/>
          <w:sz w:val="12"/>
        </w:rPr>
        <w:t> </w:t>
      </w:r>
      <w:r>
        <w:rPr>
          <w:w w:val="110"/>
          <w:sz w:val="12"/>
        </w:rPr>
        <w:t>defence,</w:t>
      </w:r>
      <w:r>
        <w:rPr>
          <w:spacing w:val="-10"/>
          <w:w w:val="110"/>
          <w:sz w:val="12"/>
        </w:rPr>
        <w:t> </w:t>
      </w:r>
      <w:r>
        <w:rPr>
          <w:w w:val="110"/>
          <w:sz w:val="12"/>
        </w:rPr>
        <w:t>education,</w:t>
      </w:r>
      <w:r>
        <w:rPr>
          <w:spacing w:val="-10"/>
          <w:w w:val="110"/>
          <w:sz w:val="12"/>
        </w:rPr>
        <w:t> </w:t>
      </w:r>
      <w:r>
        <w:rPr>
          <w:w w:val="110"/>
          <w:sz w:val="12"/>
        </w:rPr>
        <w:t>and</w:t>
      </w:r>
      <w:r>
        <w:rPr>
          <w:spacing w:val="-9"/>
          <w:w w:val="110"/>
          <w:sz w:val="12"/>
        </w:rPr>
        <w:t> </w:t>
      </w:r>
      <w:r>
        <w:rPr>
          <w:w w:val="110"/>
          <w:sz w:val="12"/>
        </w:rPr>
        <w:t>health</w:t>
      </w:r>
      <w:r>
        <w:rPr>
          <w:spacing w:val="-10"/>
          <w:w w:val="110"/>
          <w:sz w:val="12"/>
        </w:rPr>
        <w:t> </w:t>
      </w:r>
      <w:r>
        <w:rPr>
          <w:w w:val="110"/>
          <w:sz w:val="12"/>
        </w:rPr>
        <w:t>and social work sectors. At constant </w:t>
      </w:r>
      <w:r>
        <w:rPr>
          <w:spacing w:val="-11"/>
          <w:w w:val="110"/>
          <w:sz w:val="12"/>
        </w:rPr>
        <w:t>1995</w:t>
      </w:r>
      <w:r>
        <w:rPr>
          <w:spacing w:val="-3"/>
          <w:w w:val="110"/>
          <w:sz w:val="12"/>
        </w:rPr>
        <w:t> </w:t>
      </w:r>
      <w:r>
        <w:rPr>
          <w:w w:val="110"/>
          <w:sz w:val="12"/>
        </w:rPr>
        <w:t>prices.</w:t>
      </w:r>
    </w:p>
    <w:p>
      <w:pPr>
        <w:pStyle w:val="BodyText"/>
        <w:spacing w:line="292" w:lineRule="auto" w:before="61"/>
        <w:ind w:left="181" w:right="90"/>
      </w:pPr>
      <w:r>
        <w:rPr/>
        <w:br w:type="column"/>
      </w:r>
      <w:r>
        <w:rPr>
          <w:spacing w:val="-3"/>
          <w:w w:val="110"/>
        </w:rPr>
        <w:t>Overall </w:t>
      </w:r>
      <w:r>
        <w:rPr>
          <w:w w:val="110"/>
        </w:rPr>
        <w:t>it is difficult </w:t>
      </w:r>
      <w:r>
        <w:rPr>
          <w:spacing w:val="-4"/>
          <w:w w:val="110"/>
        </w:rPr>
        <w:t>to </w:t>
      </w:r>
      <w:r>
        <w:rPr>
          <w:w w:val="110"/>
        </w:rPr>
        <w:t>reconcile the </w:t>
      </w:r>
      <w:r>
        <w:rPr>
          <w:spacing w:val="-3"/>
          <w:w w:val="110"/>
        </w:rPr>
        <w:t>survey </w:t>
      </w:r>
      <w:r>
        <w:rPr>
          <w:w w:val="110"/>
        </w:rPr>
        <w:t>evidence on </w:t>
      </w:r>
      <w:r>
        <w:rPr>
          <w:spacing w:val="-3"/>
          <w:w w:val="110"/>
        </w:rPr>
        <w:t>investment</w:t>
      </w:r>
      <w:r>
        <w:rPr>
          <w:spacing w:val="-27"/>
          <w:w w:val="110"/>
        </w:rPr>
        <w:t> </w:t>
      </w:r>
      <w:r>
        <w:rPr>
          <w:w w:val="110"/>
        </w:rPr>
        <w:t>plans</w:t>
      </w:r>
      <w:r>
        <w:rPr>
          <w:spacing w:val="-27"/>
          <w:w w:val="110"/>
        </w:rPr>
        <w:t> </w:t>
      </w:r>
      <w:r>
        <w:rPr>
          <w:w w:val="110"/>
        </w:rPr>
        <w:t>with</w:t>
      </w:r>
      <w:r>
        <w:rPr>
          <w:spacing w:val="-26"/>
          <w:w w:val="110"/>
        </w:rPr>
        <w:t> </w:t>
      </w:r>
      <w:r>
        <w:rPr>
          <w:w w:val="110"/>
        </w:rPr>
        <w:t>the</w:t>
      </w:r>
      <w:r>
        <w:rPr>
          <w:spacing w:val="-27"/>
          <w:w w:val="110"/>
        </w:rPr>
        <w:t> </w:t>
      </w:r>
      <w:r>
        <w:rPr>
          <w:w w:val="110"/>
        </w:rPr>
        <w:t>recent</w:t>
      </w:r>
      <w:r>
        <w:rPr>
          <w:spacing w:val="-26"/>
          <w:w w:val="110"/>
        </w:rPr>
        <w:t> </w:t>
      </w:r>
      <w:r>
        <w:rPr>
          <w:w w:val="110"/>
        </w:rPr>
        <w:t>comparatively</w:t>
      </w:r>
      <w:r>
        <w:rPr>
          <w:spacing w:val="-27"/>
          <w:w w:val="110"/>
        </w:rPr>
        <w:t> </w:t>
      </w:r>
      <w:r>
        <w:rPr>
          <w:w w:val="110"/>
        </w:rPr>
        <w:t>weak</w:t>
      </w:r>
      <w:r>
        <w:rPr>
          <w:spacing w:val="-26"/>
          <w:w w:val="110"/>
        </w:rPr>
        <w:t> </w:t>
      </w:r>
      <w:r>
        <w:rPr>
          <w:w w:val="110"/>
        </w:rPr>
        <w:t>growth</w:t>
      </w:r>
      <w:r>
        <w:rPr>
          <w:spacing w:val="-27"/>
          <w:w w:val="110"/>
        </w:rPr>
        <w:t> </w:t>
      </w:r>
      <w:r>
        <w:rPr>
          <w:w w:val="110"/>
        </w:rPr>
        <w:t>in </w:t>
      </w:r>
      <w:r>
        <w:rPr>
          <w:spacing w:val="-3"/>
          <w:w w:val="110"/>
        </w:rPr>
        <w:t>investment</w:t>
      </w:r>
      <w:r>
        <w:rPr>
          <w:spacing w:val="-13"/>
          <w:w w:val="110"/>
        </w:rPr>
        <w:t> </w:t>
      </w:r>
      <w:r>
        <w:rPr>
          <w:w w:val="110"/>
        </w:rPr>
        <w:t>expenditure,</w:t>
      </w:r>
      <w:r>
        <w:rPr>
          <w:spacing w:val="-12"/>
          <w:w w:val="110"/>
        </w:rPr>
        <w:t> </w:t>
      </w:r>
      <w:r>
        <w:rPr>
          <w:w w:val="110"/>
        </w:rPr>
        <w:t>especially</w:t>
      </w:r>
      <w:r>
        <w:rPr>
          <w:spacing w:val="-13"/>
          <w:w w:val="110"/>
        </w:rPr>
        <w:t> </w:t>
      </w:r>
      <w:r>
        <w:rPr>
          <w:spacing w:val="-3"/>
          <w:w w:val="110"/>
        </w:rPr>
        <w:t>by</w:t>
      </w:r>
      <w:r>
        <w:rPr>
          <w:spacing w:val="-12"/>
          <w:w w:val="110"/>
        </w:rPr>
        <w:t> </w:t>
      </w:r>
      <w:r>
        <w:rPr>
          <w:w w:val="110"/>
        </w:rPr>
        <w:t>the</w:t>
      </w:r>
      <w:r>
        <w:rPr>
          <w:spacing w:val="-13"/>
          <w:w w:val="110"/>
        </w:rPr>
        <w:t> </w:t>
      </w:r>
      <w:r>
        <w:rPr>
          <w:w w:val="110"/>
        </w:rPr>
        <w:t>service</w:t>
      </w:r>
      <w:r>
        <w:rPr>
          <w:spacing w:val="-12"/>
          <w:w w:val="110"/>
        </w:rPr>
        <w:t> </w:t>
      </w:r>
      <w:r>
        <w:rPr>
          <w:spacing w:val="-4"/>
          <w:w w:val="110"/>
        </w:rPr>
        <w:t>sector.</w:t>
      </w:r>
    </w:p>
    <w:p>
      <w:pPr>
        <w:pStyle w:val="BodyText"/>
        <w:spacing w:line="292" w:lineRule="auto"/>
        <w:ind w:left="181" w:right="90"/>
      </w:pPr>
      <w:r>
        <w:rPr>
          <w:w w:val="105"/>
        </w:rPr>
        <w:t>Various factors may have affected the time scale over which those plans are implemented. Uncertainty about the ability of ICT equipment to cope with the date change to 2000 may</w:t>
      </w:r>
    </w:p>
    <w:p>
      <w:pPr>
        <w:spacing w:after="0" w:line="292" w:lineRule="auto"/>
        <w:sectPr>
          <w:type w:val="continuous"/>
          <w:pgSz w:w="11900" w:h="16840"/>
          <w:pgMar w:top="1260" w:bottom="280" w:left="640" w:right="640"/>
          <w:cols w:num="2" w:equalWidth="0">
            <w:col w:w="3790" w:space="1142"/>
            <w:col w:w="5688"/>
          </w:cols>
        </w:sectPr>
      </w:pPr>
    </w:p>
    <w:p>
      <w:pPr>
        <w:pStyle w:val="BodyText"/>
      </w:pPr>
    </w:p>
    <w:p>
      <w:pPr>
        <w:spacing w:after="0"/>
        <w:sectPr>
          <w:pgSz w:w="11900" w:h="16840"/>
          <w:pgMar w:header="601" w:footer="575" w:top="800" w:bottom="760" w:left="640" w:right="640"/>
        </w:sectPr>
      </w:pPr>
    </w:p>
    <w:p>
      <w:pPr>
        <w:pStyle w:val="BodyText"/>
        <w:spacing w:before="8"/>
        <w:rPr>
          <w:sz w:val="21"/>
        </w:rPr>
      </w:pPr>
    </w:p>
    <w:p>
      <w:pPr>
        <w:pStyle w:val="Heading6"/>
        <w:spacing w:before="1"/>
        <w:ind w:left="191"/>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2.15</w:t>
      </w:r>
    </w:p>
    <w:p>
      <w:pPr>
        <w:spacing w:before="7"/>
        <w:ind w:left="191" w:right="0" w:firstLine="0"/>
        <w:jc w:val="left"/>
        <w:rPr>
          <w:rFonts w:ascii="Trebuchet MS"/>
          <w:b/>
          <w:sz w:val="20"/>
        </w:rPr>
      </w:pPr>
      <w:r>
        <w:rPr>
          <w:rFonts w:ascii="Trebuchet MS"/>
          <w:b/>
          <w:color w:val="89C6DC"/>
          <w:sz w:val="20"/>
        </w:rPr>
        <w:t>Influences on investment</w:t>
      </w:r>
    </w:p>
    <w:p>
      <w:pPr>
        <w:tabs>
          <w:tab w:pos="2195" w:val="left" w:leader="none"/>
        </w:tabs>
        <w:spacing w:line="152" w:lineRule="exact" w:before="98"/>
        <w:ind w:left="192" w:right="0" w:firstLine="0"/>
        <w:jc w:val="left"/>
        <w:rPr>
          <w:sz w:val="12"/>
        </w:rPr>
      </w:pPr>
      <w:r>
        <w:rPr>
          <w:rFonts w:ascii="Arial"/>
          <w:w w:val="110"/>
          <w:position w:val="1"/>
          <w:sz w:val="16"/>
          <w:u w:val="single"/>
        </w:rPr>
        <w:t>M</w:t>
      </w:r>
      <w:r>
        <w:rPr>
          <w:rFonts w:ascii="Arial"/>
          <w:w w:val="110"/>
          <w:position w:val="1"/>
          <w:sz w:val="16"/>
        </w:rPr>
        <w:t>anufacturing</w:t>
        <w:tab/>
      </w:r>
      <w:r>
        <w:rPr>
          <w:w w:val="110"/>
          <w:sz w:val="12"/>
        </w:rPr>
        <w:t>Percentage or</w:t>
      </w:r>
      <w:r>
        <w:rPr>
          <w:spacing w:val="-8"/>
          <w:w w:val="110"/>
          <w:sz w:val="12"/>
        </w:rPr>
        <w:t> </w:t>
      </w:r>
      <w:r>
        <w:rPr>
          <w:w w:val="110"/>
          <w:sz w:val="12"/>
        </w:rPr>
        <w:t>balanc</w:t>
      </w:r>
      <w:r>
        <w:rPr>
          <w:w w:val="110"/>
          <w:sz w:val="12"/>
          <w:u w:val="single"/>
        </w:rPr>
        <w:t>es</w:t>
      </w:r>
    </w:p>
    <w:p>
      <w:pPr>
        <w:spacing w:line="104" w:lineRule="exact" w:before="0"/>
        <w:ind w:left="0" w:right="38" w:firstLine="0"/>
        <w:jc w:val="right"/>
        <w:rPr>
          <w:sz w:val="12"/>
        </w:rPr>
      </w:pPr>
      <w:r>
        <w:rPr>
          <w:w w:val="120"/>
          <w:sz w:val="12"/>
        </w:rPr>
        <w:t>60</w:t>
      </w:r>
    </w:p>
    <w:p>
      <w:pPr>
        <w:pStyle w:val="BodyText"/>
        <w:spacing w:before="6"/>
        <w:rPr>
          <w:sz w:val="19"/>
        </w:rPr>
      </w:pPr>
      <w:r>
        <w:rPr/>
        <w:br w:type="column"/>
      </w:r>
      <w:r>
        <w:rPr>
          <w:sz w:val="19"/>
        </w:rPr>
      </w:r>
    </w:p>
    <w:p>
      <w:pPr>
        <w:pStyle w:val="BodyText"/>
        <w:spacing w:line="292" w:lineRule="auto" w:before="1"/>
        <w:ind w:left="191" w:right="241"/>
      </w:pPr>
      <w:r>
        <w:rPr>
          <w:spacing w:val="-3"/>
          <w:w w:val="105"/>
        </w:rPr>
        <w:t>have </w:t>
      </w:r>
      <w:r>
        <w:rPr>
          <w:w w:val="105"/>
        </w:rPr>
        <w:t>led </w:t>
      </w:r>
      <w:r>
        <w:rPr>
          <w:spacing w:val="-4"/>
          <w:w w:val="105"/>
        </w:rPr>
        <w:t>to </w:t>
      </w:r>
      <w:r>
        <w:rPr>
          <w:w w:val="105"/>
        </w:rPr>
        <w:t>a bunching of ICT </w:t>
      </w:r>
      <w:r>
        <w:rPr>
          <w:spacing w:val="-3"/>
          <w:w w:val="105"/>
        </w:rPr>
        <w:t>investment </w:t>
      </w:r>
      <w:r>
        <w:rPr>
          <w:w w:val="105"/>
        </w:rPr>
        <w:t>in advance of the  new millennium. Firms </w:t>
      </w:r>
      <w:r>
        <w:rPr>
          <w:spacing w:val="-3"/>
          <w:w w:val="105"/>
        </w:rPr>
        <w:t>may </w:t>
      </w:r>
      <w:r>
        <w:rPr>
          <w:w w:val="105"/>
        </w:rPr>
        <w:t>also </w:t>
      </w:r>
      <w:r>
        <w:rPr>
          <w:spacing w:val="-3"/>
          <w:w w:val="105"/>
        </w:rPr>
        <w:t>have taken </w:t>
      </w:r>
      <w:r>
        <w:rPr>
          <w:w w:val="105"/>
        </w:rPr>
        <w:t>the opportunity </w:t>
      </w:r>
      <w:r>
        <w:rPr>
          <w:spacing w:val="-4"/>
          <w:w w:val="105"/>
        </w:rPr>
        <w:t>to </w:t>
      </w:r>
      <w:r>
        <w:rPr>
          <w:w w:val="105"/>
        </w:rPr>
        <w:t>replace complementary capital equipment at the same</w:t>
      </w:r>
      <w:r>
        <w:rPr>
          <w:spacing w:val="6"/>
          <w:w w:val="105"/>
        </w:rPr>
        <w:t> </w:t>
      </w:r>
      <w:r>
        <w:rPr>
          <w:w w:val="105"/>
        </w:rPr>
        <w:t>time.</w:t>
      </w:r>
    </w:p>
    <w:p>
      <w:pPr>
        <w:spacing w:after="0" w:line="292" w:lineRule="auto"/>
        <w:sectPr>
          <w:type w:val="continuous"/>
          <w:pgSz w:w="11900" w:h="16840"/>
          <w:pgMar w:top="1260" w:bottom="280" w:left="640" w:right="640"/>
          <w:cols w:num="2" w:equalWidth="0">
            <w:col w:w="3639" w:space="1273"/>
            <w:col w:w="5708"/>
          </w:cols>
        </w:sectPr>
      </w:pPr>
    </w:p>
    <w:p>
      <w:pPr>
        <w:spacing w:line="208" w:lineRule="auto" w:before="23"/>
        <w:ind w:left="447" w:right="21" w:hanging="61"/>
        <w:jc w:val="left"/>
        <w:rPr>
          <w:sz w:val="12"/>
        </w:rPr>
      </w:pPr>
      <w:r>
        <w:rPr/>
        <w:pict>
          <v:group style="position:absolute;margin-left:49.620998pt;margin-top:5.481376pt;width:152.550pt;height:57.4pt;mso-position-horizontal-relative:page;mso-position-vertical-relative:paragraph;z-index:-23293440" coordorigin="992,110" coordsize="3051,1148">
            <v:line style="position:absolute" from="1007,923" to="3900,923" stroked="true" strokeweight=".5pt" strokecolor="#000000">
              <v:stroke dashstyle="solid"/>
            </v:line>
            <v:shape style="position:absolute;left:992;top:317;width:575;height:710" type="#_x0000_t75" stroked="false">
              <v:imagedata r:id="rId107" o:title=""/>
            </v:shape>
            <v:shape style="position:absolute;left:1557;top:284;width:493;height:590" coordorigin="1557,285" coordsize="493,590" path="m1557,875l1620,450m1620,450l1685,492m1685,492l1735,515m1735,515l1800,395m1800,395l1862,855m1862,855l1925,612m1925,612l1987,327m1987,327l2050,285e" filled="false" stroked="true" strokeweight="1pt" strokecolor="#acbc4a">
              <v:path arrowok="t"/>
              <v:stroke dashstyle="solid"/>
            </v:shape>
            <v:line style="position:absolute" from="2040,286" to="2122,286" stroked="true" strokeweight="1.125pt" strokecolor="#acbc4a">
              <v:stroke dashstyle="solid"/>
            </v:line>
            <v:shape style="position:absolute;left:2112;top:119;width:1780;height:768" coordorigin="2112,120" coordsize="1780,768" path="m2112,285l2175,197m2175,197l2227,220m2227,220l2290,187m2290,187l2352,120m2352,120l2417,187m2417,187l2480,252m2480,252l2542,350m2542,350l2605,295m2605,295l2667,327m2667,327l2720,262m2720,262l2782,285m2782,285l2845,187m2845,187l2907,132m2907,132l2970,187m2970,187l3035,350m3035,350l3097,382m3097,382l3160,350m3160,350l3212,427m3212,427l3275,580m3275,580l3337,887m3337,887l3400,820m3400,820l3462,625m3462,625l3525,547m3525,547l3587,285m3587,285l3652,187m3652,187l3702,327m3702,327l3767,515m3767,515l3830,427m3830,427l3892,395e" filled="false" stroked="true" strokeweight="1pt" strokecolor="#acbc4a">
              <v:path arrowok="t"/>
              <v:stroke dashstyle="solid"/>
            </v:shape>
            <v:shape style="position:absolute;left:1002;top:624;width:190;height:130" coordorigin="1002,625" coordsize="190,130" path="m1002,625l1067,712m1067,712l1130,690m1130,690l1192,755e" filled="false" stroked="true" strokeweight="1pt" strokecolor="#0099d9">
              <v:path arrowok="t"/>
              <v:stroke dashstyle="solid"/>
            </v:shape>
            <v:line style="position:absolute" from="1182,756" to="1255,756" stroked="true" strokeweight="1.125pt" strokecolor="#0099d9">
              <v:stroke dashstyle="solid"/>
            </v:line>
            <v:shape style="position:absolute;left:1244;top:644;width:868;height:560" coordorigin="1245,645" coordsize="868,560" path="m1245,755l1307,855m1307,855l1370,920m1370,920l1432,1072m1432,1072l1495,1205m1495,1205l1557,1137m1557,1137l1620,1050m1620,1050l1685,952m1685,952l1735,975m1735,975l1800,907m1800,907l1862,952m1862,952l1925,875m1925,875l1987,777m1987,777l2050,712m2050,712l2112,645e" filled="false" stroked="true" strokeweight="1pt" strokecolor="#0099d9">
              <v:path arrowok="t"/>
              <v:stroke dashstyle="solid"/>
            </v:shape>
            <v:line style="position:absolute" from="2102,646" to="2185,646" stroked="true" strokeweight="1.125pt" strokecolor="#0099d9">
              <v:stroke dashstyle="solid"/>
            </v:line>
            <v:shape style="position:absolute;left:2174;top:492;width:243;height:153" coordorigin="2175,492" coordsize="243,153" path="m2175,645l2227,592m2227,592l2290,557m2290,557l2352,492m2352,492l2417,515e" filled="false" stroked="true" strokeweight="1pt" strokecolor="#0099d9">
              <v:path arrowok="t"/>
              <v:stroke dashstyle="solid"/>
            </v:shape>
            <v:line style="position:absolute" from="2407,516" to="2490,516" stroked="true" strokeweight="1.125pt" strokecolor="#0099d9">
              <v:stroke dashstyle="solid"/>
            </v:line>
            <v:line style="position:absolute" from="2480,515" to="2542,547" stroked="true" strokeweight="1pt" strokecolor="#0099d9">
              <v:stroke dashstyle="solid"/>
            </v:line>
            <v:line style="position:absolute" from="2532,548" to="2615,548" stroked="true" strokeweight="1.125pt" strokecolor="#0099d9">
              <v:stroke dashstyle="solid"/>
            </v:line>
            <v:line style="position:absolute" from="2605,547" to="2667,557" stroked="true" strokeweight="1pt" strokecolor="#0099d9">
              <v:stroke dashstyle="solid"/>
            </v:line>
            <v:line style="position:absolute" from="2657,558" to="2730,558" stroked="true" strokeweight="1.125pt" strokecolor="#0099d9">
              <v:stroke dashstyle="solid"/>
            </v:line>
            <v:shape style="position:absolute;left:2719;top:514;width:1173;height:428" coordorigin="2720,515" coordsize="1173,428" path="m2720,557l2782,612m2782,612l2845,557m2845,557l2907,625m2907,625l2970,515m2970,515l3035,557m3035,557l3097,592m3097,592l3160,547m3160,547l3212,657m3212,657l3275,712m3275,712l3337,920m3337,920l3400,942m3400,942l3462,855m3462,855l3525,875m3525,875l3587,745m3587,745l3652,690m3652,690l3702,777m3702,777l3767,722m3767,722l3830,657m3830,657l3892,745e" filled="false" stroked="true" strokeweight="1pt" strokecolor="#0099d9">
              <v:path arrowok="t"/>
              <v:stroke dashstyle="solid"/>
            </v:shape>
            <v:shape style="position:absolute;left:1734;top:557;width:808;height:560" coordorigin="1735,557" coordsize="808,560" path="m1735,1117l1800,1085m1800,1085l1862,1017m1862,1017l1925,997m1925,997l1987,985m1987,985l2050,997m2050,997l2112,1050m2112,1050l2175,1007m2175,1007l2227,875m2227,875l2290,842m2290,842l2352,745m2352,745l2417,635m2417,635l2480,680m2480,680l2542,557e" filled="false" stroked="true" strokeweight="1pt" strokecolor="#610e7a">
              <v:path arrowok="t"/>
              <v:stroke dashstyle="solid"/>
            </v:shape>
            <v:line style="position:absolute" from="2532,558" to="2615,558" stroked="true" strokeweight="1.125pt" strokecolor="#610e7a">
              <v:stroke dashstyle="solid"/>
            </v:line>
            <v:shape style="position:absolute;left:2604;top:557;width:303;height:460" coordorigin="2605,557" coordsize="303,460" path="m2605,557l2667,732m2667,732l2720,777m2720,777l2782,1017m2782,1017l2845,952m2845,952l2907,842e" filled="false" stroked="true" strokeweight="1pt" strokecolor="#610e7a">
              <v:path arrowok="t"/>
              <v:stroke dashstyle="solid"/>
            </v:shape>
            <v:line style="position:absolute" from="2897,843" to="2980,843" stroked="true" strokeweight="1.125pt" strokecolor="#610e7a">
              <v:stroke dashstyle="solid"/>
            </v:line>
            <v:shape style="position:absolute;left:2969;top:492;width:860;height:700" coordorigin="2970,492" coordsize="860,700" path="m2970,842l3035,492m3035,492l3097,745m3097,745l3160,842m3160,842l3212,700m3212,700l3275,920m3275,920l3337,887m3337,887l3400,875m3400,875l3462,1160m3462,1160l3525,1192m3525,1192l3587,1182m3587,1182l3652,1117m3652,1117l3702,875m3702,875l3767,865m3767,865l3830,832e" filled="false" stroked="true" strokeweight="1pt" strokecolor="#610e7a">
              <v:path arrowok="t"/>
              <v:stroke dashstyle="solid"/>
            </v:shape>
            <v:line style="position:absolute" from="1473,280" to="2020,600" stroked="true" strokeweight=".5pt" strokecolor="#000000">
              <v:stroke dashstyle="solid"/>
            </v:line>
            <v:shape style="position:absolute;left:1992;top:570;width:86;height:65" coordorigin="1993,570" coordsize="86,65" path="m2018,570l1993,614,2009,616,2022,619,2078,635,2072,629,2064,622,2055,613,2045,604,2037,595,2018,570xe" filled="true" fillcolor="#000000" stroked="false">
              <v:path arrowok="t"/>
              <v:fill type="solid"/>
            </v:shape>
            <v:shape style="position:absolute;left:3956;top:265;width:87;height:987" coordorigin="3957,266" coordsize="87,987" path="m3957,266l4043,266m3957,595l4043,595m3957,923l4043,923m3957,1252l4043,1252e" filled="false" stroked="true" strokeweight=".5pt" strokecolor="#000000">
              <v:path arrowok="t"/>
              <v:stroke dashstyle="solid"/>
            </v:shape>
            <w10:wrap type="none"/>
          </v:group>
        </w:pict>
      </w:r>
      <w:r>
        <w:rPr>
          <w:w w:val="110"/>
          <w:sz w:val="12"/>
        </w:rPr>
        <w:t>Investment intentions (b)</w:t>
      </w:r>
    </w:p>
    <w:p>
      <w:pPr>
        <w:pStyle w:val="BodyText"/>
        <w:spacing w:line="20" w:lineRule="exact"/>
        <w:ind w:left="187"/>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3"/>
        </w:rPr>
      </w:pPr>
      <w:r>
        <w:rPr/>
        <w:pict>
          <v:shape style="position:absolute;margin-left:41.636002pt;margin-top:15.460458pt;width:4.350pt;height:.1pt;mso-position-horizontal-relative:page;mso-position-vertical-relative:paragraph;z-index:-15424512;mso-wrap-distance-left:0;mso-wrap-distance-right:0" coordorigin="833,309" coordsize="87,0" path="m833,309l919,309e" filled="false" stroked="true" strokeweight=".5pt" strokecolor="#000000">
            <v:path arrowok="t"/>
            <v:stroke dashstyle="solid"/>
            <w10:wrap type="topAndBottom"/>
          </v:shape>
        </w:pict>
      </w:r>
      <w:r>
        <w:rPr/>
        <w:pict>
          <v:shape style="position:absolute;margin-left:41.636002pt;margin-top:31.898458pt;width:4.350pt;height:.1pt;mso-position-horizontal-relative:page;mso-position-vertical-relative:paragraph;z-index:-15424000;mso-wrap-distance-left:0;mso-wrap-distance-right:0" coordorigin="833,638" coordsize="87,0" path="m833,638l919,638e" filled="false" stroked="true" strokeweight=".5pt" strokecolor="#000000">
            <v:path arrowok="t"/>
            <v:stroke dashstyle="solid"/>
            <w10:wrap type="topAndBottom"/>
          </v:shape>
        </w:pict>
      </w:r>
      <w:r>
        <w:rPr/>
        <w:pict>
          <v:shape style="position:absolute;margin-left:41.636002pt;margin-top:48.335457pt;width:4.350pt;height:.1pt;mso-position-horizontal-relative:page;mso-position-vertical-relative:paragraph;z-index:-15423488;mso-wrap-distance-left:0;mso-wrap-distance-right:0" coordorigin="833,967" coordsize="87,0" path="m833,967l919,967e" filled="false" stroked="true" strokeweight=".5pt" strokecolor="#000000">
            <v:path arrowok="t"/>
            <v:stroke dashstyle="solid"/>
            <w10:wrap type="topAndBottom"/>
          </v:shape>
        </w:pict>
      </w:r>
    </w:p>
    <w:p>
      <w:pPr>
        <w:pStyle w:val="BodyText"/>
        <w:spacing w:before="9"/>
        <w:rPr>
          <w:sz w:val="21"/>
        </w:rPr>
      </w:pPr>
    </w:p>
    <w:p>
      <w:pPr>
        <w:pStyle w:val="BodyText"/>
        <w:spacing w:before="9"/>
        <w:rPr>
          <w:sz w:val="21"/>
        </w:rPr>
      </w:pPr>
    </w:p>
    <w:p>
      <w:pPr>
        <w:pStyle w:val="BodyText"/>
        <w:spacing w:before="3"/>
        <w:rPr>
          <w:sz w:val="11"/>
        </w:rPr>
      </w:pPr>
    </w:p>
    <w:p>
      <w:pPr>
        <w:spacing w:before="0"/>
        <w:ind w:left="192" w:right="0" w:firstLine="0"/>
        <w:jc w:val="left"/>
        <w:rPr>
          <w:rFonts w:ascii="Arial"/>
          <w:sz w:val="16"/>
        </w:rPr>
      </w:pPr>
      <w:r>
        <w:rPr>
          <w:rFonts w:ascii="Arial"/>
          <w:sz w:val="16"/>
          <w:u w:val="single"/>
        </w:rPr>
        <w:t>S</w:t>
      </w:r>
      <w:r>
        <w:rPr>
          <w:rFonts w:ascii="Arial"/>
          <w:sz w:val="16"/>
        </w:rPr>
        <w:t>ervices</w:t>
      </w:r>
    </w:p>
    <w:p>
      <w:pPr>
        <w:pStyle w:val="BodyText"/>
        <w:spacing w:before="7" w:after="39"/>
        <w:rPr>
          <w:rFonts w:ascii="Arial"/>
          <w:sz w:val="26"/>
        </w:rPr>
      </w:pPr>
    </w:p>
    <w:p>
      <w:pPr>
        <w:pStyle w:val="BodyText"/>
        <w:spacing w:line="20" w:lineRule="exact"/>
        <w:ind w:left="187"/>
        <w:rPr>
          <w:rFonts w:ascii="Arial"/>
          <w:sz w:val="2"/>
        </w:rPr>
      </w:pPr>
      <w:r>
        <w:rPr>
          <w:rFonts w:ascii="Arial"/>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rFonts w:ascii="Arial"/>
          <w:sz w:val="2"/>
        </w:rPr>
      </w:r>
    </w:p>
    <w:p>
      <w:pPr>
        <w:pStyle w:val="BodyText"/>
        <w:spacing w:before="5"/>
        <w:rPr>
          <w:rFonts w:ascii="Arial"/>
          <w:sz w:val="23"/>
        </w:rPr>
      </w:pPr>
      <w:r>
        <w:rPr/>
        <w:pict>
          <v:shape style="position:absolute;margin-left:41.636002pt;margin-top:15.687pt;width:4.350pt;height:.1pt;mso-position-horizontal-relative:page;mso-position-vertical-relative:paragraph;z-index:-15422464;mso-wrap-distance-left:0;mso-wrap-distance-right:0" coordorigin="833,314" coordsize="87,0" path="m833,314l919,314e" filled="false" stroked="true" strokeweight=".5pt" strokecolor="#000000">
            <v:path arrowok="t"/>
            <v:stroke dashstyle="solid"/>
            <w10:wrap type="topAndBottom"/>
          </v:shape>
        </w:pict>
      </w:r>
      <w:r>
        <w:rPr/>
        <w:pict>
          <v:shape style="position:absolute;margin-left:41.636002pt;margin-top:32.125pt;width:4.350pt;height:.1pt;mso-position-horizontal-relative:page;mso-position-vertical-relative:paragraph;z-index:-15421952;mso-wrap-distance-left:0;mso-wrap-distance-right:0" coordorigin="833,643" coordsize="87,0" path="m833,643l919,643e" filled="false" stroked="true" strokeweight=".5pt" strokecolor="#000000">
            <v:path arrowok="t"/>
            <v:stroke dashstyle="solid"/>
            <w10:wrap type="topAndBottom"/>
          </v:shape>
        </w:pict>
      </w:r>
      <w:r>
        <w:rPr/>
        <w:pict>
          <v:shape style="position:absolute;margin-left:41.636002pt;margin-top:48.562pt;width:4.350pt;height:.1pt;mso-position-horizontal-relative:page;mso-position-vertical-relative:paragraph;z-index:-15421440;mso-wrap-distance-left:0;mso-wrap-distance-right:0" coordorigin="833,971" coordsize="87,0" path="m833,971l919,971e" filled="false" stroked="true" strokeweight=".5pt" strokecolor="#000000">
            <v:path arrowok="t"/>
            <v:stroke dashstyle="solid"/>
            <w10:wrap type="topAndBottom"/>
          </v:shape>
        </w:pict>
      </w:r>
    </w:p>
    <w:p>
      <w:pPr>
        <w:pStyle w:val="BodyText"/>
        <w:spacing w:before="9"/>
        <w:rPr>
          <w:rFonts w:ascii="Arial"/>
          <w:sz w:val="21"/>
        </w:rPr>
      </w:pPr>
    </w:p>
    <w:p>
      <w:pPr>
        <w:pStyle w:val="BodyText"/>
        <w:spacing w:before="9"/>
        <w:rPr>
          <w:rFonts w:ascii="Arial"/>
          <w:sz w:val="21"/>
        </w:rPr>
      </w:pPr>
    </w:p>
    <w:p>
      <w:pPr>
        <w:spacing w:line="118" w:lineRule="exact" w:before="0"/>
        <w:ind w:left="742" w:right="0" w:firstLine="0"/>
        <w:jc w:val="left"/>
        <w:rPr>
          <w:sz w:val="12"/>
        </w:rPr>
      </w:pPr>
      <w:r>
        <w:rPr/>
        <w:br w:type="column"/>
      </w:r>
      <w:r>
        <w:rPr>
          <w:w w:val="105"/>
          <w:sz w:val="12"/>
        </w:rPr>
        <w:t>Profit expectations (a)</w:t>
      </w:r>
    </w:p>
    <w:p>
      <w:pPr>
        <w:spacing w:before="74"/>
        <w:ind w:left="0" w:right="38" w:firstLine="0"/>
        <w:jc w:val="right"/>
        <w:rPr>
          <w:sz w:val="12"/>
        </w:rPr>
      </w:pPr>
      <w:r>
        <w:rPr>
          <w:spacing w:val="-1"/>
          <w:w w:val="120"/>
          <w:sz w:val="12"/>
        </w:rPr>
        <w:t>40</w:t>
      </w:r>
    </w:p>
    <w:p>
      <w:pPr>
        <w:pStyle w:val="BodyText"/>
        <w:spacing w:before="6"/>
        <w:rPr>
          <w:sz w:val="16"/>
        </w:rPr>
      </w:pPr>
    </w:p>
    <w:p>
      <w:pPr>
        <w:spacing w:before="0"/>
        <w:ind w:left="0" w:right="38" w:firstLine="0"/>
        <w:jc w:val="right"/>
        <w:rPr>
          <w:sz w:val="12"/>
        </w:rPr>
      </w:pPr>
      <w:r>
        <w:rPr>
          <w:spacing w:val="-1"/>
          <w:w w:val="120"/>
          <w:sz w:val="12"/>
        </w:rPr>
        <w:t>20</w:t>
      </w:r>
    </w:p>
    <w:p>
      <w:pPr>
        <w:spacing w:line="169" w:lineRule="exact" w:before="36"/>
        <w:ind w:left="0" w:right="114" w:firstLine="0"/>
        <w:jc w:val="right"/>
        <w:rPr>
          <w:sz w:val="16"/>
        </w:rPr>
      </w:pPr>
      <w:r>
        <w:rPr>
          <w:w w:val="107"/>
          <w:sz w:val="16"/>
        </w:rPr>
        <w:t>+</w:t>
      </w:r>
    </w:p>
    <w:p>
      <w:pPr>
        <w:spacing w:line="92" w:lineRule="exact" w:before="0"/>
        <w:ind w:left="2241" w:right="0" w:firstLine="0"/>
        <w:jc w:val="left"/>
        <w:rPr>
          <w:sz w:val="12"/>
        </w:rPr>
      </w:pPr>
      <w:r>
        <w:rPr>
          <w:w w:val="121"/>
          <w:sz w:val="12"/>
        </w:rPr>
        <w:t>0</w:t>
      </w:r>
    </w:p>
    <w:p>
      <w:pPr>
        <w:tabs>
          <w:tab w:pos="2142" w:val="left" w:leader="none"/>
        </w:tabs>
        <w:spacing w:line="196" w:lineRule="exact" w:before="0"/>
        <w:ind w:left="192" w:right="0" w:firstLine="0"/>
        <w:jc w:val="left"/>
        <w:rPr>
          <w:sz w:val="16"/>
        </w:rPr>
      </w:pPr>
      <w:r>
        <w:rPr>
          <w:w w:val="105"/>
          <w:sz w:val="12"/>
        </w:rPr>
        <w:t>Annual</w:t>
      </w:r>
      <w:r>
        <w:rPr>
          <w:spacing w:val="-2"/>
          <w:w w:val="105"/>
          <w:sz w:val="12"/>
        </w:rPr>
        <w:t> </w:t>
      </w:r>
      <w:r>
        <w:rPr>
          <w:w w:val="105"/>
          <w:sz w:val="12"/>
        </w:rPr>
        <w:t>growth</w:t>
        <w:tab/>
      </w:r>
      <w:r>
        <w:rPr>
          <w:w w:val="105"/>
          <w:position w:val="6"/>
          <w:sz w:val="16"/>
        </w:rPr>
        <w:t>–</w:t>
      </w:r>
    </w:p>
    <w:p>
      <w:pPr>
        <w:tabs>
          <w:tab w:pos="2314" w:val="right" w:leader="none"/>
        </w:tabs>
        <w:spacing w:line="218" w:lineRule="auto" w:before="0"/>
        <w:ind w:left="253" w:right="0" w:firstLine="0"/>
        <w:jc w:val="left"/>
        <w:rPr>
          <w:sz w:val="12"/>
        </w:rPr>
      </w:pPr>
      <w:r>
        <w:rPr>
          <w:w w:val="110"/>
          <w:sz w:val="12"/>
        </w:rPr>
        <w:t>in</w:t>
      </w:r>
      <w:r>
        <w:rPr>
          <w:spacing w:val="-3"/>
          <w:w w:val="110"/>
          <w:sz w:val="12"/>
        </w:rPr>
        <w:t> </w:t>
      </w:r>
      <w:r>
        <w:rPr>
          <w:w w:val="110"/>
          <w:sz w:val="12"/>
        </w:rPr>
        <w:t>investment</w:t>
        <w:tab/>
      </w:r>
      <w:r>
        <w:rPr>
          <w:w w:val="110"/>
          <w:position w:val="-3"/>
          <w:sz w:val="12"/>
        </w:rPr>
        <w:t>20</w:t>
      </w:r>
    </w:p>
    <w:p>
      <w:pPr>
        <w:spacing w:line="112" w:lineRule="exact" w:before="141"/>
        <w:ind w:left="912" w:right="0" w:firstLine="0"/>
        <w:jc w:val="left"/>
        <w:rPr>
          <w:sz w:val="12"/>
        </w:rPr>
      </w:pPr>
      <w:r>
        <w:rPr>
          <w:w w:val="110"/>
          <w:sz w:val="12"/>
        </w:rPr>
        <w:t>Percentage or balances</w:t>
      </w:r>
    </w:p>
    <w:p>
      <w:pPr>
        <w:spacing w:line="112" w:lineRule="exact" w:before="0"/>
        <w:ind w:left="2168" w:right="0" w:firstLine="0"/>
        <w:jc w:val="left"/>
        <w:rPr>
          <w:sz w:val="12"/>
        </w:rPr>
      </w:pPr>
      <w:r>
        <w:rPr/>
        <w:pict>
          <v:group style="position:absolute;margin-left:49.620998pt;margin-top:4.283095pt;width:153.550pt;height:64.2pt;mso-position-horizontal-relative:page;mso-position-vertical-relative:paragraph;z-index:16038400" coordorigin="992,86" coordsize="3071,1284">
            <v:shape style="position:absolute;left:1002;top:573;width:188;height:228" coordorigin="1002,574" coordsize="188,228" path="m1002,574l1065,734m1065,734l1127,766m1127,766l1190,801e" filled="false" stroked="true" strokeweight="1pt" strokecolor="#0099d9">
              <v:path arrowok="t"/>
              <v:stroke dashstyle="solid"/>
            </v:shape>
            <v:line style="position:absolute" from="1180,803" to="1252,803" stroked="true" strokeweight="1.125pt" strokecolor="#0099d9">
              <v:stroke dashstyle="solid"/>
            </v:line>
            <v:shape style="position:absolute;left:1242;top:788;width:868;height:490" coordorigin="1242,789" coordsize="868,490" path="m1242,801l1305,881m1305,881l1367,994m1367,994l1430,1109m1430,1109l1492,1279m1492,1279l1555,1199m1555,1199l1620,1109m1620,1109l1682,1131m1682,1131l1732,1051m1732,1051l1795,984m1795,984l1860,1096m1860,1096l1922,1016m1922,1016l1985,939m1985,939l2047,869m2047,869l2110,789e" filled="false" stroked="true" strokeweight="1pt" strokecolor="#0099d9">
              <v:path arrowok="t"/>
              <v:stroke dashstyle="solid"/>
            </v:shape>
            <v:line style="position:absolute" from="2100,790" to="2182,790" stroked="true" strokeweight="1.125pt" strokecolor="#0099d9">
              <v:stroke dashstyle="solid"/>
            </v:line>
            <v:shape style="position:absolute;left:2172;top:583;width:428;height:205" coordorigin="2172,584" coordsize="428,205" path="m2172,789l2225,766m2225,766l2287,756m2287,756l2350,789m2350,789l2412,734m2412,734l2475,584m2475,584l2537,709m2537,709l2600,721e" filled="false" stroked="true" strokeweight="1pt" strokecolor="#0099d9">
              <v:path arrowok="t"/>
              <v:stroke dashstyle="solid"/>
            </v:shape>
            <v:line style="position:absolute" from="2590,723" to="2672,723" stroked="true" strokeweight="1.125pt" strokecolor="#0099d9">
              <v:stroke dashstyle="solid"/>
            </v:line>
            <v:line style="position:absolute" from="2662,721" to="2715,641" stroked="true" strokeweight="1pt" strokecolor="#0099d9">
              <v:stroke dashstyle="solid"/>
            </v:line>
            <v:line style="position:absolute" from="2705,643" to="2787,643" stroked="true" strokeweight="1.125pt" strokecolor="#0099d9">
              <v:stroke dashstyle="solid"/>
            </v:line>
            <v:shape style="position:absolute;left:2777;top:573;width:188;height:113" coordorigin="2777,574" coordsize="188,113" path="m2777,641l2840,686m2840,686l2902,641m2902,641l2965,574e" filled="false" stroked="true" strokeweight="1pt" strokecolor="#0099d9">
              <v:path arrowok="t"/>
              <v:stroke dashstyle="solid"/>
            </v:shape>
            <v:line style="position:absolute" from="2955,575" to="3037,575" stroked="true" strokeweight="1.125pt" strokecolor="#0099d9">
              <v:stroke dashstyle="solid"/>
            </v:line>
            <v:shape style="position:absolute;left:3027;top:506;width:730;height:295" coordorigin="3027,506" coordsize="730,295" path="m3027,574l3090,506m3090,506l3152,641m3152,641l3205,609m3205,609l3267,584m3267,584l3330,801m3330,801l3392,756m3392,756l3455,734m3455,734l3517,756m3517,756l3580,686m3580,686l3642,619m3642,619l3695,734m3695,734l3757,686e" filled="false" stroked="true" strokeweight="1pt" strokecolor="#0099d9">
              <v:path arrowok="t"/>
              <v:stroke dashstyle="solid"/>
            </v:shape>
            <v:line style="position:absolute" from="3747,688" to="3830,688" stroked="true" strokeweight="1.125pt" strokecolor="#0099d9">
              <v:stroke dashstyle="solid"/>
            </v:line>
            <v:line style="position:absolute" from="3820,686" to="3882,641" stroked="true" strokeweight="1pt" strokecolor="#0099d9">
              <v:stroke dashstyle="solid"/>
            </v:line>
            <v:line style="position:absolute" from="1002,244" to="1065,494" stroked="true" strokeweight="1pt" strokecolor="#acbc4a">
              <v:stroke dashstyle="solid"/>
            </v:line>
            <v:line style="position:absolute" from="1055,495" to="1137,495" stroked="true" strokeweight="1.125pt" strokecolor="#acbc4a">
              <v:stroke dashstyle="solid"/>
            </v:line>
            <v:shape style="position:absolute;left:1127;top:493;width:365;height:523" coordorigin="1127,494" coordsize="365,523" path="m1127,494l1190,574m1190,574l1242,609m1242,609l1305,709m1305,709l1367,971m1367,971l1430,1016m1430,1016l1492,904e" filled="false" stroked="true" strokeweight="1pt" strokecolor="#acbc4a">
              <v:path arrowok="t"/>
              <v:stroke dashstyle="solid"/>
            </v:shape>
            <v:line style="position:absolute" from="1482,905" to="1565,905" stroked="true" strokeweight="1.125pt" strokecolor="#acbc4a">
              <v:stroke dashstyle="solid"/>
            </v:line>
            <v:shape style="position:absolute;left:1554;top:198;width:2025;height:773" coordorigin="1555,199" coordsize="2025,773" path="m1555,904l1620,561m1620,561l1682,676m1682,676l1732,686m1732,686l1795,561m1795,561l1860,971m1860,971l1922,709m1922,709l1985,494m1985,494l2047,391m2047,391l2110,311m2110,311l2172,449m2172,449l2225,356m2225,356l2287,346m2287,346l2350,379m2350,379l2412,426m2412,426l2475,414m2475,414l2537,539m2537,539l2600,584m2600,584l2662,506m2662,506l2715,346m2715,346l2777,356m2777,356l2840,301m2840,301l2902,199m2902,199l2965,266m2965,266l3027,301m3027,301l3090,244m3090,244l3152,324m3152,324l3205,356m3205,356l3267,471m3267,471l3330,756m3330,756l3392,789m3392,789l3455,584m3455,584l3517,539m3517,539l3580,391e" filled="false" stroked="true" strokeweight="1pt" strokecolor="#acbc4a">
              <v:path arrowok="t"/>
              <v:stroke dashstyle="solid"/>
            </v:shape>
            <v:line style="position:absolute" from="3570,393" to="3652,393" stroked="true" strokeweight="1.125pt" strokecolor="#acbc4a">
              <v:stroke dashstyle="solid"/>
            </v:line>
            <v:shape style="position:absolute;left:3642;top:311;width:115;height:103" coordorigin="3642,311" coordsize="115,103" path="m3642,391l3695,311m3695,311l3757,414e" filled="false" stroked="true" strokeweight="1pt" strokecolor="#acbc4a">
              <v:path arrowok="t"/>
              <v:stroke dashstyle="solid"/>
            </v:shape>
            <v:line style="position:absolute" from="3747,415" to="3830,415" stroked="true" strokeweight="1.125pt" strokecolor="#acbc4a">
              <v:stroke dashstyle="solid"/>
            </v:line>
            <v:line style="position:absolute" from="3820,414" to="3882,391" stroked="true" strokeweight="1pt" strokecolor="#acbc4a">
              <v:stroke dashstyle="solid"/>
            </v:line>
            <v:shape style="position:absolute;left:1732;top:596;width:1848;height:695" coordorigin="1732,596" coordsize="1848,695" path="m1732,1189l1795,1144m1795,1144l1860,1119m1860,1119l1922,1166m1922,1166l1985,1291m1985,1291l2047,1189m2047,1189l2110,1051m2110,1051l2172,1064m2172,1064l2225,699m2225,699l2287,904m2287,904l2350,789m2350,789l2412,744m2412,744l2475,1041m2475,1041l2537,801m2537,801l2600,824m2600,824l2662,881m2662,881l2715,609m2715,609l2777,664m2777,664l2840,779m2840,779l2902,836m2902,836l2965,914m2965,914l3027,891m3027,891l3090,811m3090,811l3152,596m3152,596l3205,641m3205,641l3267,631m3267,631l3330,664m3330,664l3392,766m3392,766l3455,631m3455,631l3517,654m3517,654l3580,756e" filled="false" stroked="true" strokeweight="1pt" strokecolor="#610e7a">
              <v:path arrowok="t"/>
              <v:stroke dashstyle="solid"/>
            </v:shape>
            <v:line style="position:absolute" from="3570,758" to="3652,758" stroked="true" strokeweight="1.125pt" strokecolor="#610e7a">
              <v:stroke dashstyle="solid"/>
            </v:line>
            <v:shape style="position:absolute;left:3642;top:756;width:178;height:228" coordorigin="3642,756" coordsize="178,228" path="m3642,756l3695,971m3695,971l3757,984m3757,984l3820,971e" filled="false" stroked="true" strokeweight="1pt" strokecolor="#610e7a">
              <v:path arrowok="t"/>
              <v:stroke dashstyle="solid"/>
            </v:shape>
            <v:shape style="position:absolute;left:1155;top:396;width:183;height:352" type="#_x0000_t75" stroked="false">
              <v:imagedata r:id="rId108" o:title=""/>
            </v:shape>
            <v:shape style="position:absolute;left:1010;top:378;width:3033;height:987" coordorigin="1011,378" coordsize="3033,987" path="m3957,378l4043,378m3957,707l4043,707m3957,1364l4043,1364m1013,1364l3887,1364m1011,1324l1011,1364m1255,1324l1255,1364m1499,1324l1499,1364m1743,1324l1743,1364m1988,1324l1988,1364m2232,1324l2232,1364m2720,1324l2720,1364m3209,1324l3209,1364m3453,1324l3453,1364m3697,1324l3697,1364m2476,1324l2476,1364m2965,1324l2965,1364e" filled="false" stroked="true" strokeweight=".5pt" strokecolor="#000000">
              <v:path arrowok="t"/>
              <v:stroke dashstyle="solid"/>
            </v:shape>
            <v:shape style="position:absolute;left:1150;top:160;width:790;height:241" type="#_x0000_t202" filled="false" stroked="false">
              <v:textbox inset="0,0,0,0">
                <w:txbxContent>
                  <w:p>
                    <w:pPr>
                      <w:spacing w:line="106" w:lineRule="exact" w:before="0"/>
                      <w:ind w:left="0" w:right="0" w:firstLine="0"/>
                      <w:jc w:val="left"/>
                      <w:rPr>
                        <w:sz w:val="12"/>
                      </w:rPr>
                    </w:pPr>
                    <w:r>
                      <w:rPr>
                        <w:w w:val="105"/>
                        <w:sz w:val="12"/>
                      </w:rPr>
                      <w:t>Investment</w:t>
                    </w:r>
                  </w:p>
                  <w:p>
                    <w:pPr>
                      <w:spacing w:line="129" w:lineRule="exact" w:before="0"/>
                      <w:ind w:left="60" w:right="0" w:firstLine="0"/>
                      <w:jc w:val="left"/>
                      <w:rPr>
                        <w:sz w:val="12"/>
                      </w:rPr>
                    </w:pPr>
                    <w:r>
                      <w:rPr>
                        <w:w w:val="110"/>
                        <w:sz w:val="12"/>
                      </w:rPr>
                      <w:t>intentions (b)</w:t>
                    </w:r>
                  </w:p>
                </w:txbxContent>
              </v:textbox>
              <w10:wrap type="none"/>
            </v:shape>
            <v:shape style="position:absolute;left:2498;top:85;width:1160;height:121" type="#_x0000_t202" filled="false" stroked="false">
              <v:textbox inset="0,0,0,0">
                <w:txbxContent>
                  <w:p>
                    <w:pPr>
                      <w:spacing w:line="115" w:lineRule="exact" w:before="0"/>
                      <w:ind w:left="0" w:right="0" w:firstLine="0"/>
                      <w:jc w:val="left"/>
                      <w:rPr>
                        <w:sz w:val="12"/>
                      </w:rPr>
                    </w:pPr>
                    <w:r>
                      <w:rPr>
                        <w:w w:val="105"/>
                        <w:sz w:val="12"/>
                      </w:rPr>
                      <w:t>Profit expectations (a)</w:t>
                    </w:r>
                  </w:p>
                </w:txbxContent>
              </v:textbox>
              <w10:wrap type="none"/>
            </v:shape>
            <v:shape style="position:absolute;left:1006;top:958;width:3057;height:284" type="#_x0000_t202" filled="false" stroked="false">
              <v:textbox inset="0,0,0,0">
                <w:txbxContent>
                  <w:p>
                    <w:pPr>
                      <w:tabs>
                        <w:tab w:pos="2873" w:val="left" w:leader="none"/>
                      </w:tabs>
                      <w:spacing w:line="133" w:lineRule="exact" w:before="0"/>
                      <w:ind w:left="0" w:right="0" w:firstLine="0"/>
                      <w:jc w:val="left"/>
                      <w:rPr>
                        <w:sz w:val="12"/>
                      </w:rPr>
                    </w:pPr>
                    <w:r>
                      <w:rPr>
                        <w:sz w:val="12"/>
                        <w:u w:val="single"/>
                      </w:rPr>
                      <w:t> </w:t>
                      <w:tab/>
                    </w:r>
                    <w:r>
                      <w:rPr>
                        <w:sz w:val="12"/>
                      </w:rPr>
                      <w:t>  </w:t>
                    </w:r>
                    <w:r>
                      <w:rPr>
                        <w:spacing w:val="-14"/>
                        <w:sz w:val="12"/>
                      </w:rPr>
                      <w:t> </w:t>
                    </w:r>
                    <w:r>
                      <w:rPr>
                        <w:sz w:val="12"/>
                        <w:u w:val="single"/>
                      </w:rPr>
                      <w:t> </w:t>
                    </w:r>
                    <w:r>
                      <w:rPr>
                        <w:spacing w:val="-4"/>
                        <w:sz w:val="12"/>
                        <w:u w:val="single"/>
                      </w:rPr>
                      <w:t> </w:t>
                    </w:r>
                  </w:p>
                  <w:p>
                    <w:pPr>
                      <w:spacing w:before="7"/>
                      <w:ind w:left="1094" w:right="0" w:firstLine="0"/>
                      <w:jc w:val="left"/>
                      <w:rPr>
                        <w:sz w:val="12"/>
                      </w:rPr>
                    </w:pPr>
                    <w:r>
                      <w:rPr>
                        <w:w w:val="105"/>
                        <w:sz w:val="12"/>
                      </w:rPr>
                      <w:t>Annual growth in investment</w:t>
                    </w:r>
                  </w:p>
                </w:txbxContent>
              </v:textbox>
              <w10:wrap type="none"/>
            </v:shape>
            <w10:wrap type="none"/>
          </v:group>
        </w:pict>
      </w:r>
      <w:r>
        <w:rPr/>
        <w:pict>
          <v:line style="position:absolute;mso-position-horizontal-relative:page;mso-position-vertical-relative:paragraph;z-index:16038912" from="197.830994pt,2.468042pt" to="202.163994pt,2.468042pt" stroked="true" strokeweight=".5pt" strokecolor="#000000">
            <v:stroke dashstyle="solid"/>
            <w10:wrap type="none"/>
          </v:line>
        </w:pict>
      </w:r>
      <w:r>
        <w:rPr>
          <w:w w:val="120"/>
          <w:sz w:val="12"/>
        </w:rPr>
        <w:t>60</w:t>
      </w:r>
    </w:p>
    <w:p>
      <w:pPr>
        <w:pStyle w:val="BodyText"/>
        <w:spacing w:before="10"/>
        <w:rPr>
          <w:sz w:val="16"/>
        </w:rPr>
      </w:pPr>
    </w:p>
    <w:p>
      <w:pPr>
        <w:spacing w:before="0"/>
        <w:ind w:left="0" w:right="38" w:firstLine="0"/>
        <w:jc w:val="right"/>
        <w:rPr>
          <w:sz w:val="12"/>
        </w:rPr>
      </w:pPr>
      <w:r>
        <w:rPr>
          <w:spacing w:val="-1"/>
          <w:w w:val="120"/>
          <w:sz w:val="12"/>
        </w:rPr>
        <w:t>40</w:t>
      </w:r>
    </w:p>
    <w:p>
      <w:pPr>
        <w:pStyle w:val="BodyText"/>
        <w:spacing w:before="8"/>
        <w:rPr>
          <w:sz w:val="16"/>
        </w:rPr>
      </w:pPr>
    </w:p>
    <w:p>
      <w:pPr>
        <w:spacing w:before="0"/>
        <w:ind w:left="0" w:right="38" w:firstLine="0"/>
        <w:jc w:val="right"/>
        <w:rPr>
          <w:sz w:val="12"/>
        </w:rPr>
      </w:pPr>
      <w:r>
        <w:rPr>
          <w:spacing w:val="-1"/>
          <w:w w:val="120"/>
          <w:sz w:val="12"/>
        </w:rPr>
        <w:t>20</w:t>
      </w:r>
    </w:p>
    <w:p>
      <w:pPr>
        <w:spacing w:line="165" w:lineRule="exact" w:before="33"/>
        <w:ind w:left="0" w:right="107" w:firstLine="0"/>
        <w:jc w:val="right"/>
        <w:rPr>
          <w:sz w:val="16"/>
        </w:rPr>
      </w:pPr>
      <w:r>
        <w:rPr>
          <w:w w:val="107"/>
          <w:sz w:val="16"/>
        </w:rPr>
        <w:t>+</w:t>
      </w:r>
    </w:p>
    <w:p>
      <w:pPr>
        <w:spacing w:line="91" w:lineRule="exact" w:before="0"/>
        <w:ind w:left="2241" w:right="0" w:firstLine="0"/>
        <w:jc w:val="left"/>
        <w:rPr>
          <w:sz w:val="12"/>
        </w:rPr>
      </w:pPr>
      <w:r>
        <w:rPr>
          <w:w w:val="121"/>
          <w:sz w:val="12"/>
        </w:rPr>
        <w:t>0</w:t>
      </w:r>
    </w:p>
    <w:p>
      <w:pPr>
        <w:spacing w:line="155" w:lineRule="exact" w:before="0"/>
        <w:ind w:left="0" w:right="109" w:firstLine="0"/>
        <w:jc w:val="right"/>
        <w:rPr>
          <w:sz w:val="16"/>
        </w:rPr>
      </w:pPr>
      <w:r>
        <w:rPr>
          <w:w w:val="117"/>
          <w:sz w:val="16"/>
        </w:rPr>
        <w:t>–</w:t>
      </w:r>
    </w:p>
    <w:p>
      <w:pPr>
        <w:spacing w:line="119" w:lineRule="exact" w:before="65"/>
        <w:ind w:left="2168" w:right="0" w:firstLine="0"/>
        <w:jc w:val="left"/>
        <w:rPr>
          <w:sz w:val="12"/>
        </w:rPr>
      </w:pPr>
      <w:r>
        <w:rPr>
          <w:w w:val="120"/>
          <w:sz w:val="12"/>
        </w:rPr>
        <w:t>20</w:t>
      </w:r>
    </w:p>
    <w:p>
      <w:pPr>
        <w:pStyle w:val="BodyText"/>
        <w:spacing w:line="292" w:lineRule="auto"/>
        <w:ind w:left="192" w:right="145"/>
      </w:pPr>
      <w:r>
        <w:rPr/>
        <w:br w:type="column"/>
      </w:r>
      <w:r>
        <w:rPr>
          <w:w w:val="110"/>
        </w:rPr>
        <w:t>So the current weak growth in </w:t>
      </w:r>
      <w:r>
        <w:rPr>
          <w:spacing w:val="-3"/>
          <w:w w:val="110"/>
        </w:rPr>
        <w:t>investment may </w:t>
      </w:r>
      <w:r>
        <w:rPr>
          <w:w w:val="110"/>
        </w:rPr>
        <w:t>be the consequence of unusually strong </w:t>
      </w:r>
      <w:r>
        <w:rPr>
          <w:spacing w:val="-3"/>
          <w:w w:val="110"/>
        </w:rPr>
        <w:t>investment </w:t>
      </w:r>
      <w:r>
        <w:rPr>
          <w:w w:val="110"/>
        </w:rPr>
        <w:t>in the quarters leading up </w:t>
      </w:r>
      <w:r>
        <w:rPr>
          <w:spacing w:val="-4"/>
          <w:w w:val="110"/>
        </w:rPr>
        <w:t>to 2000. </w:t>
      </w:r>
      <w:r>
        <w:rPr>
          <w:w w:val="110"/>
        </w:rPr>
        <w:t>It could also be that the sharp rise in the price of oil during </w:t>
      </w:r>
      <w:r>
        <w:rPr>
          <w:spacing w:val="-15"/>
          <w:w w:val="110"/>
        </w:rPr>
        <w:t>1999 </w:t>
      </w:r>
      <w:r>
        <w:rPr>
          <w:w w:val="110"/>
        </w:rPr>
        <w:t>and much of </w:t>
      </w:r>
      <w:r>
        <w:rPr>
          <w:spacing w:val="-4"/>
          <w:w w:val="110"/>
        </w:rPr>
        <w:t>2000 </w:t>
      </w:r>
      <w:r>
        <w:rPr>
          <w:w w:val="110"/>
        </w:rPr>
        <w:t>led </w:t>
      </w:r>
      <w:r>
        <w:rPr>
          <w:spacing w:val="-4"/>
          <w:w w:val="110"/>
        </w:rPr>
        <w:t>to </w:t>
      </w:r>
      <w:r>
        <w:rPr>
          <w:w w:val="110"/>
        </w:rPr>
        <w:t>an increase in</w:t>
      </w:r>
      <w:r>
        <w:rPr>
          <w:spacing w:val="-19"/>
          <w:w w:val="110"/>
        </w:rPr>
        <w:t> </w:t>
      </w:r>
      <w:r>
        <w:rPr>
          <w:w w:val="110"/>
        </w:rPr>
        <w:t>uncertainty</w:t>
      </w:r>
      <w:r>
        <w:rPr>
          <w:spacing w:val="-19"/>
          <w:w w:val="110"/>
        </w:rPr>
        <w:t> </w:t>
      </w:r>
      <w:r>
        <w:rPr>
          <w:w w:val="110"/>
        </w:rPr>
        <w:t>about</w:t>
      </w:r>
      <w:r>
        <w:rPr>
          <w:spacing w:val="-19"/>
          <w:w w:val="110"/>
        </w:rPr>
        <w:t> </w:t>
      </w:r>
      <w:r>
        <w:rPr>
          <w:w w:val="110"/>
        </w:rPr>
        <w:t>the</w:t>
      </w:r>
      <w:r>
        <w:rPr>
          <w:spacing w:val="-19"/>
          <w:w w:val="110"/>
        </w:rPr>
        <w:t> </w:t>
      </w:r>
      <w:r>
        <w:rPr>
          <w:w w:val="110"/>
        </w:rPr>
        <w:t>prospects</w:t>
      </w:r>
      <w:r>
        <w:rPr>
          <w:spacing w:val="-19"/>
          <w:w w:val="110"/>
        </w:rPr>
        <w:t> </w:t>
      </w:r>
      <w:r>
        <w:rPr>
          <w:w w:val="110"/>
        </w:rPr>
        <w:t>for</w:t>
      </w:r>
      <w:r>
        <w:rPr>
          <w:spacing w:val="-19"/>
          <w:w w:val="110"/>
        </w:rPr>
        <w:t> </w:t>
      </w:r>
      <w:r>
        <w:rPr>
          <w:spacing w:val="-3"/>
          <w:w w:val="110"/>
        </w:rPr>
        <w:t>world</w:t>
      </w:r>
      <w:r>
        <w:rPr>
          <w:spacing w:val="-19"/>
          <w:w w:val="110"/>
        </w:rPr>
        <w:t> </w:t>
      </w:r>
      <w:r>
        <w:rPr>
          <w:w w:val="110"/>
        </w:rPr>
        <w:t>growth.</w:t>
      </w:r>
      <w:r>
        <w:rPr>
          <w:spacing w:val="18"/>
          <w:w w:val="110"/>
        </w:rPr>
        <w:t> </w:t>
      </w:r>
      <w:r>
        <w:rPr>
          <w:w w:val="110"/>
        </w:rPr>
        <w:t>This</w:t>
      </w:r>
      <w:r>
        <w:rPr>
          <w:spacing w:val="-19"/>
          <w:w w:val="110"/>
        </w:rPr>
        <w:t> </w:t>
      </w:r>
      <w:r>
        <w:rPr>
          <w:spacing w:val="-3"/>
          <w:w w:val="110"/>
        </w:rPr>
        <w:t>may have</w:t>
      </w:r>
      <w:r>
        <w:rPr>
          <w:spacing w:val="-21"/>
          <w:w w:val="110"/>
        </w:rPr>
        <w:t> </w:t>
      </w:r>
      <w:r>
        <w:rPr>
          <w:w w:val="110"/>
        </w:rPr>
        <w:t>led</w:t>
      </w:r>
      <w:r>
        <w:rPr>
          <w:spacing w:val="-21"/>
          <w:w w:val="110"/>
        </w:rPr>
        <w:t> </w:t>
      </w:r>
      <w:r>
        <w:rPr>
          <w:w w:val="110"/>
        </w:rPr>
        <w:t>some</w:t>
      </w:r>
      <w:r>
        <w:rPr>
          <w:spacing w:val="-20"/>
          <w:w w:val="110"/>
        </w:rPr>
        <w:t> </w:t>
      </w:r>
      <w:r>
        <w:rPr>
          <w:w w:val="110"/>
        </w:rPr>
        <w:t>firms</w:t>
      </w:r>
      <w:r>
        <w:rPr>
          <w:spacing w:val="-21"/>
          <w:w w:val="110"/>
        </w:rPr>
        <w:t> </w:t>
      </w:r>
      <w:r>
        <w:rPr>
          <w:spacing w:val="-4"/>
          <w:w w:val="110"/>
        </w:rPr>
        <w:t>to</w:t>
      </w:r>
      <w:r>
        <w:rPr>
          <w:spacing w:val="-21"/>
          <w:w w:val="110"/>
        </w:rPr>
        <w:t> </w:t>
      </w:r>
      <w:r>
        <w:rPr>
          <w:w w:val="110"/>
        </w:rPr>
        <w:t>postpone</w:t>
      </w:r>
      <w:r>
        <w:rPr>
          <w:spacing w:val="-20"/>
          <w:w w:val="110"/>
        </w:rPr>
        <w:t> </w:t>
      </w:r>
      <w:r>
        <w:rPr>
          <w:w w:val="110"/>
        </w:rPr>
        <w:t>investment.</w:t>
      </w:r>
      <w:r>
        <w:rPr>
          <w:spacing w:val="14"/>
          <w:w w:val="110"/>
        </w:rPr>
        <w:t> </w:t>
      </w:r>
      <w:r>
        <w:rPr>
          <w:w w:val="110"/>
        </w:rPr>
        <w:t>And</w:t>
      </w:r>
      <w:r>
        <w:rPr>
          <w:spacing w:val="-20"/>
          <w:w w:val="110"/>
        </w:rPr>
        <w:t> </w:t>
      </w:r>
      <w:r>
        <w:rPr>
          <w:w w:val="110"/>
        </w:rPr>
        <w:t>uncertainty about the outlook for </w:t>
      </w:r>
      <w:r>
        <w:rPr>
          <w:spacing w:val="-3"/>
          <w:w w:val="110"/>
        </w:rPr>
        <w:t>world </w:t>
      </w:r>
      <w:r>
        <w:rPr>
          <w:w w:val="110"/>
        </w:rPr>
        <w:t>demand has increased again in recent</w:t>
      </w:r>
      <w:r>
        <w:rPr>
          <w:spacing w:val="-14"/>
          <w:w w:val="110"/>
        </w:rPr>
        <w:t> </w:t>
      </w:r>
      <w:r>
        <w:rPr>
          <w:w w:val="110"/>
        </w:rPr>
        <w:t>months</w:t>
      </w:r>
      <w:r>
        <w:rPr>
          <w:spacing w:val="-13"/>
          <w:w w:val="110"/>
        </w:rPr>
        <w:t> </w:t>
      </w:r>
      <w:r>
        <w:rPr>
          <w:w w:val="110"/>
        </w:rPr>
        <w:t>following</w:t>
      </w:r>
      <w:r>
        <w:rPr>
          <w:spacing w:val="-13"/>
          <w:w w:val="110"/>
        </w:rPr>
        <w:t> </w:t>
      </w:r>
      <w:r>
        <w:rPr>
          <w:w w:val="110"/>
        </w:rPr>
        <w:t>the</w:t>
      </w:r>
      <w:r>
        <w:rPr>
          <w:spacing w:val="-13"/>
          <w:w w:val="110"/>
        </w:rPr>
        <w:t> </w:t>
      </w:r>
      <w:r>
        <w:rPr>
          <w:w w:val="110"/>
        </w:rPr>
        <w:t>downturn</w:t>
      </w:r>
      <w:r>
        <w:rPr>
          <w:spacing w:val="-13"/>
          <w:w w:val="110"/>
        </w:rPr>
        <w:t> </w:t>
      </w:r>
      <w:r>
        <w:rPr>
          <w:w w:val="110"/>
        </w:rPr>
        <w:t>in</w:t>
      </w:r>
      <w:r>
        <w:rPr>
          <w:spacing w:val="-13"/>
          <w:w w:val="110"/>
        </w:rPr>
        <w:t> </w:t>
      </w:r>
      <w:r>
        <w:rPr>
          <w:w w:val="110"/>
        </w:rPr>
        <w:t>the</w:t>
      </w:r>
      <w:r>
        <w:rPr>
          <w:spacing w:val="-13"/>
          <w:w w:val="110"/>
        </w:rPr>
        <w:t> </w:t>
      </w:r>
      <w:r>
        <w:rPr>
          <w:w w:val="110"/>
        </w:rPr>
        <w:t>United</w:t>
      </w:r>
      <w:r>
        <w:rPr>
          <w:spacing w:val="-13"/>
          <w:w w:val="110"/>
        </w:rPr>
        <w:t> </w:t>
      </w:r>
      <w:r>
        <w:rPr>
          <w:spacing w:val="-3"/>
          <w:w w:val="110"/>
        </w:rPr>
        <w:t>States.</w:t>
      </w:r>
    </w:p>
    <w:p>
      <w:pPr>
        <w:pStyle w:val="BodyText"/>
        <w:spacing w:line="292" w:lineRule="auto"/>
        <w:ind w:left="192" w:right="145"/>
      </w:pPr>
      <w:r>
        <w:rPr>
          <w:w w:val="105"/>
        </w:rPr>
        <w:t>Finally, adverse weather is likely to have delayed construction projects.</w:t>
      </w:r>
    </w:p>
    <w:p>
      <w:pPr>
        <w:spacing w:after="0" w:line="292" w:lineRule="auto"/>
        <w:sectPr>
          <w:type w:val="continuous"/>
          <w:pgSz w:w="11900" w:h="16840"/>
          <w:pgMar w:top="1260" w:bottom="280" w:left="640" w:right="640"/>
          <w:cols w:num="3" w:equalWidth="0">
            <w:col w:w="1196" w:space="88"/>
            <w:col w:w="2355" w:space="1272"/>
            <w:col w:w="5709"/>
          </w:cols>
        </w:sectPr>
      </w:pPr>
    </w:p>
    <w:p>
      <w:pPr>
        <w:tabs>
          <w:tab w:pos="914" w:val="left" w:leader="none"/>
          <w:tab w:pos="1406" w:val="left" w:leader="none"/>
          <w:tab w:pos="1896" w:val="left" w:leader="none"/>
          <w:tab w:pos="2386" w:val="left" w:leader="none"/>
          <w:tab w:pos="2876" w:val="left" w:leader="none"/>
        </w:tabs>
        <w:spacing w:line="116" w:lineRule="exact" w:before="0"/>
        <w:ind w:left="334" w:right="0" w:firstLine="0"/>
        <w:jc w:val="left"/>
        <w:rPr>
          <w:sz w:val="12"/>
        </w:rPr>
      </w:pPr>
      <w:r>
        <w:rPr>
          <w:w w:val="120"/>
          <w:sz w:val="12"/>
        </w:rPr>
        <w:t>1989</w:t>
        <w:tab/>
        <w:t>91</w:t>
        <w:tab/>
        <w:t>93</w:t>
        <w:tab/>
        <w:t>95</w:t>
        <w:tab/>
        <w:t>97</w:t>
        <w:tab/>
        <w:t>99</w:t>
      </w:r>
    </w:p>
    <w:p>
      <w:pPr>
        <w:pStyle w:val="BodyText"/>
        <w:spacing w:before="4"/>
        <w:rPr>
          <w:sz w:val="9"/>
        </w:rPr>
      </w:pPr>
    </w:p>
    <w:p>
      <w:pPr>
        <w:spacing w:before="0"/>
        <w:ind w:left="188" w:right="0" w:firstLine="0"/>
        <w:jc w:val="left"/>
        <w:rPr>
          <w:sz w:val="12"/>
        </w:rPr>
      </w:pPr>
      <w:r>
        <w:rPr>
          <w:w w:val="105"/>
          <w:sz w:val="12"/>
        </w:rPr>
        <w:t>Sources: BCC and ONS.</w:t>
      </w:r>
    </w:p>
    <w:p>
      <w:pPr>
        <w:pStyle w:val="BodyText"/>
        <w:spacing w:before="2"/>
        <w:rPr>
          <w:sz w:val="10"/>
        </w:rPr>
      </w:pPr>
    </w:p>
    <w:p>
      <w:pPr>
        <w:pStyle w:val="ListParagraph"/>
        <w:numPr>
          <w:ilvl w:val="0"/>
          <w:numId w:val="12"/>
        </w:numPr>
        <w:tabs>
          <w:tab w:pos="429" w:val="left" w:leader="none"/>
        </w:tabs>
        <w:spacing w:line="208" w:lineRule="auto" w:before="0" w:after="0"/>
        <w:ind w:left="428" w:right="972" w:hanging="240"/>
        <w:jc w:val="left"/>
        <w:rPr>
          <w:sz w:val="12"/>
        </w:rPr>
      </w:pPr>
      <w:r>
        <w:rPr>
          <w:w w:val="110"/>
          <w:sz w:val="12"/>
        </w:rPr>
        <w:t>Balance of responses to the question: ‘Do you believe that over</w:t>
      </w:r>
      <w:r>
        <w:rPr>
          <w:spacing w:val="-22"/>
          <w:w w:val="110"/>
          <w:sz w:val="12"/>
        </w:rPr>
        <w:t> </w:t>
      </w:r>
      <w:r>
        <w:rPr>
          <w:w w:val="110"/>
          <w:sz w:val="12"/>
        </w:rPr>
        <w:t>the</w:t>
      </w:r>
      <w:r>
        <w:rPr>
          <w:spacing w:val="-22"/>
          <w:w w:val="110"/>
          <w:sz w:val="12"/>
        </w:rPr>
        <w:t> </w:t>
      </w:r>
      <w:r>
        <w:rPr>
          <w:w w:val="110"/>
          <w:sz w:val="12"/>
        </w:rPr>
        <w:t>next</w:t>
      </w:r>
      <w:r>
        <w:rPr>
          <w:spacing w:val="-22"/>
          <w:w w:val="110"/>
          <w:sz w:val="12"/>
        </w:rPr>
        <w:t> </w:t>
      </w:r>
      <w:r>
        <w:rPr>
          <w:spacing w:val="-3"/>
          <w:w w:val="110"/>
          <w:sz w:val="12"/>
        </w:rPr>
        <w:t>twelve</w:t>
      </w:r>
      <w:r>
        <w:rPr>
          <w:spacing w:val="-22"/>
          <w:w w:val="110"/>
          <w:sz w:val="12"/>
        </w:rPr>
        <w:t> </w:t>
      </w:r>
      <w:r>
        <w:rPr>
          <w:w w:val="110"/>
          <w:sz w:val="12"/>
        </w:rPr>
        <w:t>months</w:t>
      </w:r>
      <w:r>
        <w:rPr>
          <w:spacing w:val="-22"/>
          <w:w w:val="110"/>
          <w:sz w:val="12"/>
        </w:rPr>
        <w:t> </w:t>
      </w:r>
      <w:r>
        <w:rPr>
          <w:w w:val="110"/>
          <w:sz w:val="12"/>
        </w:rPr>
        <w:t>profitability</w:t>
      </w:r>
      <w:r>
        <w:rPr>
          <w:spacing w:val="-22"/>
          <w:w w:val="110"/>
          <w:sz w:val="12"/>
        </w:rPr>
        <w:t> </w:t>
      </w:r>
      <w:r>
        <w:rPr>
          <w:w w:val="110"/>
          <w:sz w:val="12"/>
        </w:rPr>
        <w:t>will</w:t>
      </w:r>
      <w:r>
        <w:rPr>
          <w:spacing w:val="-21"/>
          <w:w w:val="110"/>
          <w:sz w:val="12"/>
        </w:rPr>
        <w:t> </w:t>
      </w:r>
      <w:r>
        <w:rPr>
          <w:w w:val="110"/>
          <w:sz w:val="12"/>
        </w:rPr>
        <w:t>improve/remain the</w:t>
      </w:r>
      <w:r>
        <w:rPr>
          <w:spacing w:val="-4"/>
          <w:w w:val="110"/>
          <w:sz w:val="12"/>
        </w:rPr>
        <w:t> </w:t>
      </w:r>
      <w:r>
        <w:rPr>
          <w:w w:val="110"/>
          <w:sz w:val="12"/>
        </w:rPr>
        <w:t>same/worsen?’</w:t>
      </w:r>
    </w:p>
    <w:p>
      <w:pPr>
        <w:pStyle w:val="ListParagraph"/>
        <w:numPr>
          <w:ilvl w:val="0"/>
          <w:numId w:val="12"/>
        </w:numPr>
        <w:tabs>
          <w:tab w:pos="429" w:val="left" w:leader="none"/>
        </w:tabs>
        <w:spacing w:line="208" w:lineRule="auto" w:before="0" w:after="0"/>
        <w:ind w:left="428" w:right="668" w:hanging="240"/>
        <w:jc w:val="left"/>
        <w:rPr>
          <w:sz w:val="12"/>
        </w:rPr>
      </w:pPr>
      <w:r>
        <w:rPr>
          <w:w w:val="110"/>
          <w:sz w:val="12"/>
        </w:rPr>
        <w:t>Balance</w:t>
      </w:r>
      <w:r>
        <w:rPr>
          <w:spacing w:val="-13"/>
          <w:w w:val="110"/>
          <w:sz w:val="12"/>
        </w:rPr>
        <w:t> </w:t>
      </w:r>
      <w:r>
        <w:rPr>
          <w:w w:val="110"/>
          <w:sz w:val="12"/>
        </w:rPr>
        <w:t>of</w:t>
      </w:r>
      <w:r>
        <w:rPr>
          <w:spacing w:val="-12"/>
          <w:w w:val="110"/>
          <w:sz w:val="12"/>
        </w:rPr>
        <w:t> </w:t>
      </w:r>
      <w:r>
        <w:rPr>
          <w:w w:val="110"/>
          <w:sz w:val="12"/>
        </w:rPr>
        <w:t>responses</w:t>
      </w:r>
      <w:r>
        <w:rPr>
          <w:spacing w:val="-12"/>
          <w:w w:val="110"/>
          <w:sz w:val="12"/>
        </w:rPr>
        <w:t> </w:t>
      </w:r>
      <w:r>
        <w:rPr>
          <w:w w:val="110"/>
          <w:sz w:val="12"/>
        </w:rPr>
        <w:t>to</w:t>
      </w:r>
      <w:r>
        <w:rPr>
          <w:spacing w:val="-13"/>
          <w:w w:val="110"/>
          <w:sz w:val="12"/>
        </w:rPr>
        <w:t> </w:t>
      </w:r>
      <w:r>
        <w:rPr>
          <w:w w:val="110"/>
          <w:sz w:val="12"/>
        </w:rPr>
        <w:t>the</w:t>
      </w:r>
      <w:r>
        <w:rPr>
          <w:spacing w:val="-12"/>
          <w:w w:val="110"/>
          <w:sz w:val="12"/>
        </w:rPr>
        <w:t> </w:t>
      </w:r>
      <w:r>
        <w:rPr>
          <w:w w:val="110"/>
          <w:sz w:val="12"/>
        </w:rPr>
        <w:t>question:</w:t>
      </w:r>
      <w:r>
        <w:rPr>
          <w:spacing w:val="8"/>
          <w:w w:val="110"/>
          <w:sz w:val="12"/>
        </w:rPr>
        <w:t> </w:t>
      </w:r>
      <w:r>
        <w:rPr>
          <w:w w:val="110"/>
          <w:sz w:val="12"/>
        </w:rPr>
        <w:t>‘Over</w:t>
      </w:r>
      <w:r>
        <w:rPr>
          <w:spacing w:val="-12"/>
          <w:w w:val="110"/>
          <w:sz w:val="12"/>
        </w:rPr>
        <w:t> </w:t>
      </w:r>
      <w:r>
        <w:rPr>
          <w:w w:val="110"/>
          <w:sz w:val="12"/>
        </w:rPr>
        <w:t>the</w:t>
      </w:r>
      <w:r>
        <w:rPr>
          <w:spacing w:val="-12"/>
          <w:w w:val="110"/>
          <w:sz w:val="12"/>
        </w:rPr>
        <w:t> </w:t>
      </w:r>
      <w:r>
        <w:rPr>
          <w:w w:val="110"/>
          <w:sz w:val="12"/>
        </w:rPr>
        <w:t>past</w:t>
      </w:r>
      <w:r>
        <w:rPr>
          <w:spacing w:val="-13"/>
          <w:w w:val="110"/>
          <w:sz w:val="12"/>
        </w:rPr>
        <w:t> </w:t>
      </w:r>
      <w:r>
        <w:rPr>
          <w:w w:val="110"/>
          <w:sz w:val="12"/>
        </w:rPr>
        <w:t>three</w:t>
      </w:r>
      <w:r>
        <w:rPr>
          <w:spacing w:val="-12"/>
          <w:w w:val="110"/>
          <w:sz w:val="12"/>
        </w:rPr>
        <w:t> </w:t>
      </w:r>
      <w:r>
        <w:rPr>
          <w:w w:val="110"/>
          <w:sz w:val="12"/>
        </w:rPr>
        <w:t>months, which</w:t>
      </w:r>
      <w:r>
        <w:rPr>
          <w:spacing w:val="-12"/>
          <w:w w:val="110"/>
          <w:sz w:val="12"/>
        </w:rPr>
        <w:t> </w:t>
      </w:r>
      <w:r>
        <w:rPr>
          <w:w w:val="110"/>
          <w:sz w:val="12"/>
        </w:rPr>
        <w:t>changes</w:t>
      </w:r>
      <w:r>
        <w:rPr>
          <w:spacing w:val="-12"/>
          <w:w w:val="110"/>
          <w:sz w:val="12"/>
        </w:rPr>
        <w:t> </w:t>
      </w:r>
      <w:r>
        <w:rPr>
          <w:w w:val="110"/>
          <w:sz w:val="12"/>
        </w:rPr>
        <w:t>have</w:t>
      </w:r>
      <w:r>
        <w:rPr>
          <w:spacing w:val="-12"/>
          <w:w w:val="110"/>
          <w:sz w:val="12"/>
        </w:rPr>
        <w:t> </w:t>
      </w:r>
      <w:r>
        <w:rPr>
          <w:w w:val="110"/>
          <w:sz w:val="12"/>
        </w:rPr>
        <w:t>you</w:t>
      </w:r>
      <w:r>
        <w:rPr>
          <w:spacing w:val="-12"/>
          <w:w w:val="110"/>
          <w:sz w:val="12"/>
        </w:rPr>
        <w:t> </w:t>
      </w:r>
      <w:r>
        <w:rPr>
          <w:w w:val="110"/>
          <w:sz w:val="12"/>
        </w:rPr>
        <w:t>made</w:t>
      </w:r>
      <w:r>
        <w:rPr>
          <w:spacing w:val="-11"/>
          <w:w w:val="110"/>
          <w:sz w:val="12"/>
        </w:rPr>
        <w:t> </w:t>
      </w:r>
      <w:r>
        <w:rPr>
          <w:w w:val="110"/>
          <w:sz w:val="12"/>
        </w:rPr>
        <w:t>in</w:t>
      </w:r>
      <w:r>
        <w:rPr>
          <w:spacing w:val="-12"/>
          <w:w w:val="110"/>
          <w:sz w:val="12"/>
        </w:rPr>
        <w:t> </w:t>
      </w:r>
      <w:r>
        <w:rPr>
          <w:w w:val="110"/>
          <w:sz w:val="12"/>
        </w:rPr>
        <w:t>your</w:t>
      </w:r>
      <w:r>
        <w:rPr>
          <w:spacing w:val="-12"/>
          <w:w w:val="110"/>
          <w:sz w:val="12"/>
        </w:rPr>
        <w:t> </w:t>
      </w:r>
      <w:r>
        <w:rPr>
          <w:w w:val="110"/>
          <w:sz w:val="12"/>
        </w:rPr>
        <w:t>investment</w:t>
      </w:r>
      <w:r>
        <w:rPr>
          <w:spacing w:val="-12"/>
          <w:w w:val="110"/>
          <w:sz w:val="12"/>
        </w:rPr>
        <w:t> </w:t>
      </w:r>
      <w:r>
        <w:rPr>
          <w:w w:val="110"/>
          <w:sz w:val="12"/>
        </w:rPr>
        <w:t>plans</w:t>
      </w:r>
      <w:r>
        <w:rPr>
          <w:spacing w:val="-11"/>
          <w:w w:val="110"/>
          <w:sz w:val="12"/>
        </w:rPr>
        <w:t> </w:t>
      </w:r>
      <w:r>
        <w:rPr>
          <w:w w:val="110"/>
          <w:sz w:val="12"/>
        </w:rPr>
        <w:t>for</w:t>
      </w:r>
      <w:r>
        <w:rPr>
          <w:spacing w:val="-12"/>
          <w:w w:val="110"/>
          <w:sz w:val="12"/>
        </w:rPr>
        <w:t> </w:t>
      </w:r>
      <w:r>
        <w:rPr>
          <w:w w:val="110"/>
          <w:sz w:val="12"/>
        </w:rPr>
        <w:t>plant and</w:t>
      </w:r>
      <w:r>
        <w:rPr>
          <w:spacing w:val="-15"/>
          <w:w w:val="110"/>
          <w:sz w:val="12"/>
        </w:rPr>
        <w:t> </w:t>
      </w:r>
      <w:r>
        <w:rPr>
          <w:w w:val="110"/>
          <w:sz w:val="12"/>
        </w:rPr>
        <w:t>machinery:</w:t>
      </w:r>
      <w:r>
        <w:rPr>
          <w:spacing w:val="5"/>
          <w:w w:val="110"/>
          <w:sz w:val="12"/>
        </w:rPr>
        <w:t> </w:t>
      </w:r>
      <w:r>
        <w:rPr>
          <w:w w:val="110"/>
          <w:sz w:val="12"/>
        </w:rPr>
        <w:t>revise</w:t>
      </w:r>
      <w:r>
        <w:rPr>
          <w:spacing w:val="-15"/>
          <w:w w:val="110"/>
          <w:sz w:val="12"/>
        </w:rPr>
        <w:t> </w:t>
      </w:r>
      <w:r>
        <w:rPr>
          <w:w w:val="110"/>
          <w:sz w:val="12"/>
        </w:rPr>
        <w:t>upwards/no</w:t>
      </w:r>
      <w:r>
        <w:rPr>
          <w:spacing w:val="-14"/>
          <w:w w:val="110"/>
          <w:sz w:val="12"/>
        </w:rPr>
        <w:t> </w:t>
      </w:r>
      <w:r>
        <w:rPr>
          <w:w w:val="110"/>
          <w:sz w:val="12"/>
        </w:rPr>
        <w:t>change/revise</w:t>
      </w:r>
      <w:r>
        <w:rPr>
          <w:spacing w:val="-14"/>
          <w:w w:val="110"/>
          <w:sz w:val="12"/>
        </w:rPr>
        <w:t> </w:t>
      </w:r>
      <w:r>
        <w:rPr>
          <w:w w:val="110"/>
          <w:sz w:val="12"/>
        </w:rPr>
        <w:t>downwards?’</w:t>
      </w:r>
    </w:p>
    <w:p>
      <w:pPr>
        <w:pStyle w:val="BodyText"/>
        <w:rPr>
          <w:sz w:val="12"/>
        </w:rPr>
      </w:pPr>
    </w:p>
    <w:p>
      <w:pPr>
        <w:pStyle w:val="Heading6"/>
        <w:spacing w:before="70"/>
        <w:ind w:left="186"/>
      </w:pPr>
      <w:r>
        <w:rPr>
          <w:color w:val="89C6DC"/>
          <w:spacing w:val="-15"/>
          <w:w w:val="81"/>
        </w:rPr>
        <w:t>T</w:t>
      </w:r>
      <w:r>
        <w:rPr>
          <w:color w:val="89C6DC"/>
          <w:spacing w:val="-1"/>
          <w:w w:val="91"/>
        </w:rPr>
        <w:t>abl</w:t>
      </w:r>
      <w:r>
        <w:rPr>
          <w:color w:val="89C6DC"/>
          <w:w w:val="91"/>
        </w:rPr>
        <w:t>e</w:t>
      </w:r>
      <w:r>
        <w:rPr>
          <w:color w:val="89C6DC"/>
          <w:spacing w:val="6"/>
        </w:rPr>
        <w:t> </w:t>
      </w:r>
      <w:r>
        <w:rPr>
          <w:smallCaps/>
          <w:color w:val="89C6DC"/>
          <w:spacing w:val="-1"/>
          <w:w w:val="85"/>
        </w:rPr>
        <w:t>2.C</w:t>
      </w:r>
    </w:p>
    <w:p>
      <w:pPr>
        <w:spacing w:line="247" w:lineRule="auto" w:before="8"/>
        <w:ind w:left="186" w:right="416" w:firstLine="0"/>
        <w:jc w:val="left"/>
        <w:rPr>
          <w:sz w:val="12"/>
        </w:rPr>
      </w:pPr>
      <w:r>
        <w:rPr>
          <w:rFonts w:ascii="Trebuchet MS"/>
          <w:b/>
          <w:color w:val="89C6DC"/>
          <w:w w:val="95"/>
          <w:sz w:val="20"/>
        </w:rPr>
        <w:t>Factors</w:t>
      </w:r>
      <w:r>
        <w:rPr>
          <w:rFonts w:ascii="Trebuchet MS"/>
          <w:b/>
          <w:color w:val="89C6DC"/>
          <w:spacing w:val="-24"/>
          <w:w w:val="95"/>
          <w:sz w:val="20"/>
        </w:rPr>
        <w:t> </w:t>
      </w:r>
      <w:r>
        <w:rPr>
          <w:rFonts w:ascii="Trebuchet MS"/>
          <w:b/>
          <w:color w:val="89C6DC"/>
          <w:w w:val="95"/>
          <w:sz w:val="20"/>
        </w:rPr>
        <w:t>cited</w:t>
      </w:r>
      <w:r>
        <w:rPr>
          <w:rFonts w:ascii="Trebuchet MS"/>
          <w:b/>
          <w:color w:val="89C6DC"/>
          <w:spacing w:val="-23"/>
          <w:w w:val="95"/>
          <w:sz w:val="20"/>
        </w:rPr>
        <w:t> </w:t>
      </w:r>
      <w:r>
        <w:rPr>
          <w:rFonts w:ascii="Trebuchet MS"/>
          <w:b/>
          <w:color w:val="89C6DC"/>
          <w:w w:val="95"/>
          <w:sz w:val="20"/>
        </w:rPr>
        <w:t>by</w:t>
      </w:r>
      <w:r>
        <w:rPr>
          <w:rFonts w:ascii="Trebuchet MS"/>
          <w:b/>
          <w:color w:val="89C6DC"/>
          <w:spacing w:val="-23"/>
          <w:w w:val="95"/>
          <w:sz w:val="20"/>
        </w:rPr>
        <w:t> </w:t>
      </w:r>
      <w:r>
        <w:rPr>
          <w:rFonts w:ascii="Trebuchet MS"/>
          <w:b/>
          <w:color w:val="89C6DC"/>
          <w:w w:val="95"/>
          <w:sz w:val="20"/>
        </w:rPr>
        <w:t>firms</w:t>
      </w:r>
      <w:r>
        <w:rPr>
          <w:rFonts w:ascii="Trebuchet MS"/>
          <w:b/>
          <w:color w:val="89C6DC"/>
          <w:spacing w:val="-23"/>
          <w:w w:val="95"/>
          <w:sz w:val="20"/>
        </w:rPr>
        <w:t> </w:t>
      </w:r>
      <w:r>
        <w:rPr>
          <w:rFonts w:ascii="Trebuchet MS"/>
          <w:b/>
          <w:color w:val="89C6DC"/>
          <w:w w:val="95"/>
          <w:sz w:val="20"/>
        </w:rPr>
        <w:t>as</w:t>
      </w:r>
      <w:r>
        <w:rPr>
          <w:rFonts w:ascii="Trebuchet MS"/>
          <w:b/>
          <w:color w:val="89C6DC"/>
          <w:spacing w:val="-23"/>
          <w:w w:val="95"/>
          <w:sz w:val="20"/>
        </w:rPr>
        <w:t> </w:t>
      </w:r>
      <w:r>
        <w:rPr>
          <w:rFonts w:ascii="Trebuchet MS"/>
          <w:b/>
          <w:color w:val="89C6DC"/>
          <w:w w:val="95"/>
          <w:sz w:val="20"/>
        </w:rPr>
        <w:t>likely</w:t>
      </w:r>
      <w:r>
        <w:rPr>
          <w:rFonts w:ascii="Trebuchet MS"/>
          <w:b/>
          <w:color w:val="89C6DC"/>
          <w:spacing w:val="-23"/>
          <w:w w:val="95"/>
          <w:sz w:val="20"/>
        </w:rPr>
        <w:t> </w:t>
      </w:r>
      <w:r>
        <w:rPr>
          <w:rFonts w:ascii="Trebuchet MS"/>
          <w:b/>
          <w:color w:val="89C6DC"/>
          <w:w w:val="95"/>
          <w:sz w:val="20"/>
        </w:rPr>
        <w:t>to</w:t>
      </w:r>
      <w:r>
        <w:rPr>
          <w:rFonts w:ascii="Trebuchet MS"/>
          <w:b/>
          <w:color w:val="89C6DC"/>
          <w:spacing w:val="-23"/>
          <w:w w:val="95"/>
          <w:sz w:val="20"/>
        </w:rPr>
        <w:t> </w:t>
      </w:r>
      <w:r>
        <w:rPr>
          <w:rFonts w:ascii="Trebuchet MS"/>
          <w:b/>
          <w:color w:val="89C6DC"/>
          <w:w w:val="95"/>
          <w:sz w:val="20"/>
        </w:rPr>
        <w:t>limit</w:t>
      </w:r>
      <w:r>
        <w:rPr>
          <w:rFonts w:ascii="Trebuchet MS"/>
          <w:b/>
          <w:color w:val="89C6DC"/>
          <w:spacing w:val="-24"/>
          <w:w w:val="95"/>
          <w:sz w:val="20"/>
        </w:rPr>
        <w:t> </w:t>
      </w:r>
      <w:r>
        <w:rPr>
          <w:rFonts w:ascii="Trebuchet MS"/>
          <w:b/>
          <w:color w:val="89C6DC"/>
          <w:w w:val="95"/>
          <w:sz w:val="20"/>
        </w:rPr>
        <w:t>capital expenditure</w:t>
      </w:r>
      <w:r>
        <w:rPr>
          <w:rFonts w:ascii="Trebuchet MS"/>
          <w:b/>
          <w:color w:val="89C6DC"/>
          <w:spacing w:val="-20"/>
          <w:w w:val="95"/>
          <w:sz w:val="20"/>
        </w:rPr>
        <w:t> </w:t>
      </w:r>
      <w:r>
        <w:rPr>
          <w:rFonts w:ascii="Trebuchet MS"/>
          <w:b/>
          <w:color w:val="89C6DC"/>
          <w:w w:val="95"/>
          <w:sz w:val="20"/>
        </w:rPr>
        <w:t>over</w:t>
      </w:r>
      <w:r>
        <w:rPr>
          <w:rFonts w:ascii="Trebuchet MS"/>
          <w:b/>
          <w:color w:val="89C6DC"/>
          <w:spacing w:val="-20"/>
          <w:w w:val="95"/>
          <w:sz w:val="20"/>
        </w:rPr>
        <w:t> </w:t>
      </w:r>
      <w:r>
        <w:rPr>
          <w:rFonts w:ascii="Trebuchet MS"/>
          <w:b/>
          <w:color w:val="89C6DC"/>
          <w:w w:val="95"/>
          <w:sz w:val="20"/>
        </w:rPr>
        <w:t>the</w:t>
      </w:r>
      <w:r>
        <w:rPr>
          <w:rFonts w:ascii="Trebuchet MS"/>
          <w:b/>
          <w:color w:val="89C6DC"/>
          <w:spacing w:val="-19"/>
          <w:w w:val="95"/>
          <w:sz w:val="20"/>
        </w:rPr>
        <w:t> </w:t>
      </w:r>
      <w:r>
        <w:rPr>
          <w:rFonts w:ascii="Trebuchet MS"/>
          <w:b/>
          <w:color w:val="89C6DC"/>
          <w:w w:val="95"/>
          <w:sz w:val="20"/>
        </w:rPr>
        <w:t>next</w:t>
      </w:r>
      <w:r>
        <w:rPr>
          <w:rFonts w:ascii="Trebuchet MS"/>
          <w:b/>
          <w:color w:val="89C6DC"/>
          <w:spacing w:val="-20"/>
          <w:w w:val="95"/>
          <w:sz w:val="20"/>
        </w:rPr>
        <w:t> </w:t>
      </w:r>
      <w:r>
        <w:rPr>
          <w:rFonts w:ascii="Trebuchet MS"/>
          <w:b/>
          <w:color w:val="89C6DC"/>
          <w:w w:val="95"/>
          <w:sz w:val="20"/>
        </w:rPr>
        <w:t>twelve</w:t>
      </w:r>
      <w:r>
        <w:rPr>
          <w:rFonts w:ascii="Trebuchet MS"/>
          <w:b/>
          <w:color w:val="89C6DC"/>
          <w:spacing w:val="-20"/>
          <w:w w:val="95"/>
          <w:sz w:val="20"/>
        </w:rPr>
        <w:t> </w:t>
      </w:r>
      <w:r>
        <w:rPr>
          <w:rFonts w:ascii="Trebuchet MS"/>
          <w:b/>
          <w:color w:val="89C6DC"/>
          <w:w w:val="95"/>
          <w:sz w:val="20"/>
        </w:rPr>
        <w:t>months</w:t>
      </w:r>
      <w:r>
        <w:rPr>
          <w:w w:val="95"/>
          <w:position w:val="4"/>
          <w:sz w:val="12"/>
        </w:rPr>
        <w:t>(a)</w:t>
      </w:r>
    </w:p>
    <w:p>
      <w:pPr>
        <w:tabs>
          <w:tab w:pos="3365" w:val="left" w:leader="none"/>
          <w:tab w:pos="4287" w:val="right" w:leader="none"/>
        </w:tabs>
        <w:spacing w:line="150" w:lineRule="exact" w:before="99"/>
        <w:ind w:left="2616" w:right="0" w:firstLine="0"/>
        <w:jc w:val="left"/>
        <w:rPr>
          <w:sz w:val="14"/>
        </w:rPr>
      </w:pPr>
      <w:r>
        <w:rPr>
          <w:w w:val="115"/>
          <w:sz w:val="14"/>
        </w:rPr>
        <w:t>Series</w:t>
        <w:tab/>
      </w:r>
      <w:r>
        <w:rPr>
          <w:spacing w:val="-11"/>
          <w:w w:val="115"/>
          <w:sz w:val="14"/>
        </w:rPr>
        <w:t>1999</w:t>
        <w:tab/>
      </w:r>
      <w:r>
        <w:rPr>
          <w:spacing w:val="-3"/>
          <w:w w:val="115"/>
          <w:sz w:val="14"/>
        </w:rPr>
        <w:t>2000</w:t>
      </w:r>
    </w:p>
    <w:p>
      <w:pPr>
        <w:spacing w:line="150" w:lineRule="exact" w:before="0"/>
        <w:ind w:left="2616" w:right="0" w:firstLine="0"/>
        <w:jc w:val="left"/>
        <w:rPr>
          <w:sz w:val="14"/>
        </w:rPr>
      </w:pPr>
      <w:r>
        <w:rPr>
          <w:w w:val="105"/>
          <w:sz w:val="14"/>
        </w:rPr>
        <w:t>average </w:t>
      </w:r>
      <w:r>
        <w:rPr>
          <w:w w:val="105"/>
          <w:sz w:val="12"/>
        </w:rPr>
        <w:t>(b) </w:t>
      </w:r>
      <w:r>
        <w:rPr>
          <w:w w:val="105"/>
          <w:sz w:val="14"/>
        </w:rPr>
        <w:t>average average</w:t>
      </w:r>
    </w:p>
    <w:p>
      <w:pPr>
        <w:pStyle w:val="BodyText"/>
        <w:spacing w:before="8"/>
        <w:rPr>
          <w:sz w:val="3"/>
        </w:rPr>
      </w:pPr>
    </w:p>
    <w:tbl>
      <w:tblPr>
        <w:tblW w:w="0" w:type="auto"/>
        <w:jc w:val="left"/>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73"/>
        <w:gridCol w:w="650"/>
        <w:gridCol w:w="100"/>
        <w:gridCol w:w="490"/>
        <w:gridCol w:w="100"/>
        <w:gridCol w:w="470"/>
      </w:tblGrid>
      <w:tr>
        <w:trPr>
          <w:trHeight w:val="239" w:hRule="atLeast"/>
        </w:trPr>
        <w:tc>
          <w:tcPr>
            <w:tcW w:w="2473" w:type="dxa"/>
          </w:tcPr>
          <w:p>
            <w:pPr>
              <w:pStyle w:val="TableParagraph"/>
              <w:spacing w:line="147" w:lineRule="exact" w:before="73"/>
              <w:ind w:left="50"/>
              <w:rPr>
                <w:rFonts w:ascii="Arial"/>
                <w:sz w:val="14"/>
              </w:rPr>
            </w:pPr>
            <w:r>
              <w:rPr>
                <w:rFonts w:ascii="Arial"/>
                <w:w w:val="105"/>
                <w:sz w:val="14"/>
              </w:rPr>
              <w:t>Inadequate net rate of return</w:t>
            </w:r>
          </w:p>
        </w:tc>
        <w:tc>
          <w:tcPr>
            <w:tcW w:w="1810" w:type="dxa"/>
            <w:gridSpan w:val="5"/>
          </w:tcPr>
          <w:p>
            <w:pPr>
              <w:pStyle w:val="TableParagraph"/>
              <w:rPr>
                <w:sz w:val="16"/>
              </w:rPr>
            </w:pPr>
          </w:p>
        </w:tc>
      </w:tr>
      <w:tr>
        <w:trPr>
          <w:trHeight w:val="140" w:hRule="atLeast"/>
        </w:trPr>
        <w:tc>
          <w:tcPr>
            <w:tcW w:w="2473" w:type="dxa"/>
          </w:tcPr>
          <w:p>
            <w:pPr>
              <w:pStyle w:val="TableParagraph"/>
              <w:spacing w:line="121" w:lineRule="exact"/>
              <w:ind w:left="120"/>
              <w:rPr>
                <w:sz w:val="12"/>
              </w:rPr>
            </w:pPr>
            <w:r>
              <w:rPr>
                <w:w w:val="105"/>
                <w:sz w:val="14"/>
              </w:rPr>
              <w:t>Services </w:t>
            </w:r>
            <w:r>
              <w:rPr>
                <w:w w:val="105"/>
                <w:sz w:val="12"/>
              </w:rPr>
              <w:t>(c)</w:t>
            </w:r>
          </w:p>
        </w:tc>
        <w:tc>
          <w:tcPr>
            <w:tcW w:w="650" w:type="dxa"/>
          </w:tcPr>
          <w:p>
            <w:pPr>
              <w:pStyle w:val="TableParagraph"/>
              <w:spacing w:line="121" w:lineRule="exact"/>
              <w:ind w:right="330"/>
              <w:jc w:val="right"/>
              <w:rPr>
                <w:sz w:val="14"/>
              </w:rPr>
            </w:pPr>
            <w:r>
              <w:rPr>
                <w:w w:val="120"/>
                <w:sz w:val="14"/>
              </w:rPr>
              <w:t>44</w:t>
            </w:r>
          </w:p>
        </w:tc>
        <w:tc>
          <w:tcPr>
            <w:tcW w:w="100" w:type="dxa"/>
          </w:tcPr>
          <w:p>
            <w:pPr>
              <w:pStyle w:val="TableParagraph"/>
              <w:rPr>
                <w:sz w:val="8"/>
              </w:rPr>
            </w:pPr>
          </w:p>
        </w:tc>
        <w:tc>
          <w:tcPr>
            <w:tcW w:w="490" w:type="dxa"/>
          </w:tcPr>
          <w:p>
            <w:pPr>
              <w:pStyle w:val="TableParagraph"/>
              <w:spacing w:line="121" w:lineRule="exact"/>
              <w:ind w:left="114" w:right="159"/>
              <w:jc w:val="center"/>
              <w:rPr>
                <w:sz w:val="14"/>
              </w:rPr>
            </w:pPr>
            <w:r>
              <w:rPr>
                <w:w w:val="120"/>
                <w:sz w:val="14"/>
              </w:rPr>
              <w:t>38</w:t>
            </w:r>
          </w:p>
        </w:tc>
        <w:tc>
          <w:tcPr>
            <w:tcW w:w="100" w:type="dxa"/>
          </w:tcPr>
          <w:p>
            <w:pPr>
              <w:pStyle w:val="TableParagraph"/>
              <w:rPr>
                <w:sz w:val="8"/>
              </w:rPr>
            </w:pPr>
          </w:p>
        </w:tc>
        <w:tc>
          <w:tcPr>
            <w:tcW w:w="470" w:type="dxa"/>
          </w:tcPr>
          <w:p>
            <w:pPr>
              <w:pStyle w:val="TableParagraph"/>
              <w:spacing w:line="121" w:lineRule="exact"/>
              <w:ind w:right="120"/>
              <w:jc w:val="right"/>
              <w:rPr>
                <w:sz w:val="14"/>
              </w:rPr>
            </w:pPr>
            <w:r>
              <w:rPr>
                <w:w w:val="120"/>
                <w:sz w:val="14"/>
              </w:rPr>
              <w:t>51</w:t>
            </w:r>
          </w:p>
        </w:tc>
      </w:tr>
      <w:tr>
        <w:trPr>
          <w:trHeight w:val="139" w:hRule="atLeast"/>
        </w:trPr>
        <w:tc>
          <w:tcPr>
            <w:tcW w:w="2473" w:type="dxa"/>
          </w:tcPr>
          <w:p>
            <w:pPr>
              <w:pStyle w:val="TableParagraph"/>
              <w:spacing w:line="119" w:lineRule="exact"/>
              <w:ind w:left="120"/>
              <w:rPr>
                <w:sz w:val="14"/>
              </w:rPr>
            </w:pPr>
            <w:r>
              <w:rPr>
                <w:w w:val="110"/>
                <w:sz w:val="14"/>
              </w:rPr>
              <w:t>Manufacturing</w:t>
            </w:r>
          </w:p>
        </w:tc>
        <w:tc>
          <w:tcPr>
            <w:tcW w:w="650" w:type="dxa"/>
          </w:tcPr>
          <w:p>
            <w:pPr>
              <w:pStyle w:val="TableParagraph"/>
              <w:spacing w:line="119" w:lineRule="exact"/>
              <w:ind w:right="320"/>
              <w:jc w:val="right"/>
              <w:rPr>
                <w:sz w:val="14"/>
              </w:rPr>
            </w:pPr>
            <w:r>
              <w:rPr>
                <w:w w:val="120"/>
                <w:sz w:val="14"/>
              </w:rPr>
              <w:t>43</w:t>
            </w:r>
          </w:p>
        </w:tc>
        <w:tc>
          <w:tcPr>
            <w:tcW w:w="100" w:type="dxa"/>
          </w:tcPr>
          <w:p>
            <w:pPr>
              <w:pStyle w:val="TableParagraph"/>
              <w:rPr>
                <w:sz w:val="8"/>
              </w:rPr>
            </w:pPr>
          </w:p>
        </w:tc>
        <w:tc>
          <w:tcPr>
            <w:tcW w:w="490" w:type="dxa"/>
          </w:tcPr>
          <w:p>
            <w:pPr>
              <w:pStyle w:val="TableParagraph"/>
              <w:spacing w:line="119" w:lineRule="exact"/>
              <w:ind w:left="106" w:right="159"/>
              <w:jc w:val="center"/>
              <w:rPr>
                <w:sz w:val="14"/>
              </w:rPr>
            </w:pPr>
            <w:r>
              <w:rPr>
                <w:w w:val="120"/>
                <w:sz w:val="14"/>
              </w:rPr>
              <w:t>50</w:t>
            </w:r>
          </w:p>
        </w:tc>
        <w:tc>
          <w:tcPr>
            <w:tcW w:w="100" w:type="dxa"/>
          </w:tcPr>
          <w:p>
            <w:pPr>
              <w:pStyle w:val="TableParagraph"/>
              <w:rPr>
                <w:sz w:val="8"/>
              </w:rPr>
            </w:pPr>
          </w:p>
        </w:tc>
        <w:tc>
          <w:tcPr>
            <w:tcW w:w="470" w:type="dxa"/>
          </w:tcPr>
          <w:p>
            <w:pPr>
              <w:pStyle w:val="TableParagraph"/>
              <w:spacing w:line="119" w:lineRule="exact"/>
              <w:ind w:right="120"/>
              <w:jc w:val="right"/>
              <w:rPr>
                <w:sz w:val="14"/>
              </w:rPr>
            </w:pPr>
            <w:r>
              <w:rPr>
                <w:w w:val="120"/>
                <w:sz w:val="14"/>
              </w:rPr>
              <w:t>53</w:t>
            </w:r>
          </w:p>
        </w:tc>
      </w:tr>
      <w:tr>
        <w:trPr>
          <w:trHeight w:val="140" w:hRule="atLeast"/>
        </w:trPr>
        <w:tc>
          <w:tcPr>
            <w:tcW w:w="2473" w:type="dxa"/>
          </w:tcPr>
          <w:p>
            <w:pPr>
              <w:pStyle w:val="TableParagraph"/>
              <w:spacing w:line="120" w:lineRule="exact"/>
              <w:ind w:left="50"/>
              <w:rPr>
                <w:rFonts w:ascii="Arial"/>
                <w:sz w:val="14"/>
              </w:rPr>
            </w:pPr>
            <w:r>
              <w:rPr>
                <w:rFonts w:ascii="Arial"/>
                <w:w w:val="110"/>
                <w:sz w:val="14"/>
              </w:rPr>
              <w:t>Shortage of internal finance</w:t>
            </w:r>
          </w:p>
        </w:tc>
        <w:tc>
          <w:tcPr>
            <w:tcW w:w="650" w:type="dxa"/>
          </w:tcPr>
          <w:p>
            <w:pPr>
              <w:pStyle w:val="TableParagraph"/>
              <w:rPr>
                <w:sz w:val="8"/>
              </w:rPr>
            </w:pPr>
          </w:p>
        </w:tc>
        <w:tc>
          <w:tcPr>
            <w:tcW w:w="100" w:type="dxa"/>
          </w:tcPr>
          <w:p>
            <w:pPr>
              <w:pStyle w:val="TableParagraph"/>
              <w:rPr>
                <w:sz w:val="8"/>
              </w:rPr>
            </w:pPr>
          </w:p>
        </w:tc>
        <w:tc>
          <w:tcPr>
            <w:tcW w:w="490" w:type="dxa"/>
          </w:tcPr>
          <w:p>
            <w:pPr>
              <w:pStyle w:val="TableParagraph"/>
              <w:rPr>
                <w:sz w:val="8"/>
              </w:rPr>
            </w:pPr>
          </w:p>
        </w:tc>
        <w:tc>
          <w:tcPr>
            <w:tcW w:w="100" w:type="dxa"/>
          </w:tcPr>
          <w:p>
            <w:pPr>
              <w:pStyle w:val="TableParagraph"/>
              <w:rPr>
                <w:sz w:val="8"/>
              </w:rPr>
            </w:pPr>
          </w:p>
        </w:tc>
        <w:tc>
          <w:tcPr>
            <w:tcW w:w="470" w:type="dxa"/>
          </w:tcPr>
          <w:p>
            <w:pPr>
              <w:pStyle w:val="TableParagraph"/>
              <w:rPr>
                <w:sz w:val="8"/>
              </w:rPr>
            </w:pPr>
          </w:p>
        </w:tc>
      </w:tr>
      <w:tr>
        <w:trPr>
          <w:trHeight w:val="140" w:hRule="atLeast"/>
        </w:trPr>
        <w:tc>
          <w:tcPr>
            <w:tcW w:w="2473" w:type="dxa"/>
          </w:tcPr>
          <w:p>
            <w:pPr>
              <w:pStyle w:val="TableParagraph"/>
              <w:spacing w:line="121" w:lineRule="exact"/>
              <w:ind w:left="120"/>
              <w:rPr>
                <w:sz w:val="12"/>
              </w:rPr>
            </w:pPr>
            <w:r>
              <w:rPr>
                <w:w w:val="105"/>
                <w:sz w:val="14"/>
              </w:rPr>
              <w:t>Services </w:t>
            </w:r>
            <w:r>
              <w:rPr>
                <w:w w:val="105"/>
                <w:sz w:val="12"/>
              </w:rPr>
              <w:t>(c)</w:t>
            </w:r>
          </w:p>
        </w:tc>
        <w:tc>
          <w:tcPr>
            <w:tcW w:w="650" w:type="dxa"/>
          </w:tcPr>
          <w:p>
            <w:pPr>
              <w:pStyle w:val="TableParagraph"/>
              <w:spacing w:line="121" w:lineRule="exact"/>
              <w:ind w:right="320"/>
              <w:jc w:val="right"/>
              <w:rPr>
                <w:sz w:val="14"/>
              </w:rPr>
            </w:pPr>
            <w:r>
              <w:rPr>
                <w:w w:val="120"/>
                <w:sz w:val="14"/>
              </w:rPr>
              <w:t>25</w:t>
            </w:r>
          </w:p>
        </w:tc>
        <w:tc>
          <w:tcPr>
            <w:tcW w:w="100" w:type="dxa"/>
          </w:tcPr>
          <w:p>
            <w:pPr>
              <w:pStyle w:val="TableParagraph"/>
              <w:rPr>
                <w:sz w:val="8"/>
              </w:rPr>
            </w:pPr>
          </w:p>
        </w:tc>
        <w:tc>
          <w:tcPr>
            <w:tcW w:w="490" w:type="dxa"/>
          </w:tcPr>
          <w:p>
            <w:pPr>
              <w:pStyle w:val="TableParagraph"/>
              <w:spacing w:line="121" w:lineRule="exact"/>
              <w:ind w:left="111" w:right="159"/>
              <w:jc w:val="center"/>
              <w:rPr>
                <w:sz w:val="14"/>
              </w:rPr>
            </w:pPr>
            <w:r>
              <w:rPr>
                <w:w w:val="120"/>
                <w:sz w:val="14"/>
              </w:rPr>
              <w:t>25</w:t>
            </w:r>
          </w:p>
        </w:tc>
        <w:tc>
          <w:tcPr>
            <w:tcW w:w="100" w:type="dxa"/>
          </w:tcPr>
          <w:p>
            <w:pPr>
              <w:pStyle w:val="TableParagraph"/>
              <w:rPr>
                <w:sz w:val="8"/>
              </w:rPr>
            </w:pPr>
          </w:p>
        </w:tc>
        <w:tc>
          <w:tcPr>
            <w:tcW w:w="470" w:type="dxa"/>
          </w:tcPr>
          <w:p>
            <w:pPr>
              <w:pStyle w:val="TableParagraph"/>
              <w:spacing w:line="121" w:lineRule="exact"/>
              <w:ind w:right="120"/>
              <w:jc w:val="right"/>
              <w:rPr>
                <w:sz w:val="14"/>
              </w:rPr>
            </w:pPr>
            <w:r>
              <w:rPr>
                <w:w w:val="120"/>
                <w:sz w:val="14"/>
              </w:rPr>
              <w:t>23</w:t>
            </w:r>
          </w:p>
        </w:tc>
      </w:tr>
      <w:tr>
        <w:trPr>
          <w:trHeight w:val="139" w:hRule="atLeast"/>
        </w:trPr>
        <w:tc>
          <w:tcPr>
            <w:tcW w:w="2473" w:type="dxa"/>
          </w:tcPr>
          <w:p>
            <w:pPr>
              <w:pStyle w:val="TableParagraph"/>
              <w:spacing w:line="119" w:lineRule="exact"/>
              <w:ind w:left="120"/>
              <w:rPr>
                <w:sz w:val="14"/>
              </w:rPr>
            </w:pPr>
            <w:r>
              <w:rPr>
                <w:w w:val="110"/>
                <w:sz w:val="14"/>
              </w:rPr>
              <w:t>Manufacturing</w:t>
            </w:r>
          </w:p>
        </w:tc>
        <w:tc>
          <w:tcPr>
            <w:tcW w:w="650" w:type="dxa"/>
          </w:tcPr>
          <w:p>
            <w:pPr>
              <w:pStyle w:val="TableParagraph"/>
              <w:spacing w:line="119" w:lineRule="exact"/>
              <w:ind w:right="320"/>
              <w:jc w:val="right"/>
              <w:rPr>
                <w:sz w:val="14"/>
              </w:rPr>
            </w:pPr>
            <w:r>
              <w:rPr>
                <w:w w:val="120"/>
                <w:sz w:val="14"/>
              </w:rPr>
              <w:t>20</w:t>
            </w:r>
          </w:p>
        </w:tc>
        <w:tc>
          <w:tcPr>
            <w:tcW w:w="100" w:type="dxa"/>
          </w:tcPr>
          <w:p>
            <w:pPr>
              <w:pStyle w:val="TableParagraph"/>
              <w:rPr>
                <w:sz w:val="8"/>
              </w:rPr>
            </w:pPr>
          </w:p>
        </w:tc>
        <w:tc>
          <w:tcPr>
            <w:tcW w:w="490" w:type="dxa"/>
          </w:tcPr>
          <w:p>
            <w:pPr>
              <w:pStyle w:val="TableParagraph"/>
              <w:spacing w:line="119" w:lineRule="exact"/>
              <w:ind w:left="114" w:right="155"/>
              <w:jc w:val="center"/>
              <w:rPr>
                <w:sz w:val="14"/>
              </w:rPr>
            </w:pPr>
            <w:r>
              <w:rPr>
                <w:w w:val="120"/>
                <w:sz w:val="14"/>
              </w:rPr>
              <w:t>16</w:t>
            </w:r>
          </w:p>
        </w:tc>
        <w:tc>
          <w:tcPr>
            <w:tcW w:w="100" w:type="dxa"/>
          </w:tcPr>
          <w:p>
            <w:pPr>
              <w:pStyle w:val="TableParagraph"/>
              <w:rPr>
                <w:sz w:val="8"/>
              </w:rPr>
            </w:pPr>
          </w:p>
        </w:tc>
        <w:tc>
          <w:tcPr>
            <w:tcW w:w="470" w:type="dxa"/>
          </w:tcPr>
          <w:p>
            <w:pPr>
              <w:pStyle w:val="TableParagraph"/>
              <w:spacing w:line="119" w:lineRule="exact"/>
              <w:ind w:right="120"/>
              <w:jc w:val="right"/>
              <w:rPr>
                <w:sz w:val="14"/>
              </w:rPr>
            </w:pPr>
            <w:r>
              <w:rPr>
                <w:w w:val="120"/>
                <w:sz w:val="14"/>
              </w:rPr>
              <w:t>18</w:t>
            </w:r>
          </w:p>
        </w:tc>
      </w:tr>
      <w:tr>
        <w:trPr>
          <w:trHeight w:val="140" w:hRule="atLeast"/>
        </w:trPr>
        <w:tc>
          <w:tcPr>
            <w:tcW w:w="2473" w:type="dxa"/>
          </w:tcPr>
          <w:p>
            <w:pPr>
              <w:pStyle w:val="TableParagraph"/>
              <w:spacing w:line="120" w:lineRule="exact"/>
              <w:ind w:left="50"/>
              <w:rPr>
                <w:rFonts w:ascii="Arial"/>
                <w:sz w:val="14"/>
              </w:rPr>
            </w:pPr>
            <w:r>
              <w:rPr>
                <w:rFonts w:ascii="Arial"/>
                <w:w w:val="110"/>
                <w:sz w:val="14"/>
              </w:rPr>
              <w:t>Inability to raise external finance</w:t>
            </w:r>
          </w:p>
        </w:tc>
        <w:tc>
          <w:tcPr>
            <w:tcW w:w="650" w:type="dxa"/>
          </w:tcPr>
          <w:p>
            <w:pPr>
              <w:pStyle w:val="TableParagraph"/>
              <w:rPr>
                <w:sz w:val="8"/>
              </w:rPr>
            </w:pPr>
          </w:p>
        </w:tc>
        <w:tc>
          <w:tcPr>
            <w:tcW w:w="100" w:type="dxa"/>
          </w:tcPr>
          <w:p>
            <w:pPr>
              <w:pStyle w:val="TableParagraph"/>
              <w:rPr>
                <w:sz w:val="8"/>
              </w:rPr>
            </w:pPr>
          </w:p>
        </w:tc>
        <w:tc>
          <w:tcPr>
            <w:tcW w:w="490" w:type="dxa"/>
          </w:tcPr>
          <w:p>
            <w:pPr>
              <w:pStyle w:val="TableParagraph"/>
              <w:rPr>
                <w:sz w:val="8"/>
              </w:rPr>
            </w:pPr>
          </w:p>
        </w:tc>
        <w:tc>
          <w:tcPr>
            <w:tcW w:w="100" w:type="dxa"/>
          </w:tcPr>
          <w:p>
            <w:pPr>
              <w:pStyle w:val="TableParagraph"/>
              <w:rPr>
                <w:sz w:val="8"/>
              </w:rPr>
            </w:pPr>
          </w:p>
        </w:tc>
        <w:tc>
          <w:tcPr>
            <w:tcW w:w="470" w:type="dxa"/>
          </w:tcPr>
          <w:p>
            <w:pPr>
              <w:pStyle w:val="TableParagraph"/>
              <w:rPr>
                <w:sz w:val="8"/>
              </w:rPr>
            </w:pPr>
          </w:p>
        </w:tc>
      </w:tr>
      <w:tr>
        <w:trPr>
          <w:trHeight w:val="140" w:hRule="atLeast"/>
        </w:trPr>
        <w:tc>
          <w:tcPr>
            <w:tcW w:w="2473" w:type="dxa"/>
          </w:tcPr>
          <w:p>
            <w:pPr>
              <w:pStyle w:val="TableParagraph"/>
              <w:spacing w:line="121" w:lineRule="exact"/>
              <w:ind w:left="120"/>
              <w:rPr>
                <w:sz w:val="12"/>
              </w:rPr>
            </w:pPr>
            <w:r>
              <w:rPr>
                <w:w w:val="105"/>
                <w:sz w:val="14"/>
              </w:rPr>
              <w:t>Services </w:t>
            </w:r>
            <w:r>
              <w:rPr>
                <w:w w:val="105"/>
                <w:sz w:val="12"/>
              </w:rPr>
              <w:t>(c)</w:t>
            </w:r>
          </w:p>
        </w:tc>
        <w:tc>
          <w:tcPr>
            <w:tcW w:w="650" w:type="dxa"/>
          </w:tcPr>
          <w:p>
            <w:pPr>
              <w:pStyle w:val="TableParagraph"/>
              <w:spacing w:line="121" w:lineRule="exact"/>
              <w:ind w:right="320"/>
              <w:jc w:val="right"/>
              <w:rPr>
                <w:sz w:val="14"/>
              </w:rPr>
            </w:pPr>
            <w:r>
              <w:rPr>
                <w:w w:val="121"/>
                <w:sz w:val="14"/>
              </w:rPr>
              <w:t>8</w:t>
            </w:r>
          </w:p>
        </w:tc>
        <w:tc>
          <w:tcPr>
            <w:tcW w:w="100" w:type="dxa"/>
          </w:tcPr>
          <w:p>
            <w:pPr>
              <w:pStyle w:val="TableParagraph"/>
              <w:rPr>
                <w:sz w:val="8"/>
              </w:rPr>
            </w:pPr>
          </w:p>
        </w:tc>
        <w:tc>
          <w:tcPr>
            <w:tcW w:w="490" w:type="dxa"/>
          </w:tcPr>
          <w:p>
            <w:pPr>
              <w:pStyle w:val="TableParagraph"/>
              <w:spacing w:line="121" w:lineRule="exact"/>
              <w:ind w:left="19"/>
              <w:jc w:val="center"/>
              <w:rPr>
                <w:sz w:val="14"/>
              </w:rPr>
            </w:pPr>
            <w:r>
              <w:rPr>
                <w:w w:val="121"/>
                <w:sz w:val="14"/>
              </w:rPr>
              <w:t>9</w:t>
            </w:r>
          </w:p>
        </w:tc>
        <w:tc>
          <w:tcPr>
            <w:tcW w:w="100" w:type="dxa"/>
          </w:tcPr>
          <w:p>
            <w:pPr>
              <w:pStyle w:val="TableParagraph"/>
              <w:rPr>
                <w:sz w:val="8"/>
              </w:rPr>
            </w:pPr>
          </w:p>
        </w:tc>
        <w:tc>
          <w:tcPr>
            <w:tcW w:w="470" w:type="dxa"/>
          </w:tcPr>
          <w:p>
            <w:pPr>
              <w:pStyle w:val="TableParagraph"/>
              <w:spacing w:line="121" w:lineRule="exact"/>
              <w:ind w:right="120"/>
              <w:jc w:val="right"/>
              <w:rPr>
                <w:sz w:val="14"/>
              </w:rPr>
            </w:pPr>
            <w:r>
              <w:rPr>
                <w:w w:val="121"/>
                <w:sz w:val="14"/>
              </w:rPr>
              <w:t>7</w:t>
            </w:r>
          </w:p>
        </w:tc>
      </w:tr>
      <w:tr>
        <w:trPr>
          <w:trHeight w:val="139" w:hRule="atLeast"/>
        </w:trPr>
        <w:tc>
          <w:tcPr>
            <w:tcW w:w="2473" w:type="dxa"/>
          </w:tcPr>
          <w:p>
            <w:pPr>
              <w:pStyle w:val="TableParagraph"/>
              <w:spacing w:line="119" w:lineRule="exact"/>
              <w:ind w:left="120"/>
              <w:rPr>
                <w:sz w:val="14"/>
              </w:rPr>
            </w:pPr>
            <w:r>
              <w:rPr>
                <w:w w:val="110"/>
                <w:sz w:val="14"/>
              </w:rPr>
              <w:t>Manufacturing</w:t>
            </w:r>
          </w:p>
        </w:tc>
        <w:tc>
          <w:tcPr>
            <w:tcW w:w="650" w:type="dxa"/>
          </w:tcPr>
          <w:p>
            <w:pPr>
              <w:pStyle w:val="TableParagraph"/>
              <w:spacing w:line="119" w:lineRule="exact"/>
              <w:ind w:right="320"/>
              <w:jc w:val="right"/>
              <w:rPr>
                <w:sz w:val="14"/>
              </w:rPr>
            </w:pPr>
            <w:r>
              <w:rPr>
                <w:w w:val="121"/>
                <w:sz w:val="14"/>
              </w:rPr>
              <w:t>3</w:t>
            </w:r>
          </w:p>
        </w:tc>
        <w:tc>
          <w:tcPr>
            <w:tcW w:w="100" w:type="dxa"/>
          </w:tcPr>
          <w:p>
            <w:pPr>
              <w:pStyle w:val="TableParagraph"/>
              <w:rPr>
                <w:sz w:val="8"/>
              </w:rPr>
            </w:pPr>
          </w:p>
        </w:tc>
        <w:tc>
          <w:tcPr>
            <w:tcW w:w="490" w:type="dxa"/>
          </w:tcPr>
          <w:p>
            <w:pPr>
              <w:pStyle w:val="TableParagraph"/>
              <w:spacing w:line="119" w:lineRule="exact"/>
              <w:ind w:left="19"/>
              <w:jc w:val="center"/>
              <w:rPr>
                <w:sz w:val="14"/>
              </w:rPr>
            </w:pPr>
            <w:r>
              <w:rPr>
                <w:w w:val="121"/>
                <w:sz w:val="14"/>
              </w:rPr>
              <w:t>6</w:t>
            </w:r>
          </w:p>
        </w:tc>
        <w:tc>
          <w:tcPr>
            <w:tcW w:w="100" w:type="dxa"/>
          </w:tcPr>
          <w:p>
            <w:pPr>
              <w:pStyle w:val="TableParagraph"/>
              <w:rPr>
                <w:sz w:val="8"/>
              </w:rPr>
            </w:pPr>
          </w:p>
        </w:tc>
        <w:tc>
          <w:tcPr>
            <w:tcW w:w="470" w:type="dxa"/>
          </w:tcPr>
          <w:p>
            <w:pPr>
              <w:pStyle w:val="TableParagraph"/>
              <w:spacing w:line="119" w:lineRule="exact"/>
              <w:ind w:right="120"/>
              <w:jc w:val="right"/>
              <w:rPr>
                <w:sz w:val="14"/>
              </w:rPr>
            </w:pPr>
            <w:r>
              <w:rPr>
                <w:w w:val="121"/>
                <w:sz w:val="14"/>
              </w:rPr>
              <w:t>4</w:t>
            </w:r>
          </w:p>
        </w:tc>
      </w:tr>
      <w:tr>
        <w:trPr>
          <w:trHeight w:val="139" w:hRule="atLeast"/>
        </w:trPr>
        <w:tc>
          <w:tcPr>
            <w:tcW w:w="2473" w:type="dxa"/>
          </w:tcPr>
          <w:p>
            <w:pPr>
              <w:pStyle w:val="TableParagraph"/>
              <w:spacing w:line="120" w:lineRule="exact"/>
              <w:ind w:left="50"/>
              <w:rPr>
                <w:rFonts w:ascii="Arial"/>
                <w:sz w:val="14"/>
              </w:rPr>
            </w:pPr>
            <w:r>
              <w:rPr>
                <w:rFonts w:ascii="Arial"/>
                <w:w w:val="105"/>
                <w:sz w:val="14"/>
              </w:rPr>
              <w:t>Cost of finance</w:t>
            </w:r>
          </w:p>
        </w:tc>
        <w:tc>
          <w:tcPr>
            <w:tcW w:w="650" w:type="dxa"/>
          </w:tcPr>
          <w:p>
            <w:pPr>
              <w:pStyle w:val="TableParagraph"/>
              <w:rPr>
                <w:sz w:val="8"/>
              </w:rPr>
            </w:pPr>
          </w:p>
        </w:tc>
        <w:tc>
          <w:tcPr>
            <w:tcW w:w="100" w:type="dxa"/>
          </w:tcPr>
          <w:p>
            <w:pPr>
              <w:pStyle w:val="TableParagraph"/>
              <w:rPr>
                <w:sz w:val="8"/>
              </w:rPr>
            </w:pPr>
          </w:p>
        </w:tc>
        <w:tc>
          <w:tcPr>
            <w:tcW w:w="490" w:type="dxa"/>
          </w:tcPr>
          <w:p>
            <w:pPr>
              <w:pStyle w:val="TableParagraph"/>
              <w:rPr>
                <w:sz w:val="8"/>
              </w:rPr>
            </w:pPr>
          </w:p>
        </w:tc>
        <w:tc>
          <w:tcPr>
            <w:tcW w:w="100" w:type="dxa"/>
          </w:tcPr>
          <w:p>
            <w:pPr>
              <w:pStyle w:val="TableParagraph"/>
              <w:rPr>
                <w:sz w:val="8"/>
              </w:rPr>
            </w:pPr>
          </w:p>
        </w:tc>
        <w:tc>
          <w:tcPr>
            <w:tcW w:w="470" w:type="dxa"/>
          </w:tcPr>
          <w:p>
            <w:pPr>
              <w:pStyle w:val="TableParagraph"/>
              <w:rPr>
                <w:sz w:val="8"/>
              </w:rPr>
            </w:pPr>
          </w:p>
        </w:tc>
      </w:tr>
      <w:tr>
        <w:trPr>
          <w:trHeight w:val="140" w:hRule="atLeast"/>
        </w:trPr>
        <w:tc>
          <w:tcPr>
            <w:tcW w:w="2473" w:type="dxa"/>
          </w:tcPr>
          <w:p>
            <w:pPr>
              <w:pStyle w:val="TableParagraph"/>
              <w:spacing w:line="121" w:lineRule="exact"/>
              <w:ind w:left="120"/>
              <w:rPr>
                <w:sz w:val="12"/>
              </w:rPr>
            </w:pPr>
            <w:r>
              <w:rPr>
                <w:w w:val="105"/>
                <w:sz w:val="14"/>
              </w:rPr>
              <w:t>Services </w:t>
            </w:r>
            <w:r>
              <w:rPr>
                <w:w w:val="105"/>
                <w:sz w:val="12"/>
              </w:rPr>
              <w:t>(c)</w:t>
            </w:r>
          </w:p>
        </w:tc>
        <w:tc>
          <w:tcPr>
            <w:tcW w:w="650" w:type="dxa"/>
          </w:tcPr>
          <w:p>
            <w:pPr>
              <w:pStyle w:val="TableParagraph"/>
              <w:spacing w:line="121" w:lineRule="exact"/>
              <w:ind w:right="320"/>
              <w:jc w:val="right"/>
              <w:rPr>
                <w:sz w:val="14"/>
              </w:rPr>
            </w:pPr>
            <w:r>
              <w:rPr>
                <w:w w:val="121"/>
                <w:sz w:val="14"/>
              </w:rPr>
              <w:t>9</w:t>
            </w:r>
          </w:p>
        </w:tc>
        <w:tc>
          <w:tcPr>
            <w:tcW w:w="100" w:type="dxa"/>
          </w:tcPr>
          <w:p>
            <w:pPr>
              <w:pStyle w:val="TableParagraph"/>
              <w:rPr>
                <w:sz w:val="8"/>
              </w:rPr>
            </w:pPr>
          </w:p>
        </w:tc>
        <w:tc>
          <w:tcPr>
            <w:tcW w:w="490" w:type="dxa"/>
          </w:tcPr>
          <w:p>
            <w:pPr>
              <w:pStyle w:val="TableParagraph"/>
              <w:spacing w:line="121" w:lineRule="exact"/>
              <w:ind w:left="19"/>
              <w:jc w:val="center"/>
              <w:rPr>
                <w:sz w:val="14"/>
              </w:rPr>
            </w:pPr>
            <w:r>
              <w:rPr>
                <w:w w:val="121"/>
                <w:sz w:val="14"/>
              </w:rPr>
              <w:t>8</w:t>
            </w:r>
          </w:p>
        </w:tc>
        <w:tc>
          <w:tcPr>
            <w:tcW w:w="100" w:type="dxa"/>
          </w:tcPr>
          <w:p>
            <w:pPr>
              <w:pStyle w:val="TableParagraph"/>
              <w:rPr>
                <w:sz w:val="8"/>
              </w:rPr>
            </w:pPr>
          </w:p>
        </w:tc>
        <w:tc>
          <w:tcPr>
            <w:tcW w:w="470" w:type="dxa"/>
          </w:tcPr>
          <w:p>
            <w:pPr>
              <w:pStyle w:val="TableParagraph"/>
              <w:spacing w:line="121" w:lineRule="exact"/>
              <w:ind w:right="120"/>
              <w:jc w:val="right"/>
              <w:rPr>
                <w:sz w:val="14"/>
              </w:rPr>
            </w:pPr>
            <w:r>
              <w:rPr>
                <w:w w:val="121"/>
                <w:sz w:val="14"/>
              </w:rPr>
              <w:t>9</w:t>
            </w:r>
          </w:p>
        </w:tc>
      </w:tr>
      <w:tr>
        <w:trPr>
          <w:trHeight w:val="139" w:hRule="atLeast"/>
        </w:trPr>
        <w:tc>
          <w:tcPr>
            <w:tcW w:w="2473" w:type="dxa"/>
          </w:tcPr>
          <w:p>
            <w:pPr>
              <w:pStyle w:val="TableParagraph"/>
              <w:spacing w:line="119" w:lineRule="exact"/>
              <w:ind w:left="120"/>
              <w:rPr>
                <w:sz w:val="14"/>
              </w:rPr>
            </w:pPr>
            <w:r>
              <w:rPr>
                <w:w w:val="110"/>
                <w:sz w:val="14"/>
              </w:rPr>
              <w:t>Manufacturing</w:t>
            </w:r>
          </w:p>
        </w:tc>
        <w:tc>
          <w:tcPr>
            <w:tcW w:w="650" w:type="dxa"/>
          </w:tcPr>
          <w:p>
            <w:pPr>
              <w:pStyle w:val="TableParagraph"/>
              <w:spacing w:line="119" w:lineRule="exact"/>
              <w:ind w:right="320"/>
              <w:jc w:val="right"/>
              <w:rPr>
                <w:sz w:val="14"/>
              </w:rPr>
            </w:pPr>
            <w:r>
              <w:rPr>
                <w:w w:val="121"/>
                <w:sz w:val="14"/>
              </w:rPr>
              <w:t>9</w:t>
            </w:r>
          </w:p>
        </w:tc>
        <w:tc>
          <w:tcPr>
            <w:tcW w:w="100" w:type="dxa"/>
          </w:tcPr>
          <w:p>
            <w:pPr>
              <w:pStyle w:val="TableParagraph"/>
              <w:rPr>
                <w:sz w:val="8"/>
              </w:rPr>
            </w:pPr>
          </w:p>
        </w:tc>
        <w:tc>
          <w:tcPr>
            <w:tcW w:w="490" w:type="dxa"/>
          </w:tcPr>
          <w:p>
            <w:pPr>
              <w:pStyle w:val="TableParagraph"/>
              <w:spacing w:line="119" w:lineRule="exact"/>
              <w:ind w:left="19"/>
              <w:jc w:val="center"/>
              <w:rPr>
                <w:sz w:val="14"/>
              </w:rPr>
            </w:pPr>
            <w:r>
              <w:rPr>
                <w:w w:val="121"/>
                <w:sz w:val="14"/>
              </w:rPr>
              <w:t>3</w:t>
            </w:r>
          </w:p>
        </w:tc>
        <w:tc>
          <w:tcPr>
            <w:tcW w:w="100" w:type="dxa"/>
          </w:tcPr>
          <w:p>
            <w:pPr>
              <w:pStyle w:val="TableParagraph"/>
              <w:rPr>
                <w:sz w:val="8"/>
              </w:rPr>
            </w:pPr>
          </w:p>
        </w:tc>
        <w:tc>
          <w:tcPr>
            <w:tcW w:w="470" w:type="dxa"/>
          </w:tcPr>
          <w:p>
            <w:pPr>
              <w:pStyle w:val="TableParagraph"/>
              <w:spacing w:line="119" w:lineRule="exact"/>
              <w:ind w:right="120"/>
              <w:jc w:val="right"/>
              <w:rPr>
                <w:sz w:val="14"/>
              </w:rPr>
            </w:pPr>
            <w:r>
              <w:rPr>
                <w:w w:val="121"/>
                <w:sz w:val="14"/>
              </w:rPr>
              <w:t>4</w:t>
            </w:r>
          </w:p>
        </w:tc>
      </w:tr>
      <w:tr>
        <w:trPr>
          <w:trHeight w:val="140" w:hRule="atLeast"/>
        </w:trPr>
        <w:tc>
          <w:tcPr>
            <w:tcW w:w="2473" w:type="dxa"/>
          </w:tcPr>
          <w:p>
            <w:pPr>
              <w:pStyle w:val="TableParagraph"/>
              <w:spacing w:line="120" w:lineRule="exact"/>
              <w:ind w:left="50"/>
              <w:rPr>
                <w:rFonts w:ascii="Arial"/>
                <w:sz w:val="14"/>
              </w:rPr>
            </w:pPr>
            <w:r>
              <w:rPr>
                <w:rFonts w:ascii="Arial"/>
                <w:w w:val="105"/>
                <w:sz w:val="14"/>
              </w:rPr>
              <w:t>Uncertainty about demand/sales</w:t>
            </w:r>
          </w:p>
        </w:tc>
        <w:tc>
          <w:tcPr>
            <w:tcW w:w="650" w:type="dxa"/>
          </w:tcPr>
          <w:p>
            <w:pPr>
              <w:pStyle w:val="TableParagraph"/>
              <w:rPr>
                <w:sz w:val="8"/>
              </w:rPr>
            </w:pPr>
          </w:p>
        </w:tc>
        <w:tc>
          <w:tcPr>
            <w:tcW w:w="100" w:type="dxa"/>
          </w:tcPr>
          <w:p>
            <w:pPr>
              <w:pStyle w:val="TableParagraph"/>
              <w:rPr>
                <w:sz w:val="8"/>
              </w:rPr>
            </w:pPr>
          </w:p>
        </w:tc>
        <w:tc>
          <w:tcPr>
            <w:tcW w:w="490" w:type="dxa"/>
          </w:tcPr>
          <w:p>
            <w:pPr>
              <w:pStyle w:val="TableParagraph"/>
              <w:rPr>
                <w:sz w:val="8"/>
              </w:rPr>
            </w:pPr>
          </w:p>
        </w:tc>
        <w:tc>
          <w:tcPr>
            <w:tcW w:w="100" w:type="dxa"/>
          </w:tcPr>
          <w:p>
            <w:pPr>
              <w:pStyle w:val="TableParagraph"/>
              <w:rPr>
                <w:sz w:val="8"/>
              </w:rPr>
            </w:pPr>
          </w:p>
        </w:tc>
        <w:tc>
          <w:tcPr>
            <w:tcW w:w="470" w:type="dxa"/>
          </w:tcPr>
          <w:p>
            <w:pPr>
              <w:pStyle w:val="TableParagraph"/>
              <w:rPr>
                <w:sz w:val="8"/>
              </w:rPr>
            </w:pPr>
          </w:p>
        </w:tc>
      </w:tr>
      <w:tr>
        <w:trPr>
          <w:trHeight w:val="140" w:hRule="atLeast"/>
        </w:trPr>
        <w:tc>
          <w:tcPr>
            <w:tcW w:w="2473" w:type="dxa"/>
          </w:tcPr>
          <w:p>
            <w:pPr>
              <w:pStyle w:val="TableParagraph"/>
              <w:spacing w:line="121" w:lineRule="exact"/>
              <w:ind w:left="120"/>
              <w:rPr>
                <w:sz w:val="12"/>
              </w:rPr>
            </w:pPr>
            <w:r>
              <w:rPr>
                <w:w w:val="105"/>
                <w:sz w:val="14"/>
              </w:rPr>
              <w:t>Services </w:t>
            </w:r>
            <w:r>
              <w:rPr>
                <w:w w:val="105"/>
                <w:sz w:val="12"/>
              </w:rPr>
              <w:t>(c)</w:t>
            </w:r>
          </w:p>
        </w:tc>
        <w:tc>
          <w:tcPr>
            <w:tcW w:w="650" w:type="dxa"/>
          </w:tcPr>
          <w:p>
            <w:pPr>
              <w:pStyle w:val="TableParagraph"/>
              <w:spacing w:line="121" w:lineRule="exact"/>
              <w:ind w:right="332"/>
              <w:jc w:val="right"/>
              <w:rPr>
                <w:sz w:val="14"/>
              </w:rPr>
            </w:pPr>
            <w:r>
              <w:rPr>
                <w:w w:val="120"/>
                <w:sz w:val="14"/>
              </w:rPr>
              <w:t>48</w:t>
            </w:r>
          </w:p>
        </w:tc>
        <w:tc>
          <w:tcPr>
            <w:tcW w:w="100" w:type="dxa"/>
          </w:tcPr>
          <w:p>
            <w:pPr>
              <w:pStyle w:val="TableParagraph"/>
              <w:rPr>
                <w:sz w:val="8"/>
              </w:rPr>
            </w:pPr>
          </w:p>
        </w:tc>
        <w:tc>
          <w:tcPr>
            <w:tcW w:w="490" w:type="dxa"/>
          </w:tcPr>
          <w:p>
            <w:pPr>
              <w:pStyle w:val="TableParagraph"/>
              <w:spacing w:line="121" w:lineRule="exact"/>
              <w:ind w:left="114" w:right="158"/>
              <w:jc w:val="center"/>
              <w:rPr>
                <w:sz w:val="14"/>
              </w:rPr>
            </w:pPr>
            <w:r>
              <w:rPr>
                <w:w w:val="120"/>
                <w:sz w:val="14"/>
              </w:rPr>
              <w:t>51</w:t>
            </w:r>
          </w:p>
        </w:tc>
        <w:tc>
          <w:tcPr>
            <w:tcW w:w="100" w:type="dxa"/>
          </w:tcPr>
          <w:p>
            <w:pPr>
              <w:pStyle w:val="TableParagraph"/>
              <w:rPr>
                <w:sz w:val="8"/>
              </w:rPr>
            </w:pPr>
          </w:p>
        </w:tc>
        <w:tc>
          <w:tcPr>
            <w:tcW w:w="470" w:type="dxa"/>
          </w:tcPr>
          <w:p>
            <w:pPr>
              <w:pStyle w:val="TableParagraph"/>
              <w:spacing w:line="121" w:lineRule="exact"/>
              <w:ind w:right="120"/>
              <w:jc w:val="right"/>
              <w:rPr>
                <w:sz w:val="14"/>
              </w:rPr>
            </w:pPr>
            <w:r>
              <w:rPr>
                <w:w w:val="120"/>
                <w:sz w:val="14"/>
              </w:rPr>
              <w:t>42</w:t>
            </w:r>
          </w:p>
        </w:tc>
      </w:tr>
      <w:tr>
        <w:trPr>
          <w:trHeight w:val="139" w:hRule="atLeast"/>
        </w:trPr>
        <w:tc>
          <w:tcPr>
            <w:tcW w:w="2473" w:type="dxa"/>
          </w:tcPr>
          <w:p>
            <w:pPr>
              <w:pStyle w:val="TableParagraph"/>
              <w:spacing w:line="119" w:lineRule="exact"/>
              <w:ind w:left="120"/>
              <w:rPr>
                <w:sz w:val="14"/>
              </w:rPr>
            </w:pPr>
            <w:r>
              <w:rPr>
                <w:w w:val="110"/>
                <w:sz w:val="14"/>
              </w:rPr>
              <w:t>Manufacturing</w:t>
            </w:r>
          </w:p>
        </w:tc>
        <w:tc>
          <w:tcPr>
            <w:tcW w:w="650" w:type="dxa"/>
          </w:tcPr>
          <w:p>
            <w:pPr>
              <w:pStyle w:val="TableParagraph"/>
              <w:spacing w:line="119" w:lineRule="exact"/>
              <w:ind w:right="320"/>
              <w:jc w:val="right"/>
              <w:rPr>
                <w:sz w:val="14"/>
              </w:rPr>
            </w:pPr>
            <w:r>
              <w:rPr>
                <w:w w:val="120"/>
                <w:sz w:val="14"/>
              </w:rPr>
              <w:t>47</w:t>
            </w:r>
          </w:p>
        </w:tc>
        <w:tc>
          <w:tcPr>
            <w:tcW w:w="100" w:type="dxa"/>
          </w:tcPr>
          <w:p>
            <w:pPr>
              <w:pStyle w:val="TableParagraph"/>
              <w:rPr>
                <w:sz w:val="8"/>
              </w:rPr>
            </w:pPr>
          </w:p>
        </w:tc>
        <w:tc>
          <w:tcPr>
            <w:tcW w:w="490" w:type="dxa"/>
          </w:tcPr>
          <w:p>
            <w:pPr>
              <w:pStyle w:val="TableParagraph"/>
              <w:spacing w:line="119" w:lineRule="exact"/>
              <w:ind w:left="114" w:right="158"/>
              <w:jc w:val="center"/>
              <w:rPr>
                <w:sz w:val="14"/>
              </w:rPr>
            </w:pPr>
            <w:r>
              <w:rPr>
                <w:w w:val="120"/>
                <w:sz w:val="14"/>
              </w:rPr>
              <w:t>51</w:t>
            </w:r>
          </w:p>
        </w:tc>
        <w:tc>
          <w:tcPr>
            <w:tcW w:w="100" w:type="dxa"/>
          </w:tcPr>
          <w:p>
            <w:pPr>
              <w:pStyle w:val="TableParagraph"/>
              <w:rPr>
                <w:sz w:val="8"/>
              </w:rPr>
            </w:pPr>
          </w:p>
        </w:tc>
        <w:tc>
          <w:tcPr>
            <w:tcW w:w="470" w:type="dxa"/>
          </w:tcPr>
          <w:p>
            <w:pPr>
              <w:pStyle w:val="TableParagraph"/>
              <w:spacing w:line="119" w:lineRule="exact"/>
              <w:ind w:right="120"/>
              <w:jc w:val="right"/>
              <w:rPr>
                <w:sz w:val="14"/>
              </w:rPr>
            </w:pPr>
            <w:r>
              <w:rPr>
                <w:w w:val="120"/>
                <w:sz w:val="14"/>
              </w:rPr>
              <w:t>48</w:t>
            </w:r>
          </w:p>
        </w:tc>
      </w:tr>
      <w:tr>
        <w:trPr>
          <w:trHeight w:val="140" w:hRule="atLeast"/>
        </w:trPr>
        <w:tc>
          <w:tcPr>
            <w:tcW w:w="2473" w:type="dxa"/>
          </w:tcPr>
          <w:p>
            <w:pPr>
              <w:pStyle w:val="TableParagraph"/>
              <w:spacing w:line="120" w:lineRule="exact"/>
              <w:ind w:left="50"/>
              <w:rPr>
                <w:rFonts w:ascii="Arial"/>
                <w:sz w:val="14"/>
              </w:rPr>
            </w:pPr>
            <w:r>
              <w:rPr>
                <w:rFonts w:ascii="Arial"/>
                <w:w w:val="105"/>
                <w:sz w:val="14"/>
              </w:rPr>
              <w:t>Shortage of labour</w:t>
            </w:r>
          </w:p>
        </w:tc>
        <w:tc>
          <w:tcPr>
            <w:tcW w:w="650" w:type="dxa"/>
          </w:tcPr>
          <w:p>
            <w:pPr>
              <w:pStyle w:val="TableParagraph"/>
              <w:rPr>
                <w:sz w:val="8"/>
              </w:rPr>
            </w:pPr>
          </w:p>
        </w:tc>
        <w:tc>
          <w:tcPr>
            <w:tcW w:w="100" w:type="dxa"/>
          </w:tcPr>
          <w:p>
            <w:pPr>
              <w:pStyle w:val="TableParagraph"/>
              <w:rPr>
                <w:sz w:val="8"/>
              </w:rPr>
            </w:pPr>
          </w:p>
        </w:tc>
        <w:tc>
          <w:tcPr>
            <w:tcW w:w="490" w:type="dxa"/>
          </w:tcPr>
          <w:p>
            <w:pPr>
              <w:pStyle w:val="TableParagraph"/>
              <w:rPr>
                <w:sz w:val="8"/>
              </w:rPr>
            </w:pPr>
          </w:p>
        </w:tc>
        <w:tc>
          <w:tcPr>
            <w:tcW w:w="100" w:type="dxa"/>
          </w:tcPr>
          <w:p>
            <w:pPr>
              <w:pStyle w:val="TableParagraph"/>
              <w:rPr>
                <w:sz w:val="8"/>
              </w:rPr>
            </w:pPr>
          </w:p>
        </w:tc>
        <w:tc>
          <w:tcPr>
            <w:tcW w:w="470" w:type="dxa"/>
          </w:tcPr>
          <w:p>
            <w:pPr>
              <w:pStyle w:val="TableParagraph"/>
              <w:rPr>
                <w:sz w:val="8"/>
              </w:rPr>
            </w:pPr>
          </w:p>
        </w:tc>
      </w:tr>
      <w:tr>
        <w:trPr>
          <w:trHeight w:val="140" w:hRule="atLeast"/>
        </w:trPr>
        <w:tc>
          <w:tcPr>
            <w:tcW w:w="2473" w:type="dxa"/>
          </w:tcPr>
          <w:p>
            <w:pPr>
              <w:pStyle w:val="TableParagraph"/>
              <w:spacing w:line="121" w:lineRule="exact"/>
              <w:ind w:left="120"/>
              <w:rPr>
                <w:sz w:val="12"/>
              </w:rPr>
            </w:pPr>
            <w:r>
              <w:rPr>
                <w:w w:val="105"/>
                <w:sz w:val="14"/>
              </w:rPr>
              <w:t>Services </w:t>
            </w:r>
            <w:r>
              <w:rPr>
                <w:w w:val="105"/>
                <w:sz w:val="12"/>
              </w:rPr>
              <w:t>(c)</w:t>
            </w:r>
          </w:p>
        </w:tc>
        <w:tc>
          <w:tcPr>
            <w:tcW w:w="650" w:type="dxa"/>
          </w:tcPr>
          <w:p>
            <w:pPr>
              <w:pStyle w:val="TableParagraph"/>
              <w:spacing w:line="121" w:lineRule="exact"/>
              <w:ind w:right="346"/>
              <w:jc w:val="right"/>
              <w:rPr>
                <w:sz w:val="14"/>
              </w:rPr>
            </w:pPr>
            <w:r>
              <w:rPr>
                <w:w w:val="120"/>
                <w:sz w:val="14"/>
              </w:rPr>
              <w:t>15</w:t>
            </w:r>
          </w:p>
        </w:tc>
        <w:tc>
          <w:tcPr>
            <w:tcW w:w="100" w:type="dxa"/>
          </w:tcPr>
          <w:p>
            <w:pPr>
              <w:pStyle w:val="TableParagraph"/>
              <w:rPr>
                <w:sz w:val="8"/>
              </w:rPr>
            </w:pPr>
          </w:p>
        </w:tc>
        <w:tc>
          <w:tcPr>
            <w:tcW w:w="490" w:type="dxa"/>
          </w:tcPr>
          <w:p>
            <w:pPr>
              <w:pStyle w:val="TableParagraph"/>
              <w:spacing w:line="121" w:lineRule="exact"/>
              <w:ind w:left="114" w:right="151"/>
              <w:jc w:val="center"/>
              <w:rPr>
                <w:sz w:val="14"/>
              </w:rPr>
            </w:pPr>
            <w:r>
              <w:rPr>
                <w:w w:val="120"/>
                <w:sz w:val="14"/>
              </w:rPr>
              <w:t>13</w:t>
            </w:r>
          </w:p>
        </w:tc>
        <w:tc>
          <w:tcPr>
            <w:tcW w:w="100" w:type="dxa"/>
          </w:tcPr>
          <w:p>
            <w:pPr>
              <w:pStyle w:val="TableParagraph"/>
              <w:rPr>
                <w:sz w:val="8"/>
              </w:rPr>
            </w:pPr>
          </w:p>
        </w:tc>
        <w:tc>
          <w:tcPr>
            <w:tcW w:w="470" w:type="dxa"/>
          </w:tcPr>
          <w:p>
            <w:pPr>
              <w:pStyle w:val="TableParagraph"/>
              <w:spacing w:line="121" w:lineRule="exact"/>
              <w:ind w:right="120"/>
              <w:jc w:val="right"/>
              <w:rPr>
                <w:sz w:val="14"/>
              </w:rPr>
            </w:pPr>
            <w:r>
              <w:rPr>
                <w:w w:val="120"/>
                <w:sz w:val="14"/>
              </w:rPr>
              <w:t>19</w:t>
            </w:r>
          </w:p>
        </w:tc>
      </w:tr>
      <w:tr>
        <w:trPr>
          <w:trHeight w:val="140" w:hRule="atLeast"/>
        </w:trPr>
        <w:tc>
          <w:tcPr>
            <w:tcW w:w="2473" w:type="dxa"/>
          </w:tcPr>
          <w:p>
            <w:pPr>
              <w:pStyle w:val="TableParagraph"/>
              <w:spacing w:line="120" w:lineRule="exact"/>
              <w:ind w:left="120"/>
              <w:rPr>
                <w:sz w:val="14"/>
              </w:rPr>
            </w:pPr>
            <w:r>
              <w:rPr>
                <w:w w:val="110"/>
                <w:sz w:val="14"/>
              </w:rPr>
              <w:t>Manufacturing</w:t>
            </w:r>
          </w:p>
        </w:tc>
        <w:tc>
          <w:tcPr>
            <w:tcW w:w="650" w:type="dxa"/>
          </w:tcPr>
          <w:p>
            <w:pPr>
              <w:pStyle w:val="TableParagraph"/>
              <w:spacing w:line="120" w:lineRule="exact"/>
              <w:ind w:right="320"/>
              <w:jc w:val="right"/>
              <w:rPr>
                <w:sz w:val="14"/>
              </w:rPr>
            </w:pPr>
            <w:r>
              <w:rPr>
                <w:w w:val="121"/>
                <w:sz w:val="14"/>
              </w:rPr>
              <w:t>5</w:t>
            </w:r>
          </w:p>
        </w:tc>
        <w:tc>
          <w:tcPr>
            <w:tcW w:w="100" w:type="dxa"/>
          </w:tcPr>
          <w:p>
            <w:pPr>
              <w:pStyle w:val="TableParagraph"/>
              <w:rPr>
                <w:sz w:val="8"/>
              </w:rPr>
            </w:pPr>
          </w:p>
        </w:tc>
        <w:tc>
          <w:tcPr>
            <w:tcW w:w="490" w:type="dxa"/>
          </w:tcPr>
          <w:p>
            <w:pPr>
              <w:pStyle w:val="TableParagraph"/>
              <w:spacing w:line="120" w:lineRule="exact"/>
              <w:ind w:left="19"/>
              <w:jc w:val="center"/>
              <w:rPr>
                <w:sz w:val="14"/>
              </w:rPr>
            </w:pPr>
            <w:r>
              <w:rPr>
                <w:w w:val="121"/>
                <w:sz w:val="14"/>
              </w:rPr>
              <w:t>6</w:t>
            </w:r>
          </w:p>
        </w:tc>
        <w:tc>
          <w:tcPr>
            <w:tcW w:w="100" w:type="dxa"/>
          </w:tcPr>
          <w:p>
            <w:pPr>
              <w:pStyle w:val="TableParagraph"/>
              <w:rPr>
                <w:sz w:val="8"/>
              </w:rPr>
            </w:pPr>
          </w:p>
        </w:tc>
        <w:tc>
          <w:tcPr>
            <w:tcW w:w="470" w:type="dxa"/>
          </w:tcPr>
          <w:p>
            <w:pPr>
              <w:pStyle w:val="TableParagraph"/>
              <w:spacing w:line="120" w:lineRule="exact"/>
              <w:ind w:right="120"/>
              <w:jc w:val="right"/>
              <w:rPr>
                <w:sz w:val="14"/>
              </w:rPr>
            </w:pPr>
            <w:r>
              <w:rPr>
                <w:w w:val="120"/>
                <w:sz w:val="14"/>
              </w:rPr>
              <w:t>10</w:t>
            </w:r>
          </w:p>
        </w:tc>
      </w:tr>
    </w:tbl>
    <w:p>
      <w:pPr>
        <w:spacing w:before="112"/>
        <w:ind w:left="186" w:right="0" w:firstLine="0"/>
        <w:jc w:val="left"/>
        <w:rPr>
          <w:sz w:val="12"/>
        </w:rPr>
      </w:pPr>
      <w:r>
        <w:rPr>
          <w:w w:val="105"/>
          <w:sz w:val="12"/>
        </w:rPr>
        <w:t>Sources: CBI Industrial Trends and CBI/Deloitte &amp; Touche.</w:t>
      </w:r>
    </w:p>
    <w:p>
      <w:pPr>
        <w:pStyle w:val="BodyText"/>
        <w:spacing w:before="1"/>
        <w:rPr>
          <w:sz w:val="10"/>
        </w:rPr>
      </w:pPr>
    </w:p>
    <w:p>
      <w:pPr>
        <w:pStyle w:val="ListParagraph"/>
        <w:numPr>
          <w:ilvl w:val="0"/>
          <w:numId w:val="13"/>
        </w:numPr>
        <w:tabs>
          <w:tab w:pos="427" w:val="left" w:leader="none"/>
        </w:tabs>
        <w:spacing w:line="208" w:lineRule="auto" w:before="1" w:after="0"/>
        <w:ind w:left="426" w:right="356" w:hanging="240"/>
        <w:jc w:val="left"/>
        <w:rPr>
          <w:sz w:val="12"/>
        </w:rPr>
      </w:pPr>
      <w:r>
        <w:rPr>
          <w:w w:val="110"/>
          <w:sz w:val="12"/>
        </w:rPr>
        <w:t>Percentage</w:t>
      </w:r>
      <w:r>
        <w:rPr>
          <w:spacing w:val="-11"/>
          <w:w w:val="110"/>
          <w:sz w:val="12"/>
        </w:rPr>
        <w:t> </w:t>
      </w:r>
      <w:r>
        <w:rPr>
          <w:w w:val="110"/>
          <w:sz w:val="12"/>
        </w:rPr>
        <w:t>of</w:t>
      </w:r>
      <w:r>
        <w:rPr>
          <w:spacing w:val="-11"/>
          <w:w w:val="110"/>
          <w:sz w:val="12"/>
        </w:rPr>
        <w:t> </w:t>
      </w:r>
      <w:r>
        <w:rPr>
          <w:w w:val="110"/>
          <w:sz w:val="12"/>
        </w:rPr>
        <w:t>firms</w:t>
      </w:r>
      <w:r>
        <w:rPr>
          <w:spacing w:val="-10"/>
          <w:w w:val="110"/>
          <w:sz w:val="12"/>
        </w:rPr>
        <w:t> </w:t>
      </w:r>
      <w:r>
        <w:rPr>
          <w:w w:val="110"/>
          <w:sz w:val="12"/>
        </w:rPr>
        <w:t>citing</w:t>
      </w:r>
      <w:r>
        <w:rPr>
          <w:spacing w:val="-11"/>
          <w:w w:val="110"/>
          <w:sz w:val="12"/>
        </w:rPr>
        <w:t> </w:t>
      </w:r>
      <w:r>
        <w:rPr>
          <w:w w:val="110"/>
          <w:sz w:val="12"/>
        </w:rPr>
        <w:t>each</w:t>
      </w:r>
      <w:r>
        <w:rPr>
          <w:spacing w:val="-10"/>
          <w:w w:val="110"/>
          <w:sz w:val="12"/>
        </w:rPr>
        <w:t> </w:t>
      </w:r>
      <w:r>
        <w:rPr>
          <w:w w:val="110"/>
          <w:sz w:val="12"/>
        </w:rPr>
        <w:t>factor</w:t>
      </w:r>
      <w:r>
        <w:rPr>
          <w:spacing w:val="-11"/>
          <w:w w:val="110"/>
          <w:sz w:val="12"/>
        </w:rPr>
        <w:t> </w:t>
      </w:r>
      <w:r>
        <w:rPr>
          <w:w w:val="110"/>
          <w:sz w:val="12"/>
        </w:rPr>
        <w:t>in</w:t>
      </w:r>
      <w:r>
        <w:rPr>
          <w:spacing w:val="-10"/>
          <w:w w:val="110"/>
          <w:sz w:val="12"/>
        </w:rPr>
        <w:t> </w:t>
      </w:r>
      <w:r>
        <w:rPr>
          <w:w w:val="110"/>
          <w:sz w:val="12"/>
        </w:rPr>
        <w:t>response</w:t>
      </w:r>
      <w:r>
        <w:rPr>
          <w:spacing w:val="-11"/>
          <w:w w:val="110"/>
          <w:sz w:val="12"/>
        </w:rPr>
        <w:t> </w:t>
      </w:r>
      <w:r>
        <w:rPr>
          <w:w w:val="110"/>
          <w:sz w:val="12"/>
        </w:rPr>
        <w:t>to</w:t>
      </w:r>
      <w:r>
        <w:rPr>
          <w:spacing w:val="-11"/>
          <w:w w:val="110"/>
          <w:sz w:val="12"/>
        </w:rPr>
        <w:t> </w:t>
      </w:r>
      <w:r>
        <w:rPr>
          <w:w w:val="110"/>
          <w:sz w:val="12"/>
        </w:rPr>
        <w:t>the</w:t>
      </w:r>
      <w:r>
        <w:rPr>
          <w:spacing w:val="-10"/>
          <w:w w:val="110"/>
          <w:sz w:val="12"/>
        </w:rPr>
        <w:t> </w:t>
      </w:r>
      <w:r>
        <w:rPr>
          <w:w w:val="110"/>
          <w:sz w:val="12"/>
        </w:rPr>
        <w:t>question:</w:t>
      </w:r>
      <w:r>
        <w:rPr>
          <w:spacing w:val="12"/>
          <w:w w:val="110"/>
          <w:sz w:val="12"/>
        </w:rPr>
        <w:t> </w:t>
      </w:r>
      <w:r>
        <w:rPr>
          <w:w w:val="110"/>
          <w:sz w:val="12"/>
        </w:rPr>
        <w:t>‘What factors</w:t>
      </w:r>
      <w:r>
        <w:rPr>
          <w:spacing w:val="-14"/>
          <w:w w:val="110"/>
          <w:sz w:val="12"/>
        </w:rPr>
        <w:t> </w:t>
      </w:r>
      <w:r>
        <w:rPr>
          <w:w w:val="110"/>
          <w:sz w:val="12"/>
        </w:rPr>
        <w:t>are</w:t>
      </w:r>
      <w:r>
        <w:rPr>
          <w:spacing w:val="-14"/>
          <w:w w:val="110"/>
          <w:sz w:val="12"/>
        </w:rPr>
        <w:t> </w:t>
      </w:r>
      <w:r>
        <w:rPr>
          <w:w w:val="110"/>
          <w:sz w:val="12"/>
        </w:rPr>
        <w:t>likely</w:t>
      </w:r>
      <w:r>
        <w:rPr>
          <w:spacing w:val="-14"/>
          <w:w w:val="110"/>
          <w:sz w:val="12"/>
        </w:rPr>
        <w:t> </w:t>
      </w:r>
      <w:r>
        <w:rPr>
          <w:w w:val="110"/>
          <w:sz w:val="12"/>
        </w:rPr>
        <w:t>to</w:t>
      </w:r>
      <w:r>
        <w:rPr>
          <w:spacing w:val="-14"/>
          <w:w w:val="110"/>
          <w:sz w:val="12"/>
        </w:rPr>
        <w:t> </w:t>
      </w:r>
      <w:r>
        <w:rPr>
          <w:w w:val="110"/>
          <w:sz w:val="12"/>
        </w:rPr>
        <w:t>limit</w:t>
      </w:r>
      <w:r>
        <w:rPr>
          <w:spacing w:val="-14"/>
          <w:w w:val="110"/>
          <w:sz w:val="12"/>
        </w:rPr>
        <w:t> </w:t>
      </w:r>
      <w:r>
        <w:rPr>
          <w:w w:val="110"/>
          <w:sz w:val="12"/>
        </w:rPr>
        <w:t>your</w:t>
      </w:r>
      <w:r>
        <w:rPr>
          <w:spacing w:val="-14"/>
          <w:w w:val="110"/>
          <w:sz w:val="12"/>
        </w:rPr>
        <w:t> </w:t>
      </w:r>
      <w:r>
        <w:rPr>
          <w:w w:val="110"/>
          <w:sz w:val="12"/>
        </w:rPr>
        <w:t>capital</w:t>
      </w:r>
      <w:r>
        <w:rPr>
          <w:spacing w:val="-14"/>
          <w:w w:val="110"/>
          <w:sz w:val="12"/>
        </w:rPr>
        <w:t> </w:t>
      </w:r>
      <w:r>
        <w:rPr>
          <w:w w:val="110"/>
          <w:sz w:val="12"/>
        </w:rPr>
        <w:t>authorisations</w:t>
      </w:r>
      <w:r>
        <w:rPr>
          <w:spacing w:val="-14"/>
          <w:w w:val="110"/>
          <w:sz w:val="12"/>
        </w:rPr>
        <w:t> </w:t>
      </w:r>
      <w:r>
        <w:rPr>
          <w:w w:val="110"/>
          <w:sz w:val="12"/>
        </w:rPr>
        <w:t>over</w:t>
      </w:r>
      <w:r>
        <w:rPr>
          <w:spacing w:val="-14"/>
          <w:w w:val="110"/>
          <w:sz w:val="12"/>
        </w:rPr>
        <w:t> </w:t>
      </w:r>
      <w:r>
        <w:rPr>
          <w:w w:val="110"/>
          <w:sz w:val="12"/>
        </w:rPr>
        <w:t>the</w:t>
      </w:r>
      <w:r>
        <w:rPr>
          <w:spacing w:val="-14"/>
          <w:w w:val="110"/>
          <w:sz w:val="12"/>
        </w:rPr>
        <w:t> </w:t>
      </w:r>
      <w:r>
        <w:rPr>
          <w:w w:val="110"/>
          <w:sz w:val="12"/>
        </w:rPr>
        <w:t>next</w:t>
      </w:r>
      <w:r>
        <w:rPr>
          <w:spacing w:val="-14"/>
          <w:w w:val="110"/>
          <w:sz w:val="12"/>
        </w:rPr>
        <w:t> </w:t>
      </w:r>
      <w:r>
        <w:rPr>
          <w:spacing w:val="-3"/>
          <w:w w:val="110"/>
          <w:sz w:val="12"/>
        </w:rPr>
        <w:t>twelve </w:t>
      </w:r>
      <w:r>
        <w:rPr>
          <w:w w:val="110"/>
          <w:sz w:val="12"/>
        </w:rPr>
        <w:t>months?’</w:t>
      </w:r>
    </w:p>
    <w:p>
      <w:pPr>
        <w:pStyle w:val="ListParagraph"/>
        <w:numPr>
          <w:ilvl w:val="0"/>
          <w:numId w:val="13"/>
        </w:numPr>
        <w:tabs>
          <w:tab w:pos="427" w:val="left" w:leader="none"/>
        </w:tabs>
        <w:spacing w:line="114" w:lineRule="exact" w:before="0" w:after="0"/>
        <w:ind w:left="426" w:right="0" w:hanging="241"/>
        <w:jc w:val="left"/>
        <w:rPr>
          <w:sz w:val="12"/>
        </w:rPr>
      </w:pPr>
      <w:r>
        <w:rPr>
          <w:w w:val="105"/>
          <w:sz w:val="12"/>
        </w:rPr>
        <w:t>Since </w:t>
      </w:r>
      <w:r>
        <w:rPr>
          <w:spacing w:val="-11"/>
          <w:w w:val="105"/>
          <w:sz w:val="12"/>
        </w:rPr>
        <w:t>1979 </w:t>
      </w:r>
      <w:r>
        <w:rPr>
          <w:w w:val="105"/>
          <w:sz w:val="12"/>
        </w:rPr>
        <w:t>for manufacturing; since November </w:t>
      </w:r>
      <w:r>
        <w:rPr>
          <w:spacing w:val="-11"/>
          <w:w w:val="105"/>
          <w:sz w:val="12"/>
        </w:rPr>
        <w:t>1998 </w:t>
      </w:r>
      <w:r>
        <w:rPr>
          <w:w w:val="105"/>
          <w:sz w:val="12"/>
        </w:rPr>
        <w:t>for</w:t>
      </w:r>
      <w:r>
        <w:rPr>
          <w:spacing w:val="-8"/>
          <w:w w:val="105"/>
          <w:sz w:val="12"/>
        </w:rPr>
        <w:t> </w:t>
      </w:r>
      <w:r>
        <w:rPr>
          <w:w w:val="105"/>
          <w:sz w:val="12"/>
        </w:rPr>
        <w:t>services.</w:t>
      </w:r>
    </w:p>
    <w:p>
      <w:pPr>
        <w:pStyle w:val="ListParagraph"/>
        <w:numPr>
          <w:ilvl w:val="0"/>
          <w:numId w:val="13"/>
        </w:numPr>
        <w:tabs>
          <w:tab w:pos="427" w:val="left" w:leader="none"/>
        </w:tabs>
        <w:spacing w:line="208" w:lineRule="auto" w:before="5" w:after="0"/>
        <w:ind w:left="426" w:right="126" w:hanging="240"/>
        <w:jc w:val="left"/>
        <w:rPr>
          <w:sz w:val="12"/>
        </w:rPr>
      </w:pPr>
      <w:r>
        <w:rPr>
          <w:w w:val="105"/>
          <w:sz w:val="12"/>
        </w:rPr>
        <w:t>Unweighted average of the responses for consumer, business and professional services.</w:t>
      </w:r>
    </w:p>
    <w:p>
      <w:pPr>
        <w:pStyle w:val="BodyText"/>
        <w:rPr>
          <w:sz w:val="12"/>
        </w:rPr>
      </w:pPr>
    </w:p>
    <w:p>
      <w:pPr>
        <w:pStyle w:val="Heading6"/>
        <w:spacing w:before="72"/>
        <w:ind w:left="182"/>
      </w:pPr>
      <w:r>
        <w:rPr>
          <w:color w:val="89C6DC"/>
          <w:spacing w:val="-15"/>
          <w:w w:val="81"/>
        </w:rPr>
        <w:t>T</w:t>
      </w:r>
      <w:r>
        <w:rPr>
          <w:color w:val="89C6DC"/>
          <w:spacing w:val="-1"/>
          <w:w w:val="91"/>
        </w:rPr>
        <w:t>abl</w:t>
      </w:r>
      <w:r>
        <w:rPr>
          <w:color w:val="89C6DC"/>
          <w:w w:val="91"/>
        </w:rPr>
        <w:t>e</w:t>
      </w:r>
      <w:r>
        <w:rPr>
          <w:color w:val="89C6DC"/>
          <w:spacing w:val="6"/>
        </w:rPr>
        <w:t> </w:t>
      </w:r>
      <w:r>
        <w:rPr>
          <w:smallCaps/>
          <w:color w:val="89C6DC"/>
          <w:spacing w:val="-1"/>
          <w:w w:val="88"/>
        </w:rPr>
        <w:t>2.D</w:t>
      </w:r>
    </w:p>
    <w:p>
      <w:pPr>
        <w:spacing w:line="247" w:lineRule="auto" w:before="8"/>
        <w:ind w:left="182" w:right="176" w:firstLine="0"/>
        <w:jc w:val="left"/>
        <w:rPr>
          <w:sz w:val="12"/>
        </w:rPr>
      </w:pPr>
      <w:r>
        <w:rPr>
          <w:rFonts w:ascii="Trebuchet MS"/>
          <w:b/>
          <w:color w:val="89C6DC"/>
          <w:w w:val="95"/>
          <w:sz w:val="20"/>
        </w:rPr>
        <w:t>Survey</w:t>
      </w:r>
      <w:r>
        <w:rPr>
          <w:rFonts w:ascii="Trebuchet MS"/>
          <w:b/>
          <w:color w:val="89C6DC"/>
          <w:spacing w:val="-31"/>
          <w:w w:val="95"/>
          <w:sz w:val="20"/>
        </w:rPr>
        <w:t> </w:t>
      </w:r>
      <w:r>
        <w:rPr>
          <w:rFonts w:ascii="Trebuchet MS"/>
          <w:b/>
          <w:color w:val="89C6DC"/>
          <w:w w:val="95"/>
          <w:sz w:val="20"/>
        </w:rPr>
        <w:t>measures</w:t>
      </w:r>
      <w:r>
        <w:rPr>
          <w:rFonts w:ascii="Trebuchet MS"/>
          <w:b/>
          <w:color w:val="89C6DC"/>
          <w:spacing w:val="-30"/>
          <w:w w:val="95"/>
          <w:sz w:val="20"/>
        </w:rPr>
        <w:t> </w:t>
      </w:r>
      <w:r>
        <w:rPr>
          <w:rFonts w:ascii="Trebuchet MS"/>
          <w:b/>
          <w:color w:val="89C6DC"/>
          <w:w w:val="95"/>
          <w:sz w:val="20"/>
        </w:rPr>
        <w:t>of</w:t>
      </w:r>
      <w:r>
        <w:rPr>
          <w:rFonts w:ascii="Trebuchet MS"/>
          <w:b/>
          <w:color w:val="89C6DC"/>
          <w:spacing w:val="-30"/>
          <w:w w:val="95"/>
          <w:sz w:val="20"/>
        </w:rPr>
        <w:t> </w:t>
      </w:r>
      <w:r>
        <w:rPr>
          <w:rFonts w:ascii="Trebuchet MS"/>
          <w:b/>
          <w:color w:val="89C6DC"/>
          <w:w w:val="95"/>
          <w:sz w:val="20"/>
        </w:rPr>
        <w:t>investment</w:t>
      </w:r>
      <w:r>
        <w:rPr>
          <w:rFonts w:ascii="Trebuchet MS"/>
          <w:b/>
          <w:color w:val="89C6DC"/>
          <w:spacing w:val="-30"/>
          <w:w w:val="95"/>
          <w:sz w:val="20"/>
        </w:rPr>
        <w:t> </w:t>
      </w:r>
      <w:r>
        <w:rPr>
          <w:rFonts w:ascii="Trebuchet MS"/>
          <w:b/>
          <w:color w:val="89C6DC"/>
          <w:w w:val="95"/>
          <w:sz w:val="20"/>
        </w:rPr>
        <w:t>intentions</w:t>
      </w:r>
      <w:r>
        <w:rPr>
          <w:rFonts w:ascii="Trebuchet MS"/>
          <w:b/>
          <w:color w:val="89C6DC"/>
          <w:spacing w:val="-31"/>
          <w:w w:val="95"/>
          <w:sz w:val="20"/>
        </w:rPr>
        <w:t> </w:t>
      </w:r>
      <w:r>
        <w:rPr>
          <w:rFonts w:ascii="Trebuchet MS"/>
          <w:b/>
          <w:color w:val="89C6DC"/>
          <w:w w:val="95"/>
          <w:sz w:val="20"/>
        </w:rPr>
        <w:t>in</w:t>
      </w:r>
      <w:r>
        <w:rPr>
          <w:rFonts w:ascii="Trebuchet MS"/>
          <w:b/>
          <w:color w:val="89C6DC"/>
          <w:spacing w:val="-30"/>
          <w:w w:val="95"/>
          <w:sz w:val="20"/>
        </w:rPr>
        <w:t> </w:t>
      </w:r>
      <w:r>
        <w:rPr>
          <w:rFonts w:ascii="Trebuchet MS"/>
          <w:b/>
          <w:color w:val="89C6DC"/>
          <w:w w:val="95"/>
          <w:sz w:val="20"/>
        </w:rPr>
        <w:t>the </w:t>
      </w:r>
      <w:r>
        <w:rPr>
          <w:rFonts w:ascii="Trebuchet MS"/>
          <w:b/>
          <w:color w:val="89C6DC"/>
          <w:sz w:val="20"/>
        </w:rPr>
        <w:t>service</w:t>
      </w:r>
      <w:r>
        <w:rPr>
          <w:rFonts w:ascii="Trebuchet MS"/>
          <w:b/>
          <w:color w:val="89C6DC"/>
          <w:spacing w:val="2"/>
          <w:sz w:val="20"/>
        </w:rPr>
        <w:t> </w:t>
      </w:r>
      <w:r>
        <w:rPr>
          <w:rFonts w:ascii="Trebuchet MS"/>
          <w:b/>
          <w:color w:val="89C6DC"/>
          <w:sz w:val="20"/>
        </w:rPr>
        <w:t>sector</w:t>
      </w:r>
      <w:r>
        <w:rPr>
          <w:position w:val="4"/>
          <w:sz w:val="12"/>
        </w:rPr>
        <w:t>(a)</w:t>
      </w:r>
    </w:p>
    <w:p>
      <w:pPr>
        <w:tabs>
          <w:tab w:pos="2934" w:val="left" w:leader="none"/>
          <w:tab w:pos="3578" w:val="left" w:leader="none"/>
          <w:tab w:pos="3702" w:val="left" w:leader="none"/>
          <w:tab w:pos="4368" w:val="left" w:leader="none"/>
        </w:tabs>
        <w:spacing w:line="150" w:lineRule="exact" w:before="98"/>
        <w:ind w:left="2270" w:right="0" w:firstLine="0"/>
        <w:jc w:val="left"/>
        <w:rPr>
          <w:sz w:val="14"/>
        </w:rPr>
      </w:pPr>
      <w:r>
        <w:rPr>
          <w:w w:val="115"/>
          <w:sz w:val="14"/>
        </w:rPr>
        <w:t>Series</w:t>
        <w:tab/>
      </w:r>
      <w:r>
        <w:rPr>
          <w:spacing w:val="-11"/>
          <w:w w:val="115"/>
          <w:sz w:val="14"/>
          <w:u w:val="single"/>
        </w:rPr>
        <w:t>1999</w:t>
        <w:tab/>
      </w:r>
      <w:r>
        <w:rPr>
          <w:spacing w:val="-11"/>
          <w:w w:val="115"/>
          <w:sz w:val="14"/>
        </w:rPr>
        <w:tab/>
      </w:r>
      <w:r>
        <w:rPr>
          <w:spacing w:val="-3"/>
          <w:w w:val="115"/>
          <w:sz w:val="14"/>
          <w:u w:val="single"/>
        </w:rPr>
        <w:t>2000</w:t>
      </w:r>
      <w:r>
        <w:rPr>
          <w:spacing w:val="-3"/>
          <w:sz w:val="14"/>
          <w:u w:val="single"/>
        </w:rPr>
        <w:tab/>
      </w:r>
    </w:p>
    <w:p>
      <w:pPr>
        <w:tabs>
          <w:tab w:pos="4094" w:val="left" w:leader="none"/>
        </w:tabs>
        <w:spacing w:line="150" w:lineRule="exact" w:before="0"/>
        <w:ind w:left="2270" w:right="0" w:firstLine="0"/>
        <w:jc w:val="left"/>
        <w:rPr>
          <w:sz w:val="14"/>
        </w:rPr>
      </w:pPr>
      <w:r>
        <w:rPr>
          <w:w w:val="110"/>
          <w:sz w:val="14"/>
        </w:rPr>
        <w:t>average </w:t>
      </w:r>
      <w:r>
        <w:rPr>
          <w:w w:val="110"/>
          <w:sz w:val="12"/>
        </w:rPr>
        <w:t>(b) </w:t>
      </w:r>
      <w:r>
        <w:rPr>
          <w:w w:val="110"/>
          <w:sz w:val="14"/>
        </w:rPr>
        <w:t>H1   </w:t>
      </w:r>
      <w:r>
        <w:rPr>
          <w:spacing w:val="17"/>
          <w:w w:val="110"/>
          <w:sz w:val="14"/>
        </w:rPr>
        <w:t> </w:t>
      </w:r>
      <w:r>
        <w:rPr>
          <w:w w:val="110"/>
          <w:sz w:val="14"/>
        </w:rPr>
        <w:t>H2   </w:t>
      </w:r>
      <w:r>
        <w:rPr>
          <w:spacing w:val="27"/>
          <w:w w:val="110"/>
          <w:sz w:val="14"/>
        </w:rPr>
        <w:t> </w:t>
      </w:r>
      <w:r>
        <w:rPr>
          <w:w w:val="110"/>
          <w:sz w:val="14"/>
        </w:rPr>
        <w:t>H1</w:t>
        <w:tab/>
        <w:t>H2</w:t>
      </w:r>
      <w:r>
        <w:rPr>
          <w:sz w:val="14"/>
        </w:rPr>
        <w:t>     </w:t>
      </w:r>
      <w:r>
        <w:rPr>
          <w:spacing w:val="-17"/>
          <w:sz w:val="14"/>
        </w:rPr>
        <w:t> </w:t>
      </w:r>
    </w:p>
    <w:p>
      <w:pPr>
        <w:pStyle w:val="BodyText"/>
        <w:spacing w:before="1"/>
        <w:rPr>
          <w:sz w:val="3"/>
        </w:rPr>
      </w:pPr>
    </w:p>
    <w:tbl>
      <w:tblPr>
        <w:tblW w:w="0" w:type="auto"/>
        <w:jc w:val="left"/>
        <w:tblInd w:w="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6"/>
        <w:gridCol w:w="706"/>
        <w:gridCol w:w="193"/>
        <w:gridCol w:w="149"/>
        <w:gridCol w:w="249"/>
        <w:gridCol w:w="129"/>
        <w:gridCol w:w="259"/>
        <w:gridCol w:w="139"/>
        <w:gridCol w:w="269"/>
      </w:tblGrid>
      <w:tr>
        <w:trPr>
          <w:trHeight w:val="808" w:hRule="atLeast"/>
        </w:trPr>
        <w:tc>
          <w:tcPr>
            <w:tcW w:w="2136" w:type="dxa"/>
          </w:tcPr>
          <w:p>
            <w:pPr>
              <w:pStyle w:val="TableParagraph"/>
              <w:spacing w:line="208" w:lineRule="auto" w:before="98"/>
              <w:ind w:left="50" w:right="437"/>
              <w:rPr>
                <w:sz w:val="14"/>
              </w:rPr>
            </w:pPr>
            <w:r>
              <w:rPr>
                <w:w w:val="105"/>
                <w:sz w:val="14"/>
              </w:rPr>
              <w:t>BCC (plant and machinery) CBI/Deloitte &amp; </w:t>
            </w:r>
            <w:r>
              <w:rPr>
                <w:spacing w:val="-3"/>
                <w:w w:val="105"/>
                <w:sz w:val="14"/>
              </w:rPr>
              <w:t>Touche </w:t>
            </w:r>
            <w:r>
              <w:rPr>
                <w:w w:val="105"/>
                <w:sz w:val="12"/>
              </w:rPr>
              <w:t>(c) </w:t>
            </w:r>
            <w:r>
              <w:rPr>
                <w:w w:val="105"/>
                <w:sz w:val="14"/>
              </w:rPr>
              <w:t>Consumer, business and professional</w:t>
            </w:r>
            <w:r>
              <w:rPr>
                <w:spacing w:val="-3"/>
                <w:w w:val="105"/>
                <w:sz w:val="14"/>
              </w:rPr>
              <w:t> </w:t>
            </w:r>
            <w:r>
              <w:rPr>
                <w:w w:val="105"/>
                <w:sz w:val="14"/>
              </w:rPr>
              <w:t>services</w:t>
            </w:r>
          </w:p>
          <w:p>
            <w:pPr>
              <w:pStyle w:val="TableParagraph"/>
              <w:spacing w:line="130" w:lineRule="exact"/>
              <w:ind w:left="156"/>
              <w:rPr>
                <w:sz w:val="14"/>
              </w:rPr>
            </w:pPr>
            <w:r>
              <w:rPr>
                <w:w w:val="110"/>
                <w:sz w:val="14"/>
              </w:rPr>
              <w:t>Land</w:t>
            </w:r>
            <w:r>
              <w:rPr>
                <w:spacing w:val="-25"/>
                <w:w w:val="110"/>
                <w:sz w:val="14"/>
              </w:rPr>
              <w:t> </w:t>
            </w:r>
            <w:r>
              <w:rPr>
                <w:w w:val="110"/>
                <w:sz w:val="14"/>
              </w:rPr>
              <w:t>and</w:t>
            </w:r>
            <w:r>
              <w:rPr>
                <w:spacing w:val="-24"/>
                <w:w w:val="110"/>
                <w:sz w:val="14"/>
              </w:rPr>
              <w:t> </w:t>
            </w:r>
            <w:r>
              <w:rPr>
                <w:w w:val="110"/>
                <w:sz w:val="14"/>
              </w:rPr>
              <w:t>buildings</w:t>
            </w:r>
          </w:p>
        </w:tc>
        <w:tc>
          <w:tcPr>
            <w:tcW w:w="706" w:type="dxa"/>
            <w:tcBorders>
              <w:top w:val="single" w:sz="2" w:space="0" w:color="000000"/>
            </w:tcBorders>
          </w:tcPr>
          <w:p>
            <w:pPr>
              <w:pStyle w:val="TableParagraph"/>
              <w:spacing w:before="81"/>
              <w:ind w:left="153"/>
              <w:rPr>
                <w:sz w:val="14"/>
              </w:rPr>
            </w:pPr>
            <w:r>
              <w:rPr>
                <w:w w:val="120"/>
                <w:sz w:val="14"/>
              </w:rPr>
              <w:t>15</w:t>
            </w:r>
          </w:p>
          <w:p>
            <w:pPr>
              <w:pStyle w:val="TableParagraph"/>
              <w:rPr>
                <w:sz w:val="14"/>
              </w:rPr>
            </w:pPr>
          </w:p>
          <w:p>
            <w:pPr>
              <w:pStyle w:val="TableParagraph"/>
              <w:spacing w:before="8"/>
              <w:rPr>
                <w:sz w:val="20"/>
              </w:rPr>
            </w:pPr>
          </w:p>
          <w:p>
            <w:pPr>
              <w:pStyle w:val="TableParagraph"/>
              <w:tabs>
                <w:tab w:pos="719" w:val="left" w:leader="none"/>
              </w:tabs>
              <w:spacing w:line="147" w:lineRule="exact"/>
              <w:ind w:left="163" w:right="-15"/>
              <w:rPr>
                <w:sz w:val="14"/>
              </w:rPr>
            </w:pPr>
            <w:r>
              <w:rPr>
                <w:w w:val="115"/>
                <w:sz w:val="14"/>
              </w:rPr>
              <w:t>-2</w:t>
            </w:r>
            <w:r>
              <w:rPr>
                <w:sz w:val="14"/>
              </w:rPr>
              <w:tab/>
            </w:r>
          </w:p>
        </w:tc>
        <w:tc>
          <w:tcPr>
            <w:tcW w:w="193" w:type="dxa"/>
            <w:tcBorders>
              <w:top w:val="single" w:sz="2" w:space="0" w:color="000000"/>
            </w:tcBorders>
          </w:tcPr>
          <w:p>
            <w:pPr>
              <w:pStyle w:val="TableParagraph"/>
              <w:spacing w:before="81"/>
              <w:rPr>
                <w:sz w:val="14"/>
              </w:rPr>
            </w:pPr>
            <w:r>
              <w:rPr>
                <w:spacing w:val="-12"/>
                <w:w w:val="120"/>
                <w:sz w:val="14"/>
              </w:rPr>
              <w:t>18</w:t>
            </w:r>
          </w:p>
          <w:p>
            <w:pPr>
              <w:pStyle w:val="TableParagraph"/>
              <w:rPr>
                <w:sz w:val="14"/>
              </w:rPr>
            </w:pPr>
          </w:p>
          <w:p>
            <w:pPr>
              <w:pStyle w:val="TableParagraph"/>
              <w:spacing w:before="8"/>
              <w:rPr>
                <w:sz w:val="20"/>
              </w:rPr>
            </w:pPr>
          </w:p>
          <w:p>
            <w:pPr>
              <w:pStyle w:val="TableParagraph"/>
              <w:spacing w:line="147" w:lineRule="exact"/>
              <w:ind w:left="13"/>
              <w:rPr>
                <w:sz w:val="14"/>
              </w:rPr>
            </w:pPr>
            <w:r>
              <w:rPr>
                <w:w w:val="115"/>
                <w:sz w:val="14"/>
              </w:rPr>
              <w:t>-1</w:t>
            </w:r>
          </w:p>
        </w:tc>
        <w:tc>
          <w:tcPr>
            <w:tcW w:w="149" w:type="dxa"/>
          </w:tcPr>
          <w:p>
            <w:pPr>
              <w:pStyle w:val="TableParagraph"/>
              <w:rPr>
                <w:sz w:val="16"/>
              </w:rPr>
            </w:pPr>
          </w:p>
        </w:tc>
        <w:tc>
          <w:tcPr>
            <w:tcW w:w="249" w:type="dxa"/>
            <w:tcBorders>
              <w:top w:val="single" w:sz="2" w:space="0" w:color="000000"/>
            </w:tcBorders>
          </w:tcPr>
          <w:p>
            <w:pPr>
              <w:pStyle w:val="TableParagraph"/>
              <w:spacing w:before="81"/>
              <w:ind w:left="59"/>
              <w:rPr>
                <w:sz w:val="14"/>
              </w:rPr>
            </w:pPr>
            <w:r>
              <w:rPr>
                <w:spacing w:val="-7"/>
                <w:w w:val="120"/>
                <w:sz w:val="14"/>
              </w:rPr>
              <w:t>23</w:t>
            </w:r>
          </w:p>
          <w:p>
            <w:pPr>
              <w:pStyle w:val="TableParagraph"/>
              <w:rPr>
                <w:sz w:val="14"/>
              </w:rPr>
            </w:pPr>
          </w:p>
          <w:p>
            <w:pPr>
              <w:pStyle w:val="TableParagraph"/>
              <w:spacing w:before="8"/>
              <w:rPr>
                <w:sz w:val="20"/>
              </w:rPr>
            </w:pPr>
          </w:p>
          <w:p>
            <w:pPr>
              <w:pStyle w:val="TableParagraph"/>
              <w:spacing w:line="147" w:lineRule="exact"/>
              <w:ind w:left="83"/>
              <w:rPr>
                <w:sz w:val="14"/>
              </w:rPr>
            </w:pPr>
            <w:r>
              <w:rPr>
                <w:w w:val="115"/>
                <w:sz w:val="14"/>
              </w:rPr>
              <w:t>-3</w:t>
            </w:r>
          </w:p>
        </w:tc>
        <w:tc>
          <w:tcPr>
            <w:tcW w:w="129" w:type="dxa"/>
          </w:tcPr>
          <w:p>
            <w:pPr>
              <w:pStyle w:val="TableParagraph"/>
              <w:rPr>
                <w:sz w:val="16"/>
              </w:rPr>
            </w:pPr>
          </w:p>
        </w:tc>
        <w:tc>
          <w:tcPr>
            <w:tcW w:w="259" w:type="dxa"/>
            <w:tcBorders>
              <w:top w:val="single" w:sz="2" w:space="0" w:color="000000"/>
            </w:tcBorders>
          </w:tcPr>
          <w:p>
            <w:pPr>
              <w:pStyle w:val="TableParagraph"/>
              <w:spacing w:before="81"/>
              <w:ind w:left="86"/>
              <w:rPr>
                <w:sz w:val="14"/>
              </w:rPr>
            </w:pPr>
            <w:r>
              <w:rPr>
                <w:w w:val="120"/>
                <w:sz w:val="14"/>
              </w:rPr>
              <w:t>20</w:t>
            </w:r>
          </w:p>
          <w:p>
            <w:pPr>
              <w:pStyle w:val="TableParagraph"/>
              <w:rPr>
                <w:sz w:val="14"/>
              </w:rPr>
            </w:pPr>
          </w:p>
          <w:p>
            <w:pPr>
              <w:pStyle w:val="TableParagraph"/>
              <w:spacing w:before="8"/>
              <w:rPr>
                <w:sz w:val="20"/>
              </w:rPr>
            </w:pPr>
          </w:p>
          <w:p>
            <w:pPr>
              <w:pStyle w:val="TableParagraph"/>
              <w:spacing w:line="147" w:lineRule="exact"/>
              <w:ind w:left="162"/>
              <w:rPr>
                <w:sz w:val="14"/>
              </w:rPr>
            </w:pPr>
            <w:r>
              <w:rPr>
                <w:w w:val="121"/>
                <w:sz w:val="14"/>
              </w:rPr>
              <w:t>1</w:t>
            </w:r>
          </w:p>
        </w:tc>
        <w:tc>
          <w:tcPr>
            <w:tcW w:w="139" w:type="dxa"/>
          </w:tcPr>
          <w:p>
            <w:pPr>
              <w:pStyle w:val="TableParagraph"/>
              <w:rPr>
                <w:sz w:val="16"/>
              </w:rPr>
            </w:pPr>
          </w:p>
        </w:tc>
        <w:tc>
          <w:tcPr>
            <w:tcW w:w="269" w:type="dxa"/>
            <w:tcBorders>
              <w:top w:val="single" w:sz="2" w:space="0" w:color="000000"/>
            </w:tcBorders>
          </w:tcPr>
          <w:p>
            <w:pPr>
              <w:pStyle w:val="TableParagraph"/>
              <w:spacing w:before="81"/>
              <w:ind w:left="67"/>
              <w:rPr>
                <w:sz w:val="14"/>
              </w:rPr>
            </w:pPr>
            <w:r>
              <w:rPr>
                <w:spacing w:val="-7"/>
                <w:w w:val="120"/>
                <w:sz w:val="14"/>
              </w:rPr>
              <w:t>23</w:t>
            </w:r>
          </w:p>
          <w:p>
            <w:pPr>
              <w:pStyle w:val="TableParagraph"/>
              <w:rPr>
                <w:sz w:val="14"/>
              </w:rPr>
            </w:pPr>
          </w:p>
          <w:p>
            <w:pPr>
              <w:pStyle w:val="TableParagraph"/>
              <w:spacing w:before="8"/>
              <w:rPr>
                <w:sz w:val="20"/>
              </w:rPr>
            </w:pPr>
          </w:p>
          <w:p>
            <w:pPr>
              <w:pStyle w:val="TableParagraph"/>
              <w:spacing w:line="147" w:lineRule="exact"/>
              <w:ind w:left="91"/>
              <w:rPr>
                <w:sz w:val="14"/>
              </w:rPr>
            </w:pPr>
            <w:r>
              <w:rPr>
                <w:w w:val="115"/>
                <w:sz w:val="14"/>
              </w:rPr>
              <w:t>-5</w:t>
            </w:r>
          </w:p>
        </w:tc>
      </w:tr>
      <w:tr>
        <w:trPr>
          <w:trHeight w:val="140" w:hRule="atLeast"/>
        </w:trPr>
        <w:tc>
          <w:tcPr>
            <w:tcW w:w="2136" w:type="dxa"/>
          </w:tcPr>
          <w:p>
            <w:pPr>
              <w:pStyle w:val="TableParagraph"/>
              <w:spacing w:line="120" w:lineRule="exact"/>
              <w:ind w:left="156"/>
              <w:rPr>
                <w:sz w:val="14"/>
              </w:rPr>
            </w:pPr>
            <w:r>
              <w:rPr>
                <w:w w:val="110"/>
                <w:sz w:val="14"/>
              </w:rPr>
              <w:t>Information technology</w:t>
            </w:r>
          </w:p>
        </w:tc>
        <w:tc>
          <w:tcPr>
            <w:tcW w:w="899" w:type="dxa"/>
            <w:gridSpan w:val="2"/>
          </w:tcPr>
          <w:p>
            <w:pPr>
              <w:pStyle w:val="TableParagraph"/>
              <w:tabs>
                <w:tab w:pos="702" w:val="left" w:leader="none"/>
              </w:tabs>
              <w:spacing w:line="120" w:lineRule="exact"/>
              <w:ind w:left="140"/>
              <w:rPr>
                <w:sz w:val="14"/>
              </w:rPr>
            </w:pPr>
            <w:r>
              <w:rPr>
                <w:spacing w:val="-7"/>
                <w:w w:val="120"/>
                <w:sz w:val="14"/>
              </w:rPr>
              <w:t>28</w:t>
              <w:tab/>
            </w:r>
            <w:r>
              <w:rPr>
                <w:spacing w:val="-10"/>
                <w:w w:val="120"/>
                <w:sz w:val="14"/>
              </w:rPr>
              <w:t>41</w:t>
            </w:r>
          </w:p>
        </w:tc>
        <w:tc>
          <w:tcPr>
            <w:tcW w:w="398" w:type="dxa"/>
            <w:gridSpan w:val="2"/>
          </w:tcPr>
          <w:p>
            <w:pPr>
              <w:pStyle w:val="TableParagraph"/>
              <w:spacing w:line="120" w:lineRule="exact"/>
              <w:ind w:left="208"/>
              <w:rPr>
                <w:sz w:val="14"/>
              </w:rPr>
            </w:pPr>
            <w:r>
              <w:rPr>
                <w:w w:val="120"/>
                <w:sz w:val="14"/>
              </w:rPr>
              <w:t>24</w:t>
            </w:r>
          </w:p>
        </w:tc>
        <w:tc>
          <w:tcPr>
            <w:tcW w:w="388" w:type="dxa"/>
            <w:gridSpan w:val="2"/>
          </w:tcPr>
          <w:p>
            <w:pPr>
              <w:pStyle w:val="TableParagraph"/>
              <w:spacing w:line="120" w:lineRule="exact"/>
              <w:ind w:left="229"/>
              <w:rPr>
                <w:sz w:val="14"/>
              </w:rPr>
            </w:pPr>
            <w:r>
              <w:rPr>
                <w:spacing w:val="-12"/>
                <w:w w:val="120"/>
                <w:sz w:val="14"/>
              </w:rPr>
              <w:t>21</w:t>
            </w:r>
          </w:p>
        </w:tc>
        <w:tc>
          <w:tcPr>
            <w:tcW w:w="408" w:type="dxa"/>
            <w:gridSpan w:val="2"/>
          </w:tcPr>
          <w:p>
            <w:pPr>
              <w:pStyle w:val="TableParagraph"/>
              <w:spacing w:line="120" w:lineRule="exact"/>
              <w:ind w:left="217"/>
              <w:rPr>
                <w:sz w:val="14"/>
              </w:rPr>
            </w:pPr>
            <w:r>
              <w:rPr>
                <w:w w:val="120"/>
                <w:sz w:val="14"/>
              </w:rPr>
              <w:t>19</w:t>
            </w:r>
          </w:p>
        </w:tc>
      </w:tr>
      <w:tr>
        <w:trPr>
          <w:trHeight w:val="140" w:hRule="atLeast"/>
        </w:trPr>
        <w:tc>
          <w:tcPr>
            <w:tcW w:w="2136" w:type="dxa"/>
          </w:tcPr>
          <w:p>
            <w:pPr>
              <w:pStyle w:val="TableParagraph"/>
              <w:spacing w:line="120" w:lineRule="exact"/>
              <w:ind w:left="156"/>
              <w:rPr>
                <w:sz w:val="14"/>
              </w:rPr>
            </w:pPr>
            <w:r>
              <w:rPr>
                <w:w w:val="110"/>
                <w:sz w:val="14"/>
              </w:rPr>
              <w:t>Vehicles, plant and machinery</w:t>
            </w:r>
          </w:p>
        </w:tc>
        <w:tc>
          <w:tcPr>
            <w:tcW w:w="899" w:type="dxa"/>
            <w:gridSpan w:val="2"/>
          </w:tcPr>
          <w:p>
            <w:pPr>
              <w:pStyle w:val="TableParagraph"/>
              <w:tabs>
                <w:tab w:pos="769" w:val="left" w:leader="none"/>
              </w:tabs>
              <w:spacing w:line="120" w:lineRule="exact"/>
              <w:ind w:left="213"/>
              <w:rPr>
                <w:sz w:val="14"/>
              </w:rPr>
            </w:pPr>
            <w:r>
              <w:rPr>
                <w:w w:val="120"/>
                <w:sz w:val="14"/>
              </w:rPr>
              <w:t>1</w:t>
              <w:tab/>
              <w:t>2</w:t>
            </w:r>
          </w:p>
        </w:tc>
        <w:tc>
          <w:tcPr>
            <w:tcW w:w="398" w:type="dxa"/>
            <w:gridSpan w:val="2"/>
          </w:tcPr>
          <w:p>
            <w:pPr>
              <w:pStyle w:val="TableParagraph"/>
              <w:spacing w:line="120" w:lineRule="exact"/>
              <w:ind w:right="28"/>
              <w:jc w:val="right"/>
              <w:rPr>
                <w:sz w:val="14"/>
              </w:rPr>
            </w:pPr>
            <w:r>
              <w:rPr>
                <w:w w:val="121"/>
                <w:sz w:val="14"/>
              </w:rPr>
              <w:t>4</w:t>
            </w:r>
          </w:p>
        </w:tc>
        <w:tc>
          <w:tcPr>
            <w:tcW w:w="388" w:type="dxa"/>
            <w:gridSpan w:val="2"/>
          </w:tcPr>
          <w:p>
            <w:pPr>
              <w:pStyle w:val="TableParagraph"/>
              <w:spacing w:line="120" w:lineRule="exact"/>
              <w:ind w:left="242"/>
              <w:rPr>
                <w:sz w:val="14"/>
              </w:rPr>
            </w:pPr>
            <w:r>
              <w:rPr>
                <w:w w:val="115"/>
                <w:sz w:val="14"/>
              </w:rPr>
              <w:t>-4</w:t>
            </w:r>
          </w:p>
        </w:tc>
        <w:tc>
          <w:tcPr>
            <w:tcW w:w="408" w:type="dxa"/>
            <w:gridSpan w:val="2"/>
          </w:tcPr>
          <w:p>
            <w:pPr>
              <w:pStyle w:val="TableParagraph"/>
              <w:spacing w:line="120" w:lineRule="exact"/>
              <w:ind w:right="40"/>
              <w:jc w:val="right"/>
              <w:rPr>
                <w:sz w:val="14"/>
              </w:rPr>
            </w:pPr>
            <w:r>
              <w:rPr>
                <w:w w:val="121"/>
                <w:sz w:val="14"/>
              </w:rPr>
              <w:t>4</w:t>
            </w:r>
          </w:p>
        </w:tc>
      </w:tr>
    </w:tbl>
    <w:p>
      <w:pPr>
        <w:pStyle w:val="BodyText"/>
        <w:spacing w:before="3"/>
        <w:rPr>
          <w:sz w:val="11"/>
        </w:rPr>
      </w:pPr>
    </w:p>
    <w:p>
      <w:pPr>
        <w:spacing w:line="208" w:lineRule="auto" w:before="0"/>
        <w:ind w:left="182" w:right="2062" w:firstLine="0"/>
        <w:jc w:val="left"/>
        <w:rPr>
          <w:sz w:val="14"/>
        </w:rPr>
      </w:pPr>
      <w:r>
        <w:rPr>
          <w:w w:val="105"/>
          <w:sz w:val="14"/>
        </w:rPr>
        <w:t>CBI/PricewaterhouseCoopers Financial services</w:t>
      </w:r>
    </w:p>
    <w:tbl>
      <w:tblPr>
        <w:tblW w:w="0" w:type="auto"/>
        <w:jc w:val="left"/>
        <w:tblInd w:w="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4"/>
        <w:gridCol w:w="517"/>
        <w:gridCol w:w="486"/>
        <w:gridCol w:w="405"/>
        <w:gridCol w:w="398"/>
        <w:gridCol w:w="336"/>
      </w:tblGrid>
      <w:tr>
        <w:trPr>
          <w:trHeight w:val="140" w:hRule="atLeast"/>
        </w:trPr>
        <w:tc>
          <w:tcPr>
            <w:tcW w:w="1984" w:type="dxa"/>
          </w:tcPr>
          <w:p>
            <w:pPr>
              <w:pStyle w:val="TableParagraph"/>
              <w:spacing w:line="120" w:lineRule="exact"/>
              <w:ind w:left="50"/>
              <w:rPr>
                <w:sz w:val="14"/>
              </w:rPr>
            </w:pPr>
            <w:r>
              <w:rPr>
                <w:w w:val="110"/>
                <w:sz w:val="14"/>
              </w:rPr>
              <w:t>Land and buildings</w:t>
            </w:r>
          </w:p>
        </w:tc>
        <w:tc>
          <w:tcPr>
            <w:tcW w:w="517" w:type="dxa"/>
          </w:tcPr>
          <w:p>
            <w:pPr>
              <w:pStyle w:val="TableParagraph"/>
              <w:spacing w:line="120" w:lineRule="exact"/>
              <w:ind w:left="115" w:right="135"/>
              <w:jc w:val="center"/>
              <w:rPr>
                <w:sz w:val="14"/>
              </w:rPr>
            </w:pPr>
            <w:r>
              <w:rPr>
                <w:w w:val="115"/>
                <w:sz w:val="14"/>
              </w:rPr>
              <w:t>-13</w:t>
            </w:r>
          </w:p>
        </w:tc>
        <w:tc>
          <w:tcPr>
            <w:tcW w:w="486" w:type="dxa"/>
          </w:tcPr>
          <w:p>
            <w:pPr>
              <w:pStyle w:val="TableParagraph"/>
              <w:spacing w:line="120" w:lineRule="exact"/>
              <w:ind w:right="101"/>
              <w:jc w:val="right"/>
              <w:rPr>
                <w:sz w:val="14"/>
              </w:rPr>
            </w:pPr>
            <w:r>
              <w:rPr>
                <w:w w:val="115"/>
                <w:sz w:val="14"/>
              </w:rPr>
              <w:t>-24</w:t>
            </w:r>
          </w:p>
        </w:tc>
        <w:tc>
          <w:tcPr>
            <w:tcW w:w="405" w:type="dxa"/>
          </w:tcPr>
          <w:p>
            <w:pPr>
              <w:pStyle w:val="TableParagraph"/>
              <w:spacing w:line="120" w:lineRule="exact"/>
              <w:ind w:right="94"/>
              <w:jc w:val="right"/>
              <w:rPr>
                <w:sz w:val="14"/>
              </w:rPr>
            </w:pPr>
            <w:r>
              <w:rPr>
                <w:w w:val="115"/>
                <w:sz w:val="14"/>
              </w:rPr>
              <w:t>-12</w:t>
            </w:r>
          </w:p>
        </w:tc>
        <w:tc>
          <w:tcPr>
            <w:tcW w:w="398" w:type="dxa"/>
          </w:tcPr>
          <w:p>
            <w:pPr>
              <w:pStyle w:val="TableParagraph"/>
              <w:spacing w:line="120" w:lineRule="exact"/>
              <w:ind w:right="84"/>
              <w:jc w:val="right"/>
              <w:rPr>
                <w:sz w:val="14"/>
              </w:rPr>
            </w:pPr>
            <w:r>
              <w:rPr>
                <w:w w:val="115"/>
                <w:sz w:val="14"/>
              </w:rPr>
              <w:t>-20</w:t>
            </w:r>
          </w:p>
        </w:tc>
        <w:tc>
          <w:tcPr>
            <w:tcW w:w="336" w:type="dxa"/>
          </w:tcPr>
          <w:p>
            <w:pPr>
              <w:pStyle w:val="TableParagraph"/>
              <w:spacing w:line="120" w:lineRule="exact"/>
              <w:ind w:right="44"/>
              <w:jc w:val="right"/>
              <w:rPr>
                <w:sz w:val="14"/>
              </w:rPr>
            </w:pPr>
            <w:r>
              <w:rPr>
                <w:w w:val="110"/>
                <w:sz w:val="14"/>
              </w:rPr>
              <w:t>-3</w:t>
            </w:r>
          </w:p>
        </w:tc>
      </w:tr>
      <w:tr>
        <w:trPr>
          <w:trHeight w:val="140" w:hRule="atLeast"/>
        </w:trPr>
        <w:tc>
          <w:tcPr>
            <w:tcW w:w="1984" w:type="dxa"/>
          </w:tcPr>
          <w:p>
            <w:pPr>
              <w:pStyle w:val="TableParagraph"/>
              <w:spacing w:line="120" w:lineRule="exact"/>
              <w:ind w:left="50"/>
              <w:rPr>
                <w:sz w:val="14"/>
              </w:rPr>
            </w:pPr>
            <w:r>
              <w:rPr>
                <w:w w:val="110"/>
                <w:sz w:val="14"/>
              </w:rPr>
              <w:t>Information technology</w:t>
            </w:r>
          </w:p>
        </w:tc>
        <w:tc>
          <w:tcPr>
            <w:tcW w:w="517" w:type="dxa"/>
          </w:tcPr>
          <w:p>
            <w:pPr>
              <w:pStyle w:val="TableParagraph"/>
              <w:spacing w:line="120" w:lineRule="exact"/>
              <w:ind w:left="115" w:right="98"/>
              <w:jc w:val="center"/>
              <w:rPr>
                <w:sz w:val="14"/>
              </w:rPr>
            </w:pPr>
            <w:r>
              <w:rPr>
                <w:w w:val="120"/>
                <w:sz w:val="14"/>
              </w:rPr>
              <w:t>39</w:t>
            </w:r>
          </w:p>
        </w:tc>
        <w:tc>
          <w:tcPr>
            <w:tcW w:w="486" w:type="dxa"/>
          </w:tcPr>
          <w:p>
            <w:pPr>
              <w:pStyle w:val="TableParagraph"/>
              <w:spacing w:line="120" w:lineRule="exact"/>
              <w:ind w:right="101"/>
              <w:jc w:val="right"/>
              <w:rPr>
                <w:sz w:val="14"/>
              </w:rPr>
            </w:pPr>
            <w:r>
              <w:rPr>
                <w:w w:val="120"/>
                <w:sz w:val="14"/>
              </w:rPr>
              <w:t>34</w:t>
            </w:r>
          </w:p>
        </w:tc>
        <w:tc>
          <w:tcPr>
            <w:tcW w:w="405" w:type="dxa"/>
          </w:tcPr>
          <w:p>
            <w:pPr>
              <w:pStyle w:val="TableParagraph"/>
              <w:spacing w:line="120" w:lineRule="exact"/>
              <w:ind w:right="94"/>
              <w:jc w:val="right"/>
              <w:rPr>
                <w:sz w:val="14"/>
              </w:rPr>
            </w:pPr>
            <w:r>
              <w:rPr>
                <w:w w:val="120"/>
                <w:sz w:val="14"/>
              </w:rPr>
              <w:t>36</w:t>
            </w:r>
          </w:p>
        </w:tc>
        <w:tc>
          <w:tcPr>
            <w:tcW w:w="398" w:type="dxa"/>
          </w:tcPr>
          <w:p>
            <w:pPr>
              <w:pStyle w:val="TableParagraph"/>
              <w:spacing w:line="120" w:lineRule="exact"/>
              <w:ind w:right="84"/>
              <w:jc w:val="right"/>
              <w:rPr>
                <w:sz w:val="14"/>
              </w:rPr>
            </w:pPr>
            <w:r>
              <w:rPr>
                <w:w w:val="120"/>
                <w:sz w:val="14"/>
              </w:rPr>
              <w:t>44</w:t>
            </w:r>
          </w:p>
        </w:tc>
        <w:tc>
          <w:tcPr>
            <w:tcW w:w="336" w:type="dxa"/>
          </w:tcPr>
          <w:p>
            <w:pPr>
              <w:pStyle w:val="TableParagraph"/>
              <w:spacing w:line="120" w:lineRule="exact"/>
              <w:ind w:right="44"/>
              <w:jc w:val="right"/>
              <w:rPr>
                <w:sz w:val="14"/>
              </w:rPr>
            </w:pPr>
            <w:r>
              <w:rPr>
                <w:w w:val="120"/>
                <w:sz w:val="14"/>
              </w:rPr>
              <w:t>36</w:t>
            </w:r>
          </w:p>
        </w:tc>
      </w:tr>
      <w:tr>
        <w:trPr>
          <w:trHeight w:val="140" w:hRule="atLeast"/>
        </w:trPr>
        <w:tc>
          <w:tcPr>
            <w:tcW w:w="1984" w:type="dxa"/>
          </w:tcPr>
          <w:p>
            <w:pPr>
              <w:pStyle w:val="TableParagraph"/>
              <w:spacing w:line="120" w:lineRule="exact"/>
              <w:ind w:left="50"/>
              <w:rPr>
                <w:sz w:val="14"/>
              </w:rPr>
            </w:pPr>
            <w:r>
              <w:rPr>
                <w:w w:val="110"/>
                <w:sz w:val="14"/>
              </w:rPr>
              <w:t>Vehicles, plant and machinery</w:t>
            </w:r>
          </w:p>
        </w:tc>
        <w:tc>
          <w:tcPr>
            <w:tcW w:w="517" w:type="dxa"/>
          </w:tcPr>
          <w:p>
            <w:pPr>
              <w:pStyle w:val="TableParagraph"/>
              <w:spacing w:line="120" w:lineRule="exact"/>
              <w:ind w:left="110" w:right="141"/>
              <w:jc w:val="center"/>
              <w:rPr>
                <w:sz w:val="14"/>
              </w:rPr>
            </w:pPr>
            <w:r>
              <w:rPr>
                <w:w w:val="115"/>
                <w:sz w:val="14"/>
              </w:rPr>
              <w:t>-10</w:t>
            </w:r>
          </w:p>
        </w:tc>
        <w:tc>
          <w:tcPr>
            <w:tcW w:w="486" w:type="dxa"/>
          </w:tcPr>
          <w:p>
            <w:pPr>
              <w:pStyle w:val="TableParagraph"/>
              <w:spacing w:line="120" w:lineRule="exact"/>
              <w:ind w:right="101"/>
              <w:jc w:val="right"/>
              <w:rPr>
                <w:sz w:val="14"/>
              </w:rPr>
            </w:pPr>
            <w:r>
              <w:rPr>
                <w:w w:val="115"/>
                <w:sz w:val="14"/>
              </w:rPr>
              <w:t>-10</w:t>
            </w:r>
          </w:p>
        </w:tc>
        <w:tc>
          <w:tcPr>
            <w:tcW w:w="405" w:type="dxa"/>
          </w:tcPr>
          <w:p>
            <w:pPr>
              <w:pStyle w:val="TableParagraph"/>
              <w:spacing w:line="120" w:lineRule="exact"/>
              <w:ind w:right="94"/>
              <w:jc w:val="right"/>
              <w:rPr>
                <w:sz w:val="14"/>
              </w:rPr>
            </w:pPr>
            <w:r>
              <w:rPr>
                <w:w w:val="115"/>
                <w:sz w:val="14"/>
              </w:rPr>
              <w:t>-11</w:t>
            </w:r>
          </w:p>
        </w:tc>
        <w:tc>
          <w:tcPr>
            <w:tcW w:w="398" w:type="dxa"/>
          </w:tcPr>
          <w:p>
            <w:pPr>
              <w:pStyle w:val="TableParagraph"/>
              <w:spacing w:line="120" w:lineRule="exact"/>
              <w:ind w:right="84"/>
              <w:jc w:val="right"/>
              <w:rPr>
                <w:sz w:val="14"/>
              </w:rPr>
            </w:pPr>
            <w:r>
              <w:rPr>
                <w:w w:val="115"/>
                <w:sz w:val="14"/>
              </w:rPr>
              <w:t>-19</w:t>
            </w:r>
          </w:p>
        </w:tc>
        <w:tc>
          <w:tcPr>
            <w:tcW w:w="336" w:type="dxa"/>
          </w:tcPr>
          <w:p>
            <w:pPr>
              <w:pStyle w:val="TableParagraph"/>
              <w:spacing w:line="120" w:lineRule="exact"/>
              <w:ind w:right="44"/>
              <w:jc w:val="right"/>
              <w:rPr>
                <w:sz w:val="14"/>
              </w:rPr>
            </w:pPr>
            <w:r>
              <w:rPr>
                <w:w w:val="115"/>
                <w:sz w:val="14"/>
              </w:rPr>
              <w:t>-18</w:t>
            </w:r>
          </w:p>
        </w:tc>
      </w:tr>
    </w:tbl>
    <w:p>
      <w:pPr>
        <w:spacing w:before="122"/>
        <w:ind w:left="182" w:right="0" w:firstLine="0"/>
        <w:jc w:val="left"/>
        <w:rPr>
          <w:sz w:val="12"/>
        </w:rPr>
      </w:pPr>
      <w:r>
        <w:rPr>
          <w:w w:val="105"/>
          <w:sz w:val="12"/>
        </w:rPr>
        <w:t>Sources: CBI/Deloitte &amp; Touche and CBI/PricewaterhouseCoopers and BCC.</w:t>
      </w:r>
    </w:p>
    <w:p>
      <w:pPr>
        <w:pStyle w:val="ListParagraph"/>
        <w:numPr>
          <w:ilvl w:val="0"/>
          <w:numId w:val="14"/>
        </w:numPr>
        <w:tabs>
          <w:tab w:pos="423" w:val="left" w:leader="none"/>
        </w:tabs>
        <w:spacing w:line="129" w:lineRule="exact" w:before="102" w:after="0"/>
        <w:ind w:left="422" w:right="0" w:hanging="241"/>
        <w:jc w:val="left"/>
        <w:rPr>
          <w:sz w:val="12"/>
        </w:rPr>
      </w:pPr>
      <w:r>
        <w:rPr>
          <w:w w:val="110"/>
          <w:sz w:val="12"/>
        </w:rPr>
        <w:t>Percentage</w:t>
      </w:r>
      <w:r>
        <w:rPr>
          <w:spacing w:val="-8"/>
          <w:w w:val="110"/>
          <w:sz w:val="12"/>
        </w:rPr>
        <w:t> </w:t>
      </w:r>
      <w:r>
        <w:rPr>
          <w:w w:val="110"/>
          <w:sz w:val="12"/>
        </w:rPr>
        <w:t>balance</w:t>
      </w:r>
      <w:r>
        <w:rPr>
          <w:spacing w:val="-7"/>
          <w:w w:val="110"/>
          <w:sz w:val="12"/>
        </w:rPr>
        <w:t> </w:t>
      </w:r>
      <w:r>
        <w:rPr>
          <w:w w:val="110"/>
          <w:sz w:val="12"/>
        </w:rPr>
        <w:t>of</w:t>
      </w:r>
      <w:r>
        <w:rPr>
          <w:spacing w:val="-7"/>
          <w:w w:val="110"/>
          <w:sz w:val="12"/>
        </w:rPr>
        <w:t> </w:t>
      </w:r>
      <w:r>
        <w:rPr>
          <w:w w:val="110"/>
          <w:sz w:val="12"/>
        </w:rPr>
        <w:t>firms</w:t>
      </w:r>
      <w:r>
        <w:rPr>
          <w:spacing w:val="-7"/>
          <w:w w:val="110"/>
          <w:sz w:val="12"/>
        </w:rPr>
        <w:t> </w:t>
      </w:r>
      <w:r>
        <w:rPr>
          <w:w w:val="110"/>
          <w:sz w:val="12"/>
        </w:rPr>
        <w:t>revising</w:t>
      </w:r>
      <w:r>
        <w:rPr>
          <w:spacing w:val="-7"/>
          <w:w w:val="110"/>
          <w:sz w:val="12"/>
        </w:rPr>
        <w:t> </w:t>
      </w:r>
      <w:r>
        <w:rPr>
          <w:w w:val="110"/>
          <w:sz w:val="12"/>
        </w:rPr>
        <w:t>up</w:t>
      </w:r>
      <w:r>
        <w:rPr>
          <w:spacing w:val="-7"/>
          <w:w w:val="110"/>
          <w:sz w:val="12"/>
        </w:rPr>
        <w:t> </w:t>
      </w:r>
      <w:r>
        <w:rPr>
          <w:w w:val="110"/>
          <w:sz w:val="12"/>
        </w:rPr>
        <w:t>their</w:t>
      </w:r>
      <w:r>
        <w:rPr>
          <w:spacing w:val="-7"/>
          <w:w w:val="110"/>
          <w:sz w:val="12"/>
        </w:rPr>
        <w:t> </w:t>
      </w:r>
      <w:r>
        <w:rPr>
          <w:w w:val="110"/>
          <w:sz w:val="12"/>
        </w:rPr>
        <w:t>investment</w:t>
      </w:r>
      <w:r>
        <w:rPr>
          <w:spacing w:val="-7"/>
          <w:w w:val="110"/>
          <w:sz w:val="12"/>
        </w:rPr>
        <w:t> </w:t>
      </w:r>
      <w:r>
        <w:rPr>
          <w:w w:val="110"/>
          <w:sz w:val="12"/>
        </w:rPr>
        <w:t>intentions.</w:t>
      </w:r>
    </w:p>
    <w:p>
      <w:pPr>
        <w:pStyle w:val="ListParagraph"/>
        <w:numPr>
          <w:ilvl w:val="0"/>
          <w:numId w:val="14"/>
        </w:numPr>
        <w:tabs>
          <w:tab w:pos="423" w:val="left" w:leader="none"/>
        </w:tabs>
        <w:spacing w:line="208" w:lineRule="auto" w:before="6" w:after="0"/>
        <w:ind w:left="422" w:right="133" w:hanging="240"/>
        <w:jc w:val="left"/>
        <w:rPr>
          <w:sz w:val="12"/>
        </w:rPr>
      </w:pPr>
      <w:r>
        <w:rPr>
          <w:w w:val="105"/>
          <w:sz w:val="12"/>
        </w:rPr>
        <w:t>Since </w:t>
      </w:r>
      <w:r>
        <w:rPr>
          <w:spacing w:val="-12"/>
          <w:w w:val="105"/>
          <w:sz w:val="12"/>
        </w:rPr>
        <w:t>1989 </w:t>
      </w:r>
      <w:r>
        <w:rPr>
          <w:w w:val="105"/>
          <w:sz w:val="12"/>
        </w:rPr>
        <w:t>for BCC and CBI/PricewaterhouseCoopers; since November </w:t>
      </w:r>
      <w:r>
        <w:rPr>
          <w:spacing w:val="-11"/>
          <w:w w:val="105"/>
          <w:sz w:val="12"/>
        </w:rPr>
        <w:t>1998 </w:t>
      </w:r>
      <w:r>
        <w:rPr>
          <w:w w:val="105"/>
          <w:sz w:val="12"/>
        </w:rPr>
        <w:t>for CBI/Deloitte &amp;</w:t>
      </w:r>
      <w:r>
        <w:rPr>
          <w:spacing w:val="-5"/>
          <w:w w:val="105"/>
          <w:sz w:val="12"/>
        </w:rPr>
        <w:t> </w:t>
      </w:r>
      <w:r>
        <w:rPr>
          <w:w w:val="105"/>
          <w:sz w:val="12"/>
        </w:rPr>
        <w:t>Touche.</w:t>
      </w:r>
    </w:p>
    <w:p>
      <w:pPr>
        <w:pStyle w:val="ListParagraph"/>
        <w:numPr>
          <w:ilvl w:val="0"/>
          <w:numId w:val="14"/>
        </w:numPr>
        <w:tabs>
          <w:tab w:pos="423" w:val="left" w:leader="none"/>
        </w:tabs>
        <w:spacing w:line="208" w:lineRule="auto" w:before="0" w:after="0"/>
        <w:ind w:left="422" w:right="129" w:hanging="240"/>
        <w:jc w:val="left"/>
        <w:rPr>
          <w:sz w:val="12"/>
        </w:rPr>
      </w:pPr>
      <w:r>
        <w:rPr>
          <w:w w:val="105"/>
          <w:sz w:val="12"/>
        </w:rPr>
        <w:t>Unweighted average of the responses for consumer, business and professional services.</w:t>
      </w:r>
    </w:p>
    <w:p>
      <w:pPr>
        <w:pStyle w:val="BodyText"/>
        <w:spacing w:line="292" w:lineRule="auto" w:before="54"/>
        <w:ind w:left="182" w:right="258"/>
      </w:pPr>
      <w:r>
        <w:rPr/>
        <w:br w:type="column"/>
      </w:r>
      <w:r>
        <w:rPr>
          <w:w w:val="110"/>
        </w:rPr>
        <w:t>High </w:t>
      </w:r>
      <w:r>
        <w:rPr>
          <w:spacing w:val="-2"/>
          <w:w w:val="110"/>
        </w:rPr>
        <w:t>levels </w:t>
      </w:r>
      <w:r>
        <w:rPr>
          <w:w w:val="110"/>
        </w:rPr>
        <w:t>of M&amp;A expenditure and the purchase of the third-generation mobile telecommunications licences </w:t>
      </w:r>
      <w:r>
        <w:rPr>
          <w:spacing w:val="-3"/>
          <w:w w:val="110"/>
        </w:rPr>
        <w:t>may have</w:t>
      </w:r>
      <w:r>
        <w:rPr>
          <w:spacing w:val="-24"/>
          <w:w w:val="110"/>
        </w:rPr>
        <w:t> </w:t>
      </w:r>
      <w:r>
        <w:rPr>
          <w:spacing w:val="-3"/>
          <w:w w:val="110"/>
        </w:rPr>
        <w:t>temporarily</w:t>
      </w:r>
      <w:r>
        <w:rPr>
          <w:spacing w:val="-23"/>
          <w:w w:val="110"/>
        </w:rPr>
        <w:t> </w:t>
      </w:r>
      <w:r>
        <w:rPr>
          <w:spacing w:val="-3"/>
          <w:w w:val="110"/>
        </w:rPr>
        <w:t>lowered</w:t>
      </w:r>
      <w:r>
        <w:rPr>
          <w:spacing w:val="-23"/>
          <w:w w:val="110"/>
        </w:rPr>
        <w:t> </w:t>
      </w:r>
      <w:r>
        <w:rPr>
          <w:w w:val="110"/>
        </w:rPr>
        <w:t>available</w:t>
      </w:r>
      <w:r>
        <w:rPr>
          <w:spacing w:val="-23"/>
          <w:w w:val="110"/>
        </w:rPr>
        <w:t> </w:t>
      </w:r>
      <w:r>
        <w:rPr>
          <w:spacing w:val="-3"/>
          <w:w w:val="110"/>
        </w:rPr>
        <w:t>resources,</w:t>
      </w:r>
      <w:r>
        <w:rPr>
          <w:spacing w:val="-24"/>
          <w:w w:val="110"/>
        </w:rPr>
        <w:t> </w:t>
      </w:r>
      <w:r>
        <w:rPr>
          <w:w w:val="110"/>
        </w:rPr>
        <w:t>although</w:t>
      </w:r>
      <w:r>
        <w:rPr>
          <w:spacing w:val="-23"/>
          <w:w w:val="110"/>
        </w:rPr>
        <w:t> </w:t>
      </w:r>
      <w:r>
        <w:rPr>
          <w:w w:val="110"/>
        </w:rPr>
        <w:t>recent</w:t>
      </w:r>
    </w:p>
    <w:p>
      <w:pPr>
        <w:pStyle w:val="BodyText"/>
        <w:spacing w:line="292" w:lineRule="auto"/>
        <w:ind w:left="182" w:right="185"/>
      </w:pPr>
      <w:r>
        <w:rPr>
          <w:w w:val="110"/>
        </w:rPr>
        <w:t>CBI</w:t>
      </w:r>
      <w:r>
        <w:rPr>
          <w:spacing w:val="-16"/>
          <w:w w:val="110"/>
        </w:rPr>
        <w:t> </w:t>
      </w:r>
      <w:r>
        <w:rPr>
          <w:spacing w:val="-3"/>
          <w:w w:val="110"/>
        </w:rPr>
        <w:t>surveys</w:t>
      </w:r>
      <w:r>
        <w:rPr>
          <w:spacing w:val="-16"/>
          <w:w w:val="110"/>
        </w:rPr>
        <w:t> </w:t>
      </w:r>
      <w:r>
        <w:rPr>
          <w:w w:val="110"/>
        </w:rPr>
        <w:t>do</w:t>
      </w:r>
      <w:r>
        <w:rPr>
          <w:spacing w:val="-16"/>
          <w:w w:val="110"/>
        </w:rPr>
        <w:t> </w:t>
      </w:r>
      <w:r>
        <w:rPr>
          <w:w w:val="110"/>
        </w:rPr>
        <w:t>not</w:t>
      </w:r>
      <w:r>
        <w:rPr>
          <w:spacing w:val="-16"/>
          <w:w w:val="110"/>
        </w:rPr>
        <w:t> </w:t>
      </w:r>
      <w:r>
        <w:rPr>
          <w:w w:val="110"/>
        </w:rPr>
        <w:t>indicate</w:t>
      </w:r>
      <w:r>
        <w:rPr>
          <w:spacing w:val="-16"/>
          <w:w w:val="110"/>
        </w:rPr>
        <w:t> </w:t>
      </w:r>
      <w:r>
        <w:rPr>
          <w:w w:val="110"/>
        </w:rPr>
        <w:t>that</w:t>
      </w:r>
      <w:r>
        <w:rPr>
          <w:spacing w:val="-16"/>
          <w:w w:val="110"/>
        </w:rPr>
        <w:t> </w:t>
      </w:r>
      <w:r>
        <w:rPr>
          <w:w w:val="110"/>
        </w:rPr>
        <w:t>a</w:t>
      </w:r>
      <w:r>
        <w:rPr>
          <w:spacing w:val="-15"/>
          <w:w w:val="110"/>
        </w:rPr>
        <w:t> </w:t>
      </w:r>
      <w:r>
        <w:rPr>
          <w:w w:val="110"/>
        </w:rPr>
        <w:t>shortage</w:t>
      </w:r>
      <w:r>
        <w:rPr>
          <w:spacing w:val="-16"/>
          <w:w w:val="110"/>
        </w:rPr>
        <w:t> </w:t>
      </w:r>
      <w:r>
        <w:rPr>
          <w:w w:val="110"/>
        </w:rPr>
        <w:t>of</w:t>
      </w:r>
      <w:r>
        <w:rPr>
          <w:spacing w:val="-16"/>
          <w:w w:val="110"/>
        </w:rPr>
        <w:t> </w:t>
      </w:r>
      <w:r>
        <w:rPr>
          <w:w w:val="110"/>
        </w:rPr>
        <w:t>internal</w:t>
      </w:r>
      <w:r>
        <w:rPr>
          <w:spacing w:val="-16"/>
          <w:w w:val="110"/>
        </w:rPr>
        <w:t> </w:t>
      </w:r>
      <w:r>
        <w:rPr>
          <w:w w:val="110"/>
        </w:rPr>
        <w:t>finance has been a particular constraint on </w:t>
      </w:r>
      <w:r>
        <w:rPr>
          <w:spacing w:val="-3"/>
          <w:w w:val="110"/>
        </w:rPr>
        <w:t>investment </w:t>
      </w:r>
      <w:r>
        <w:rPr>
          <w:w w:val="110"/>
        </w:rPr>
        <w:t>in the services or manufacturing sectors (see </w:t>
      </w:r>
      <w:r>
        <w:rPr>
          <w:spacing w:val="-5"/>
          <w:w w:val="110"/>
        </w:rPr>
        <w:t>Table </w:t>
      </w:r>
      <w:r>
        <w:rPr>
          <w:w w:val="110"/>
        </w:rPr>
        <w:t>2.C). According </w:t>
      </w:r>
      <w:r>
        <w:rPr>
          <w:spacing w:val="-4"/>
          <w:w w:val="110"/>
        </w:rPr>
        <w:t>to </w:t>
      </w:r>
      <w:r>
        <w:rPr>
          <w:w w:val="110"/>
        </w:rPr>
        <w:t>the BCC,</w:t>
      </w:r>
      <w:r>
        <w:rPr>
          <w:spacing w:val="-25"/>
          <w:w w:val="110"/>
        </w:rPr>
        <w:t> </w:t>
      </w:r>
      <w:r>
        <w:rPr>
          <w:w w:val="110"/>
        </w:rPr>
        <w:t>cash</w:t>
      </w:r>
      <w:r>
        <w:rPr>
          <w:spacing w:val="-25"/>
          <w:w w:val="110"/>
        </w:rPr>
        <w:t> </w:t>
      </w:r>
      <w:r>
        <w:rPr>
          <w:w w:val="110"/>
        </w:rPr>
        <w:t>flow</w:t>
      </w:r>
      <w:r>
        <w:rPr>
          <w:spacing w:val="-25"/>
          <w:w w:val="110"/>
        </w:rPr>
        <w:t> </w:t>
      </w:r>
      <w:r>
        <w:rPr>
          <w:w w:val="110"/>
        </w:rPr>
        <w:t>has</w:t>
      </w:r>
      <w:r>
        <w:rPr>
          <w:spacing w:val="-25"/>
          <w:w w:val="110"/>
        </w:rPr>
        <w:t> </w:t>
      </w:r>
      <w:r>
        <w:rPr>
          <w:w w:val="110"/>
        </w:rPr>
        <w:t>been</w:t>
      </w:r>
      <w:r>
        <w:rPr>
          <w:spacing w:val="-25"/>
          <w:w w:val="110"/>
        </w:rPr>
        <w:t> </w:t>
      </w:r>
      <w:r>
        <w:rPr>
          <w:w w:val="110"/>
        </w:rPr>
        <w:t>improving</w:t>
      </w:r>
      <w:r>
        <w:rPr>
          <w:spacing w:val="-25"/>
          <w:w w:val="110"/>
        </w:rPr>
        <w:t> </w:t>
      </w:r>
      <w:r>
        <w:rPr>
          <w:w w:val="110"/>
        </w:rPr>
        <w:t>in</w:t>
      </w:r>
      <w:r>
        <w:rPr>
          <w:spacing w:val="-25"/>
          <w:w w:val="110"/>
        </w:rPr>
        <w:t> </w:t>
      </w:r>
      <w:r>
        <w:rPr>
          <w:w w:val="110"/>
        </w:rPr>
        <w:t>the</w:t>
      </w:r>
      <w:r>
        <w:rPr>
          <w:spacing w:val="-25"/>
          <w:w w:val="110"/>
        </w:rPr>
        <w:t> </w:t>
      </w:r>
      <w:r>
        <w:rPr>
          <w:w w:val="110"/>
        </w:rPr>
        <w:t>service</w:t>
      </w:r>
      <w:r>
        <w:rPr>
          <w:spacing w:val="-25"/>
          <w:w w:val="110"/>
        </w:rPr>
        <w:t> </w:t>
      </w:r>
      <w:r>
        <w:rPr>
          <w:w w:val="110"/>
        </w:rPr>
        <w:t>sector</w:t>
      </w:r>
      <w:r>
        <w:rPr>
          <w:spacing w:val="-25"/>
          <w:w w:val="110"/>
        </w:rPr>
        <w:t> </w:t>
      </w:r>
      <w:r>
        <w:rPr>
          <w:w w:val="110"/>
        </w:rPr>
        <w:t>since </w:t>
      </w:r>
      <w:r>
        <w:rPr>
          <w:spacing w:val="-12"/>
          <w:w w:val="110"/>
        </w:rPr>
        <w:t>1999, </w:t>
      </w:r>
      <w:r>
        <w:rPr>
          <w:w w:val="110"/>
        </w:rPr>
        <w:t>reaching its highest </w:t>
      </w:r>
      <w:r>
        <w:rPr>
          <w:spacing w:val="-3"/>
          <w:w w:val="110"/>
        </w:rPr>
        <w:t>level </w:t>
      </w:r>
      <w:r>
        <w:rPr>
          <w:w w:val="110"/>
        </w:rPr>
        <w:t>for three </w:t>
      </w:r>
      <w:r>
        <w:rPr>
          <w:spacing w:val="-3"/>
          <w:w w:val="110"/>
        </w:rPr>
        <w:t>years </w:t>
      </w:r>
      <w:r>
        <w:rPr>
          <w:w w:val="110"/>
        </w:rPr>
        <w:t>in </w:t>
      </w:r>
      <w:r>
        <w:rPr>
          <w:spacing w:val="-4"/>
          <w:w w:val="110"/>
        </w:rPr>
        <w:t>2000</w:t>
      </w:r>
      <w:r>
        <w:rPr>
          <w:spacing w:val="-40"/>
          <w:w w:val="110"/>
        </w:rPr>
        <w:t> </w:t>
      </w:r>
      <w:r>
        <w:rPr>
          <w:w w:val="110"/>
        </w:rPr>
        <w:t>Q4.</w:t>
      </w:r>
    </w:p>
    <w:p>
      <w:pPr>
        <w:pStyle w:val="BodyText"/>
        <w:spacing w:line="292" w:lineRule="auto"/>
        <w:ind w:left="182" w:right="147"/>
      </w:pPr>
      <w:r>
        <w:rPr>
          <w:w w:val="110"/>
        </w:rPr>
        <w:t>Monetary data indicate that the corporate sector increased its deposits rapidly through 2000, which also suggests healthy liquidity. There is some evidence that shortages of skilled labour became more of a constraint on investment plans during last year, but still for relatively few firms (see</w:t>
      </w:r>
    </w:p>
    <w:p>
      <w:pPr>
        <w:pStyle w:val="BodyText"/>
        <w:spacing w:line="227" w:lineRule="exact"/>
        <w:ind w:left="182"/>
      </w:pPr>
      <w:r>
        <w:rPr>
          <w:w w:val="105"/>
        </w:rPr>
        <w:t>Table 2.C).</w:t>
      </w:r>
    </w:p>
    <w:p>
      <w:pPr>
        <w:pStyle w:val="BodyText"/>
        <w:spacing w:before="9"/>
        <w:rPr>
          <w:sz w:val="24"/>
        </w:rPr>
      </w:pPr>
    </w:p>
    <w:p>
      <w:pPr>
        <w:pStyle w:val="BodyText"/>
        <w:spacing w:line="292" w:lineRule="auto"/>
        <w:ind w:left="182" w:right="149"/>
      </w:pPr>
      <w:r>
        <w:rPr>
          <w:w w:val="110"/>
        </w:rPr>
        <w:t>The interpretation that </w:t>
      </w:r>
      <w:r>
        <w:rPr>
          <w:spacing w:val="-3"/>
          <w:w w:val="110"/>
        </w:rPr>
        <w:t>investment </w:t>
      </w:r>
      <w:r>
        <w:rPr>
          <w:w w:val="110"/>
        </w:rPr>
        <w:t>expenditure has only </w:t>
      </w:r>
      <w:r>
        <w:rPr>
          <w:spacing w:val="-3"/>
          <w:w w:val="110"/>
        </w:rPr>
        <w:t>temporarily </w:t>
      </w:r>
      <w:r>
        <w:rPr>
          <w:w w:val="110"/>
        </w:rPr>
        <w:t>fallen below intentions is supported </w:t>
      </w:r>
      <w:r>
        <w:rPr>
          <w:spacing w:val="-3"/>
          <w:w w:val="110"/>
        </w:rPr>
        <w:t>by </w:t>
      </w:r>
      <w:r>
        <w:rPr>
          <w:w w:val="110"/>
        </w:rPr>
        <w:t>a </w:t>
      </w:r>
      <w:r>
        <w:rPr>
          <w:spacing w:val="-3"/>
          <w:w w:val="110"/>
        </w:rPr>
        <w:t>survey </w:t>
      </w:r>
      <w:r>
        <w:rPr>
          <w:w w:val="110"/>
        </w:rPr>
        <w:t>carried out </w:t>
      </w:r>
      <w:r>
        <w:rPr>
          <w:spacing w:val="-3"/>
          <w:w w:val="110"/>
        </w:rPr>
        <w:t>by </w:t>
      </w:r>
      <w:r>
        <w:rPr>
          <w:w w:val="110"/>
        </w:rPr>
        <w:t>the </w:t>
      </w:r>
      <w:r>
        <w:rPr>
          <w:spacing w:val="-3"/>
          <w:w w:val="110"/>
        </w:rPr>
        <w:t>Bank’s </w:t>
      </w:r>
      <w:r>
        <w:rPr>
          <w:w w:val="110"/>
        </w:rPr>
        <w:t>regional Agents in </w:t>
      </w:r>
      <w:r>
        <w:rPr>
          <w:spacing w:val="-3"/>
          <w:w w:val="110"/>
        </w:rPr>
        <w:t>January. </w:t>
      </w:r>
      <w:r>
        <w:rPr>
          <w:w w:val="110"/>
        </w:rPr>
        <w:t>In the </w:t>
      </w:r>
      <w:r>
        <w:rPr>
          <w:spacing w:val="-3"/>
          <w:w w:val="110"/>
        </w:rPr>
        <w:t>survey </w:t>
      </w:r>
      <w:r>
        <w:rPr>
          <w:w w:val="110"/>
        </w:rPr>
        <w:t>the balance of firms said that they had </w:t>
      </w:r>
      <w:r>
        <w:rPr>
          <w:spacing w:val="-4"/>
          <w:w w:val="110"/>
        </w:rPr>
        <w:t>invested </w:t>
      </w:r>
      <w:r>
        <w:rPr>
          <w:w w:val="110"/>
        </w:rPr>
        <w:t>less than planned in </w:t>
      </w:r>
      <w:r>
        <w:rPr>
          <w:spacing w:val="-4"/>
          <w:w w:val="110"/>
        </w:rPr>
        <w:t>2000. </w:t>
      </w:r>
      <w:r>
        <w:rPr>
          <w:w w:val="110"/>
        </w:rPr>
        <w:t>And the most frequently cited reason </w:t>
      </w:r>
      <w:r>
        <w:rPr>
          <w:spacing w:val="-3"/>
          <w:w w:val="110"/>
        </w:rPr>
        <w:t>was delays </w:t>
      </w:r>
      <w:r>
        <w:rPr>
          <w:w w:val="110"/>
        </w:rPr>
        <w:t>in implementing plans, sometimes due </w:t>
      </w:r>
      <w:r>
        <w:rPr>
          <w:spacing w:val="-4"/>
          <w:w w:val="110"/>
        </w:rPr>
        <w:t>to </w:t>
      </w:r>
      <w:r>
        <w:rPr>
          <w:w w:val="110"/>
        </w:rPr>
        <w:t>labour constraints.</w:t>
      </w:r>
      <w:r>
        <w:rPr>
          <w:spacing w:val="11"/>
          <w:w w:val="110"/>
        </w:rPr>
        <w:t> </w:t>
      </w:r>
      <w:r>
        <w:rPr>
          <w:spacing w:val="-4"/>
          <w:w w:val="110"/>
        </w:rPr>
        <w:t>Very</w:t>
      </w:r>
      <w:r>
        <w:rPr>
          <w:spacing w:val="-23"/>
          <w:w w:val="110"/>
        </w:rPr>
        <w:t> </w:t>
      </w:r>
      <w:r>
        <w:rPr>
          <w:w w:val="110"/>
        </w:rPr>
        <w:t>few</w:t>
      </w:r>
      <w:r>
        <w:rPr>
          <w:spacing w:val="-22"/>
          <w:w w:val="110"/>
        </w:rPr>
        <w:t> </w:t>
      </w:r>
      <w:r>
        <w:rPr>
          <w:w w:val="110"/>
        </w:rPr>
        <w:t>cited</w:t>
      </w:r>
      <w:r>
        <w:rPr>
          <w:spacing w:val="-22"/>
          <w:w w:val="110"/>
        </w:rPr>
        <w:t> </w:t>
      </w:r>
      <w:r>
        <w:rPr>
          <w:w w:val="110"/>
        </w:rPr>
        <w:t>the</w:t>
      </w:r>
      <w:r>
        <w:rPr>
          <w:spacing w:val="-23"/>
          <w:w w:val="110"/>
        </w:rPr>
        <w:t> </w:t>
      </w:r>
      <w:r>
        <w:rPr>
          <w:spacing w:val="-3"/>
          <w:w w:val="110"/>
        </w:rPr>
        <w:t>availability</w:t>
      </w:r>
      <w:r>
        <w:rPr>
          <w:spacing w:val="-22"/>
          <w:w w:val="110"/>
        </w:rPr>
        <w:t> </w:t>
      </w:r>
      <w:r>
        <w:rPr>
          <w:w w:val="110"/>
        </w:rPr>
        <w:t>or</w:t>
      </w:r>
      <w:r>
        <w:rPr>
          <w:spacing w:val="-22"/>
          <w:w w:val="110"/>
        </w:rPr>
        <w:t> </w:t>
      </w:r>
      <w:r>
        <w:rPr>
          <w:w w:val="110"/>
        </w:rPr>
        <w:t>cost</w:t>
      </w:r>
      <w:r>
        <w:rPr>
          <w:spacing w:val="-22"/>
          <w:w w:val="110"/>
        </w:rPr>
        <w:t> </w:t>
      </w:r>
      <w:r>
        <w:rPr>
          <w:w w:val="110"/>
        </w:rPr>
        <w:t>of</w:t>
      </w:r>
      <w:r>
        <w:rPr>
          <w:spacing w:val="-23"/>
          <w:w w:val="110"/>
        </w:rPr>
        <w:t> </w:t>
      </w:r>
      <w:r>
        <w:rPr>
          <w:w w:val="110"/>
        </w:rPr>
        <w:t>finance</w:t>
      </w:r>
      <w:r>
        <w:rPr>
          <w:spacing w:val="-22"/>
          <w:w w:val="110"/>
        </w:rPr>
        <w:t> </w:t>
      </w:r>
      <w:r>
        <w:rPr>
          <w:w w:val="110"/>
        </w:rPr>
        <w:t>as a constraint. The balance of firms plan </w:t>
      </w:r>
      <w:r>
        <w:rPr>
          <w:spacing w:val="-4"/>
          <w:w w:val="110"/>
        </w:rPr>
        <w:t>to </w:t>
      </w:r>
      <w:r>
        <w:rPr>
          <w:spacing w:val="-3"/>
          <w:w w:val="110"/>
        </w:rPr>
        <w:t>invest </w:t>
      </w:r>
      <w:r>
        <w:rPr>
          <w:w w:val="110"/>
        </w:rPr>
        <w:t>more in </w:t>
      </w:r>
      <w:r>
        <w:rPr>
          <w:spacing w:val="-11"/>
          <w:w w:val="110"/>
        </w:rPr>
        <w:t>2001 </w:t>
      </w:r>
      <w:r>
        <w:rPr>
          <w:w w:val="110"/>
        </w:rPr>
        <w:t>than in</w:t>
      </w:r>
      <w:r>
        <w:rPr>
          <w:spacing w:val="-9"/>
          <w:w w:val="110"/>
        </w:rPr>
        <w:t> </w:t>
      </w:r>
      <w:r>
        <w:rPr>
          <w:spacing w:val="-4"/>
          <w:w w:val="110"/>
        </w:rPr>
        <w:t>2000.</w:t>
      </w:r>
    </w:p>
    <w:p>
      <w:pPr>
        <w:pStyle w:val="BodyText"/>
        <w:spacing w:before="5"/>
      </w:pPr>
    </w:p>
    <w:p>
      <w:pPr>
        <w:pStyle w:val="BodyText"/>
        <w:spacing w:line="292" w:lineRule="auto"/>
        <w:ind w:left="182" w:right="294"/>
      </w:pPr>
      <w:r>
        <w:rPr>
          <w:w w:val="105"/>
        </w:rPr>
        <w:t>There </w:t>
      </w:r>
      <w:r>
        <w:rPr>
          <w:spacing w:val="-3"/>
          <w:w w:val="105"/>
        </w:rPr>
        <w:t>may </w:t>
      </w:r>
      <w:r>
        <w:rPr>
          <w:w w:val="105"/>
        </w:rPr>
        <w:t>be issues of measurement affecting both </w:t>
      </w:r>
      <w:r>
        <w:rPr>
          <w:spacing w:val="-3"/>
          <w:w w:val="105"/>
        </w:rPr>
        <w:t>surveys </w:t>
      </w:r>
      <w:r>
        <w:rPr>
          <w:w w:val="105"/>
        </w:rPr>
        <w:t>and the official data. As discussed in previous </w:t>
      </w:r>
      <w:r>
        <w:rPr>
          <w:i/>
          <w:w w:val="105"/>
        </w:rPr>
        <w:t>Reports</w:t>
      </w:r>
      <w:r>
        <w:rPr>
          <w:w w:val="105"/>
        </w:rPr>
        <w:t>, difficulties in adequately capturing </w:t>
      </w:r>
      <w:r>
        <w:rPr>
          <w:spacing w:val="-3"/>
          <w:w w:val="105"/>
        </w:rPr>
        <w:t>quality </w:t>
      </w:r>
      <w:r>
        <w:rPr>
          <w:w w:val="105"/>
        </w:rPr>
        <w:t>improvements </w:t>
      </w:r>
      <w:r>
        <w:rPr>
          <w:spacing w:val="-3"/>
          <w:w w:val="105"/>
        </w:rPr>
        <w:t>may </w:t>
      </w:r>
      <w:r>
        <w:rPr>
          <w:w w:val="105"/>
        </w:rPr>
        <w:t>mean that the price of </w:t>
      </w:r>
      <w:r>
        <w:rPr>
          <w:spacing w:val="-3"/>
          <w:w w:val="105"/>
        </w:rPr>
        <w:t>investment </w:t>
      </w:r>
      <w:r>
        <w:rPr>
          <w:w w:val="105"/>
        </w:rPr>
        <w:t>goods is </w:t>
      </w:r>
      <w:r>
        <w:rPr>
          <w:spacing w:val="-3"/>
          <w:w w:val="105"/>
        </w:rPr>
        <w:t>overstated </w:t>
      </w:r>
      <w:r>
        <w:rPr>
          <w:w w:val="105"/>
        </w:rPr>
        <w:t>and hence the volume </w:t>
      </w:r>
      <w:r>
        <w:rPr>
          <w:spacing w:val="-3"/>
          <w:w w:val="105"/>
        </w:rPr>
        <w:t>understated. </w:t>
      </w:r>
      <w:r>
        <w:rPr>
          <w:w w:val="105"/>
        </w:rPr>
        <w:t>So the accumulated stock of capital </w:t>
      </w:r>
      <w:r>
        <w:rPr>
          <w:spacing w:val="-3"/>
          <w:w w:val="105"/>
        </w:rPr>
        <w:t>may </w:t>
      </w:r>
      <w:r>
        <w:rPr>
          <w:w w:val="105"/>
        </w:rPr>
        <w:t>be higher than previously assumed. </w:t>
      </w:r>
      <w:r>
        <w:rPr>
          <w:spacing w:val="-3"/>
          <w:w w:val="105"/>
        </w:rPr>
        <w:t>Alternatively, </w:t>
      </w:r>
      <w:r>
        <w:rPr>
          <w:w w:val="105"/>
        </w:rPr>
        <w:t>surveys of the aggregate service </w:t>
      </w:r>
      <w:r>
        <w:rPr>
          <w:spacing w:val="-3"/>
          <w:w w:val="105"/>
        </w:rPr>
        <w:t>sector, </w:t>
      </w:r>
      <w:r>
        <w:rPr>
          <w:w w:val="105"/>
        </w:rPr>
        <w:t>for example the BCC </w:t>
      </w:r>
      <w:r>
        <w:rPr>
          <w:spacing w:val="-4"/>
          <w:w w:val="105"/>
        </w:rPr>
        <w:t>survey, </w:t>
      </w:r>
      <w:r>
        <w:rPr>
          <w:spacing w:val="-3"/>
          <w:w w:val="105"/>
        </w:rPr>
        <w:t>may </w:t>
      </w:r>
      <w:r>
        <w:rPr>
          <w:w w:val="105"/>
        </w:rPr>
        <w:t>not be adequately capturing sharp changes in </w:t>
      </w:r>
      <w:r>
        <w:rPr>
          <w:spacing w:val="-3"/>
          <w:w w:val="105"/>
        </w:rPr>
        <w:t>investment </w:t>
      </w:r>
      <w:r>
        <w:rPr>
          <w:w w:val="105"/>
        </w:rPr>
        <w:t>in information technology </w:t>
      </w:r>
      <w:r>
        <w:rPr>
          <w:spacing w:val="-3"/>
          <w:w w:val="105"/>
        </w:rPr>
        <w:t>by </w:t>
      </w:r>
      <w:r>
        <w:rPr>
          <w:w w:val="105"/>
        </w:rPr>
        <w:t>particular parts of  the service </w:t>
      </w:r>
      <w:r>
        <w:rPr>
          <w:spacing w:val="-4"/>
          <w:w w:val="105"/>
        </w:rPr>
        <w:t>sector. </w:t>
      </w:r>
      <w:r>
        <w:rPr>
          <w:w w:val="105"/>
        </w:rPr>
        <w:t>For example, the decline in IT </w:t>
      </w:r>
      <w:r>
        <w:rPr>
          <w:spacing w:val="-3"/>
          <w:w w:val="105"/>
        </w:rPr>
        <w:t>investment </w:t>
      </w:r>
      <w:r>
        <w:rPr>
          <w:w w:val="105"/>
        </w:rPr>
        <w:t>intentions apparent in the CBI/Deloitte &amp; </w:t>
      </w:r>
      <w:r>
        <w:rPr>
          <w:spacing w:val="-4"/>
          <w:w w:val="105"/>
        </w:rPr>
        <w:t>Touche </w:t>
      </w:r>
      <w:r>
        <w:rPr>
          <w:spacing w:val="-3"/>
          <w:w w:val="105"/>
        </w:rPr>
        <w:t>survey </w:t>
      </w:r>
      <w:r>
        <w:rPr>
          <w:w w:val="105"/>
        </w:rPr>
        <w:t>(see </w:t>
      </w:r>
      <w:r>
        <w:rPr>
          <w:spacing w:val="-5"/>
          <w:w w:val="105"/>
        </w:rPr>
        <w:t>Table </w:t>
      </w:r>
      <w:r>
        <w:rPr>
          <w:w w:val="105"/>
        </w:rPr>
        <w:t>2.D) has occurred mainly in consumer services. But the </w:t>
      </w:r>
      <w:r>
        <w:rPr>
          <w:spacing w:val="-3"/>
          <w:w w:val="105"/>
        </w:rPr>
        <w:t>survey </w:t>
      </w:r>
      <w:r>
        <w:rPr>
          <w:w w:val="105"/>
        </w:rPr>
        <w:t>still indicated positive intentions in </w:t>
      </w:r>
      <w:r>
        <w:rPr>
          <w:spacing w:val="-4"/>
          <w:w w:val="105"/>
        </w:rPr>
        <w:t>2000</w:t>
      </w:r>
      <w:r>
        <w:rPr>
          <w:spacing w:val="25"/>
          <w:w w:val="105"/>
        </w:rPr>
        <w:t> </w:t>
      </w:r>
      <w:r>
        <w:rPr>
          <w:w w:val="105"/>
        </w:rPr>
        <w:t>Q4.</w:t>
      </w:r>
    </w:p>
    <w:p>
      <w:pPr>
        <w:spacing w:after="0" w:line="292" w:lineRule="auto"/>
        <w:sectPr>
          <w:type w:val="continuous"/>
          <w:pgSz w:w="11900" w:h="16840"/>
          <w:pgMar w:top="1260" w:bottom="280" w:left="640" w:right="640"/>
          <w:cols w:num="2" w:equalWidth="0">
            <w:col w:w="4519" w:space="401"/>
            <w:col w:w="5700"/>
          </w:cols>
        </w:sectPr>
      </w:pPr>
    </w:p>
    <w:p>
      <w:pPr>
        <w:pStyle w:val="BodyText"/>
      </w:pPr>
    </w:p>
    <w:p>
      <w:pPr>
        <w:pStyle w:val="BodyText"/>
        <w:spacing w:before="6"/>
        <w:rPr>
          <w:sz w:val="19"/>
        </w:rPr>
      </w:pPr>
    </w:p>
    <w:p>
      <w:pPr>
        <w:pStyle w:val="BodyText"/>
        <w:ind w:left="5114"/>
      </w:pPr>
      <w:bookmarkStart w:name="Public sector demand" w:id="52"/>
      <w:bookmarkEnd w:id="52"/>
      <w:r>
        <w:rPr/>
      </w:r>
      <w:bookmarkStart w:name="Inventories" w:id="53"/>
      <w:bookmarkEnd w:id="53"/>
      <w:r>
        <w:rPr/>
      </w:r>
      <w:bookmarkStart w:name="_bookmark25" w:id="54"/>
      <w:bookmarkEnd w:id="54"/>
      <w:r>
        <w:rPr/>
      </w:r>
      <w:r>
        <w:rPr>
          <w:w w:val="110"/>
        </w:rPr>
        <w:t>Investment in private sector dwellings rose by 0.8% in</w:t>
      </w:r>
    </w:p>
    <w:p>
      <w:pPr>
        <w:pStyle w:val="BodyText"/>
        <w:spacing w:line="292" w:lineRule="auto" w:before="51"/>
        <w:ind w:left="5114"/>
      </w:pPr>
      <w:r>
        <w:rPr>
          <w:spacing w:val="-4"/>
          <w:w w:val="110"/>
        </w:rPr>
        <w:t>2000 </w:t>
      </w:r>
      <w:r>
        <w:rPr>
          <w:w w:val="110"/>
        </w:rPr>
        <w:t>Q3. </w:t>
      </w:r>
      <w:r>
        <w:rPr>
          <w:spacing w:val="-3"/>
          <w:w w:val="110"/>
        </w:rPr>
        <w:t>Investment </w:t>
      </w:r>
      <w:r>
        <w:rPr>
          <w:w w:val="110"/>
        </w:rPr>
        <w:t>in dwellings has been supported </w:t>
      </w:r>
      <w:r>
        <w:rPr>
          <w:spacing w:val="-3"/>
          <w:w w:val="110"/>
        </w:rPr>
        <w:t>by </w:t>
      </w:r>
      <w:r>
        <w:rPr>
          <w:w w:val="110"/>
        </w:rPr>
        <w:t>the rise</w:t>
      </w:r>
      <w:r>
        <w:rPr>
          <w:spacing w:val="-14"/>
          <w:w w:val="110"/>
        </w:rPr>
        <w:t> </w:t>
      </w:r>
      <w:r>
        <w:rPr>
          <w:w w:val="110"/>
        </w:rPr>
        <w:t>in</w:t>
      </w:r>
      <w:r>
        <w:rPr>
          <w:spacing w:val="-14"/>
          <w:w w:val="110"/>
        </w:rPr>
        <w:t> </w:t>
      </w:r>
      <w:r>
        <w:rPr>
          <w:w w:val="110"/>
        </w:rPr>
        <w:t>house</w:t>
      </w:r>
      <w:r>
        <w:rPr>
          <w:spacing w:val="-14"/>
          <w:w w:val="110"/>
        </w:rPr>
        <w:t> </w:t>
      </w:r>
      <w:r>
        <w:rPr>
          <w:w w:val="110"/>
        </w:rPr>
        <w:t>prices</w:t>
      </w:r>
      <w:r>
        <w:rPr>
          <w:spacing w:val="-14"/>
          <w:w w:val="110"/>
        </w:rPr>
        <w:t> </w:t>
      </w:r>
      <w:r>
        <w:rPr>
          <w:w w:val="110"/>
        </w:rPr>
        <w:t>in</w:t>
      </w:r>
      <w:r>
        <w:rPr>
          <w:spacing w:val="-14"/>
          <w:w w:val="110"/>
        </w:rPr>
        <w:t> </w:t>
      </w:r>
      <w:r>
        <w:rPr>
          <w:w w:val="110"/>
        </w:rPr>
        <w:t>recent</w:t>
      </w:r>
      <w:r>
        <w:rPr>
          <w:spacing w:val="-14"/>
          <w:w w:val="110"/>
        </w:rPr>
        <w:t> </w:t>
      </w:r>
      <w:r>
        <w:rPr>
          <w:spacing w:val="-3"/>
          <w:w w:val="110"/>
        </w:rPr>
        <w:t>years.</w:t>
      </w:r>
      <w:r>
        <w:rPr>
          <w:spacing w:val="29"/>
          <w:w w:val="110"/>
        </w:rPr>
        <w:t> </w:t>
      </w:r>
      <w:r>
        <w:rPr>
          <w:w w:val="110"/>
        </w:rPr>
        <w:t>But</w:t>
      </w:r>
      <w:r>
        <w:rPr>
          <w:spacing w:val="-14"/>
          <w:w w:val="110"/>
        </w:rPr>
        <w:t> </w:t>
      </w:r>
      <w:r>
        <w:rPr>
          <w:w w:val="110"/>
        </w:rPr>
        <w:t>the</w:t>
      </w:r>
      <w:r>
        <w:rPr>
          <w:spacing w:val="-14"/>
          <w:w w:val="110"/>
        </w:rPr>
        <w:t> </w:t>
      </w:r>
      <w:r>
        <w:rPr>
          <w:w w:val="110"/>
        </w:rPr>
        <w:t>CIPS</w:t>
      </w:r>
      <w:r>
        <w:rPr>
          <w:spacing w:val="-14"/>
          <w:w w:val="110"/>
        </w:rPr>
        <w:t> </w:t>
      </w:r>
      <w:r>
        <w:rPr>
          <w:w w:val="110"/>
        </w:rPr>
        <w:t>construction </w:t>
      </w:r>
      <w:r>
        <w:rPr>
          <w:spacing w:val="-3"/>
          <w:w w:val="110"/>
        </w:rPr>
        <w:t>survey </w:t>
      </w:r>
      <w:r>
        <w:rPr>
          <w:w w:val="110"/>
        </w:rPr>
        <w:t>and new </w:t>
      </w:r>
      <w:r>
        <w:rPr>
          <w:spacing w:val="-3"/>
          <w:w w:val="110"/>
        </w:rPr>
        <w:t>orders </w:t>
      </w:r>
      <w:r>
        <w:rPr>
          <w:w w:val="110"/>
        </w:rPr>
        <w:t>data indicated a moderation in house construction</w:t>
      </w:r>
      <w:r>
        <w:rPr>
          <w:spacing w:val="-16"/>
          <w:w w:val="110"/>
        </w:rPr>
        <w:t> </w:t>
      </w:r>
      <w:r>
        <w:rPr>
          <w:w w:val="110"/>
        </w:rPr>
        <w:t>activity</w:t>
      </w:r>
      <w:r>
        <w:rPr>
          <w:spacing w:val="-15"/>
          <w:w w:val="110"/>
        </w:rPr>
        <w:t> </w:t>
      </w:r>
      <w:r>
        <w:rPr>
          <w:w w:val="110"/>
        </w:rPr>
        <w:t>during</w:t>
      </w:r>
      <w:r>
        <w:rPr>
          <w:spacing w:val="-16"/>
          <w:w w:val="110"/>
        </w:rPr>
        <w:t> </w:t>
      </w:r>
      <w:r>
        <w:rPr>
          <w:spacing w:val="-4"/>
          <w:w w:val="110"/>
        </w:rPr>
        <w:t>2000,</w:t>
      </w:r>
      <w:r>
        <w:rPr>
          <w:spacing w:val="-15"/>
          <w:w w:val="110"/>
        </w:rPr>
        <w:t> </w:t>
      </w:r>
      <w:r>
        <w:rPr>
          <w:w w:val="110"/>
        </w:rPr>
        <w:t>with</w:t>
      </w:r>
      <w:r>
        <w:rPr>
          <w:spacing w:val="-16"/>
          <w:w w:val="110"/>
        </w:rPr>
        <w:t> </w:t>
      </w:r>
      <w:r>
        <w:rPr>
          <w:w w:val="110"/>
        </w:rPr>
        <w:t>some</w:t>
      </w:r>
      <w:r>
        <w:rPr>
          <w:spacing w:val="-15"/>
          <w:w w:val="110"/>
        </w:rPr>
        <w:t> </w:t>
      </w:r>
      <w:r>
        <w:rPr>
          <w:w w:val="110"/>
        </w:rPr>
        <w:t>increase</w:t>
      </w:r>
      <w:r>
        <w:rPr>
          <w:spacing w:val="-16"/>
          <w:w w:val="110"/>
        </w:rPr>
        <w:t> </w:t>
      </w:r>
      <w:r>
        <w:rPr>
          <w:w w:val="110"/>
        </w:rPr>
        <w:t>evident only</w:t>
      </w:r>
      <w:r>
        <w:rPr>
          <w:spacing w:val="-25"/>
          <w:w w:val="110"/>
        </w:rPr>
        <w:t> </w:t>
      </w:r>
      <w:r>
        <w:rPr>
          <w:w w:val="110"/>
        </w:rPr>
        <w:t>in</w:t>
      </w:r>
      <w:r>
        <w:rPr>
          <w:spacing w:val="-25"/>
          <w:w w:val="110"/>
        </w:rPr>
        <w:t> </w:t>
      </w:r>
      <w:r>
        <w:rPr>
          <w:w w:val="110"/>
        </w:rPr>
        <w:t>very</w:t>
      </w:r>
      <w:r>
        <w:rPr>
          <w:spacing w:val="-24"/>
          <w:w w:val="110"/>
        </w:rPr>
        <w:t> </w:t>
      </w:r>
      <w:r>
        <w:rPr>
          <w:w w:val="110"/>
        </w:rPr>
        <w:t>recent</w:t>
      </w:r>
      <w:r>
        <w:rPr>
          <w:spacing w:val="-25"/>
          <w:w w:val="110"/>
        </w:rPr>
        <w:t> </w:t>
      </w:r>
      <w:r>
        <w:rPr>
          <w:w w:val="110"/>
        </w:rPr>
        <w:t>months.</w:t>
      </w:r>
      <w:r>
        <w:rPr>
          <w:spacing w:val="6"/>
          <w:w w:val="110"/>
        </w:rPr>
        <w:t> </w:t>
      </w:r>
      <w:r>
        <w:rPr>
          <w:w w:val="110"/>
        </w:rPr>
        <w:t>So</w:t>
      </w:r>
      <w:r>
        <w:rPr>
          <w:spacing w:val="-24"/>
          <w:w w:val="110"/>
        </w:rPr>
        <w:t> </w:t>
      </w:r>
      <w:r>
        <w:rPr>
          <w:w w:val="110"/>
        </w:rPr>
        <w:t>growth</w:t>
      </w:r>
      <w:r>
        <w:rPr>
          <w:spacing w:val="-25"/>
          <w:w w:val="110"/>
        </w:rPr>
        <w:t> </w:t>
      </w:r>
      <w:r>
        <w:rPr>
          <w:w w:val="110"/>
        </w:rPr>
        <w:t>in</w:t>
      </w:r>
      <w:r>
        <w:rPr>
          <w:spacing w:val="-25"/>
          <w:w w:val="110"/>
        </w:rPr>
        <w:t> </w:t>
      </w:r>
      <w:r>
        <w:rPr>
          <w:w w:val="110"/>
        </w:rPr>
        <w:t>dwellings</w:t>
      </w:r>
      <w:r>
        <w:rPr>
          <w:spacing w:val="-24"/>
          <w:w w:val="110"/>
        </w:rPr>
        <w:t> </w:t>
      </w:r>
      <w:r>
        <w:rPr>
          <w:w w:val="110"/>
        </w:rPr>
        <w:t>investment </w:t>
      </w:r>
      <w:r>
        <w:rPr>
          <w:spacing w:val="-3"/>
          <w:w w:val="110"/>
        </w:rPr>
        <w:t>may weaken </w:t>
      </w:r>
      <w:r>
        <w:rPr>
          <w:w w:val="110"/>
        </w:rPr>
        <w:t>in the near term, although the recent upturn in housing activity could feed through </w:t>
      </w:r>
      <w:r>
        <w:rPr>
          <w:spacing w:val="-4"/>
          <w:w w:val="110"/>
        </w:rPr>
        <w:t>to </w:t>
      </w:r>
      <w:r>
        <w:rPr>
          <w:spacing w:val="-3"/>
          <w:w w:val="110"/>
        </w:rPr>
        <w:t>investment </w:t>
      </w:r>
      <w:r>
        <w:rPr>
          <w:w w:val="110"/>
        </w:rPr>
        <w:t>once dwellings</w:t>
      </w:r>
      <w:r>
        <w:rPr>
          <w:spacing w:val="-8"/>
          <w:w w:val="110"/>
        </w:rPr>
        <w:t> </w:t>
      </w:r>
      <w:r>
        <w:rPr>
          <w:w w:val="110"/>
        </w:rPr>
        <w:t>are</w:t>
      </w:r>
      <w:r>
        <w:rPr>
          <w:spacing w:val="-8"/>
          <w:w w:val="110"/>
        </w:rPr>
        <w:t> </w:t>
      </w:r>
      <w:r>
        <w:rPr>
          <w:w w:val="110"/>
        </w:rPr>
        <w:t>completed</w:t>
      </w:r>
      <w:r>
        <w:rPr>
          <w:spacing w:val="-8"/>
          <w:w w:val="110"/>
        </w:rPr>
        <w:t> </w:t>
      </w:r>
      <w:r>
        <w:rPr>
          <w:w w:val="110"/>
        </w:rPr>
        <w:t>later</w:t>
      </w:r>
      <w:r>
        <w:rPr>
          <w:spacing w:val="-7"/>
          <w:w w:val="110"/>
        </w:rPr>
        <w:t> </w:t>
      </w:r>
      <w:r>
        <w:rPr>
          <w:w w:val="110"/>
        </w:rPr>
        <w:t>in</w:t>
      </w:r>
      <w:r>
        <w:rPr>
          <w:spacing w:val="-8"/>
          <w:w w:val="110"/>
        </w:rPr>
        <w:t> </w:t>
      </w:r>
      <w:r>
        <w:rPr>
          <w:w w:val="110"/>
        </w:rPr>
        <w:t>the</w:t>
      </w:r>
      <w:r>
        <w:rPr>
          <w:spacing w:val="-8"/>
          <w:w w:val="110"/>
        </w:rPr>
        <w:t> </w:t>
      </w:r>
      <w:r>
        <w:rPr>
          <w:spacing w:val="-4"/>
          <w:w w:val="110"/>
        </w:rPr>
        <w:t>year.</w:t>
      </w:r>
    </w:p>
    <w:p>
      <w:pPr>
        <w:pStyle w:val="BodyText"/>
        <w:spacing w:before="9"/>
        <w:rPr>
          <w:sz w:val="23"/>
        </w:rPr>
      </w:pPr>
    </w:p>
    <w:p>
      <w:pPr>
        <w:spacing w:after="0"/>
        <w:rPr>
          <w:sz w:val="23"/>
        </w:rPr>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6"/>
        <w:spacing w:before="147"/>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2.16</w:t>
      </w:r>
    </w:p>
    <w:p>
      <w:pPr>
        <w:spacing w:before="8"/>
        <w:ind w:left="178" w:right="0" w:firstLine="0"/>
        <w:jc w:val="left"/>
        <w:rPr>
          <w:sz w:val="12"/>
        </w:rPr>
      </w:pPr>
      <w:r>
        <w:rPr>
          <w:rFonts w:ascii="Trebuchet MS"/>
          <w:b/>
          <w:color w:val="89C6DC"/>
          <w:w w:val="95"/>
          <w:sz w:val="20"/>
        </w:rPr>
        <w:t>Change</w:t>
      </w:r>
      <w:r>
        <w:rPr>
          <w:rFonts w:ascii="Trebuchet MS"/>
          <w:b/>
          <w:color w:val="89C6DC"/>
          <w:spacing w:val="-26"/>
          <w:w w:val="95"/>
          <w:sz w:val="20"/>
        </w:rPr>
        <w:t> </w:t>
      </w:r>
      <w:r>
        <w:rPr>
          <w:rFonts w:ascii="Trebuchet MS"/>
          <w:b/>
          <w:color w:val="89C6DC"/>
          <w:w w:val="95"/>
          <w:sz w:val="20"/>
        </w:rPr>
        <w:t>in</w:t>
      </w:r>
      <w:r>
        <w:rPr>
          <w:rFonts w:ascii="Trebuchet MS"/>
          <w:b/>
          <w:color w:val="89C6DC"/>
          <w:spacing w:val="-26"/>
          <w:w w:val="95"/>
          <w:sz w:val="20"/>
        </w:rPr>
        <w:t> </w:t>
      </w:r>
      <w:r>
        <w:rPr>
          <w:rFonts w:ascii="Trebuchet MS"/>
          <w:b/>
          <w:color w:val="89C6DC"/>
          <w:w w:val="95"/>
          <w:sz w:val="20"/>
        </w:rPr>
        <w:t>inventories</w:t>
      </w:r>
      <w:r>
        <w:rPr>
          <w:w w:val="95"/>
          <w:position w:val="4"/>
          <w:sz w:val="12"/>
        </w:rPr>
        <w:t>(a)</w:t>
      </w:r>
    </w:p>
    <w:p>
      <w:pPr>
        <w:pStyle w:val="BodyText"/>
        <w:spacing w:line="292" w:lineRule="auto" w:before="61"/>
        <w:ind w:left="178" w:right="133"/>
      </w:pPr>
      <w:r>
        <w:rPr/>
        <w:br w:type="column"/>
      </w:r>
      <w:r>
        <w:rPr>
          <w:w w:val="110"/>
        </w:rPr>
        <w:t>Overall the MPC continues </w:t>
      </w:r>
      <w:r>
        <w:rPr>
          <w:spacing w:val="-4"/>
          <w:w w:val="110"/>
        </w:rPr>
        <w:t>to </w:t>
      </w:r>
      <w:r>
        <w:rPr>
          <w:w w:val="110"/>
        </w:rPr>
        <w:t>expect some recovery in the growth </w:t>
      </w:r>
      <w:r>
        <w:rPr>
          <w:spacing w:val="-4"/>
          <w:w w:val="110"/>
        </w:rPr>
        <w:t>rate </w:t>
      </w:r>
      <w:r>
        <w:rPr>
          <w:w w:val="110"/>
        </w:rPr>
        <w:t>of </w:t>
      </w:r>
      <w:r>
        <w:rPr>
          <w:spacing w:val="-3"/>
          <w:w w:val="110"/>
        </w:rPr>
        <w:t>private </w:t>
      </w:r>
      <w:r>
        <w:rPr>
          <w:w w:val="110"/>
        </w:rPr>
        <w:t>sector investment, based on </w:t>
      </w:r>
      <w:r>
        <w:rPr>
          <w:spacing w:val="-3"/>
          <w:w w:val="110"/>
        </w:rPr>
        <w:t>survey </w:t>
      </w:r>
      <w:r>
        <w:rPr>
          <w:w w:val="110"/>
        </w:rPr>
        <w:t>evidence for business investment. But the </w:t>
      </w:r>
      <w:r>
        <w:rPr>
          <w:spacing w:val="-5"/>
          <w:w w:val="110"/>
        </w:rPr>
        <w:t>near-term </w:t>
      </w:r>
      <w:r>
        <w:rPr>
          <w:w w:val="110"/>
        </w:rPr>
        <w:t>profile for</w:t>
      </w:r>
      <w:r>
        <w:rPr>
          <w:spacing w:val="-15"/>
          <w:w w:val="110"/>
        </w:rPr>
        <w:t> </w:t>
      </w:r>
      <w:r>
        <w:rPr>
          <w:spacing w:val="-3"/>
          <w:w w:val="110"/>
        </w:rPr>
        <w:t>private</w:t>
      </w:r>
      <w:r>
        <w:rPr>
          <w:spacing w:val="-14"/>
          <w:w w:val="110"/>
        </w:rPr>
        <w:t> </w:t>
      </w:r>
      <w:r>
        <w:rPr>
          <w:spacing w:val="-3"/>
          <w:w w:val="110"/>
        </w:rPr>
        <w:t>investment</w:t>
      </w:r>
      <w:r>
        <w:rPr>
          <w:spacing w:val="-14"/>
          <w:w w:val="110"/>
        </w:rPr>
        <w:t> </w:t>
      </w:r>
      <w:r>
        <w:rPr>
          <w:w w:val="110"/>
        </w:rPr>
        <w:t>is</w:t>
      </w:r>
      <w:r>
        <w:rPr>
          <w:spacing w:val="-14"/>
          <w:w w:val="110"/>
        </w:rPr>
        <w:t> </w:t>
      </w:r>
      <w:r>
        <w:rPr>
          <w:spacing w:val="-3"/>
          <w:w w:val="110"/>
        </w:rPr>
        <w:t>lower</w:t>
      </w:r>
      <w:r>
        <w:rPr>
          <w:spacing w:val="-14"/>
          <w:w w:val="110"/>
        </w:rPr>
        <w:t> </w:t>
      </w:r>
      <w:r>
        <w:rPr>
          <w:w w:val="110"/>
        </w:rPr>
        <w:t>than</w:t>
      </w:r>
      <w:r>
        <w:rPr>
          <w:spacing w:val="-14"/>
          <w:w w:val="110"/>
        </w:rPr>
        <w:t> </w:t>
      </w:r>
      <w:r>
        <w:rPr>
          <w:spacing w:val="-3"/>
          <w:w w:val="110"/>
        </w:rPr>
        <w:t>projected</w:t>
      </w:r>
      <w:r>
        <w:rPr>
          <w:spacing w:val="-14"/>
          <w:w w:val="110"/>
        </w:rPr>
        <w:t> </w:t>
      </w:r>
      <w:r>
        <w:rPr>
          <w:w w:val="110"/>
        </w:rPr>
        <w:t>in</w:t>
      </w:r>
      <w:r>
        <w:rPr>
          <w:spacing w:val="-14"/>
          <w:w w:val="110"/>
        </w:rPr>
        <w:t> </w:t>
      </w:r>
      <w:r>
        <w:rPr>
          <w:w w:val="110"/>
        </w:rPr>
        <w:t>the</w:t>
      </w:r>
      <w:r>
        <w:rPr>
          <w:spacing w:val="-15"/>
          <w:w w:val="110"/>
        </w:rPr>
        <w:t> </w:t>
      </w:r>
      <w:r>
        <w:rPr>
          <w:w w:val="110"/>
        </w:rPr>
        <w:t>November </w:t>
      </w:r>
      <w:r>
        <w:rPr>
          <w:i/>
          <w:w w:val="110"/>
        </w:rPr>
        <w:t>Report</w:t>
      </w:r>
      <w:r>
        <w:rPr>
          <w:w w:val="110"/>
        </w:rPr>
        <w:t>, as successive weak outturns suggest that some of the </w:t>
      </w:r>
      <w:r>
        <w:rPr>
          <w:spacing w:val="-3"/>
          <w:w w:val="110"/>
        </w:rPr>
        <w:t>temporary factors </w:t>
      </w:r>
      <w:r>
        <w:rPr>
          <w:w w:val="110"/>
        </w:rPr>
        <w:t>leading </w:t>
      </w:r>
      <w:r>
        <w:rPr>
          <w:spacing w:val="-4"/>
          <w:w w:val="110"/>
        </w:rPr>
        <w:t>to </w:t>
      </w:r>
      <w:r>
        <w:rPr>
          <w:spacing w:val="-3"/>
          <w:w w:val="110"/>
        </w:rPr>
        <w:t>weaker </w:t>
      </w:r>
      <w:r>
        <w:rPr>
          <w:w w:val="110"/>
        </w:rPr>
        <w:t>growth are likely </w:t>
      </w:r>
      <w:r>
        <w:rPr>
          <w:spacing w:val="-4"/>
          <w:w w:val="110"/>
        </w:rPr>
        <w:t>to </w:t>
      </w:r>
      <w:r>
        <w:rPr>
          <w:w w:val="110"/>
        </w:rPr>
        <w:t>be more persistent than previously thought. Information from asset</w:t>
      </w:r>
      <w:r>
        <w:rPr>
          <w:spacing w:val="-13"/>
          <w:w w:val="110"/>
        </w:rPr>
        <w:t> </w:t>
      </w:r>
      <w:r>
        <w:rPr>
          <w:w w:val="110"/>
        </w:rPr>
        <w:t>prices</w:t>
      </w:r>
      <w:r>
        <w:rPr>
          <w:spacing w:val="-12"/>
          <w:w w:val="110"/>
        </w:rPr>
        <w:t> </w:t>
      </w:r>
      <w:r>
        <w:rPr>
          <w:w w:val="110"/>
        </w:rPr>
        <w:t>suggests</w:t>
      </w:r>
      <w:r>
        <w:rPr>
          <w:spacing w:val="-12"/>
          <w:w w:val="110"/>
        </w:rPr>
        <w:t> </w:t>
      </w:r>
      <w:r>
        <w:rPr>
          <w:w w:val="110"/>
        </w:rPr>
        <w:t>that</w:t>
      </w:r>
      <w:r>
        <w:rPr>
          <w:spacing w:val="-13"/>
          <w:w w:val="110"/>
        </w:rPr>
        <w:t> </w:t>
      </w:r>
      <w:r>
        <w:rPr>
          <w:w w:val="110"/>
        </w:rPr>
        <w:t>the</w:t>
      </w:r>
      <w:r>
        <w:rPr>
          <w:spacing w:val="-12"/>
          <w:w w:val="110"/>
        </w:rPr>
        <w:t> </w:t>
      </w:r>
      <w:r>
        <w:rPr>
          <w:w w:val="110"/>
        </w:rPr>
        <w:t>outlook</w:t>
      </w:r>
      <w:r>
        <w:rPr>
          <w:spacing w:val="-12"/>
          <w:w w:val="110"/>
        </w:rPr>
        <w:t> </w:t>
      </w:r>
      <w:r>
        <w:rPr>
          <w:w w:val="110"/>
        </w:rPr>
        <w:t>for</w:t>
      </w:r>
      <w:r>
        <w:rPr>
          <w:spacing w:val="-12"/>
          <w:w w:val="110"/>
        </w:rPr>
        <w:t> </w:t>
      </w:r>
      <w:r>
        <w:rPr>
          <w:spacing w:val="-3"/>
          <w:w w:val="110"/>
        </w:rPr>
        <w:t>corporate</w:t>
      </w:r>
      <w:r>
        <w:rPr>
          <w:spacing w:val="-13"/>
          <w:w w:val="110"/>
        </w:rPr>
        <w:t> </w:t>
      </w:r>
      <w:r>
        <w:rPr>
          <w:w w:val="110"/>
        </w:rPr>
        <w:t>profits</w:t>
      </w:r>
      <w:r>
        <w:rPr>
          <w:spacing w:val="-12"/>
          <w:w w:val="110"/>
        </w:rPr>
        <w:t> </w:t>
      </w:r>
      <w:r>
        <w:rPr>
          <w:w w:val="110"/>
        </w:rPr>
        <w:t>has deteriorated or become more uncertain, and the number of profit</w:t>
      </w:r>
      <w:r>
        <w:rPr>
          <w:spacing w:val="-10"/>
          <w:w w:val="110"/>
        </w:rPr>
        <w:t> </w:t>
      </w:r>
      <w:r>
        <w:rPr>
          <w:w w:val="110"/>
        </w:rPr>
        <w:t>warnings</w:t>
      </w:r>
      <w:r>
        <w:rPr>
          <w:spacing w:val="-10"/>
          <w:w w:val="110"/>
        </w:rPr>
        <w:t> </w:t>
      </w:r>
      <w:r>
        <w:rPr>
          <w:w w:val="110"/>
        </w:rPr>
        <w:t>has</w:t>
      </w:r>
      <w:r>
        <w:rPr>
          <w:spacing w:val="-9"/>
          <w:w w:val="110"/>
        </w:rPr>
        <w:t> </w:t>
      </w:r>
      <w:r>
        <w:rPr>
          <w:w w:val="110"/>
        </w:rPr>
        <w:t>picked</w:t>
      </w:r>
      <w:r>
        <w:rPr>
          <w:spacing w:val="-10"/>
          <w:w w:val="110"/>
        </w:rPr>
        <w:t> </w:t>
      </w:r>
      <w:r>
        <w:rPr>
          <w:w w:val="110"/>
        </w:rPr>
        <w:t>up</w:t>
      </w:r>
      <w:r>
        <w:rPr>
          <w:spacing w:val="-9"/>
          <w:w w:val="110"/>
        </w:rPr>
        <w:t> </w:t>
      </w:r>
      <w:hyperlink w:history="true" w:anchor="_bookmark14">
        <w:r>
          <w:rPr>
            <w:w w:val="110"/>
          </w:rPr>
          <w:t>(see</w:t>
        </w:r>
        <w:r>
          <w:rPr>
            <w:spacing w:val="-10"/>
            <w:w w:val="110"/>
          </w:rPr>
          <w:t> </w:t>
        </w:r>
        <w:r>
          <w:rPr>
            <w:w w:val="110"/>
          </w:rPr>
          <w:t>the</w:t>
        </w:r>
        <w:r>
          <w:rPr>
            <w:spacing w:val="-9"/>
            <w:w w:val="110"/>
          </w:rPr>
          <w:t> </w:t>
        </w:r>
        <w:r>
          <w:rPr>
            <w:color w:val="FF0000"/>
            <w:spacing w:val="-3"/>
            <w:w w:val="110"/>
          </w:rPr>
          <w:t>box</w:t>
        </w:r>
        <w:r>
          <w:rPr>
            <w:color w:val="FF0000"/>
            <w:spacing w:val="-10"/>
            <w:w w:val="110"/>
          </w:rPr>
          <w:t> </w:t>
        </w:r>
        <w:r>
          <w:rPr>
            <w:w w:val="110"/>
          </w:rPr>
          <w:t>on</w:t>
        </w:r>
        <w:r>
          <w:rPr>
            <w:spacing w:val="-10"/>
            <w:w w:val="110"/>
          </w:rPr>
          <w:t> </w:t>
        </w:r>
        <w:r>
          <w:rPr>
            <w:w w:val="110"/>
          </w:rPr>
          <w:t>page</w:t>
        </w:r>
        <w:r>
          <w:rPr>
            <w:spacing w:val="-9"/>
            <w:w w:val="110"/>
          </w:rPr>
          <w:t> </w:t>
        </w:r>
        <w:r>
          <w:rPr>
            <w:spacing w:val="-13"/>
            <w:w w:val="110"/>
          </w:rPr>
          <w:t>12</w:t>
        </w:r>
        <w:r>
          <w:rPr>
            <w:spacing w:val="-10"/>
            <w:w w:val="110"/>
          </w:rPr>
          <w:t> </w:t>
        </w:r>
        <w:r>
          <w:rPr>
            <w:w w:val="110"/>
          </w:rPr>
          <w:t>in</w:t>
        </w:r>
      </w:hyperlink>
    </w:p>
    <w:p>
      <w:pPr>
        <w:spacing w:after="0" w:line="292" w:lineRule="auto"/>
        <w:sectPr>
          <w:type w:val="continuous"/>
          <w:pgSz w:w="11900" w:h="16840"/>
          <w:pgMar w:top="1260" w:bottom="280" w:left="640" w:right="640"/>
          <w:cols w:num="2" w:equalWidth="0">
            <w:col w:w="2213" w:space="2723"/>
            <w:col w:w="5684"/>
          </w:cols>
        </w:sectPr>
      </w:pPr>
    </w:p>
    <w:p>
      <w:pPr>
        <w:spacing w:line="278" w:lineRule="auto" w:before="83"/>
        <w:ind w:left="404" w:right="-2" w:firstLine="0"/>
        <w:jc w:val="left"/>
        <w:rPr>
          <w:sz w:val="12"/>
        </w:rPr>
      </w:pPr>
      <w:r>
        <w:rPr/>
        <w:drawing>
          <wp:anchor distT="0" distB="0" distL="0" distR="0" allowOverlap="1" layoutInCell="1" locked="0" behindDoc="0" simplePos="0" relativeHeight="16043520">
            <wp:simplePos x="0" y="0"/>
            <wp:positionH relativeFrom="page">
              <wp:posOffset>534822</wp:posOffset>
            </wp:positionH>
            <wp:positionV relativeFrom="paragraph">
              <wp:posOffset>50324</wp:posOffset>
            </wp:positionV>
            <wp:extent cx="103720" cy="203733"/>
            <wp:effectExtent l="0" t="0" r="0" b="0"/>
            <wp:wrapNone/>
            <wp:docPr id="453" name="image62.png"/>
            <wp:cNvGraphicFramePr>
              <a:graphicFrameLocks noChangeAspect="1"/>
            </wp:cNvGraphicFramePr>
            <a:graphic>
              <a:graphicData uri="http://schemas.openxmlformats.org/drawingml/2006/picture">
                <pic:pic>
                  <pic:nvPicPr>
                    <pic:cNvPr id="454" name="image62.png"/>
                    <pic:cNvPicPr/>
                  </pic:nvPicPr>
                  <pic:blipFill>
                    <a:blip r:embed="rId109" cstate="print"/>
                    <a:stretch>
                      <a:fillRect/>
                    </a:stretch>
                  </pic:blipFill>
                  <pic:spPr>
                    <a:xfrm>
                      <a:off x="0" y="0"/>
                      <a:ext cx="103720" cy="203733"/>
                    </a:xfrm>
                    <a:prstGeom prst="rect">
                      <a:avLst/>
                    </a:prstGeom>
                  </pic:spPr>
                </pic:pic>
              </a:graphicData>
            </a:graphic>
          </wp:anchor>
        </w:drawing>
      </w:r>
      <w:r>
        <w:rPr>
          <w:w w:val="105"/>
          <w:sz w:val="12"/>
        </w:rPr>
        <w:t>Manufacturing Wholesale</w:t>
      </w:r>
    </w:p>
    <w:p>
      <w:pPr>
        <w:pStyle w:val="BodyText"/>
        <w:spacing w:before="7"/>
        <w:rPr>
          <w:sz w:val="6"/>
        </w:rPr>
      </w:pPr>
    </w:p>
    <w:p>
      <w:pPr>
        <w:pStyle w:val="BodyText"/>
        <w:spacing w:line="20" w:lineRule="exact"/>
        <w:ind w:left="197"/>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83"/>
        <w:ind w:left="327" w:right="0" w:firstLine="0"/>
        <w:jc w:val="left"/>
        <w:rPr>
          <w:sz w:val="12"/>
        </w:rPr>
      </w:pPr>
      <w:r>
        <w:rPr/>
        <w:br w:type="column"/>
      </w:r>
      <w:r>
        <w:rPr>
          <w:w w:val="105"/>
          <w:sz w:val="12"/>
        </w:rPr>
        <w:t>Retail</w:t>
      </w:r>
    </w:p>
    <w:p>
      <w:pPr>
        <w:tabs>
          <w:tab w:pos="1699" w:val="left" w:leader="none"/>
        </w:tabs>
        <w:spacing w:before="26"/>
        <w:ind w:left="327" w:right="0" w:firstLine="0"/>
        <w:jc w:val="left"/>
        <w:rPr>
          <w:sz w:val="12"/>
        </w:rPr>
      </w:pPr>
      <w:r>
        <w:rPr/>
        <w:drawing>
          <wp:anchor distT="0" distB="0" distL="0" distR="0" allowOverlap="1" layoutInCell="1" locked="0" behindDoc="0" simplePos="0" relativeHeight="16044032">
            <wp:simplePos x="0" y="0"/>
            <wp:positionH relativeFrom="page">
              <wp:posOffset>1246009</wp:posOffset>
            </wp:positionH>
            <wp:positionV relativeFrom="paragraph">
              <wp:posOffset>-89936</wp:posOffset>
            </wp:positionV>
            <wp:extent cx="103720" cy="203733"/>
            <wp:effectExtent l="0" t="0" r="0" b="0"/>
            <wp:wrapNone/>
            <wp:docPr id="455" name="image63.png"/>
            <wp:cNvGraphicFramePr>
              <a:graphicFrameLocks noChangeAspect="1"/>
            </wp:cNvGraphicFramePr>
            <a:graphic>
              <a:graphicData uri="http://schemas.openxmlformats.org/drawingml/2006/picture">
                <pic:pic>
                  <pic:nvPicPr>
                    <pic:cNvPr id="456" name="image63.png"/>
                    <pic:cNvPicPr/>
                  </pic:nvPicPr>
                  <pic:blipFill>
                    <a:blip r:embed="rId110" cstate="print"/>
                    <a:stretch>
                      <a:fillRect/>
                    </a:stretch>
                  </pic:blipFill>
                  <pic:spPr>
                    <a:xfrm>
                      <a:off x="0" y="0"/>
                      <a:ext cx="103720" cy="203733"/>
                    </a:xfrm>
                    <a:prstGeom prst="rect">
                      <a:avLst/>
                    </a:prstGeom>
                  </pic:spPr>
                </pic:pic>
              </a:graphicData>
            </a:graphic>
          </wp:anchor>
        </w:drawing>
      </w:r>
      <w:r>
        <w:rPr>
          <w:w w:val="115"/>
          <w:position w:val="7"/>
          <w:sz w:val="12"/>
        </w:rPr>
        <w:t>Other</w:t>
        <w:tab/>
      </w:r>
      <w:r>
        <w:rPr>
          <w:w w:val="115"/>
          <w:sz w:val="12"/>
        </w:rPr>
        <w:t>£</w:t>
      </w:r>
      <w:r>
        <w:rPr>
          <w:spacing w:val="-18"/>
          <w:w w:val="115"/>
          <w:sz w:val="12"/>
        </w:rPr>
        <w:t> </w:t>
      </w:r>
      <w:r>
        <w:rPr>
          <w:spacing w:val="-3"/>
          <w:w w:val="115"/>
          <w:sz w:val="12"/>
        </w:rPr>
        <w:t>billions</w:t>
      </w:r>
    </w:p>
    <w:p>
      <w:pPr>
        <w:pStyle w:val="BodyText"/>
        <w:spacing w:before="5"/>
        <w:rPr>
          <w:sz w:val="2"/>
        </w:rPr>
      </w:pPr>
    </w:p>
    <w:p>
      <w:pPr>
        <w:pStyle w:val="BodyText"/>
        <w:spacing w:line="20" w:lineRule="exact"/>
        <w:ind w:left="2094"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2"/>
      </w:pPr>
    </w:p>
    <w:p>
      <w:pPr>
        <w:pStyle w:val="BodyText"/>
        <w:spacing w:line="20" w:lineRule="exact"/>
        <w:ind w:left="2094"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1"/>
      </w:pPr>
    </w:p>
    <w:p>
      <w:pPr>
        <w:pStyle w:val="BodyText"/>
        <w:spacing w:line="20" w:lineRule="exact"/>
        <w:ind w:left="2094"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1"/>
      </w:pPr>
    </w:p>
    <w:p>
      <w:pPr>
        <w:pStyle w:val="BodyText"/>
        <w:spacing w:line="20" w:lineRule="exact"/>
        <w:ind w:left="2094"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pStyle w:val="BodyText"/>
        <w:spacing w:before="8"/>
        <w:rPr>
          <w:sz w:val="12"/>
        </w:rPr>
      </w:pPr>
    </w:p>
    <w:p>
      <w:pPr>
        <w:spacing w:before="0"/>
        <w:ind w:left="10" w:right="0" w:firstLine="0"/>
        <w:jc w:val="left"/>
        <w:rPr>
          <w:sz w:val="12"/>
        </w:rPr>
      </w:pPr>
      <w:r>
        <w:rPr>
          <w:w w:val="115"/>
          <w:sz w:val="12"/>
        </w:rPr>
        <w:t>2.0</w:t>
      </w:r>
    </w:p>
    <w:p>
      <w:pPr>
        <w:pStyle w:val="BodyText"/>
        <w:rPr>
          <w:sz w:val="12"/>
        </w:rPr>
      </w:pPr>
    </w:p>
    <w:p>
      <w:pPr>
        <w:pStyle w:val="BodyText"/>
        <w:spacing w:before="9"/>
        <w:rPr>
          <w:sz w:val="17"/>
        </w:rPr>
      </w:pPr>
    </w:p>
    <w:p>
      <w:pPr>
        <w:spacing w:before="0"/>
        <w:ind w:left="10" w:right="0" w:firstLine="0"/>
        <w:jc w:val="left"/>
        <w:rPr>
          <w:sz w:val="12"/>
        </w:rPr>
      </w:pPr>
      <w:r>
        <w:rPr>
          <w:w w:val="115"/>
          <w:sz w:val="12"/>
        </w:rPr>
        <w:t>1.5</w:t>
      </w:r>
    </w:p>
    <w:p>
      <w:pPr>
        <w:pStyle w:val="BodyText"/>
        <w:rPr>
          <w:sz w:val="12"/>
        </w:rPr>
      </w:pPr>
    </w:p>
    <w:p>
      <w:pPr>
        <w:pStyle w:val="BodyText"/>
        <w:spacing w:before="8"/>
        <w:rPr>
          <w:sz w:val="17"/>
        </w:rPr>
      </w:pPr>
    </w:p>
    <w:p>
      <w:pPr>
        <w:spacing w:before="0"/>
        <w:ind w:left="10" w:right="0" w:firstLine="0"/>
        <w:jc w:val="left"/>
        <w:rPr>
          <w:sz w:val="12"/>
        </w:rPr>
      </w:pPr>
      <w:r>
        <w:rPr>
          <w:w w:val="115"/>
          <w:sz w:val="12"/>
        </w:rPr>
        <w:t>1.0</w:t>
      </w:r>
    </w:p>
    <w:p>
      <w:pPr>
        <w:pStyle w:val="BodyText"/>
        <w:rPr>
          <w:sz w:val="12"/>
        </w:rPr>
      </w:pPr>
    </w:p>
    <w:p>
      <w:pPr>
        <w:pStyle w:val="BodyText"/>
        <w:spacing w:before="9"/>
        <w:rPr>
          <w:sz w:val="17"/>
        </w:rPr>
      </w:pPr>
    </w:p>
    <w:p>
      <w:pPr>
        <w:spacing w:before="0"/>
        <w:ind w:left="10" w:right="0" w:firstLine="0"/>
        <w:jc w:val="left"/>
        <w:rPr>
          <w:sz w:val="12"/>
        </w:rPr>
      </w:pPr>
      <w:r>
        <w:rPr>
          <w:w w:val="115"/>
          <w:sz w:val="12"/>
        </w:rPr>
        <w:t>0.5</w:t>
      </w:r>
    </w:p>
    <w:p>
      <w:pPr>
        <w:pStyle w:val="BodyText"/>
        <w:spacing w:line="195" w:lineRule="exact"/>
        <w:ind w:left="322"/>
      </w:pPr>
      <w:r>
        <w:rPr/>
        <w:br w:type="column"/>
      </w:r>
      <w:r>
        <w:rPr>
          <w:w w:val="110"/>
        </w:rPr>
        <w:t>Section 1). If the high level of uncertainty about global</w:t>
      </w:r>
    </w:p>
    <w:p>
      <w:pPr>
        <w:pStyle w:val="BodyText"/>
        <w:spacing w:line="292" w:lineRule="auto" w:before="50"/>
        <w:ind w:left="322" w:right="67"/>
      </w:pPr>
      <w:r>
        <w:rPr>
          <w:w w:val="105"/>
        </w:rPr>
        <w:t>prospects persists, firms may begin to revise down their investment plans. To reflect this possibility the MPC has assumed that on balance there is a downside risk to the projection for investment.</w:t>
      </w:r>
    </w:p>
    <w:p>
      <w:pPr>
        <w:pStyle w:val="BodyText"/>
        <w:spacing w:before="6"/>
        <w:rPr>
          <w:sz w:val="27"/>
        </w:rPr>
      </w:pPr>
    </w:p>
    <w:p>
      <w:pPr>
        <w:pStyle w:val="Heading6"/>
        <w:ind w:left="202"/>
      </w:pPr>
      <w:r>
        <w:rPr>
          <w:color w:val="89C6DC"/>
        </w:rPr>
        <w:t>Public sector demand</w:t>
      </w:r>
    </w:p>
    <w:p>
      <w:pPr>
        <w:spacing w:after="0"/>
        <w:sectPr>
          <w:type w:val="continuous"/>
          <w:pgSz w:w="11900" w:h="16840"/>
          <w:pgMar w:top="1260" w:bottom="280" w:left="640" w:right="640"/>
          <w:cols w:num="4" w:equalWidth="0">
            <w:col w:w="1171" w:space="40"/>
            <w:col w:w="2186" w:space="39"/>
            <w:col w:w="223" w:space="1133"/>
            <w:col w:w="5828"/>
          </w:cols>
        </w:sect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6"/>
        <w:rPr>
          <w:rFonts w:ascii="Trebuchet MS"/>
          <w:b/>
          <w:sz w:val="14"/>
        </w:rPr>
      </w:pPr>
    </w:p>
    <w:p>
      <w:pPr>
        <w:spacing w:before="0"/>
        <w:ind w:left="0" w:right="38" w:firstLine="0"/>
        <w:jc w:val="right"/>
        <w:rPr>
          <w:sz w:val="12"/>
        </w:rPr>
      </w:pPr>
      <w:r>
        <w:rPr>
          <w:w w:val="120"/>
          <w:sz w:val="12"/>
        </w:rPr>
        <w:t>1998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5"/>
        </w:rPr>
      </w:pPr>
    </w:p>
    <w:p>
      <w:pPr>
        <w:tabs>
          <w:tab w:pos="1614" w:val="left" w:leader="none"/>
        </w:tabs>
        <w:spacing w:before="1"/>
        <w:ind w:left="723" w:right="0" w:firstLine="0"/>
        <w:jc w:val="left"/>
        <w:rPr>
          <w:sz w:val="12"/>
        </w:rPr>
      </w:pPr>
      <w:r>
        <w:rPr>
          <w:w w:val="120"/>
          <w:sz w:val="12"/>
        </w:rPr>
        <w:t>99</w:t>
        <w:tab/>
      </w:r>
      <w:r>
        <w:rPr>
          <w:spacing w:val="-5"/>
          <w:w w:val="120"/>
          <w:sz w:val="12"/>
        </w:rPr>
        <w:t>2000</w:t>
      </w:r>
    </w:p>
    <w:p>
      <w:pPr>
        <w:pStyle w:val="BodyText"/>
        <w:spacing w:before="9"/>
        <w:rPr>
          <w:sz w:val="13"/>
        </w:rPr>
      </w:pPr>
      <w:r>
        <w:rPr/>
        <w:br w:type="column"/>
      </w:r>
      <w:r>
        <w:rPr>
          <w:sz w:val="13"/>
        </w:rPr>
      </w:r>
    </w:p>
    <w:p>
      <w:pPr>
        <w:spacing w:before="0"/>
        <w:ind w:left="287" w:right="0" w:firstLine="0"/>
        <w:jc w:val="left"/>
        <w:rPr>
          <w:sz w:val="16"/>
        </w:rPr>
      </w:pPr>
      <w:r>
        <w:rPr>
          <w:w w:val="107"/>
          <w:sz w:val="16"/>
        </w:rPr>
        <w:t>+</w:t>
      </w:r>
    </w:p>
    <w:p>
      <w:pPr>
        <w:spacing w:line="112" w:lineRule="exact" w:before="0"/>
        <w:ind w:left="362" w:right="0" w:firstLine="0"/>
        <w:jc w:val="left"/>
        <w:rPr>
          <w:sz w:val="12"/>
        </w:rPr>
      </w:pPr>
      <w:r>
        <w:rPr/>
        <w:pict>
          <v:group style="position:absolute;margin-left:42.112pt;margin-top:-81.647476pt;width:151.5pt;height:123.9pt;mso-position-horizontal-relative:page;mso-position-vertical-relative:paragraph;z-index:16043008" coordorigin="842,-1633" coordsize="3030,2478">
            <v:rect style="position:absolute;left:1031;top:62;width:46;height:138" filled="true" fillcolor="#006caa" stroked="false">
              <v:fill type="solid"/>
            </v:rect>
            <v:rect style="position:absolute;left:1031;top:62;width:46;height:138" filled="false" stroked="true" strokeweight=".5pt" strokecolor="#000000">
              <v:stroke dashstyle="solid"/>
            </v:rect>
            <v:rect style="position:absolute;left:1077;top:-394;width:46;height:458" filled="true" fillcolor="#f6bd61" stroked="false">
              <v:fill type="solid"/>
            </v:rect>
            <v:rect style="position:absolute;left:1077;top:-394;width:46;height:458" filled="false" stroked="true" strokeweight=".5pt" strokecolor="#000000">
              <v:stroke dashstyle="solid"/>
            </v:rect>
            <v:rect style="position:absolute;left:1123;top:-376;width:46;height:440" filled="true" fillcolor="#009391" stroked="false">
              <v:fill type="solid"/>
            </v:rect>
            <v:rect style="position:absolute;left:1123;top:-376;width:46;height:440" filled="false" stroked="true" strokeweight=".5pt" strokecolor="#000000">
              <v:stroke dashstyle="solid"/>
            </v:rect>
            <v:rect style="position:absolute;left:1288;top:62;width:46;height:188" filled="true" fillcolor="#006caa" stroked="false">
              <v:fill type="solid"/>
            </v:rect>
            <v:rect style="position:absolute;left:1288;top:62;width:46;height:188" filled="false" stroked="true" strokeweight=".5pt" strokecolor="#000000">
              <v:stroke dashstyle="solid"/>
            </v:rect>
            <v:rect style="position:absolute;left:1337;top:62;width:46;height:575" filled="true" fillcolor="#f6bd61" stroked="false">
              <v:fill type="solid"/>
            </v:rect>
            <v:rect style="position:absolute;left:1337;top:62;width:46;height:575" filled="false" stroked="true" strokeweight=".5pt" strokecolor="#000000">
              <v:stroke dashstyle="solid"/>
            </v:rect>
            <v:rect style="position:absolute;left:1385;top:-124;width:46;height:188" filled="true" fillcolor="#009391" stroked="false">
              <v:fill type="solid"/>
            </v:rect>
            <v:rect style="position:absolute;left:1385;top:-124;width:46;height:188" filled="false" stroked="true" strokeweight=".5pt" strokecolor="#000000">
              <v:stroke dashstyle="solid"/>
            </v:rect>
            <v:rect style="position:absolute;left:1169;top:-867;width:46;height:930" filled="true" fillcolor="#cee7e8" stroked="false">
              <v:fill type="solid"/>
            </v:rect>
            <v:rect style="position:absolute;left:1169;top:-867;width:46;height:930" filled="false" stroked="true" strokeweight=".5pt" strokecolor="#000000">
              <v:stroke dashstyle="solid"/>
            </v:rect>
            <v:rect style="position:absolute;left:1433;top:-1066;width:46;height:1130" filled="true" fillcolor="#cee7e8" stroked="false">
              <v:fill type="solid"/>
            </v:rect>
            <v:rect style="position:absolute;left:1557;top:62;width:46;height:188" filled="true" fillcolor="#006caa" stroked="false">
              <v:fill type="solid"/>
            </v:rect>
            <v:rect style="position:absolute;left:1557;top:62;width:46;height:188" filled="false" stroked="true" strokeweight=".5pt" strokecolor="#000000">
              <v:stroke dashstyle="solid"/>
            </v:rect>
            <v:rect style="position:absolute;left:1651;top:-191;width:46;height:255" filled="true" fillcolor="#009391" stroked="false">
              <v:fill type="solid"/>
            </v:rect>
            <v:shape style="position:absolute;left:1433;top:-1066;width:263;height:1130" coordorigin="1434,-1065" coordsize="263,1130" path="m1651,-190l1697,-190,1697,65,1651,65,1651,-190xm1434,-1065l1479,-1065,1479,65,1434,65,1434,-1065xe" filled="false" stroked="true" strokeweight=".5pt" strokecolor="#000000">
              <v:path arrowok="t"/>
              <v:stroke dashstyle="solid"/>
            </v:shape>
            <v:rect style="position:absolute;left:1816;top:-916;width:46;height:980" filled="true" fillcolor="#006caa" stroked="false">
              <v:fill type="solid"/>
            </v:rect>
            <v:rect style="position:absolute;left:1816;top:-916;width:46;height:980" filled="false" stroked="true" strokeweight=".5pt" strokecolor="#000000">
              <v:stroke dashstyle="solid"/>
            </v:rect>
            <v:rect style="position:absolute;left:1862;top:-38;width:46;height:103" filled="true" fillcolor="#f6bd61" stroked="false">
              <v:fill type="solid"/>
            </v:rect>
            <v:rect style="position:absolute;left:1862;top:-38;width:46;height:103" filled="false" stroked="true" strokeweight=".5pt" strokecolor="#000000">
              <v:stroke dashstyle="solid"/>
            </v:rect>
            <v:rect style="position:absolute;left:1908;top:-6;width:46;height:70" filled="true" fillcolor="#009391" stroked="false">
              <v:fill type="solid"/>
            </v:rect>
            <v:rect style="position:absolute;left:1908;top:-6;width:46;height:70" filled="false" stroked="true" strokeweight=".5pt" strokecolor="#000000">
              <v:stroke dashstyle="solid"/>
            </v:rect>
            <v:rect style="position:absolute;left:1697;top:-579;width:46;height:643" filled="true" fillcolor="#cee7e8" stroked="false">
              <v:fill type="solid"/>
            </v:rect>
            <v:rect style="position:absolute;left:1697;top:-579;width:46;height:643" filled="false" stroked="true" strokeweight=".5pt" strokecolor="#000000">
              <v:stroke dashstyle="solid"/>
            </v:rect>
            <v:rect style="position:absolute;left:2073;top:62;width:46;height:778" filled="true" fillcolor="#006caa" stroked="false">
              <v:fill type="solid"/>
            </v:rect>
            <v:rect style="position:absolute;left:2073;top:62;width:46;height:778" filled="false" stroked="true" strokeweight=".5pt" strokecolor="#000000">
              <v:stroke dashstyle="solid"/>
            </v:rect>
            <v:rect style="position:absolute;left:2121;top:62;width:43;height:155" filled="true" fillcolor="#f6bd61" stroked="false">
              <v:fill type="solid"/>
            </v:rect>
            <v:rect style="position:absolute;left:2121;top:62;width:43;height:155" filled="false" stroked="true" strokeweight=".5pt" strokecolor="#000000">
              <v:stroke dashstyle="solid"/>
            </v:rect>
            <v:rect style="position:absolute;left:2166;top:-173;width:46;height:238" filled="true" fillcolor="#009391" stroked="false">
              <v:fill type="solid"/>
            </v:rect>
            <v:rect style="position:absolute;left:2166;top:-173;width:46;height:238" filled="false" stroked="true" strokeweight=".5pt" strokecolor="#000000">
              <v:stroke dashstyle="solid"/>
            </v:rect>
            <v:rect style="position:absolute;left:1956;top:62;width:43;height:53" filled="true" fillcolor="#cee7e8" stroked="false">
              <v:fill type="solid"/>
            </v:rect>
            <v:rect style="position:absolute;left:1956;top:62;width:43;height:53" filled="false" stroked="true" strokeweight=".5pt" strokecolor="#000000">
              <v:stroke dashstyle="solid"/>
            </v:rect>
            <v:rect style="position:absolute;left:2332;top:62;width:46;height:743" filled="true" fillcolor="#006caa" stroked="false">
              <v:fill type="solid"/>
            </v:rect>
            <v:rect style="position:absolute;left:2332;top:62;width:46;height:743" filled="false" stroked="true" strokeweight=".5pt" strokecolor="#000000">
              <v:stroke dashstyle="solid"/>
            </v:rect>
            <v:rect style="position:absolute;left:2383;top:62;width:46;height:238" filled="true" fillcolor="#f6bd61" stroked="false">
              <v:fill type="solid"/>
            </v:rect>
            <v:rect style="position:absolute;left:2383;top:62;width:46;height:238" filled="false" stroked="true" strokeweight=".5pt" strokecolor="#000000">
              <v:stroke dashstyle="solid"/>
            </v:rect>
            <v:rect style="position:absolute;left:2429;top:-308;width:46;height:373" filled="true" fillcolor="#009391" stroked="false">
              <v:fill type="solid"/>
            </v:rect>
            <v:rect style="position:absolute;left:2429;top:-308;width:46;height:373" filled="false" stroked="true" strokeweight=".5pt" strokecolor="#000000">
              <v:stroke dashstyle="solid"/>
            </v:rect>
            <v:rect style="position:absolute;left:2213;top:-106;width:46;height:170" filled="true" fillcolor="#cee7e8" stroked="false">
              <v:fill type="solid"/>
            </v:rect>
            <v:rect style="position:absolute;left:2213;top:-106;width:46;height:170" filled="false" stroked="true" strokeweight=".5pt" strokecolor="#000000">
              <v:stroke dashstyle="solid"/>
            </v:rect>
            <v:rect style="position:absolute;left:2476;top:62;width:46;height:70" filled="true" fillcolor="#cee7e8" stroked="false">
              <v:fill type="solid"/>
            </v:rect>
            <v:rect style="position:absolute;left:2601;top:-276;width:46;height:340" filled="true" fillcolor="#006caa" stroked="false">
              <v:fill type="solid"/>
            </v:rect>
            <v:rect style="position:absolute;left:2601;top:-276;width:46;height:340" filled="false" stroked="true" strokeweight=".5pt" strokecolor="#000000">
              <v:stroke dashstyle="solid"/>
            </v:rect>
            <v:rect style="position:absolute;left:2647;top:62;width:46;height:188" filled="true" fillcolor="#f6bd61" stroked="false">
              <v:fill type="solid"/>
            </v:rect>
            <v:rect style="position:absolute;left:2647;top:62;width:46;height:188" filled="false" stroked="true" strokeweight=".5pt" strokecolor="#000000">
              <v:stroke dashstyle="solid"/>
            </v:rect>
            <v:rect style="position:absolute;left:2693;top:-56;width:46;height:120" filled="true" fillcolor="#009391" stroked="false">
              <v:fill type="solid"/>
            </v:rect>
            <v:shape style="position:absolute;left:2476;top:-56;width:263;height:188" coordorigin="2476,-55" coordsize="263,188" path="m2694,-55l2739,-55,2739,65,2694,65,2694,-55xm2476,62l2522,62,2522,132,2476,132,2476,62xe" filled="false" stroked="true" strokeweight=".5pt" strokecolor="#000000">
              <v:path arrowok="t"/>
              <v:stroke dashstyle="solid"/>
            </v:shape>
            <v:rect style="position:absolute;left:2858;top:12;width:46;height:53" filled="true" fillcolor="#006caa" stroked="false">
              <v:fill type="solid"/>
            </v:rect>
            <v:rect style="position:absolute;left:2858;top:12;width:46;height:53" filled="false" stroked="true" strokeweight=".5pt" strokecolor="#000000">
              <v:stroke dashstyle="solid"/>
            </v:rect>
            <v:rect style="position:absolute;left:2906;top:62;width:43;height:103" filled="true" fillcolor="#f6bd61" stroked="false">
              <v:fill type="solid"/>
            </v:rect>
            <v:rect style="position:absolute;left:2906;top:62;width:43;height:103" filled="false" stroked="true" strokeweight=".5pt" strokecolor="#000000">
              <v:stroke dashstyle="solid"/>
            </v:rect>
            <v:rect style="position:absolute;left:2951;top:62;width:46;height:70" filled="true" fillcolor="#009391" stroked="false">
              <v:fill type="solid"/>
            </v:rect>
            <v:rect style="position:absolute;left:2951;top:62;width:46;height:70" filled="false" stroked="true" strokeweight=".5pt" strokecolor="#000000">
              <v:stroke dashstyle="solid"/>
            </v:rect>
            <v:rect style="position:absolute;left:2739;top:62;width:46;height:88" filled="true" fillcolor="#cee7e8" stroked="false">
              <v:fill type="solid"/>
            </v:rect>
            <v:rect style="position:absolute;left:2739;top:62;width:46;height:88" filled="false" stroked="true" strokeweight=".5pt" strokecolor="#000000">
              <v:stroke dashstyle="solid"/>
            </v:rect>
            <v:rect style="position:absolute;left:3116;top:62;width:46;height:170" filled="true" fillcolor="#006caa" stroked="false">
              <v:fill type="solid"/>
            </v:rect>
            <v:rect style="position:absolute;left:3116;top:62;width:46;height:170" filled="false" stroked="true" strokeweight=".5pt" strokecolor="#000000">
              <v:stroke dashstyle="solid"/>
            </v:rect>
            <v:rect style="position:absolute;left:3163;top:-663;width:46;height:728" filled="true" fillcolor="#f6bd61" stroked="false">
              <v:fill type="solid"/>
            </v:rect>
            <v:rect style="position:absolute;left:3163;top:-663;width:46;height:728" filled="false" stroked="true" strokeweight=".5pt" strokecolor="#000000">
              <v:stroke dashstyle="solid"/>
            </v:rect>
            <v:rect style="position:absolute;left:3209;top:-291;width:46;height:355" filled="true" fillcolor="#009391" stroked="false">
              <v:fill type="solid"/>
            </v:rect>
            <v:rect style="position:absolute;left:3209;top:-291;width:46;height:355" filled="false" stroked="true" strokeweight=".5pt" strokecolor="#000000">
              <v:stroke dashstyle="solid"/>
            </v:rect>
            <v:rect style="position:absolute;left:2998;top:62;width:46;height:205" filled="true" fillcolor="#cee7e8" stroked="false">
              <v:fill type="solid"/>
            </v:rect>
            <v:rect style="position:absolute;left:2998;top:62;width:46;height:205" filled="false" stroked="true" strokeweight=".5pt" strokecolor="#000000">
              <v:stroke dashstyle="solid"/>
            </v:rect>
            <v:rect style="position:absolute;left:3374;top:-678;width:46;height:743" filled="true" fillcolor="#006caa" stroked="false">
              <v:fill type="solid"/>
            </v:rect>
            <v:rect style="position:absolute;left:3374;top:-678;width:46;height:743" filled="false" stroked="true" strokeweight=".5pt" strokecolor="#000000">
              <v:stroke dashstyle="solid"/>
            </v:rect>
            <v:rect style="position:absolute;left:3426;top:62;width:46;height:288" filled="true" fillcolor="#f6bd61" stroked="false">
              <v:fill type="solid"/>
            </v:rect>
            <v:rect style="position:absolute;left:3426;top:62;width:46;height:288" filled="false" stroked="true" strokeweight=".5pt" strokecolor="#000000">
              <v:stroke dashstyle="solid"/>
            </v:rect>
            <v:rect style="position:absolute;left:3473;top:-426;width:46;height:490" filled="true" fillcolor="#009391" stroked="false">
              <v:fill type="solid"/>
            </v:rect>
            <v:rect style="position:absolute;left:3473;top:-426;width:46;height:490" filled="false" stroked="true" strokeweight=".5pt" strokecolor="#000000">
              <v:stroke dashstyle="solid"/>
            </v:rect>
            <v:rect style="position:absolute;left:3256;top:-393;width:46;height:458" filled="true" fillcolor="#cee7e8" stroked="false">
              <v:fill type="solid"/>
            </v:rect>
            <v:rect style="position:absolute;left:3256;top:-393;width:46;height:458" filled="false" stroked="true" strokeweight=".5pt" strokecolor="#000000">
              <v:stroke dashstyle="solid"/>
            </v:rect>
            <v:rect style="position:absolute;left:3519;top:62;width:46;height:103" filled="true" fillcolor="#cee7e8" stroked="false">
              <v:fill type="solid"/>
            </v:rect>
            <v:rect style="position:absolute;left:3643;top:-56;width:46;height:120" filled="true" fillcolor="#006caa" stroked="false">
              <v:fill type="solid"/>
            </v:rect>
            <v:rect style="position:absolute;left:3643;top:-56;width:46;height:120" filled="false" stroked="true" strokeweight=".5pt" strokecolor="#000000">
              <v:stroke dashstyle="solid"/>
            </v:rect>
            <v:rect style="position:absolute;left:3689;top:-173;width:46;height:238" filled="true" fillcolor="#f6bd61" stroked="false">
              <v:fill type="solid"/>
            </v:rect>
            <v:rect style="position:absolute;left:3689;top:-173;width:46;height:238" filled="false" stroked="true" strokeweight=".5pt" strokecolor="#000000">
              <v:stroke dashstyle="solid"/>
            </v:rect>
            <v:rect style="position:absolute;left:3736;top:-241;width:46;height:305" filled="true" fillcolor="#009391" stroked="false">
              <v:fill type="solid"/>
            </v:rect>
            <v:shape style="position:absolute;left:3519;top:-241;width:262;height:405" coordorigin="3520,-240" coordsize="262,405" path="m3736,-240l3782,-240,3782,65,3736,65,3736,-240xm3520,62l3565,62,3565,165,3520,165,3520,62xe" filled="false" stroked="true" strokeweight=".5pt" strokecolor="#000000">
              <v:path arrowok="t"/>
              <v:stroke dashstyle="solid"/>
            </v:shape>
            <v:rect style="position:absolute;left:3783;top:62;width:46;height:70" filled="true" fillcolor="#cee7e8" stroked="false">
              <v:fill type="solid"/>
            </v:rect>
            <v:shape style="position:absolute;left:996;top:62;width:2870;height:71" coordorigin="996,62" coordsize="2870,71" path="m3784,63l3829,63,3829,133,3784,133,3784,63xm996,62l3866,65e" filled="false" stroked="true" strokeweight=".5pt" strokecolor="#000000">
              <v:path arrowok="t"/>
              <v:stroke dashstyle="solid"/>
            </v:shape>
            <v:shape style="position:absolute;left:1128;top:-1623;width:2603;height:2358" coordorigin="1129,-1623" coordsize="2603,2358" path="m1129,-1623l1389,-510m1389,-510l1646,-663m1646,-663l1904,-1015m1904,-1015l2174,585m2174,585l2431,735m2431,735l2689,-140m2689,-140l2959,382m2959,382l3216,-1335m3216,-1335l3474,-780m3474,-780l3731,-528e" filled="false" stroked="true" strokeweight="1pt" strokecolor="#de0035">
              <v:path arrowok="t"/>
              <v:stroke dashstyle="solid"/>
            </v:shape>
            <v:shape style="position:absolute;left:842;top:-1377;width:87;height:1925" coordorigin="842,-1377" coordsize="87,1925" path="m842,-1377l929,-1377m842,-896l929,-896m842,-414l929,-414m842,67l929,67m842,548l929,548e" filled="false" stroked="true" strokeweight=".5pt" strokecolor="#000000">
              <v:path arrowok="t"/>
              <v:stroke dashstyle="solid"/>
            </v:shape>
            <v:shape style="position:absolute;left:1226;top:-1486;width:286;height:121" type="#_x0000_t202" filled="false" stroked="false">
              <v:textbox inset="0,0,0,0">
                <w:txbxContent>
                  <w:p>
                    <w:pPr>
                      <w:spacing w:line="115" w:lineRule="exact" w:before="0"/>
                      <w:ind w:left="0" w:right="0" w:firstLine="0"/>
                      <w:jc w:val="left"/>
                      <w:rPr>
                        <w:sz w:val="12"/>
                      </w:rPr>
                    </w:pPr>
                    <w:r>
                      <w:rPr>
                        <w:w w:val="105"/>
                        <w:sz w:val="12"/>
                      </w:rPr>
                      <w:t>Total</w:t>
                    </w:r>
                  </w:p>
                </w:txbxContent>
              </v:textbox>
              <w10:wrap type="none"/>
            </v:shape>
            <w10:wrap type="none"/>
          </v:group>
        </w:pict>
      </w:r>
      <w:r>
        <w:rPr/>
        <w:pict>
          <v:line style="position:absolute;mso-position-horizontal-relative:page;mso-position-vertical-relative:paragraph;z-index:16045056" from="197.485992pt,3.537526pt" to="201.819992pt,3.537526pt" stroked="true" strokeweight=".5pt" strokecolor="#000000">
            <v:stroke dashstyle="solid"/>
            <w10:wrap type="none"/>
          </v:line>
        </w:pict>
      </w:r>
      <w:r>
        <w:rPr>
          <w:w w:val="115"/>
          <w:sz w:val="12"/>
        </w:rPr>
        <w:t>0.0</w:t>
      </w:r>
    </w:p>
    <w:p>
      <w:pPr>
        <w:spacing w:line="158" w:lineRule="exact" w:before="0"/>
        <w:ind w:left="289" w:right="0" w:firstLine="0"/>
        <w:jc w:val="left"/>
        <w:rPr>
          <w:sz w:val="16"/>
        </w:rPr>
      </w:pPr>
      <w:r>
        <w:rPr>
          <w:w w:val="117"/>
          <w:sz w:val="16"/>
        </w:rPr>
        <w:t>–</w:t>
      </w:r>
    </w:p>
    <w:p>
      <w:pPr>
        <w:pStyle w:val="BodyText"/>
        <w:spacing w:before="2"/>
        <w:rPr>
          <w:sz w:val="18"/>
        </w:rPr>
      </w:pPr>
    </w:p>
    <w:p>
      <w:pPr>
        <w:spacing w:before="1"/>
        <w:ind w:left="362" w:right="0" w:firstLine="0"/>
        <w:jc w:val="left"/>
        <w:rPr>
          <w:sz w:val="12"/>
        </w:rPr>
      </w:pPr>
      <w:r>
        <w:rPr/>
        <w:pict>
          <v:line style="position:absolute;mso-position-horizontal-relative:page;mso-position-vertical-relative:paragraph;z-index:16045568" from="197.485992pt,3.654399pt" to="201.819992pt,3.654399pt" stroked="true" strokeweight=".5pt" strokecolor="#000000">
            <v:stroke dashstyle="solid"/>
            <w10:wrap type="none"/>
          </v:line>
        </w:pict>
      </w:r>
      <w:r>
        <w:rPr>
          <w:w w:val="115"/>
          <w:sz w:val="12"/>
        </w:rPr>
        <w:t>0.5</w:t>
      </w:r>
    </w:p>
    <w:p>
      <w:pPr>
        <w:pStyle w:val="BodyText"/>
        <w:rPr>
          <w:sz w:val="12"/>
        </w:rPr>
      </w:pPr>
    </w:p>
    <w:p>
      <w:pPr>
        <w:pStyle w:val="BodyText"/>
        <w:spacing w:before="8"/>
        <w:rPr>
          <w:sz w:val="17"/>
        </w:rPr>
      </w:pPr>
    </w:p>
    <w:p>
      <w:pPr>
        <w:spacing w:before="0"/>
        <w:ind w:left="362" w:right="0" w:firstLine="0"/>
        <w:jc w:val="left"/>
        <w:rPr>
          <w:sz w:val="12"/>
        </w:rPr>
      </w:pPr>
      <w:r>
        <w:rPr/>
        <w:pict>
          <v:shape style="position:absolute;margin-left:42.112pt;margin-top:-2.023601pt;width:151.25pt;height:5.7pt;mso-position-horizontal-relative:page;mso-position-vertical-relative:paragraph;z-index:16044544" coordorigin="842,-40" coordsize="3025,114" path="m842,69l929,69m993,73l3866,73m991,-40l991,73m1252,6l1252,73m1513,6l1513,73m1774,6l1774,73m2036,-40l2036,73m2820,6l2820,73m3081,-40l3081,73m3603,6l3603,73m3342,6l3342,73m3865,6l3865,73m2297,6l2297,73m2558,6l2558,73e" filled="false" stroked="true" strokeweight=".5pt" strokecolor="#000000">
            <v:path arrowok="t"/>
            <v:stroke dashstyle="solid"/>
            <w10:wrap type="none"/>
          </v:shape>
        </w:pict>
      </w:r>
      <w:r>
        <w:rPr/>
        <w:pict>
          <v:line style="position:absolute;mso-position-horizontal-relative:page;mso-position-vertical-relative:paragraph;z-index:16046080" from="197.485992pt,3.664399pt" to="201.819992pt,3.664399pt" stroked="true" strokeweight=".5pt" strokecolor="#000000">
            <v:stroke dashstyle="solid"/>
            <w10:wrap type="none"/>
          </v:line>
        </w:pict>
      </w:r>
      <w:r>
        <w:rPr>
          <w:w w:val="115"/>
          <w:sz w:val="12"/>
        </w:rPr>
        <w:t>1.0</w:t>
      </w:r>
    </w:p>
    <w:p>
      <w:pPr>
        <w:pStyle w:val="BodyText"/>
        <w:spacing w:line="292" w:lineRule="auto" w:before="125"/>
        <w:ind w:left="723" w:right="210"/>
      </w:pPr>
      <w:r>
        <w:rPr/>
        <w:br w:type="column"/>
      </w:r>
      <w:r>
        <w:rPr>
          <w:w w:val="110"/>
        </w:rPr>
        <w:t>Real</w:t>
      </w:r>
      <w:r>
        <w:rPr>
          <w:spacing w:val="-16"/>
          <w:w w:val="110"/>
        </w:rPr>
        <w:t> </w:t>
      </w:r>
      <w:r>
        <w:rPr>
          <w:w w:val="110"/>
        </w:rPr>
        <w:t>government</w:t>
      </w:r>
      <w:r>
        <w:rPr>
          <w:spacing w:val="-15"/>
          <w:w w:val="110"/>
        </w:rPr>
        <w:t> </w:t>
      </w:r>
      <w:r>
        <w:rPr>
          <w:w w:val="110"/>
        </w:rPr>
        <w:t>consumption</w:t>
      </w:r>
      <w:r>
        <w:rPr>
          <w:spacing w:val="-15"/>
          <w:w w:val="110"/>
        </w:rPr>
        <w:t> </w:t>
      </w:r>
      <w:r>
        <w:rPr>
          <w:w w:val="110"/>
        </w:rPr>
        <w:t>rose</w:t>
      </w:r>
      <w:r>
        <w:rPr>
          <w:spacing w:val="-16"/>
          <w:w w:val="110"/>
        </w:rPr>
        <w:t> </w:t>
      </w:r>
      <w:r>
        <w:rPr>
          <w:spacing w:val="-3"/>
          <w:w w:val="110"/>
        </w:rPr>
        <w:t>by</w:t>
      </w:r>
      <w:r>
        <w:rPr>
          <w:spacing w:val="-15"/>
          <w:w w:val="110"/>
        </w:rPr>
        <w:t> </w:t>
      </w:r>
      <w:r>
        <w:rPr>
          <w:w w:val="110"/>
        </w:rPr>
        <w:t>0.7%</w:t>
      </w:r>
      <w:r>
        <w:rPr>
          <w:spacing w:val="-15"/>
          <w:w w:val="110"/>
        </w:rPr>
        <w:t> </w:t>
      </w:r>
      <w:r>
        <w:rPr>
          <w:w w:val="110"/>
        </w:rPr>
        <w:t>in</w:t>
      </w:r>
      <w:r>
        <w:rPr>
          <w:spacing w:val="-15"/>
          <w:w w:val="110"/>
        </w:rPr>
        <w:t> </w:t>
      </w:r>
      <w:r>
        <w:rPr>
          <w:spacing w:val="-4"/>
          <w:w w:val="110"/>
        </w:rPr>
        <w:t>2000</w:t>
      </w:r>
      <w:r>
        <w:rPr>
          <w:spacing w:val="-16"/>
          <w:w w:val="110"/>
        </w:rPr>
        <w:t> </w:t>
      </w:r>
      <w:r>
        <w:rPr>
          <w:w w:val="110"/>
        </w:rPr>
        <w:t>Q3,</w:t>
      </w:r>
      <w:r>
        <w:rPr>
          <w:spacing w:val="-15"/>
          <w:w w:val="110"/>
        </w:rPr>
        <w:t> </w:t>
      </w:r>
      <w:r>
        <w:rPr>
          <w:w w:val="110"/>
        </w:rPr>
        <w:t>and in the National Accounts there </w:t>
      </w:r>
      <w:r>
        <w:rPr>
          <w:spacing w:val="-3"/>
          <w:w w:val="110"/>
        </w:rPr>
        <w:t>were </w:t>
      </w:r>
      <w:r>
        <w:rPr>
          <w:w w:val="110"/>
        </w:rPr>
        <w:t>significant </w:t>
      </w:r>
      <w:r>
        <w:rPr>
          <w:spacing w:val="-3"/>
          <w:w w:val="110"/>
        </w:rPr>
        <w:t>upward </w:t>
      </w:r>
      <w:r>
        <w:rPr>
          <w:w w:val="110"/>
        </w:rPr>
        <w:t>revisions</w:t>
      </w:r>
      <w:r>
        <w:rPr>
          <w:spacing w:val="-10"/>
          <w:w w:val="110"/>
        </w:rPr>
        <w:t> </w:t>
      </w:r>
      <w:r>
        <w:rPr>
          <w:spacing w:val="-4"/>
          <w:w w:val="110"/>
        </w:rPr>
        <w:t>to</w:t>
      </w:r>
      <w:r>
        <w:rPr>
          <w:spacing w:val="-9"/>
          <w:w w:val="110"/>
        </w:rPr>
        <w:t> </w:t>
      </w:r>
      <w:r>
        <w:rPr>
          <w:w w:val="110"/>
        </w:rPr>
        <w:t>real</w:t>
      </w:r>
      <w:r>
        <w:rPr>
          <w:spacing w:val="-10"/>
          <w:w w:val="110"/>
        </w:rPr>
        <w:t> </w:t>
      </w:r>
      <w:r>
        <w:rPr>
          <w:w w:val="110"/>
        </w:rPr>
        <w:t>government</w:t>
      </w:r>
      <w:r>
        <w:rPr>
          <w:spacing w:val="-9"/>
          <w:w w:val="110"/>
        </w:rPr>
        <w:t> </w:t>
      </w:r>
      <w:r>
        <w:rPr>
          <w:w w:val="110"/>
        </w:rPr>
        <w:t>consumption</w:t>
      </w:r>
      <w:r>
        <w:rPr>
          <w:spacing w:val="-10"/>
          <w:w w:val="110"/>
        </w:rPr>
        <w:t> </w:t>
      </w:r>
      <w:r>
        <w:rPr>
          <w:w w:val="110"/>
        </w:rPr>
        <w:t>since</w:t>
      </w:r>
      <w:r>
        <w:rPr>
          <w:spacing w:val="-9"/>
          <w:w w:val="110"/>
        </w:rPr>
        <w:t> </w:t>
      </w:r>
      <w:r>
        <w:rPr>
          <w:spacing w:val="-12"/>
          <w:w w:val="110"/>
        </w:rPr>
        <w:t>1999.</w:t>
      </w:r>
    </w:p>
    <w:p>
      <w:pPr>
        <w:pStyle w:val="BodyText"/>
        <w:spacing w:line="292" w:lineRule="auto"/>
        <w:ind w:left="723" w:right="210"/>
      </w:pPr>
      <w:r>
        <w:rPr>
          <w:w w:val="105"/>
        </w:rPr>
        <w:t>Government </w:t>
      </w:r>
      <w:r>
        <w:rPr>
          <w:spacing w:val="-3"/>
          <w:w w:val="105"/>
        </w:rPr>
        <w:t>investment </w:t>
      </w:r>
      <w:r>
        <w:rPr>
          <w:w w:val="105"/>
        </w:rPr>
        <w:t>fell </w:t>
      </w:r>
      <w:r>
        <w:rPr>
          <w:spacing w:val="-3"/>
          <w:w w:val="105"/>
        </w:rPr>
        <w:t>by </w:t>
      </w:r>
      <w:r>
        <w:rPr>
          <w:w w:val="105"/>
        </w:rPr>
        <w:t>4.8% in Q3.  Nominal  spending plans, together with the </w:t>
      </w:r>
      <w:r>
        <w:rPr>
          <w:spacing w:val="-4"/>
          <w:w w:val="105"/>
        </w:rPr>
        <w:t>MPC’s </w:t>
      </w:r>
      <w:r>
        <w:rPr>
          <w:w w:val="105"/>
        </w:rPr>
        <w:t>forecast for</w:t>
      </w:r>
      <w:r>
        <w:rPr>
          <w:spacing w:val="8"/>
          <w:w w:val="105"/>
        </w:rPr>
        <w:t> </w:t>
      </w:r>
      <w:r>
        <w:rPr>
          <w:w w:val="105"/>
        </w:rPr>
        <w:t>inflation,</w:t>
      </w:r>
    </w:p>
    <w:p>
      <w:pPr>
        <w:pStyle w:val="BodyText"/>
        <w:spacing w:line="174" w:lineRule="exact"/>
        <w:ind w:left="723"/>
      </w:pPr>
      <w:r>
        <w:rPr>
          <w:w w:val="110"/>
        </w:rPr>
        <w:t>continue</w:t>
      </w:r>
      <w:r>
        <w:rPr>
          <w:spacing w:val="-22"/>
          <w:w w:val="110"/>
        </w:rPr>
        <w:t> </w:t>
      </w:r>
      <w:r>
        <w:rPr>
          <w:spacing w:val="-4"/>
          <w:w w:val="110"/>
        </w:rPr>
        <w:t>to</w:t>
      </w:r>
      <w:r>
        <w:rPr>
          <w:spacing w:val="-22"/>
          <w:w w:val="110"/>
        </w:rPr>
        <w:t> </w:t>
      </w:r>
      <w:r>
        <w:rPr>
          <w:w w:val="110"/>
        </w:rPr>
        <w:t>imply</w:t>
      </w:r>
      <w:r>
        <w:rPr>
          <w:spacing w:val="-21"/>
          <w:w w:val="110"/>
        </w:rPr>
        <w:t> </w:t>
      </w:r>
      <w:r>
        <w:rPr>
          <w:w w:val="110"/>
        </w:rPr>
        <w:t>robust</w:t>
      </w:r>
      <w:r>
        <w:rPr>
          <w:spacing w:val="-22"/>
          <w:w w:val="110"/>
        </w:rPr>
        <w:t> </w:t>
      </w:r>
      <w:r>
        <w:rPr>
          <w:w w:val="110"/>
        </w:rPr>
        <w:t>growth</w:t>
      </w:r>
      <w:r>
        <w:rPr>
          <w:spacing w:val="-21"/>
          <w:w w:val="110"/>
        </w:rPr>
        <w:t> </w:t>
      </w:r>
      <w:r>
        <w:rPr>
          <w:w w:val="110"/>
        </w:rPr>
        <w:t>in</w:t>
      </w:r>
      <w:r>
        <w:rPr>
          <w:spacing w:val="-22"/>
          <w:w w:val="110"/>
        </w:rPr>
        <w:t> </w:t>
      </w:r>
      <w:r>
        <w:rPr>
          <w:w w:val="110"/>
        </w:rPr>
        <w:t>real</w:t>
      </w:r>
      <w:r>
        <w:rPr>
          <w:spacing w:val="-21"/>
          <w:w w:val="110"/>
        </w:rPr>
        <w:t> </w:t>
      </w:r>
      <w:r>
        <w:rPr>
          <w:w w:val="110"/>
        </w:rPr>
        <w:t>government</w:t>
      </w:r>
      <w:r>
        <w:rPr>
          <w:spacing w:val="-22"/>
          <w:w w:val="110"/>
        </w:rPr>
        <w:t> </w:t>
      </w:r>
      <w:r>
        <w:rPr>
          <w:w w:val="110"/>
        </w:rPr>
        <w:t>spending</w:t>
      </w:r>
    </w:p>
    <w:p>
      <w:pPr>
        <w:spacing w:after="0" w:line="174" w:lineRule="exact"/>
        <w:sectPr>
          <w:type w:val="continuous"/>
          <w:pgSz w:w="11900" w:h="16840"/>
          <w:pgMar w:top="1260" w:bottom="280" w:left="640" w:right="640"/>
          <w:cols w:num="4" w:equalWidth="0">
            <w:col w:w="1055" w:space="84"/>
            <w:col w:w="1907" w:space="40"/>
            <w:col w:w="574" w:space="731"/>
            <w:col w:w="6229"/>
          </w:cols>
        </w:sectPr>
      </w:pPr>
    </w:p>
    <w:p>
      <w:pPr>
        <w:spacing w:line="104" w:lineRule="exact" w:before="0"/>
        <w:ind w:left="176" w:right="0" w:firstLine="0"/>
        <w:jc w:val="left"/>
        <w:rPr>
          <w:sz w:val="12"/>
        </w:rPr>
      </w:pPr>
      <w:r>
        <w:rPr>
          <w:w w:val="110"/>
          <w:sz w:val="12"/>
        </w:rPr>
        <w:t>(a) At constant 1995 prices, excluding a statistical alignment</w:t>
      </w:r>
    </w:p>
    <w:p>
      <w:pPr>
        <w:spacing w:line="129" w:lineRule="exact" w:before="0"/>
        <w:ind w:left="416" w:right="0" w:firstLine="0"/>
        <w:jc w:val="left"/>
        <w:rPr>
          <w:sz w:val="12"/>
        </w:rPr>
      </w:pPr>
      <w:r>
        <w:rPr>
          <w:w w:val="110"/>
          <w:sz w:val="12"/>
        </w:rPr>
        <w:t>adjustment.</w:t>
      </w:r>
    </w:p>
    <w:p>
      <w:pPr>
        <w:pStyle w:val="BodyText"/>
        <w:spacing w:before="103"/>
        <w:ind w:left="176"/>
      </w:pPr>
      <w:r>
        <w:rPr/>
        <w:br w:type="column"/>
      </w:r>
      <w:r>
        <w:rPr>
          <w:w w:val="110"/>
        </w:rPr>
        <w:t>over the forecast period.</w:t>
      </w:r>
    </w:p>
    <w:p>
      <w:pPr>
        <w:spacing w:after="0"/>
        <w:sectPr>
          <w:type w:val="continuous"/>
          <w:pgSz w:w="11900" w:h="16840"/>
          <w:pgMar w:top="1260" w:bottom="280" w:left="640" w:right="640"/>
          <w:cols w:num="2" w:equalWidth="0">
            <w:col w:w="3377" w:space="1560"/>
            <w:col w:w="5683"/>
          </w:cols>
        </w:sectPr>
      </w:pPr>
    </w:p>
    <w:p>
      <w:pPr>
        <w:pStyle w:val="BodyText"/>
        <w:spacing w:before="10"/>
        <w:rPr>
          <w:sz w:val="21"/>
        </w:rPr>
      </w:pPr>
    </w:p>
    <w:p>
      <w:pPr>
        <w:spacing w:after="0"/>
        <w:rPr>
          <w:sz w:val="21"/>
        </w:rPr>
        <w:sectPr>
          <w:type w:val="continuous"/>
          <w:pgSz w:w="11900" w:h="16840"/>
          <w:pgMar w:top="1260" w:bottom="280" w:left="640" w:right="640"/>
        </w:sectPr>
      </w:pPr>
    </w:p>
    <w:p>
      <w:pPr>
        <w:pStyle w:val="BodyText"/>
        <w:spacing w:before="11"/>
        <w:rPr>
          <w:sz w:val="25"/>
        </w:rPr>
      </w:pPr>
    </w:p>
    <w:p>
      <w:pPr>
        <w:pStyle w:val="Heading6"/>
        <w:ind w:left="189"/>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2.17</w:t>
      </w:r>
    </w:p>
    <w:p>
      <w:pPr>
        <w:spacing w:before="8"/>
        <w:ind w:left="189" w:right="0" w:firstLine="0"/>
        <w:jc w:val="left"/>
        <w:rPr>
          <w:sz w:val="12"/>
        </w:rPr>
      </w:pPr>
      <w:r>
        <w:rPr/>
        <w:pict>
          <v:group style="position:absolute;margin-left:43.383999pt;margin-top:31.576651pt;width:151.7pt;height:66pt;mso-position-horizontal-relative:page;mso-position-vertical-relative:paragraph;z-index:16047104" coordorigin="868,632" coordsize="3034,1320">
            <v:shape style="position:absolute;left:1021;top:641;width:2870;height:1300" coordorigin="1021,642" coordsize="2870,1300" path="m1021,1352l1041,1367,1051,1352,1071,1354,1071,1353,1073,1340,1076,1313,1079,1286,1081,1274,1101,1197,1111,1119,1131,1104,1141,1119,1161,1104,1181,1134,1193,1104,1213,1107,1213,1105,1215,1097,1218,1080,1222,1064,1223,1057,1243,1027,1253,1104,1273,1107,1273,1105,1277,1121,1283,1158,1290,1195,1293,1212,1303,1214,1303,1213,1307,1232,1313,1274,1320,1317,1323,1337,1333,1304,1353,1274,1363,1212,1383,1167,1393,1104,1413,1107,1413,1105,1417,1097,1425,1080,1432,1064,1436,1057,1446,1012,1466,1027,1476,1074,1496,1089,1506,1057,1526,1027,1536,1119,1556,1197,1576,1227,1586,1289,1606,1212,1616,1197,1636,1212,1646,1167,1668,1134,1688,1089,1698,1104,1718,1119,1728,1089,1748,1057,1758,964,1778,997,1788,1027,1808,1029,1808,1028,1812,1037,1818,1058,1825,1079,1828,1089,1838,1227,1858,1212,1868,1197,1888,1199,1888,1198,1888,1197,1898,1199,1898,1198,1898,1197,1921,1227,1951,1182,1971,1149,2001,1104,2011,1107,2011,1105,2014,1097,2021,1080,2028,1064,2031,1057,2041,1089,2061,1074,2081,1077,2081,1075,2083,1067,2086,1050,2089,1034,2091,1027,2111,1182,2121,1212,2143,1304,2153,1367,2173,1304,2183,1274,2203,1259,2223,1057,2233,1182,2253,1057,2263,934,2283,949,2293,827,2313,842,2333,934,2343,964,2363,1027,2373,1012,2396,1042,2406,1027,2426,964,2436,949,2456,952,2456,950,2456,949,2476,934,2486,997,2506,1012,2516,949,2536,919,2546,1042,2566,904,2576,919,2596,887,2618,764,2628,672,2648,642,2658,702,2678,779,2688,857,2708,859,2708,858,2708,857,2728,872,2738,874,2738,873,2738,872,2758,904,2768,934,2788,997,2798,1012,2818,1057,2828,1089,2848,1104,2871,1089,2881,1104,2901,1089,2911,1182,2931,1184,2931,1183,2931,1182,2941,1149,2961,1152,2961,1150,2963,1157,2966,1173,2969,1189,2971,1197,2991,1199,2991,1198,2994,1204,3001,1219,3008,1235,3011,1242,3021,1319,3041,1322,3041,1320,3043,1327,3046,1343,3049,1359,3051,1367,3071,1397,3081,1459,3103,1507,3123,1489,3133,1582,3153,1567,3163,1599,3183,1602,3183,1600,3183,1599,3193,1582,3213,1599,3223,1629,3243,1659,3263,1644,3273,1647,3273,1645,3273,1644,3293,1629,3303,1644,3323,1659,3336,1707,3356,1737,3376,1739,3376,1738,3376,1737,3386,1752,3406,1769,3416,1829,3436,1832,3436,1830,3436,1829,3446,1862,3466,1864,3466,1863,3468,1871,3471,1892,3474,1912,3476,1922,3496,1924,3496,1923,3496,1922,3516,1924,3516,1923,3516,1922,3526,1924,3526,1923,3529,1915,3578,1829,3588,1832,3588,1830,3588,1829,3608,1814,3618,1829,3638,1832,3638,1830,3638,1829,3658,1844,3668,1862,3688,1844,3698,1847,3698,1845,3702,1852,3708,1868,3715,1884,3718,1892,3728,1907,3748,1922,3768,1924,3768,1923,3770,1913,3773,1892,3777,1871,3778,1862,3798,1892,3811,1922,3831,1939,3841,1942,3841,1940,3841,1939,3861,1942,3861,1940,3861,1939,3871,1922,3891,1924e" filled="false" stroked="true" strokeweight="1pt" strokecolor="#006caa">
              <v:path arrowok="t"/>
              <v:stroke dashstyle="solid"/>
            </v:shape>
            <v:shape style="position:absolute;left:867;top:979;width:87;height:960" coordorigin="868,979" coordsize="87,960" path="m868,979l954,979m868,1459l954,1459m868,1939l954,1939e" filled="false" stroked="true" strokeweight=".5pt" strokecolor="#000000">
              <v:path arrowok="t"/>
              <v:stroke dashstyle="solid"/>
            </v:shape>
            <v:shape style="position:absolute;left:1340;top:1398;width:786;height:121" type="#_x0000_t202" filled="false" stroked="false">
              <v:textbox inset="0,0,0,0">
                <w:txbxContent>
                  <w:p>
                    <w:pPr>
                      <w:spacing w:line="115" w:lineRule="exact" w:before="0"/>
                      <w:ind w:left="0" w:right="0" w:firstLine="0"/>
                      <w:jc w:val="left"/>
                      <w:rPr>
                        <w:sz w:val="12"/>
                      </w:rPr>
                    </w:pPr>
                    <w:r>
                      <w:rPr>
                        <w:w w:val="105"/>
                        <w:sz w:val="12"/>
                      </w:rPr>
                      <w:t>Manufacturing</w:t>
                    </w:r>
                  </w:p>
                </w:txbxContent>
              </v:textbox>
              <w10:wrap type="none"/>
            </v:shape>
            <w10:wrap type="none"/>
          </v:group>
        </w:pict>
      </w:r>
      <w:r>
        <w:rPr>
          <w:rFonts w:ascii="Trebuchet MS"/>
          <w:b/>
          <w:color w:val="89C6DC"/>
          <w:w w:val="90"/>
          <w:sz w:val="20"/>
        </w:rPr>
        <w:t>Stock-output ratios</w:t>
      </w:r>
      <w:r>
        <w:rPr>
          <w:w w:val="90"/>
          <w:position w:val="4"/>
          <w:sz w:val="12"/>
        </w:rPr>
        <w:t>(a)</w:t>
      </w:r>
    </w:p>
    <w:p>
      <w:pPr>
        <w:pStyle w:val="BodyText"/>
        <w:spacing w:before="10"/>
        <w:rPr>
          <w:sz w:val="18"/>
        </w:rPr>
      </w:pPr>
      <w:r>
        <w:rPr/>
        <w:pict>
          <v:shape style="position:absolute;margin-left:43.383999pt;margin-top:13.060487pt;width:4.350pt;height:.1pt;mso-position-horizontal-relative:page;mso-position-vertical-relative:paragraph;z-index:-15415296;mso-wrap-distance-left:0;mso-wrap-distance-right:0" coordorigin="868,261" coordsize="87,0" path="m868,261l954,261e" filled="false" stroked="true" strokeweight=".5pt" strokecolor="#000000">
            <v:path arrowok="t"/>
            <v:stroke dashstyle="solid"/>
            <w10:wrap type="topAndBottom"/>
          </v:shape>
        </w:pic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
        <w:rPr>
          <w:sz w:val="22"/>
        </w:rPr>
      </w:pPr>
    </w:p>
    <w:p>
      <w:pPr>
        <w:spacing w:before="0"/>
        <w:ind w:left="825" w:right="0" w:firstLine="0"/>
        <w:jc w:val="left"/>
        <w:rPr>
          <w:sz w:val="12"/>
        </w:rPr>
      </w:pPr>
      <w:r>
        <w:rPr/>
        <w:pict>
          <v:line style="position:absolute;mso-position-horizontal-relative:page;mso-position-vertical-relative:paragraph;z-index:16048128" from="43.383999pt,5.186507pt" to="47.715999pt,5.186507pt" stroked="true" strokeweight=".5pt" strokecolor="#000000">
            <v:stroke dashstyle="solid"/>
            <w10:wrap type="none"/>
          </v:line>
        </w:pict>
      </w:r>
      <w:r>
        <w:rPr>
          <w:w w:val="105"/>
          <w:sz w:val="12"/>
        </w:rPr>
        <w:t>Whole-economy</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4"/>
        </w:rPr>
      </w:pPr>
    </w:p>
    <w:p>
      <w:pPr>
        <w:spacing w:line="121" w:lineRule="exact" w:before="0"/>
        <w:ind w:left="189" w:right="0" w:firstLine="0"/>
        <w:jc w:val="left"/>
        <w:rPr>
          <w:sz w:val="12"/>
        </w:rPr>
      </w:pPr>
      <w:r>
        <w:rPr>
          <w:w w:val="105"/>
          <w:sz w:val="12"/>
        </w:rPr>
        <w:t>Weeks of output</w:t>
      </w:r>
    </w:p>
    <w:p>
      <w:pPr>
        <w:spacing w:line="121" w:lineRule="exact" w:before="0"/>
        <w:ind w:left="1067" w:right="0" w:firstLine="0"/>
        <w:jc w:val="left"/>
        <w:rPr>
          <w:sz w:val="12"/>
        </w:rPr>
      </w:pPr>
      <w:r>
        <w:rPr/>
        <w:pict>
          <v:line style="position:absolute;mso-position-horizontal-relative:page;mso-position-vertical-relative:paragraph;z-index:16049152" from="198.718002pt,2.777144pt" to="203.050002pt,2.777144pt" stroked="true" strokeweight=".5pt" strokecolor="#000000">
            <v:stroke dashstyle="solid"/>
            <w10:wrap type="none"/>
          </v:line>
        </w:pict>
      </w:r>
      <w:r>
        <w:rPr>
          <w:w w:val="120"/>
          <w:sz w:val="12"/>
        </w:rPr>
        <w:t>35</w:t>
      </w:r>
    </w:p>
    <w:p>
      <w:pPr>
        <w:pStyle w:val="BodyText"/>
        <w:rPr>
          <w:sz w:val="12"/>
        </w:rPr>
      </w:pP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6049664" from="198.718002pt,3.601928pt" to="203.050002pt,3.601928pt" stroked="true" strokeweight=".5pt" strokecolor="#000000">
            <v:stroke dashstyle="solid"/>
            <w10:wrap type="none"/>
          </v:line>
        </w:pict>
      </w:r>
      <w:r>
        <w:rPr>
          <w:w w:val="120"/>
          <w:sz w:val="12"/>
        </w:rPr>
        <w:t>30</w:t>
      </w:r>
    </w:p>
    <w:p>
      <w:pPr>
        <w:pStyle w:val="BodyText"/>
        <w:rPr>
          <w:sz w:val="12"/>
        </w:rPr>
      </w:pPr>
    </w:p>
    <w:p>
      <w:pPr>
        <w:pStyle w:val="BodyText"/>
        <w:spacing w:before="8"/>
        <w:rPr>
          <w:sz w:val="17"/>
        </w:rPr>
      </w:pPr>
    </w:p>
    <w:p>
      <w:pPr>
        <w:spacing w:before="0"/>
        <w:ind w:left="0" w:right="38" w:firstLine="0"/>
        <w:jc w:val="right"/>
        <w:rPr>
          <w:sz w:val="12"/>
        </w:rPr>
      </w:pPr>
      <w:r>
        <w:rPr/>
        <w:pict>
          <v:line style="position:absolute;mso-position-horizontal-relative:page;mso-position-vertical-relative:paragraph;z-index:16050176" from="198.718002pt,3.601928pt" to="203.050002pt,3.601928pt" stroked="true" strokeweight=".5pt" strokecolor="#000000">
            <v:stroke dashstyle="solid"/>
            <w10:wrap type="none"/>
          </v:line>
        </w:pict>
      </w:r>
      <w:r>
        <w:rPr>
          <w:w w:val="120"/>
          <w:sz w:val="12"/>
        </w:rPr>
        <w:t>25</w:t>
      </w:r>
    </w:p>
    <w:p>
      <w:pPr>
        <w:pStyle w:val="BodyText"/>
        <w:rPr>
          <w:sz w:val="12"/>
        </w:rPr>
      </w:pPr>
    </w:p>
    <w:p>
      <w:pPr>
        <w:pStyle w:val="BodyText"/>
        <w:spacing w:before="6"/>
        <w:rPr>
          <w:sz w:val="17"/>
        </w:rPr>
      </w:pPr>
    </w:p>
    <w:p>
      <w:pPr>
        <w:spacing w:before="1"/>
        <w:ind w:left="0" w:right="38" w:firstLine="0"/>
        <w:jc w:val="right"/>
        <w:rPr>
          <w:sz w:val="12"/>
        </w:rPr>
      </w:pPr>
      <w:r>
        <w:rPr/>
        <w:pict>
          <v:line style="position:absolute;mso-position-horizontal-relative:page;mso-position-vertical-relative:paragraph;z-index:16050688" from="198.718002pt,3.776729pt" to="203.050002pt,3.776729pt" stroked="true" strokeweight=".5pt" strokecolor="#000000">
            <v:stroke dashstyle="solid"/>
            <w10:wrap type="none"/>
          </v:line>
        </w:pict>
      </w:r>
      <w:r>
        <w:rPr>
          <w:w w:val="120"/>
          <w:sz w:val="12"/>
        </w:rPr>
        <w:t>20</w:t>
      </w:r>
    </w:p>
    <w:p>
      <w:pPr>
        <w:pStyle w:val="BodyText"/>
        <w:rPr>
          <w:sz w:val="12"/>
        </w:rPr>
      </w:pPr>
    </w:p>
    <w:p>
      <w:pPr>
        <w:pStyle w:val="BodyText"/>
        <w:spacing w:before="8"/>
        <w:rPr>
          <w:sz w:val="17"/>
        </w:rPr>
      </w:pPr>
    </w:p>
    <w:p>
      <w:pPr>
        <w:spacing w:line="137" w:lineRule="exact" w:before="0"/>
        <w:ind w:left="1067" w:right="0" w:firstLine="0"/>
        <w:jc w:val="left"/>
        <w:rPr>
          <w:sz w:val="12"/>
        </w:rPr>
      </w:pPr>
      <w:r>
        <w:rPr/>
        <w:pict>
          <v:line style="position:absolute;mso-position-horizontal-relative:page;mso-position-vertical-relative:paragraph;z-index:16051200" from="198.718002pt,3.601729pt" to="203.050002pt,3.601729pt" stroked="true" strokeweight=".5pt" strokecolor="#000000">
            <v:stroke dashstyle="solid"/>
            <w10:wrap type="none"/>
          </v:line>
        </w:pict>
      </w:r>
      <w:r>
        <w:rPr>
          <w:w w:val="120"/>
          <w:sz w:val="12"/>
        </w:rPr>
        <w:t>15</w:t>
      </w:r>
    </w:p>
    <w:p>
      <w:pPr>
        <w:pStyle w:val="Heading6"/>
        <w:spacing w:before="98"/>
        <w:ind w:left="189"/>
      </w:pPr>
      <w:r>
        <w:rPr>
          <w:b w:val="0"/>
        </w:rPr>
        <w:br w:type="column"/>
      </w:r>
      <w:r>
        <w:rPr>
          <w:color w:val="89C6DC"/>
        </w:rPr>
        <w:t>Inventories</w:t>
      </w:r>
    </w:p>
    <w:p>
      <w:pPr>
        <w:pStyle w:val="BodyText"/>
        <w:rPr>
          <w:rFonts w:ascii="Trebuchet MS"/>
          <w:b/>
          <w:sz w:val="18"/>
        </w:rPr>
      </w:pPr>
    </w:p>
    <w:p>
      <w:pPr>
        <w:pStyle w:val="BodyText"/>
        <w:spacing w:line="292" w:lineRule="auto"/>
        <w:ind w:left="309"/>
      </w:pPr>
      <w:r>
        <w:rPr>
          <w:w w:val="110"/>
        </w:rPr>
        <w:t>According</w:t>
      </w:r>
      <w:r>
        <w:rPr>
          <w:spacing w:val="-23"/>
          <w:w w:val="110"/>
        </w:rPr>
        <w:t> </w:t>
      </w:r>
      <w:r>
        <w:rPr>
          <w:spacing w:val="-4"/>
          <w:w w:val="110"/>
        </w:rPr>
        <w:t>to</w:t>
      </w:r>
      <w:r>
        <w:rPr>
          <w:spacing w:val="-23"/>
          <w:w w:val="110"/>
        </w:rPr>
        <w:t> </w:t>
      </w:r>
      <w:r>
        <w:rPr>
          <w:w w:val="110"/>
        </w:rPr>
        <w:t>the</w:t>
      </w:r>
      <w:r>
        <w:rPr>
          <w:spacing w:val="-23"/>
          <w:w w:val="110"/>
        </w:rPr>
        <w:t> </w:t>
      </w:r>
      <w:r>
        <w:rPr>
          <w:w w:val="110"/>
        </w:rPr>
        <w:t>headline</w:t>
      </w:r>
      <w:r>
        <w:rPr>
          <w:spacing w:val="-23"/>
          <w:w w:val="110"/>
        </w:rPr>
        <w:t> </w:t>
      </w:r>
      <w:r>
        <w:rPr>
          <w:w w:val="110"/>
        </w:rPr>
        <w:t>measure,</w:t>
      </w:r>
      <w:r>
        <w:rPr>
          <w:spacing w:val="-22"/>
          <w:w w:val="110"/>
        </w:rPr>
        <w:t> </w:t>
      </w:r>
      <w:r>
        <w:rPr>
          <w:spacing w:val="-3"/>
          <w:w w:val="110"/>
        </w:rPr>
        <w:t>inventory</w:t>
      </w:r>
      <w:r>
        <w:rPr>
          <w:spacing w:val="-23"/>
          <w:w w:val="110"/>
        </w:rPr>
        <w:t> </w:t>
      </w:r>
      <w:r>
        <w:rPr>
          <w:spacing w:val="-3"/>
          <w:w w:val="110"/>
        </w:rPr>
        <w:t>investment </w:t>
      </w:r>
      <w:r>
        <w:rPr>
          <w:w w:val="110"/>
        </w:rPr>
        <w:t>contributed</w:t>
      </w:r>
      <w:r>
        <w:rPr>
          <w:spacing w:val="-9"/>
          <w:w w:val="110"/>
        </w:rPr>
        <w:t> </w:t>
      </w:r>
      <w:r>
        <w:rPr>
          <w:w w:val="110"/>
        </w:rPr>
        <w:t>0.2</w:t>
      </w:r>
      <w:r>
        <w:rPr>
          <w:spacing w:val="-8"/>
          <w:w w:val="110"/>
        </w:rPr>
        <w:t> </w:t>
      </w:r>
      <w:r>
        <w:rPr>
          <w:w w:val="110"/>
        </w:rPr>
        <w:t>percentage</w:t>
      </w:r>
      <w:r>
        <w:rPr>
          <w:spacing w:val="-8"/>
          <w:w w:val="110"/>
        </w:rPr>
        <w:t> </w:t>
      </w:r>
      <w:r>
        <w:rPr>
          <w:w w:val="110"/>
        </w:rPr>
        <w:t>points</w:t>
      </w:r>
      <w:r>
        <w:rPr>
          <w:spacing w:val="-8"/>
          <w:w w:val="110"/>
        </w:rPr>
        <w:t> </w:t>
      </w:r>
      <w:r>
        <w:rPr>
          <w:spacing w:val="-4"/>
          <w:w w:val="110"/>
        </w:rPr>
        <w:t>to</w:t>
      </w:r>
      <w:r>
        <w:rPr>
          <w:spacing w:val="-8"/>
          <w:w w:val="110"/>
        </w:rPr>
        <w:t> </w:t>
      </w:r>
      <w:r>
        <w:rPr>
          <w:w w:val="110"/>
        </w:rPr>
        <w:t>GDP</w:t>
      </w:r>
      <w:r>
        <w:rPr>
          <w:spacing w:val="-8"/>
          <w:w w:val="110"/>
        </w:rPr>
        <w:t> </w:t>
      </w:r>
      <w:r>
        <w:rPr>
          <w:spacing w:val="-2"/>
          <w:w w:val="110"/>
        </w:rPr>
        <w:t>growth</w:t>
      </w:r>
      <w:r>
        <w:rPr>
          <w:spacing w:val="-8"/>
          <w:w w:val="110"/>
        </w:rPr>
        <w:t> </w:t>
      </w:r>
      <w:r>
        <w:rPr>
          <w:w w:val="110"/>
        </w:rPr>
        <w:t>in</w:t>
      </w:r>
    </w:p>
    <w:p>
      <w:pPr>
        <w:pStyle w:val="BodyText"/>
        <w:spacing w:line="292" w:lineRule="auto"/>
        <w:ind w:left="309" w:right="250"/>
      </w:pPr>
      <w:r>
        <w:rPr>
          <w:w w:val="110"/>
        </w:rPr>
        <w:t>2000 Q3. But that estimate included a statistical adjustment used to align the expenditure and output measures of the National Accounts. Excluding the alignment adjustment, inventories have been rising during 2000, but at a declining rate (see Chart 2.16). So the underlying data suggest that inventory investment made a negative contribution to GDP growth in Q3 (see Table 2.B). Over recent quarters the</w:t>
      </w:r>
    </w:p>
    <w:p>
      <w:pPr>
        <w:spacing w:after="0" w:line="292" w:lineRule="auto"/>
        <w:sectPr>
          <w:type w:val="continuous"/>
          <w:pgSz w:w="11900" w:h="16840"/>
          <w:pgMar w:top="1260" w:bottom="280" w:left="640" w:right="640"/>
          <w:cols w:num="3" w:equalWidth="0">
            <w:col w:w="1987" w:space="394"/>
            <w:col w:w="1253" w:space="1170"/>
            <w:col w:w="5816"/>
          </w:cols>
        </w:sectPr>
      </w:pPr>
    </w:p>
    <w:p>
      <w:pPr>
        <w:spacing w:line="62" w:lineRule="exact" w:before="0"/>
        <w:ind w:left="718" w:right="751" w:firstLine="0"/>
        <w:jc w:val="center"/>
        <w:rPr>
          <w:sz w:val="12"/>
        </w:rPr>
      </w:pPr>
      <w:r>
        <w:rPr/>
        <w:pict>
          <v:group style="position:absolute;margin-left:43.383999pt;margin-top:6.761122pt;width:151.7pt;height:18.150pt;mso-position-horizontal-relative:page;mso-position-vertical-relative:paragraph;z-index:16047616" coordorigin="868,135" coordsize="3034,363">
            <v:shape style="position:absolute;left:1021;top:145;width:2870;height:343" coordorigin="1021,145" coordsize="2870,343" path="m1021,345l1041,348,1041,346,1041,345,1051,348,1051,346,1051,345,1071,330,1081,315,1101,318,1101,316,1101,315,1111,300,1131,303,1131,301,1131,300,1141,303,1141,301,1141,300,1161,303,1161,301,1161,300,1181,285,1193,288,1193,286,1193,285,1213,288,1213,286,1213,285,1223,270,1243,273,1243,271,1243,270,1253,285,1273,288,1273,286,1273,285,1293,300,1303,315,1323,318,1323,316,1323,315,1333,318,1333,316,1333,315,1353,300,1363,285,1383,270,1393,273,1393,271,1393,270,1413,253,1436,238,1446,240,1446,239,1446,238,1466,253,1476,270,1496,273,1496,271,1496,270,1506,253,1526,270,1536,300,1556,303,1556,301,1556,300,1576,315,1586,300,1606,303,1606,301,1606,300,1616,285,1636,270,1646,253,1668,238,1688,240,1688,239,1688,238,1698,240,1698,239,1698,238,1718,223,1728,225,1728,224,1728,223,1748,208,1758,210,1758,209,1758,208,1778,210,1778,209,1778,208,1788,223,1808,225,1808,224,1808,223,1828,225,1828,224,1828,223,1838,253,1858,223,1868,238,1888,223,1898,208,1921,210,1921,209,1921,208,1941,210,1941,209,1941,208,1951,210,1951,209,1951,208,1971,193,1981,208,2001,210,2001,209,2001,208,2011,210,2011,209,2011,208,2031,175,2041,208,2061,210,2061,209,2061,208,2081,210,2081,209,2081,208,2091,210,2091,209,2091,208,2111,238,2121,240,2121,239,2125,243,2132,254,2140,265,2143,270,2153,285,2173,253,2203,208,2223,175,2233,178,2233,176,2233,175,2253,178,2253,176,2253,175,2263,145,2283,175,2293,178,2293,176,2293,175,2313,178,2313,176,2313,175,2333,208,2343,223,2363,225,2363,224,2363,223,2373,225,2373,224,2373,223,2396,225,2396,224,2396,223,2406,208,2426,193,2436,195,2436,194,2436,193,2456,195,2456,194,2456,193,2476,195,2476,194,2476,193,2486,195,2486,194,2486,193,2506,195,2506,194,2506,193,2516,195,2516,194,2516,193,2536,175,2546,208,2566,160,2576,163,2576,161,2576,160,2596,175,2618,145,2628,160,2648,163,2648,161,2648,160,2658,175,2678,208,2688,223,2708,225,2708,224,2708,223,2728,208,2738,223,2758,238,2768,253,2788,285,2798,270,2818,285,2828,288,2828,286,2828,285,2848,300,2871,303,2871,301,2871,300,2881,285,2901,288,2901,286,2901,285,2911,315,2931,318,2931,316,2931,315,2941,318,2941,316,2941,315,2961,318,2961,316,2961,315,2971,330,2991,345,3011,348,3011,346,3011,345,3021,363,3041,365,3041,364,3041,363,3051,365,3051,364,3051,363,3071,378,3081,393,3103,395,3103,394,3103,393,3123,395,3123,394,3123,393,3133,395,3133,394,3133,393,3153,378,3163,380,3163,379,3163,378,3183,363,3193,365,3193,364,3193,363,3213,365,3213,364,3213,363,3223,378,3243,380,3243,379,3243,378,3263,363,3273,378,3293,393,3303,395,3303,394,3303,393,3323,395,3323,394,3323,393,3336,408,3356,410,3356,409,3356,408,3376,423,3386,425,3386,424,3386,423,3406,438,3416,440,3416,439,3416,438,3436,440,3436,439,3436,438,3446,455,3466,458,3466,456,3466,455,3476,458,3476,456,3476,455,3496,458,3496,456,3496,455,3516,470,3526,455,3546,470,3556,455,3578,458,3578,456,3578,455,3588,438,3608,455,3618,458,3618,456,3618,455,3638,458,3638,456,3638,455,3658,458,3658,456,3658,455,3668,458,3668,456,3668,455,3688,458,3688,456,3688,455,3698,458,3698,456,3698,455,3718,470,3728,455,3748,458,3748,456,3748,455,3768,458,3768,456,3768,455,3778,458,3778,456,3778,455,3798,458,3798,456,3798,455,3811,470,3831,485,3841,488,3841,486,3841,485,3861,488,3861,486,3861,485,3871,488,3871,486,3871,485,3891,488e" filled="false" stroked="true" strokeweight="1pt" strokecolor="#de0035">
              <v:path arrowok="t"/>
              <v:stroke dashstyle="solid"/>
            </v:shape>
            <v:line style="position:absolute" from="868,365" to="954,365" stroked="true" strokeweight=".5pt" strokecolor="#000000">
              <v:stroke dashstyle="solid"/>
            </v:line>
            <w10:wrap type="none"/>
          </v:group>
        </w:pict>
      </w:r>
      <w:r>
        <w:rPr>
          <w:w w:val="105"/>
          <w:sz w:val="12"/>
        </w:rPr>
        <w:t>(excluding alignment adjustment)</w:t>
      </w:r>
    </w:p>
    <w:p>
      <w:pPr>
        <w:pStyle w:val="BodyText"/>
        <w:rPr>
          <w:sz w:val="12"/>
        </w:rPr>
      </w:pPr>
    </w:p>
    <w:p>
      <w:pPr>
        <w:spacing w:before="88"/>
        <w:ind w:left="3448" w:right="0" w:firstLine="0"/>
        <w:jc w:val="left"/>
        <w:rPr>
          <w:sz w:val="12"/>
        </w:rPr>
      </w:pPr>
      <w:r>
        <w:rPr/>
        <w:pict>
          <v:line style="position:absolute;mso-position-horizontal-relative:page;mso-position-vertical-relative:paragraph;z-index:16051712" from="198.718002pt,8.251531pt" to="203.050002pt,8.251531pt" stroked="true" strokeweight=".5pt" strokecolor="#000000">
            <v:stroke dashstyle="solid"/>
            <w10:wrap type="none"/>
          </v:line>
        </w:pict>
      </w:r>
      <w:r>
        <w:rPr>
          <w:w w:val="120"/>
          <w:sz w:val="12"/>
        </w:rPr>
        <w:t>10</w:t>
      </w:r>
    </w:p>
    <w:p>
      <w:pPr>
        <w:pStyle w:val="BodyText"/>
        <w:rPr>
          <w:sz w:val="12"/>
        </w:rPr>
      </w:pPr>
    </w:p>
    <w:p>
      <w:pPr>
        <w:pStyle w:val="BodyText"/>
        <w:spacing w:before="8"/>
        <w:rPr>
          <w:sz w:val="17"/>
        </w:rPr>
      </w:pPr>
    </w:p>
    <w:p>
      <w:pPr>
        <w:spacing w:line="118" w:lineRule="exact" w:before="0"/>
        <w:ind w:left="3521" w:right="0" w:firstLine="0"/>
        <w:jc w:val="left"/>
        <w:rPr>
          <w:sz w:val="12"/>
        </w:rPr>
      </w:pPr>
      <w:r>
        <w:rPr/>
        <w:pict>
          <v:shape style="position:absolute;margin-left:43.383999pt;margin-top:-1.96234pt;width:151.550pt;height:5.7pt;mso-position-horizontal-relative:page;mso-position-vertical-relative:paragraph;z-index:16048640" coordorigin="868,-39" coordsize="3031,114" path="m868,75l954,75m1021,75l3899,75m1018,-39l1018,75m1145,7l1145,75m1586,7l1586,75m2091,7l2091,75m2848,7l2848,75m1334,-39l1334,75m1839,7l1839,75m2596,-39l2596,75m2343,7l2343,75m3101,7l3101,75m1082,7l1082,75m1208,7l1208,75m1713,7l1713,75m2217,7l2217,75m2974,7l2974,75m1460,7l1460,75m1965,-39l1965,75m2722,7l2722,75m2470,7l2470,75m3227,-39l3227,75m1271,7l1271,75m1523,7l1523,75m2028,7l2028,75m2533,7l2533,75m3290,7l3290,75m1776,7l1776,75m2280,-39l2280,75m3037,7l3037,75m2785,7l2785,75m3416,7l3416,75m1397,7l1397,75m1649,-39l1649,75m2154,7l2154,75m2659,7l2659,75m3353,7l3353,75m1902,7l1902,75m2407,7l2407,75m3164,7l3164,75m2911,-39l2911,75m3479,7l3479,75m3605,7l3605,75m3668,7l3668,75m3795,7l3795,75m3731,7l3731,75m3542,-39l3542,75m3858,-39l3858,75e" filled="false" stroked="true" strokeweight=".5pt" strokecolor="#000000">
            <v:path arrowok="t"/>
            <v:stroke dashstyle="solid"/>
            <w10:wrap type="none"/>
          </v:shape>
        </w:pict>
      </w:r>
      <w:r>
        <w:rPr/>
        <w:pict>
          <v:line style="position:absolute;mso-position-horizontal-relative:page;mso-position-vertical-relative:paragraph;z-index:16052224" from="198.718002pt,3.72666pt" to="203.050002pt,3.72666pt" stroked="true" strokeweight=".5pt" strokecolor="#000000">
            <v:stroke dashstyle="solid"/>
            <w10:wrap type="none"/>
          </v:line>
        </w:pict>
      </w:r>
      <w:r>
        <w:rPr>
          <w:w w:val="121"/>
          <w:sz w:val="12"/>
        </w:rPr>
        <w:t>5</w:t>
      </w:r>
    </w:p>
    <w:p>
      <w:pPr>
        <w:spacing w:line="118" w:lineRule="exact" w:before="0"/>
        <w:ind w:left="792" w:right="751" w:firstLine="0"/>
        <w:jc w:val="center"/>
        <w:rPr>
          <w:sz w:val="12"/>
        </w:rPr>
      </w:pPr>
      <w:r>
        <w:rPr>
          <w:w w:val="120"/>
          <w:sz w:val="12"/>
        </w:rPr>
        <w:t>1955 60 65 70 75 80 85 90 95 2000</w:t>
      </w:r>
    </w:p>
    <w:p>
      <w:pPr>
        <w:pStyle w:val="BodyText"/>
        <w:spacing w:before="6"/>
        <w:rPr>
          <w:sz w:val="15"/>
        </w:rPr>
      </w:pPr>
    </w:p>
    <w:p>
      <w:pPr>
        <w:pStyle w:val="ListParagraph"/>
        <w:numPr>
          <w:ilvl w:val="0"/>
          <w:numId w:val="15"/>
        </w:numPr>
        <w:tabs>
          <w:tab w:pos="409" w:val="left" w:leader="none"/>
        </w:tabs>
        <w:spacing w:line="240" w:lineRule="auto" w:before="1" w:after="0"/>
        <w:ind w:left="408" w:right="0" w:hanging="241"/>
        <w:jc w:val="left"/>
        <w:rPr>
          <w:sz w:val="12"/>
        </w:rPr>
      </w:pPr>
      <w:r>
        <w:rPr>
          <w:w w:val="110"/>
          <w:sz w:val="12"/>
        </w:rPr>
        <w:t>At constant </w:t>
      </w:r>
      <w:r>
        <w:rPr>
          <w:spacing w:val="-11"/>
          <w:w w:val="110"/>
          <w:sz w:val="12"/>
        </w:rPr>
        <w:t>1995</w:t>
      </w:r>
      <w:r>
        <w:rPr>
          <w:spacing w:val="-10"/>
          <w:w w:val="110"/>
          <w:sz w:val="12"/>
        </w:rPr>
        <w:t> </w:t>
      </w:r>
      <w:r>
        <w:rPr>
          <w:w w:val="110"/>
          <w:sz w:val="12"/>
        </w:rPr>
        <w:t>prices.</w:t>
      </w:r>
    </w:p>
    <w:p>
      <w:pPr>
        <w:pStyle w:val="BodyText"/>
        <w:spacing w:line="292" w:lineRule="auto"/>
        <w:ind w:left="168" w:right="235"/>
      </w:pPr>
      <w:r>
        <w:rPr/>
        <w:br w:type="column"/>
      </w:r>
      <w:r>
        <w:rPr>
          <w:w w:val="110"/>
        </w:rPr>
        <w:t>aggregate </w:t>
      </w:r>
      <w:r>
        <w:rPr>
          <w:spacing w:val="-4"/>
          <w:w w:val="110"/>
        </w:rPr>
        <w:t>stock-output </w:t>
      </w:r>
      <w:r>
        <w:rPr>
          <w:w w:val="110"/>
        </w:rPr>
        <w:t>ratio has continued </w:t>
      </w:r>
      <w:r>
        <w:rPr>
          <w:spacing w:val="-4"/>
          <w:w w:val="110"/>
        </w:rPr>
        <w:t>to </w:t>
      </w:r>
      <w:r>
        <w:rPr>
          <w:w w:val="110"/>
        </w:rPr>
        <w:t>decline, if less rapidly than during the </w:t>
      </w:r>
      <w:r>
        <w:rPr>
          <w:spacing w:val="-14"/>
          <w:w w:val="110"/>
        </w:rPr>
        <w:t>1980s </w:t>
      </w:r>
      <w:r>
        <w:rPr>
          <w:w w:val="110"/>
        </w:rPr>
        <w:t>(see Chart </w:t>
      </w:r>
      <w:r>
        <w:rPr>
          <w:spacing w:val="-6"/>
          <w:w w:val="110"/>
        </w:rPr>
        <w:t>2.17). </w:t>
      </w:r>
      <w:r>
        <w:rPr>
          <w:w w:val="110"/>
        </w:rPr>
        <w:t>The MPC has maintained its assumption that companies will continue </w:t>
      </w:r>
      <w:r>
        <w:rPr>
          <w:spacing w:val="-4"/>
          <w:w w:val="110"/>
        </w:rPr>
        <w:t>to </w:t>
      </w:r>
      <w:r>
        <w:rPr>
          <w:w w:val="110"/>
        </w:rPr>
        <w:t>seek cost savings through </w:t>
      </w:r>
      <w:r>
        <w:rPr>
          <w:spacing w:val="-3"/>
          <w:w w:val="110"/>
        </w:rPr>
        <w:t>improved </w:t>
      </w:r>
      <w:r>
        <w:rPr>
          <w:w w:val="110"/>
        </w:rPr>
        <w:t>stock management techniques, and so the ratio of </w:t>
      </w:r>
      <w:r>
        <w:rPr>
          <w:spacing w:val="-3"/>
          <w:w w:val="110"/>
        </w:rPr>
        <w:t>inventories </w:t>
      </w:r>
      <w:r>
        <w:rPr>
          <w:spacing w:val="-4"/>
          <w:w w:val="110"/>
        </w:rPr>
        <w:t>to </w:t>
      </w:r>
      <w:r>
        <w:rPr>
          <w:w w:val="110"/>
        </w:rPr>
        <w:t>output will</w:t>
      </w:r>
    </w:p>
    <w:p>
      <w:pPr>
        <w:spacing w:after="0" w:line="292" w:lineRule="auto"/>
        <w:sectPr>
          <w:type w:val="continuous"/>
          <w:pgSz w:w="11900" w:h="16840"/>
          <w:pgMar w:top="1260" w:bottom="280" w:left="640" w:right="640"/>
          <w:cols w:num="2" w:equalWidth="0">
            <w:col w:w="3635" w:space="1311"/>
            <w:col w:w="5674"/>
          </w:cols>
        </w:sectPr>
      </w:pPr>
    </w:p>
    <w:p>
      <w:pPr>
        <w:pStyle w:val="BodyText"/>
      </w:pPr>
    </w:p>
    <w:p>
      <w:pPr>
        <w:spacing w:after="0"/>
        <w:sectPr>
          <w:pgSz w:w="11900" w:h="16840"/>
          <w:pgMar w:header="601" w:footer="575" w:top="800" w:bottom="760" w:left="640" w:right="640"/>
        </w:sectPr>
      </w:pPr>
    </w:p>
    <w:p>
      <w:pPr>
        <w:pStyle w:val="BodyText"/>
        <w:spacing w:before="8"/>
        <w:rPr>
          <w:sz w:val="21"/>
        </w:rPr>
      </w:pPr>
    </w:p>
    <w:p>
      <w:pPr>
        <w:pStyle w:val="Heading6"/>
        <w:spacing w:line="247" w:lineRule="auto"/>
        <w:ind w:left="198"/>
        <w:rPr>
          <w:rFonts w:ascii="Times New Roman"/>
          <w:b w:val="0"/>
          <w:sz w:val="12"/>
        </w:rPr>
      </w:pPr>
      <w:bookmarkStart w:name="Output" w:id="55"/>
      <w:bookmarkEnd w:id="55"/>
      <w:r>
        <w:rPr>
          <w:b w:val="0"/>
        </w:rPr>
      </w:r>
      <w:bookmarkStart w:name="_bookmark26" w:id="56"/>
      <w:bookmarkEnd w:id="56"/>
      <w:r>
        <w:rPr>
          <w:b w:val="0"/>
        </w:rPr>
      </w:r>
      <w:bookmarkStart w:name="_bookmark27" w:id="57"/>
      <w:bookmarkEnd w:id="57"/>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2.18</w:t>
      </w:r>
      <w:r>
        <w:rPr>
          <w:smallCaps w:val="0"/>
          <w:color w:val="89C6DC"/>
          <w:spacing w:val="-1"/>
          <w:w w:val="84"/>
        </w:rPr>
        <w:t> </w:t>
      </w:r>
      <w:r>
        <w:rPr>
          <w:smallCaps w:val="0"/>
          <w:color w:val="89C6DC"/>
          <w:spacing w:val="-1"/>
          <w:w w:val="93"/>
        </w:rPr>
        <w:t>GD</w:t>
      </w:r>
      <w:r>
        <w:rPr>
          <w:smallCaps w:val="0"/>
          <w:color w:val="89C6DC"/>
          <w:w w:val="93"/>
        </w:rPr>
        <w:t>P</w:t>
      </w:r>
      <w:r>
        <w:rPr>
          <w:smallCaps w:val="0"/>
          <w:color w:val="89C6DC"/>
          <w:spacing w:val="2"/>
        </w:rPr>
        <w:t> </w:t>
      </w:r>
      <w:r>
        <w:rPr>
          <w:smallCaps w:val="0"/>
          <w:color w:val="89C6DC"/>
          <w:spacing w:val="-3"/>
          <w:w w:val="95"/>
        </w:rPr>
        <w:t>g</w:t>
      </w:r>
      <w:r>
        <w:rPr>
          <w:smallCaps w:val="0"/>
          <w:color w:val="89C6DC"/>
          <w:spacing w:val="-4"/>
          <w:w w:val="95"/>
        </w:rPr>
        <w:t>r</w:t>
      </w:r>
      <w:r>
        <w:rPr>
          <w:smallCaps w:val="0"/>
          <w:color w:val="89C6DC"/>
          <w:spacing w:val="-5"/>
          <w:w w:val="91"/>
        </w:rPr>
        <w:t>o</w:t>
      </w:r>
      <w:r>
        <w:rPr>
          <w:smallCaps w:val="0"/>
          <w:color w:val="89C6DC"/>
          <w:spacing w:val="-3"/>
          <w:w w:val="88"/>
        </w:rPr>
        <w:t>wt</w:t>
      </w:r>
      <w:r>
        <w:rPr>
          <w:smallCaps w:val="0"/>
          <w:color w:val="89C6DC"/>
          <w:spacing w:val="-2"/>
          <w:w w:val="88"/>
        </w:rPr>
        <w:t>h</w:t>
      </w:r>
      <w:r>
        <w:rPr>
          <w:rFonts w:ascii="Times New Roman"/>
          <w:b w:val="0"/>
          <w:smallCaps w:val="0"/>
          <w:spacing w:val="-2"/>
          <w:w w:val="103"/>
          <w:position w:val="4"/>
          <w:sz w:val="12"/>
        </w:rPr>
        <w:t>(a)</w:t>
      </w:r>
    </w:p>
    <w:p>
      <w:pPr>
        <w:pStyle w:val="BodyText"/>
        <w:spacing w:before="2" w:after="40"/>
        <w:rPr>
          <w:sz w:val="16"/>
        </w:rPr>
      </w:pPr>
    </w:p>
    <w:p>
      <w:pPr>
        <w:pStyle w:val="BodyText"/>
        <w:spacing w:line="20" w:lineRule="exact"/>
        <w:ind w:left="213"/>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9"/>
        <w:rPr>
          <w:sz w:val="16"/>
        </w:rPr>
      </w:pPr>
      <w:r>
        <w:rPr/>
        <w:pict>
          <v:shape style="position:absolute;margin-left:42.915001pt;margin-top:11.885977pt;width:4.350pt;height:.1pt;mso-position-horizontal-relative:page;mso-position-vertical-relative:paragraph;z-index:-15404032;mso-wrap-distance-left:0;mso-wrap-distance-right:0" coordorigin="858,238" coordsize="87,0" path="m858,238l945,238e" filled="false" stroked="true" strokeweight=".5pt" strokecolor="#000000">
            <v:path arrowok="t"/>
            <v:stroke dashstyle="solid"/>
            <w10:wrap type="topAndBottom"/>
          </v:shape>
        </w:pict>
      </w:r>
    </w:p>
    <w:p>
      <w:pPr>
        <w:pStyle w:val="BodyText"/>
      </w:pPr>
    </w:p>
    <w:p>
      <w:pPr>
        <w:pStyle w:val="BodyText"/>
        <w:spacing w:before="2"/>
        <w:rPr>
          <w:sz w:val="15"/>
        </w:rPr>
      </w:pPr>
      <w:r>
        <w:rPr/>
        <w:pict>
          <v:shape style="position:absolute;margin-left:42.915001pt;margin-top:10.935977pt;width:4.350pt;height:.1pt;mso-position-horizontal-relative:page;mso-position-vertical-relative:paragraph;z-index:-15403520;mso-wrap-distance-left:0;mso-wrap-distance-right:0" coordorigin="858,219" coordsize="87,0" path="m858,219l945,219e" filled="false" stroked="true" strokeweight=".5pt" strokecolor="#000000">
            <v:path arrowok="t"/>
            <v:stroke dashstyle="solid"/>
            <w10:wrap type="topAndBottom"/>
          </v:shape>
        </w:pict>
      </w:r>
    </w:p>
    <w:p>
      <w:pPr>
        <w:pStyle w:val="BodyText"/>
      </w:pPr>
    </w:p>
    <w:p>
      <w:pPr>
        <w:pStyle w:val="BodyText"/>
        <w:spacing w:before="2"/>
        <w:rPr>
          <w:sz w:val="15"/>
        </w:rPr>
      </w:pPr>
      <w:r>
        <w:rPr/>
        <w:pict>
          <v:shape style="position:absolute;margin-left:42.915001pt;margin-top:10.935977pt;width:4.350pt;height:.1pt;mso-position-horizontal-relative:page;mso-position-vertical-relative:paragraph;z-index:-15403008;mso-wrap-distance-left:0;mso-wrap-distance-right:0" coordorigin="858,219" coordsize="87,0" path="m858,219l945,219e" filled="false" stroked="true" strokeweight=".5pt" strokecolor="#000000">
            <v:path arrowok="t"/>
            <v:stroke dashstyle="solid"/>
            <w10:wrap type="topAndBottom"/>
          </v:shape>
        </w:pict>
      </w:r>
    </w:p>
    <w:p>
      <w:pPr>
        <w:pStyle w:val="BodyText"/>
      </w:pPr>
    </w:p>
    <w:p>
      <w:pPr>
        <w:pStyle w:val="BodyText"/>
        <w:spacing w:before="2"/>
        <w:rPr>
          <w:sz w:val="15"/>
        </w:rPr>
      </w:pPr>
      <w:r>
        <w:rPr/>
        <w:pict>
          <v:shape style="position:absolute;margin-left:42.915001pt;margin-top:10.935977pt;width:4.350pt;height:.1pt;mso-position-horizontal-relative:page;mso-position-vertical-relative:paragraph;z-index:-15402496;mso-wrap-distance-left:0;mso-wrap-distance-right:0" coordorigin="858,219" coordsize="87,0" path="m858,219l945,219e" filled="false" stroked="true" strokeweight=".5pt" strokecolor="#000000">
            <v:path arrowok="t"/>
            <v:stroke dashstyle="solid"/>
            <w10:wrap type="topAndBottom"/>
          </v:shape>
        </w:pict>
      </w:r>
    </w:p>
    <w:p>
      <w:pPr>
        <w:pStyle w:val="BodyText"/>
      </w:pPr>
    </w:p>
    <w:p>
      <w:pPr>
        <w:pStyle w:val="BodyText"/>
        <w:spacing w:before="2"/>
        <w:rPr>
          <w:sz w:val="15"/>
        </w:rPr>
      </w:pPr>
      <w:r>
        <w:rPr/>
        <w:pict>
          <v:shape style="position:absolute;margin-left:42.915001pt;margin-top:10.935977pt;width:4.350pt;height:.1pt;mso-position-horizontal-relative:page;mso-position-vertical-relative:paragraph;z-index:-15401984;mso-wrap-distance-left:0;mso-wrap-distance-right:0" coordorigin="858,219" coordsize="87,0" path="m858,219l945,219e" filled="false" stroked="true" strokeweight=".5pt" strokecolor="#000000">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26" w:lineRule="exact" w:before="94"/>
        <w:ind w:left="198" w:right="0" w:firstLine="0"/>
        <w:jc w:val="left"/>
        <w:rPr>
          <w:sz w:val="12"/>
        </w:rPr>
      </w:pPr>
      <w:r>
        <w:rPr>
          <w:w w:val="110"/>
          <w:sz w:val="12"/>
        </w:rPr>
        <w:t>Percentage changes</w:t>
      </w:r>
    </w:p>
    <w:p>
      <w:pPr>
        <w:spacing w:line="126" w:lineRule="exact" w:before="0"/>
        <w:ind w:left="1273" w:right="0" w:firstLine="0"/>
        <w:jc w:val="left"/>
        <w:rPr>
          <w:sz w:val="12"/>
        </w:rPr>
      </w:pPr>
      <w:r>
        <w:rPr/>
        <w:pict>
          <v:line style="position:absolute;mso-position-horizontal-relative:page;mso-position-vertical-relative:paragraph;z-index:16073728" from="198.764008pt,2.205776pt" to="203.098008pt,2.205776pt" stroked="true" strokeweight=".5pt" strokecolor="#000000">
            <v:stroke dashstyle="solid"/>
            <w10:wrap type="none"/>
          </v:line>
        </w:pict>
      </w:r>
      <w:r>
        <w:rPr>
          <w:w w:val="121"/>
          <w:sz w:val="12"/>
        </w:rPr>
        <w:t>6</w:t>
      </w:r>
    </w:p>
    <w:p>
      <w:pPr>
        <w:pStyle w:val="BodyText"/>
        <w:rPr>
          <w:sz w:val="12"/>
        </w:rPr>
      </w:pPr>
    </w:p>
    <w:p>
      <w:pPr>
        <w:pStyle w:val="BodyText"/>
        <w:spacing w:before="10"/>
        <w:rPr>
          <w:sz w:val="17"/>
        </w:rPr>
      </w:pPr>
    </w:p>
    <w:p>
      <w:pPr>
        <w:spacing w:before="0"/>
        <w:ind w:left="0" w:right="38" w:firstLine="0"/>
        <w:jc w:val="right"/>
        <w:rPr>
          <w:sz w:val="12"/>
        </w:rPr>
      </w:pPr>
      <w:r>
        <w:rPr/>
        <w:pict>
          <v:group style="position:absolute;margin-left:51.153pt;margin-top:4.663157pt;width:151.950pt;height:119.35pt;mso-position-horizontal-relative:page;mso-position-vertical-relative:paragraph;z-index:16070144" coordorigin="1023,93" coordsize="3039,2387">
            <v:shape style="position:absolute;left:3794;top:1255;width:125;height:125" type="#_x0000_t75" stroked="false">
              <v:imagedata r:id="rId111" o:title=""/>
            </v:shape>
            <v:rect style="position:absolute;left:1052;top:2203;width:70;height:265" filled="true" fillcolor="#be869b" stroked="false">
              <v:fill type="solid"/>
            </v:rect>
            <v:rect style="position:absolute;left:1052;top:2203;width:70;height:265" filled="false" stroked="true" strokeweight=".5pt" strokecolor="#000000">
              <v:stroke dashstyle="solid"/>
            </v:rect>
            <v:rect style="position:absolute;left:1130;top:2203;width:68;height:265" filled="true" fillcolor="#be869b" stroked="false">
              <v:fill type="solid"/>
            </v:rect>
            <v:rect style="position:absolute;left:1130;top:2203;width:68;height:265" filled="false" stroked="true" strokeweight=".5pt" strokecolor="#000000">
              <v:stroke dashstyle="solid"/>
            </v:rect>
            <v:rect style="position:absolute;left:1206;top:1990;width:68;height:478" filled="true" fillcolor="#be869b" stroked="false">
              <v:fill type="solid"/>
            </v:rect>
            <v:rect style="position:absolute;left:1206;top:1990;width:68;height:478" filled="false" stroked="true" strokeweight=".5pt" strokecolor="#000000">
              <v:stroke dashstyle="solid"/>
            </v:rect>
            <v:rect style="position:absolute;left:1276;top:1958;width:80;height:510" filled="true" fillcolor="#be869b" stroked="false">
              <v:fill type="solid"/>
            </v:rect>
            <v:rect style="position:absolute;left:1276;top:1958;width:80;height:510" filled="false" stroked="true" strokeweight=".5pt" strokecolor="#000000">
              <v:stroke dashstyle="solid"/>
            </v:rect>
            <v:rect style="position:absolute;left:1416;top:1958;width:68;height:510" filled="true" fillcolor="#be869b" stroked="false">
              <v:fill type="solid"/>
            </v:rect>
            <v:rect style="position:absolute;left:1416;top:1958;width:68;height:510" filled="false" stroked="true" strokeweight=".5pt" strokecolor="#000000">
              <v:stroke dashstyle="solid"/>
            </v:rect>
            <v:rect style="position:absolute;left:1496;top:1858;width:68;height:610" filled="true" fillcolor="#be869b" stroked="false">
              <v:fill type="solid"/>
            </v:rect>
            <v:rect style="position:absolute;left:1496;top:1858;width:68;height:610" filled="false" stroked="true" strokeweight=".5pt" strokecolor="#000000">
              <v:stroke dashstyle="solid"/>
            </v:rect>
            <v:rect style="position:absolute;left:1576;top:1775;width:68;height:693" filled="true" fillcolor="#be869b" stroked="false">
              <v:fill type="solid"/>
            </v:rect>
            <v:rect style="position:absolute;left:1576;top:1775;width:68;height:693" filled="false" stroked="true" strokeweight=".5pt" strokecolor="#000000">
              <v:stroke dashstyle="solid"/>
            </v:rect>
            <v:rect style="position:absolute;left:1655;top:2073;width:70;height:395" filled="true" fillcolor="#be869b" stroked="false">
              <v:fill type="solid"/>
            </v:rect>
            <v:rect style="position:absolute;left:1655;top:2073;width:70;height:395" filled="false" stroked="true" strokeweight=".5pt" strokecolor="#000000">
              <v:stroke dashstyle="solid"/>
            </v:rect>
            <v:rect style="position:absolute;left:1772;top:2268;width:70;height:200" filled="true" fillcolor="#be869b" stroked="false">
              <v:fill type="solid"/>
            </v:rect>
            <v:rect style="position:absolute;left:1772;top:2268;width:70;height:200" filled="false" stroked="true" strokeweight=".5pt" strokecolor="#000000">
              <v:stroke dashstyle="solid"/>
            </v:rect>
            <v:rect style="position:absolute;left:1849;top:2268;width:78;height:200" filled="true" fillcolor="#be869b" stroked="false">
              <v:fill type="solid"/>
            </v:rect>
            <v:rect style="position:absolute;left:1849;top:2268;width:78;height:200" filled="false" stroked="true" strokeweight=".5pt" strokecolor="#000000">
              <v:stroke dashstyle="solid"/>
            </v:rect>
            <v:rect style="position:absolute;left:1934;top:2220;width:70;height:248" filled="true" fillcolor="#be869b" stroked="false">
              <v:fill type="solid"/>
            </v:rect>
            <v:rect style="position:absolute;left:1934;top:2220;width:70;height:248" filled="false" stroked="true" strokeweight=".5pt" strokecolor="#000000">
              <v:stroke dashstyle="solid"/>
            </v:rect>
            <v:rect style="position:absolute;left:2014;top:2170;width:70;height:298" filled="true" fillcolor="#be869b" stroked="false">
              <v:fill type="solid"/>
            </v:rect>
            <v:rect style="position:absolute;left:2014;top:2170;width:70;height:298" filled="false" stroked="true" strokeweight=".5pt" strokecolor="#000000">
              <v:stroke dashstyle="solid"/>
            </v:rect>
            <v:rect style="position:absolute;left:2134;top:2088;width:68;height:380" filled="true" fillcolor="#be869b" stroked="false">
              <v:fill type="solid"/>
            </v:rect>
            <v:rect style="position:absolute;left:2134;top:2088;width:68;height:380" filled="false" stroked="true" strokeweight=".5pt" strokecolor="#000000">
              <v:stroke dashstyle="solid"/>
            </v:rect>
            <v:rect style="position:absolute;left:2214;top:2235;width:68;height:233" filled="true" fillcolor="#be869b" stroked="false">
              <v:fill type="solid"/>
            </v:rect>
            <v:rect style="position:absolute;left:2214;top:2235;width:68;height:233" filled="false" stroked="true" strokeweight=".5pt" strokecolor="#000000">
              <v:stroke dashstyle="solid"/>
            </v:rect>
            <v:rect style="position:absolute;left:2293;top:2138;width:68;height:330" filled="true" fillcolor="#be869b" stroked="false">
              <v:fill type="solid"/>
            </v:rect>
            <v:rect style="position:absolute;left:2293;top:2138;width:68;height:330" filled="false" stroked="true" strokeweight=".5pt" strokecolor="#000000">
              <v:stroke dashstyle="solid"/>
            </v:rect>
            <v:rect style="position:absolute;left:2367;top:2040;width:80;height:428" filled="true" fillcolor="#be869b" stroked="false">
              <v:fill type="solid"/>
            </v:rect>
            <v:rect style="position:absolute;left:2367;top:2040;width:80;height:428" filled="false" stroked="true" strokeweight=".5pt" strokecolor="#000000">
              <v:stroke dashstyle="solid"/>
            </v:rect>
            <v:rect style="position:absolute;left:2491;top:1958;width:68;height:510" filled="true" fillcolor="#be869b" stroked="false">
              <v:fill type="solid"/>
            </v:rect>
            <v:rect style="position:absolute;left:2491;top:1958;width:68;height:510" filled="false" stroked="true" strokeweight=".5pt" strokecolor="#000000">
              <v:stroke dashstyle="solid"/>
            </v:rect>
            <v:rect style="position:absolute;left:2570;top:2055;width:71;height:413" filled="true" fillcolor="#be869b" stroked="false">
              <v:fill type="solid"/>
            </v:rect>
            <v:rect style="position:absolute;left:2570;top:2055;width:71;height:413" filled="false" stroked="true" strokeweight=".5pt" strokecolor="#000000">
              <v:stroke dashstyle="solid"/>
            </v:rect>
            <v:rect style="position:absolute;left:2650;top:1958;width:70;height:510" filled="true" fillcolor="#be869b" stroked="false">
              <v:fill type="solid"/>
            </v:rect>
            <v:rect style="position:absolute;left:2650;top:1958;width:70;height:510" filled="false" stroked="true" strokeweight=".5pt" strokecolor="#000000">
              <v:stroke dashstyle="solid"/>
            </v:rect>
            <v:rect style="position:absolute;left:2732;top:2235;width:68;height:233" filled="true" fillcolor="#be869b" stroked="false">
              <v:fill type="solid"/>
            </v:rect>
            <v:rect style="position:absolute;left:2732;top:2235;width:68;height:233" filled="false" stroked="true" strokeweight=".5pt" strokecolor="#000000">
              <v:stroke dashstyle="solid"/>
            </v:rect>
            <v:rect style="position:absolute;left:2843;top:2105;width:68;height:363" filled="true" fillcolor="#be869b" stroked="false">
              <v:fill type="solid"/>
            </v:rect>
            <v:rect style="position:absolute;left:2843;top:2105;width:68;height:363" filled="false" stroked="true" strokeweight=".5pt" strokecolor="#000000">
              <v:stroke dashstyle="solid"/>
            </v:rect>
            <v:rect style="position:absolute;left:2927;top:2153;width:68;height:315" filled="true" fillcolor="#be869b" stroked="false">
              <v:fill type="solid"/>
            </v:rect>
            <v:rect style="position:absolute;left:2927;top:2153;width:68;height:315" filled="false" stroked="true" strokeweight=".5pt" strokecolor="#000000">
              <v:stroke dashstyle="solid"/>
            </v:rect>
            <v:rect style="position:absolute;left:3004;top:2203;width:80;height:265" filled="true" fillcolor="#be869b" stroked="false">
              <v:fill type="solid"/>
            </v:rect>
            <v:rect style="position:absolute;left:3004;top:2203;width:80;height:265" filled="false" stroked="true" strokeweight=".5pt" strokecolor="#000000">
              <v:stroke dashstyle="solid"/>
            </v:rect>
            <v:rect style="position:absolute;left:3094;top:2418;width:68;height:50" filled="true" fillcolor="#be869b" stroked="false">
              <v:fill type="solid"/>
            </v:rect>
            <v:rect style="position:absolute;left:3094;top:2418;width:68;height:50" filled="false" stroked="true" strokeweight=".5pt" strokecolor="#000000">
              <v:stroke dashstyle="solid"/>
            </v:rect>
            <v:rect style="position:absolute;left:3212;top:2253;width:68;height:215" filled="true" fillcolor="#be869b" stroked="false">
              <v:fill type="solid"/>
            </v:rect>
            <v:rect style="position:absolute;left:3212;top:2253;width:68;height:215" filled="false" stroked="true" strokeweight=".5pt" strokecolor="#000000">
              <v:stroke dashstyle="solid"/>
            </v:rect>
            <v:rect style="position:absolute;left:3290;top:2153;width:70;height:315" filled="true" fillcolor="#be869b" stroked="false">
              <v:fill type="solid"/>
            </v:rect>
            <v:rect style="position:absolute;left:3290;top:2153;width:70;height:315" filled="false" stroked="true" strokeweight=".5pt" strokecolor="#000000">
              <v:stroke dashstyle="solid"/>
            </v:rect>
            <v:rect style="position:absolute;left:3369;top:1858;width:70;height:610" filled="true" fillcolor="#be869b" stroked="false">
              <v:fill type="solid"/>
            </v:rect>
            <v:rect style="position:absolute;left:3369;top:1858;width:70;height:610" filled="false" stroked="true" strokeweight=".5pt" strokecolor="#000000">
              <v:stroke dashstyle="solid"/>
            </v:rect>
            <v:rect style="position:absolute;left:3450;top:2073;width:68;height:395" filled="true" fillcolor="#be869b" stroked="false">
              <v:fill type="solid"/>
            </v:rect>
            <v:rect style="position:absolute;left:3450;top:2073;width:68;height:395" filled="false" stroked="true" strokeweight=".5pt" strokecolor="#000000">
              <v:stroke dashstyle="solid"/>
            </v:rect>
            <v:rect style="position:absolute;left:3561;top:2253;width:80;height:215" filled="true" fillcolor="#be869b" stroked="false">
              <v:fill type="solid"/>
            </v:rect>
            <v:rect style="position:absolute;left:3561;top:2253;width:80;height:215" filled="false" stroked="true" strokeweight=".5pt" strokecolor="#000000">
              <v:stroke dashstyle="solid"/>
            </v:rect>
            <v:rect style="position:absolute;left:3648;top:2005;width:70;height:463" filled="true" fillcolor="#be869b" stroked="false">
              <v:fill type="solid"/>
            </v:rect>
            <v:rect style="position:absolute;left:3648;top:2005;width:70;height:463" filled="false" stroked="true" strokeweight=".5pt" strokecolor="#000000">
              <v:stroke dashstyle="solid"/>
            </v:rect>
            <v:rect style="position:absolute;left:3731;top:2138;width:68;height:330" filled="true" fillcolor="#be869b" stroked="false">
              <v:fill type="solid"/>
            </v:rect>
            <v:rect style="position:absolute;left:3731;top:2138;width:68;height:330" filled="false" stroked="true" strokeweight=".5pt" strokecolor="#000000">
              <v:stroke dashstyle="solid"/>
            </v:rect>
            <v:rect style="position:absolute;left:3812;top:2335;width:68;height:133" filled="true" fillcolor="#f6d200" stroked="false">
              <v:fill type="solid"/>
            </v:rect>
            <v:rect style="position:absolute;left:3812;top:2335;width:68;height:133" filled="false" stroked="true" strokeweight=".5pt" strokecolor="#000000">
              <v:stroke dashstyle="solid"/>
            </v:rect>
            <v:shape style="position:absolute;left:1071;top:103;width:2695;height:1723" coordorigin="1072,103" coordsize="2695,1723" path="m1072,1826l1159,1466m1159,1466l1247,1251m1247,1251l1347,941m1347,941l1434,693m1434,693l1522,333m1522,333l1609,103m1609,103l1697,218m1697,218l1787,546m1787,546l1874,973m1874,973l1972,1433m1972,1433l2062,1548m2062,1548l2149,1351m2149,1351l2237,1301m2237,1301l2324,1218m2324,1218l2412,1088m2412,1088l2512,956m2512,956l2599,776m2599,776l2689,596m2689,596l2777,793m2777,793l2864,956m2864,956l2952,1056m2952,1056l3052,1301m3052,1301l3139,1481m3139,1481l3227,1613m3227,1613l3314,1628m3314,1628l3404,1286m3404,1286l3492,923m3492,923l3579,941m3579,941l3679,776m3679,776l3767,1056e" filled="false" stroked="true" strokeweight="1pt" strokecolor="#008360">
              <v:path arrowok="t"/>
              <v:stroke dashstyle="solid"/>
            </v:shape>
            <v:shape style="position:absolute;left:3226;top:923;width:540;height:723" coordorigin="3227,923" coordsize="540,723" path="m3227,1646l3314,1596m3314,1596l3404,1366m3404,1366l3492,1071m3492,1071l3579,1021m3579,1021l3679,923m3679,923l3767,1071e" filled="false" stroked="true" strokeweight="1pt" strokecolor="#b3dabb">
              <v:path arrowok="t"/>
              <v:stroke dashstyle="dash"/>
            </v:shape>
            <v:shape style="position:absolute;left:1028;top:394;width:3034;height:2081" coordorigin="1028,394" coordsize="3034,2081" path="m3975,2471l4062,2471m1031,2474l3905,2474m1028,2407l1028,2474m1387,2407l1387,2474m1746,2407l1746,2474m2464,2407l2464,2474m2823,2407l2823,2474m3182,2407l3182,2474m3541,2407l3541,2474m3900,2407l3900,2474m2105,2407l2105,2474m3856,394l3856,1162e" filled="false" stroked="true" strokeweight=".5pt" strokecolor="#000000">
              <v:path arrowok="t"/>
              <v:stroke dashstyle="solid"/>
            </v:shape>
            <v:shape style="position:absolute;left:3830;top:1145;width:51;height:85" coordorigin="3830,1145" coordsize="51,85" path="m3881,1145l3830,1145,3837,1161,3841,1173,3856,1230,3857,1221,3859,1211,3862,1199,3866,1186,3870,1174,3881,1145xe" filled="true" fillcolor="#000000" stroked="false">
              <v:path arrowok="t"/>
              <v:fill type="solid"/>
            </v:shape>
            <v:shape style="position:absolute;left:1720;top:115;width:777;height:121" type="#_x0000_t202" filled="false" stroked="false">
              <v:textbox inset="0,0,0,0">
                <w:txbxContent>
                  <w:p>
                    <w:pPr>
                      <w:spacing w:line="115" w:lineRule="exact" w:before="0"/>
                      <w:ind w:left="0" w:right="0" w:firstLine="0"/>
                      <w:jc w:val="left"/>
                      <w:rPr>
                        <w:sz w:val="12"/>
                      </w:rPr>
                    </w:pPr>
                    <w:r>
                      <w:rPr>
                        <w:w w:val="105"/>
                        <w:sz w:val="12"/>
                      </w:rPr>
                      <w:t>Annual growth</w:t>
                    </w:r>
                  </w:p>
                </w:txbxContent>
              </v:textbox>
              <w10:wrap type="none"/>
            </v:shape>
            <v:shape style="position:absolute;left:2820;top:264;width:1083;height:569" type="#_x0000_t202" filled="false" stroked="false">
              <v:textbox inset="0,0,0,0">
                <w:txbxContent>
                  <w:p>
                    <w:pPr>
                      <w:spacing w:line="115" w:lineRule="exact" w:before="0"/>
                      <w:ind w:left="0" w:right="18" w:firstLine="0"/>
                      <w:jc w:val="center"/>
                      <w:rPr>
                        <w:sz w:val="12"/>
                      </w:rPr>
                    </w:pPr>
                    <w:r>
                      <w:rPr>
                        <w:w w:val="105"/>
                        <w:sz w:val="12"/>
                      </w:rPr>
                      <w:t>Preliminary estimate</w:t>
                    </w:r>
                  </w:p>
                  <w:p>
                    <w:pPr>
                      <w:spacing w:line="240" w:lineRule="auto" w:before="0"/>
                      <w:rPr>
                        <w:sz w:val="12"/>
                      </w:rPr>
                    </w:pPr>
                  </w:p>
                  <w:p>
                    <w:pPr>
                      <w:spacing w:line="240" w:lineRule="auto" w:before="10"/>
                      <w:rPr>
                        <w:sz w:val="14"/>
                      </w:rPr>
                    </w:pPr>
                  </w:p>
                  <w:p>
                    <w:pPr>
                      <w:spacing w:before="1"/>
                      <w:ind w:left="92" w:right="18" w:firstLine="0"/>
                      <w:jc w:val="center"/>
                      <w:rPr>
                        <w:sz w:val="12"/>
                      </w:rPr>
                    </w:pPr>
                    <w:r>
                      <w:rPr>
                        <w:w w:val="110"/>
                        <w:sz w:val="12"/>
                      </w:rPr>
                      <w:t>New data</w:t>
                    </w:r>
                  </w:p>
                </w:txbxContent>
              </v:textbox>
              <w10:wrap type="none"/>
            </v:shape>
            <v:shape style="position:absolute;left:3391;top:1411;width:465;height:121" type="#_x0000_t202" filled="false" stroked="false">
              <v:textbox inset="0,0,0,0">
                <w:txbxContent>
                  <w:p>
                    <w:pPr>
                      <w:spacing w:line="115" w:lineRule="exact" w:before="0"/>
                      <w:ind w:left="0" w:right="0" w:firstLine="0"/>
                      <w:jc w:val="left"/>
                      <w:rPr>
                        <w:sz w:val="12"/>
                      </w:rPr>
                    </w:pPr>
                    <w:r>
                      <w:rPr>
                        <w:w w:val="110"/>
                        <w:sz w:val="12"/>
                      </w:rPr>
                      <w:t>Old data</w:t>
                    </w:r>
                  </w:p>
                </w:txbxContent>
              </v:textbox>
              <w10:wrap type="none"/>
            </v:shape>
            <v:shape style="position:absolute;left:1680;top:1770;width:910;height:121" type="#_x0000_t202" filled="false" stroked="false">
              <v:textbox inset="0,0,0,0">
                <w:txbxContent>
                  <w:p>
                    <w:pPr>
                      <w:spacing w:line="115" w:lineRule="exact" w:before="0"/>
                      <w:ind w:left="0" w:right="0" w:firstLine="0"/>
                      <w:jc w:val="left"/>
                      <w:rPr>
                        <w:sz w:val="12"/>
                      </w:rPr>
                    </w:pPr>
                    <w:r>
                      <w:rPr>
                        <w:w w:val="105"/>
                        <w:sz w:val="12"/>
                      </w:rPr>
                      <w:t>Quarterly growth</w:t>
                    </w:r>
                  </w:p>
                </w:txbxContent>
              </v:textbox>
              <w10:wrap type="none"/>
            </v:shape>
            <w10:wrap type="none"/>
          </v:group>
        </w:pict>
      </w:r>
      <w:r>
        <w:rPr/>
        <w:pict>
          <v:line style="position:absolute;mso-position-horizontal-relative:page;mso-position-vertical-relative:paragraph;z-index:16071168" from="198.764008pt,2.856157pt" to="203.098008pt,2.856157pt" stroked="true" strokeweight=".5pt" strokecolor="#000000">
            <v:stroke dashstyle="solid"/>
            <w10:wrap type="none"/>
          </v:line>
        </w:pict>
      </w:r>
      <w:r>
        <w:rPr>
          <w:w w:val="121"/>
          <w:sz w:val="12"/>
        </w:rPr>
        <w:t>5</w:t>
      </w:r>
    </w:p>
    <w:p>
      <w:pPr>
        <w:pStyle w:val="BodyText"/>
        <w:rPr>
          <w:sz w:val="12"/>
        </w:rPr>
      </w:pPr>
    </w:p>
    <w:p>
      <w:pPr>
        <w:pStyle w:val="BodyText"/>
        <w:spacing w:before="9"/>
        <w:rPr>
          <w:sz w:val="17"/>
        </w:rPr>
      </w:pPr>
    </w:p>
    <w:p>
      <w:pPr>
        <w:spacing w:before="1"/>
        <w:ind w:left="0" w:right="38" w:firstLine="0"/>
        <w:jc w:val="right"/>
        <w:rPr>
          <w:sz w:val="12"/>
        </w:rPr>
      </w:pPr>
      <w:r>
        <w:rPr/>
        <w:pict>
          <v:line style="position:absolute;mso-position-horizontal-relative:page;mso-position-vertical-relative:paragraph;z-index:16071680" from="198.764008pt,2.978779pt" to="203.098008pt,2.978779pt" stroked="true" strokeweight=".5pt" strokecolor="#000000">
            <v:stroke dashstyle="solid"/>
            <w10:wrap type="none"/>
          </v:line>
        </w:pict>
      </w:r>
      <w:r>
        <w:rPr>
          <w:w w:val="121"/>
          <w:sz w:val="12"/>
        </w:rPr>
        <w:t>4</w:t>
      </w:r>
    </w:p>
    <w:p>
      <w:pPr>
        <w:pStyle w:val="BodyText"/>
        <w:rPr>
          <w:sz w:val="12"/>
        </w:rPr>
      </w:pPr>
    </w:p>
    <w:p>
      <w:pPr>
        <w:pStyle w:val="BodyText"/>
        <w:spacing w:before="9"/>
        <w:rPr>
          <w:sz w:val="17"/>
        </w:rPr>
      </w:pPr>
    </w:p>
    <w:p>
      <w:pPr>
        <w:spacing w:before="0"/>
        <w:ind w:left="0" w:right="38" w:firstLine="0"/>
        <w:jc w:val="right"/>
        <w:rPr>
          <w:sz w:val="12"/>
        </w:rPr>
      </w:pPr>
      <w:r>
        <w:rPr/>
        <w:pict>
          <v:line style="position:absolute;mso-position-horizontal-relative:page;mso-position-vertical-relative:paragraph;z-index:16072192" from="198.764008pt,3.00134pt" to="203.098008pt,3.00134pt" stroked="true" strokeweight=".5pt" strokecolor="#000000">
            <v:stroke dashstyle="solid"/>
            <w10:wrap type="none"/>
          </v:line>
        </w:pict>
      </w:r>
      <w:r>
        <w:rPr>
          <w:w w:val="121"/>
          <w:sz w:val="12"/>
        </w:rPr>
        <w:t>3</w:t>
      </w:r>
    </w:p>
    <w:p>
      <w:pPr>
        <w:pStyle w:val="BodyText"/>
        <w:rPr>
          <w:sz w:val="12"/>
        </w:rPr>
      </w:pPr>
    </w:p>
    <w:p>
      <w:pPr>
        <w:pStyle w:val="BodyText"/>
        <w:spacing w:before="10"/>
        <w:rPr>
          <w:sz w:val="17"/>
        </w:rPr>
      </w:pPr>
    </w:p>
    <w:p>
      <w:pPr>
        <w:spacing w:before="0"/>
        <w:ind w:left="0" w:right="38" w:firstLine="0"/>
        <w:jc w:val="right"/>
        <w:rPr>
          <w:sz w:val="12"/>
        </w:rPr>
      </w:pPr>
      <w:r>
        <w:rPr/>
        <w:pict>
          <v:line style="position:absolute;mso-position-horizontal-relative:page;mso-position-vertical-relative:paragraph;z-index:16072704" from="198.764008pt,3.073962pt" to="203.098008pt,3.073962pt" stroked="true" strokeweight=".5pt" strokecolor="#000000">
            <v:stroke dashstyle="solid"/>
            <w10:wrap type="none"/>
          </v:line>
        </w:pict>
      </w:r>
      <w:r>
        <w:rPr>
          <w:w w:val="121"/>
          <w:sz w:val="12"/>
        </w:rPr>
        <w:t>2</w:t>
      </w:r>
    </w:p>
    <w:p>
      <w:pPr>
        <w:pStyle w:val="BodyText"/>
        <w:rPr>
          <w:sz w:val="12"/>
        </w:rPr>
      </w:pPr>
    </w:p>
    <w:p>
      <w:pPr>
        <w:pStyle w:val="BodyText"/>
        <w:spacing w:before="10"/>
        <w:rPr>
          <w:sz w:val="17"/>
        </w:rPr>
      </w:pPr>
    </w:p>
    <w:p>
      <w:pPr>
        <w:spacing w:before="0"/>
        <w:ind w:left="0" w:right="38" w:firstLine="0"/>
        <w:jc w:val="right"/>
        <w:rPr>
          <w:sz w:val="12"/>
        </w:rPr>
      </w:pPr>
      <w:r>
        <w:rPr/>
        <w:pict>
          <v:line style="position:absolute;mso-position-horizontal-relative:page;mso-position-vertical-relative:paragraph;z-index:16073216" from="198.764008pt,3.146584pt" to="203.098008pt,3.146584pt" stroked="true" strokeweight=".5pt" strokecolor="#000000">
            <v:stroke dashstyle="solid"/>
            <w10:wrap type="none"/>
          </v:line>
        </w:pict>
      </w:r>
      <w:r>
        <w:rPr>
          <w:w w:val="121"/>
          <w:sz w:val="12"/>
        </w:rPr>
        <w:t>1</w:t>
      </w:r>
    </w:p>
    <w:p>
      <w:pPr>
        <w:pStyle w:val="BodyText"/>
        <w:spacing w:before="6"/>
        <w:rPr>
          <w:sz w:val="19"/>
        </w:rPr>
      </w:pPr>
      <w:r>
        <w:rPr/>
        <w:br w:type="column"/>
      </w:r>
      <w:r>
        <w:rPr>
          <w:sz w:val="19"/>
        </w:rPr>
      </w:r>
    </w:p>
    <w:p>
      <w:pPr>
        <w:pStyle w:val="BodyText"/>
        <w:spacing w:line="292" w:lineRule="auto" w:before="1"/>
        <w:ind w:left="318" w:right="134"/>
      </w:pPr>
      <w:r>
        <w:rPr>
          <w:w w:val="110"/>
        </w:rPr>
        <w:t>decline </w:t>
      </w:r>
      <w:r>
        <w:rPr>
          <w:spacing w:val="-3"/>
          <w:w w:val="110"/>
        </w:rPr>
        <w:t>over </w:t>
      </w:r>
      <w:r>
        <w:rPr>
          <w:w w:val="110"/>
        </w:rPr>
        <w:t>the medium term. The preliminary data on output in </w:t>
      </w:r>
      <w:r>
        <w:rPr>
          <w:spacing w:val="-4"/>
          <w:w w:val="110"/>
        </w:rPr>
        <w:t>2000 </w:t>
      </w:r>
      <w:r>
        <w:rPr>
          <w:w w:val="110"/>
        </w:rPr>
        <w:t>Q4, together with indications of a </w:t>
      </w:r>
      <w:r>
        <w:rPr>
          <w:spacing w:val="-5"/>
          <w:w w:val="110"/>
        </w:rPr>
        <w:t>pick-up </w:t>
      </w:r>
      <w:r>
        <w:rPr>
          <w:w w:val="110"/>
        </w:rPr>
        <w:t>in expenditure</w:t>
      </w:r>
      <w:r>
        <w:rPr>
          <w:spacing w:val="-20"/>
          <w:w w:val="110"/>
        </w:rPr>
        <w:t> </w:t>
      </w:r>
      <w:r>
        <w:rPr>
          <w:w w:val="110"/>
        </w:rPr>
        <w:t>on</w:t>
      </w:r>
      <w:r>
        <w:rPr>
          <w:spacing w:val="-19"/>
          <w:w w:val="110"/>
        </w:rPr>
        <w:t> </w:t>
      </w:r>
      <w:r>
        <w:rPr>
          <w:w w:val="110"/>
        </w:rPr>
        <w:t>cars,</w:t>
      </w:r>
      <w:r>
        <w:rPr>
          <w:spacing w:val="-19"/>
          <w:w w:val="110"/>
        </w:rPr>
        <w:t> </w:t>
      </w:r>
      <w:r>
        <w:rPr>
          <w:w w:val="110"/>
        </w:rPr>
        <w:t>suggest</w:t>
      </w:r>
      <w:r>
        <w:rPr>
          <w:spacing w:val="-19"/>
          <w:w w:val="110"/>
        </w:rPr>
        <w:t> </w:t>
      </w:r>
      <w:r>
        <w:rPr>
          <w:w w:val="110"/>
        </w:rPr>
        <w:t>that</w:t>
      </w:r>
      <w:r>
        <w:rPr>
          <w:spacing w:val="-20"/>
          <w:w w:val="110"/>
        </w:rPr>
        <w:t> </w:t>
      </w:r>
      <w:r>
        <w:rPr>
          <w:spacing w:val="-3"/>
          <w:w w:val="110"/>
        </w:rPr>
        <w:t>inventories</w:t>
      </w:r>
      <w:r>
        <w:rPr>
          <w:spacing w:val="-19"/>
          <w:w w:val="110"/>
        </w:rPr>
        <w:t> </w:t>
      </w:r>
      <w:r>
        <w:rPr>
          <w:w w:val="110"/>
        </w:rPr>
        <w:t>of</w:t>
      </w:r>
      <w:r>
        <w:rPr>
          <w:spacing w:val="-19"/>
          <w:w w:val="110"/>
        </w:rPr>
        <w:t> </w:t>
      </w:r>
      <w:r>
        <w:rPr>
          <w:w w:val="110"/>
        </w:rPr>
        <w:t>cars</w:t>
      </w:r>
      <w:r>
        <w:rPr>
          <w:spacing w:val="-19"/>
          <w:w w:val="110"/>
        </w:rPr>
        <w:t> </w:t>
      </w:r>
      <w:r>
        <w:rPr>
          <w:spacing w:val="-3"/>
          <w:w w:val="110"/>
        </w:rPr>
        <w:t>may</w:t>
      </w:r>
      <w:r>
        <w:rPr>
          <w:spacing w:val="-20"/>
          <w:w w:val="110"/>
        </w:rPr>
        <w:t> </w:t>
      </w:r>
      <w:r>
        <w:rPr>
          <w:spacing w:val="-3"/>
          <w:w w:val="110"/>
        </w:rPr>
        <w:t>have </w:t>
      </w:r>
      <w:r>
        <w:rPr>
          <w:w w:val="110"/>
        </w:rPr>
        <w:t>fallen sharply in</w:t>
      </w:r>
      <w:r>
        <w:rPr>
          <w:spacing w:val="-18"/>
          <w:w w:val="110"/>
        </w:rPr>
        <w:t> </w:t>
      </w:r>
      <w:r>
        <w:rPr>
          <w:w w:val="110"/>
        </w:rPr>
        <w:t>Q4.</w:t>
      </w:r>
    </w:p>
    <w:p>
      <w:pPr>
        <w:pStyle w:val="BodyText"/>
        <w:spacing w:before="8"/>
        <w:rPr>
          <w:sz w:val="15"/>
        </w:rPr>
      </w:pPr>
    </w:p>
    <w:p>
      <w:pPr>
        <w:pStyle w:val="Heading3"/>
        <w:numPr>
          <w:ilvl w:val="1"/>
          <w:numId w:val="8"/>
        </w:numPr>
        <w:tabs>
          <w:tab w:pos="798" w:val="left" w:leader="none"/>
          <w:tab w:pos="799" w:val="left" w:leader="none"/>
          <w:tab w:pos="5712" w:val="left" w:leader="none"/>
        </w:tabs>
        <w:spacing w:line="240" w:lineRule="auto" w:before="1" w:after="0"/>
        <w:ind w:left="798" w:right="0" w:hanging="601"/>
        <w:jc w:val="left"/>
        <w:rPr>
          <w:u w:val="none"/>
        </w:rPr>
      </w:pPr>
      <w:r>
        <w:rPr>
          <w:smallCaps w:val="0"/>
          <w:color w:val="89C6DC"/>
          <w:u w:val="single" w:color="006CB4"/>
        </w:rPr>
        <w:t>Output</w:t>
        <w:tab/>
      </w:r>
    </w:p>
    <w:p>
      <w:pPr>
        <w:pStyle w:val="BodyText"/>
        <w:spacing w:before="254"/>
        <w:ind w:left="318"/>
      </w:pPr>
      <w:r>
        <w:rPr>
          <w:w w:val="110"/>
        </w:rPr>
        <w:t>The National Accounts release on 21 December revised up</w:t>
      </w:r>
    </w:p>
    <w:p>
      <w:pPr>
        <w:pStyle w:val="BodyText"/>
        <w:spacing w:line="292" w:lineRule="auto" w:before="50"/>
        <w:ind w:left="318" w:right="134"/>
      </w:pPr>
      <w:r>
        <w:rPr>
          <w:w w:val="105"/>
        </w:rPr>
        <w:t>past estimates of GDP. As a result, the level of measured output in 2000 Q3 was 0.3 percentage points higher than previously estimated. Growth in Q3 was unrevised at 0.7%. According to the preliminary estimate, GDP rose by 0.3% in 2000 Q4, the slowest quarterly growth rate since 1998 Q4, taking the annual</w:t>
      </w:r>
    </w:p>
    <w:p>
      <w:pPr>
        <w:spacing w:after="0" w:line="292" w:lineRule="auto"/>
        <w:sectPr>
          <w:type w:val="continuous"/>
          <w:pgSz w:w="11900" w:h="16840"/>
          <w:pgMar w:top="1260" w:bottom="280" w:left="640" w:right="640"/>
          <w:cols w:num="3" w:equalWidth="0">
            <w:col w:w="1388" w:space="810"/>
            <w:col w:w="1387" w:space="1186"/>
            <w:col w:w="5849"/>
          </w:cols>
        </w:sectPr>
      </w:pPr>
    </w:p>
    <w:p>
      <w:pPr>
        <w:spacing w:line="106" w:lineRule="exact" w:before="0"/>
        <w:ind w:left="3471" w:right="0" w:firstLine="0"/>
        <w:jc w:val="left"/>
        <w:rPr>
          <w:sz w:val="12"/>
        </w:rPr>
      </w:pPr>
      <w:r>
        <w:rPr/>
        <w:pict>
          <v:line style="position:absolute;mso-position-horizontal-relative:page;mso-position-vertical-relative:paragraph;z-index:16070656" from="42.915001pt,3.175977pt" to="47.248001pt,3.175977pt" stroked="true" strokeweight=".5pt" strokecolor="#000000">
            <v:stroke dashstyle="solid"/>
            <w10:wrap type="none"/>
          </v:line>
        </w:pict>
      </w:r>
      <w:r>
        <w:rPr>
          <w:w w:val="121"/>
          <w:sz w:val="12"/>
        </w:rPr>
        <w:t>0</w:t>
      </w:r>
    </w:p>
    <w:p>
      <w:pPr>
        <w:tabs>
          <w:tab w:pos="1197" w:val="left" w:leader="none"/>
          <w:tab w:pos="1559" w:val="left" w:leader="none"/>
          <w:tab w:pos="1924" w:val="left" w:leader="none"/>
          <w:tab w:pos="2277" w:val="left" w:leader="none"/>
          <w:tab w:pos="2639" w:val="left" w:leader="none"/>
        </w:tabs>
        <w:spacing w:line="111" w:lineRule="exact" w:before="0"/>
        <w:ind w:left="432" w:right="0" w:firstLine="0"/>
        <w:jc w:val="left"/>
        <w:rPr>
          <w:sz w:val="12"/>
        </w:rPr>
      </w:pPr>
      <w:r>
        <w:rPr>
          <w:w w:val="120"/>
          <w:sz w:val="12"/>
        </w:rPr>
        <w:t>1993  </w:t>
      </w:r>
      <w:r>
        <w:rPr>
          <w:spacing w:val="16"/>
          <w:w w:val="120"/>
          <w:sz w:val="12"/>
        </w:rPr>
        <w:t> </w:t>
      </w:r>
      <w:r>
        <w:rPr>
          <w:w w:val="120"/>
          <w:sz w:val="12"/>
        </w:rPr>
        <w:t>94</w:t>
        <w:tab/>
        <w:t>95</w:t>
        <w:tab/>
        <w:t>96</w:t>
        <w:tab/>
        <w:t>97</w:t>
        <w:tab/>
        <w:t>98</w:t>
        <w:tab/>
        <w:t>99</w:t>
      </w:r>
      <w:r>
        <w:rPr>
          <w:spacing w:val="3"/>
          <w:w w:val="120"/>
          <w:sz w:val="12"/>
        </w:rPr>
        <w:t> </w:t>
      </w:r>
      <w:r>
        <w:rPr>
          <w:w w:val="120"/>
          <w:sz w:val="12"/>
        </w:rPr>
        <w:t>2000</w:t>
      </w:r>
    </w:p>
    <w:p>
      <w:pPr>
        <w:pStyle w:val="BodyText"/>
        <w:spacing w:before="10"/>
        <w:rPr>
          <w:sz w:val="12"/>
        </w:rPr>
      </w:pPr>
    </w:p>
    <w:p>
      <w:pPr>
        <w:spacing w:before="1"/>
        <w:ind w:left="182" w:right="0" w:firstLine="0"/>
        <w:jc w:val="left"/>
        <w:rPr>
          <w:sz w:val="12"/>
        </w:rPr>
      </w:pPr>
      <w:r>
        <w:rPr>
          <w:w w:val="105"/>
          <w:sz w:val="12"/>
        </w:rPr>
        <w:t>(a) At constant 1995 market prices.</w:t>
      </w:r>
    </w:p>
    <w:p>
      <w:pPr>
        <w:pStyle w:val="BodyText"/>
        <w:rPr>
          <w:sz w:val="12"/>
        </w:rPr>
      </w:pPr>
    </w:p>
    <w:p>
      <w:pPr>
        <w:pStyle w:val="BodyText"/>
        <w:rPr>
          <w:sz w:val="11"/>
        </w:rPr>
      </w:pPr>
    </w:p>
    <w:p>
      <w:pPr>
        <w:pStyle w:val="Heading6"/>
        <w:ind w:left="187"/>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2.19</w:t>
      </w:r>
    </w:p>
    <w:p>
      <w:pPr>
        <w:spacing w:before="8"/>
        <w:ind w:left="187" w:right="0" w:firstLine="0"/>
        <w:jc w:val="left"/>
        <w:rPr>
          <w:sz w:val="12"/>
        </w:rPr>
      </w:pPr>
      <w:r>
        <w:rPr>
          <w:rFonts w:ascii="Trebuchet MS"/>
          <w:b/>
          <w:color w:val="89C6DC"/>
          <w:sz w:val="20"/>
        </w:rPr>
        <w:t>Sectoral GDP growth</w:t>
      </w:r>
      <w:r>
        <w:rPr>
          <w:position w:val="4"/>
          <w:sz w:val="12"/>
        </w:rPr>
        <w:t>(a)</w:t>
      </w:r>
    </w:p>
    <w:p>
      <w:pPr>
        <w:pStyle w:val="BodyText"/>
        <w:spacing w:line="292" w:lineRule="auto"/>
        <w:ind w:left="182" w:right="232"/>
      </w:pPr>
      <w:r>
        <w:rPr/>
        <w:br w:type="column"/>
      </w:r>
      <w:r>
        <w:rPr>
          <w:w w:val="110"/>
        </w:rPr>
        <w:t>growth </w:t>
      </w:r>
      <w:r>
        <w:rPr>
          <w:spacing w:val="-4"/>
          <w:w w:val="110"/>
        </w:rPr>
        <w:t>rate </w:t>
      </w:r>
      <w:r>
        <w:rPr>
          <w:w w:val="110"/>
        </w:rPr>
        <w:t>down </w:t>
      </w:r>
      <w:r>
        <w:rPr>
          <w:spacing w:val="-4"/>
          <w:w w:val="110"/>
        </w:rPr>
        <w:t>to </w:t>
      </w:r>
      <w:r>
        <w:rPr>
          <w:w w:val="110"/>
        </w:rPr>
        <w:t>2.4% (see Chart </w:t>
      </w:r>
      <w:r>
        <w:rPr>
          <w:spacing w:val="-7"/>
          <w:w w:val="110"/>
        </w:rPr>
        <w:t>2.18). </w:t>
      </w:r>
      <w:r>
        <w:rPr>
          <w:w w:val="110"/>
        </w:rPr>
        <w:t>But as shown in Chart</w:t>
      </w:r>
      <w:r>
        <w:rPr>
          <w:spacing w:val="-20"/>
          <w:w w:val="110"/>
        </w:rPr>
        <w:t> </w:t>
      </w:r>
      <w:r>
        <w:rPr>
          <w:spacing w:val="-8"/>
          <w:w w:val="110"/>
        </w:rPr>
        <w:t>2.19,</w:t>
      </w:r>
      <w:r>
        <w:rPr>
          <w:spacing w:val="-19"/>
          <w:w w:val="110"/>
        </w:rPr>
        <w:t> </w:t>
      </w:r>
      <w:r>
        <w:rPr>
          <w:spacing w:val="-2"/>
          <w:w w:val="110"/>
        </w:rPr>
        <w:t>growth</w:t>
      </w:r>
      <w:r>
        <w:rPr>
          <w:spacing w:val="-20"/>
          <w:w w:val="110"/>
        </w:rPr>
        <w:t> </w:t>
      </w:r>
      <w:r>
        <w:rPr>
          <w:spacing w:val="-3"/>
          <w:w w:val="110"/>
        </w:rPr>
        <w:t>was</w:t>
      </w:r>
      <w:r>
        <w:rPr>
          <w:spacing w:val="-19"/>
          <w:w w:val="110"/>
        </w:rPr>
        <w:t> </w:t>
      </w:r>
      <w:r>
        <w:rPr>
          <w:w w:val="110"/>
        </w:rPr>
        <w:t>mainly</w:t>
      </w:r>
      <w:r>
        <w:rPr>
          <w:spacing w:val="-20"/>
          <w:w w:val="110"/>
        </w:rPr>
        <w:t> </w:t>
      </w:r>
      <w:r>
        <w:rPr>
          <w:w w:val="110"/>
        </w:rPr>
        <w:t>depressed</w:t>
      </w:r>
      <w:r>
        <w:rPr>
          <w:spacing w:val="-19"/>
          <w:w w:val="110"/>
        </w:rPr>
        <w:t> </w:t>
      </w:r>
      <w:r>
        <w:rPr>
          <w:w w:val="110"/>
        </w:rPr>
        <w:t>by</w:t>
      </w:r>
      <w:r>
        <w:rPr>
          <w:spacing w:val="-19"/>
          <w:w w:val="110"/>
        </w:rPr>
        <w:t> </w:t>
      </w:r>
      <w:r>
        <w:rPr>
          <w:w w:val="110"/>
        </w:rPr>
        <w:t>sharp</w:t>
      </w:r>
      <w:r>
        <w:rPr>
          <w:spacing w:val="-20"/>
          <w:w w:val="110"/>
        </w:rPr>
        <w:t> </w:t>
      </w:r>
      <w:r>
        <w:rPr>
          <w:w w:val="110"/>
        </w:rPr>
        <w:t>declines</w:t>
      </w:r>
      <w:r>
        <w:rPr>
          <w:spacing w:val="-19"/>
          <w:w w:val="110"/>
        </w:rPr>
        <w:t> </w:t>
      </w:r>
      <w:r>
        <w:rPr>
          <w:w w:val="110"/>
        </w:rPr>
        <w:t>in the output of </w:t>
      </w:r>
      <w:r>
        <w:rPr>
          <w:spacing w:val="-3"/>
          <w:w w:val="110"/>
        </w:rPr>
        <w:t>sectors </w:t>
      </w:r>
      <w:r>
        <w:rPr>
          <w:w w:val="110"/>
        </w:rPr>
        <w:t>outside manufacturing and services, which comprise construction, the utilities, mining and quarrying,</w:t>
      </w:r>
      <w:r>
        <w:rPr>
          <w:spacing w:val="-16"/>
          <w:w w:val="110"/>
        </w:rPr>
        <w:t> </w:t>
      </w:r>
      <w:r>
        <w:rPr>
          <w:w w:val="110"/>
        </w:rPr>
        <w:t>and</w:t>
      </w:r>
      <w:r>
        <w:rPr>
          <w:spacing w:val="-16"/>
          <w:w w:val="110"/>
        </w:rPr>
        <w:t> </w:t>
      </w:r>
      <w:r>
        <w:rPr>
          <w:w w:val="110"/>
        </w:rPr>
        <w:t>agriculture.</w:t>
      </w:r>
      <w:r>
        <w:rPr>
          <w:spacing w:val="24"/>
          <w:w w:val="110"/>
        </w:rPr>
        <w:t> </w:t>
      </w:r>
      <w:r>
        <w:rPr>
          <w:w w:val="110"/>
        </w:rPr>
        <w:t>These</w:t>
      </w:r>
      <w:r>
        <w:rPr>
          <w:spacing w:val="-16"/>
          <w:w w:val="110"/>
        </w:rPr>
        <w:t> </w:t>
      </w:r>
      <w:r>
        <w:rPr>
          <w:w w:val="110"/>
        </w:rPr>
        <w:t>are</w:t>
      </w:r>
      <w:r>
        <w:rPr>
          <w:spacing w:val="-16"/>
          <w:w w:val="110"/>
        </w:rPr>
        <w:t> </w:t>
      </w:r>
      <w:r>
        <w:rPr>
          <w:w w:val="110"/>
        </w:rPr>
        <w:t>relatively</w:t>
      </w:r>
      <w:r>
        <w:rPr>
          <w:spacing w:val="-16"/>
          <w:w w:val="110"/>
        </w:rPr>
        <w:t> </w:t>
      </w:r>
      <w:r>
        <w:rPr>
          <w:w w:val="110"/>
        </w:rPr>
        <w:t>volatile</w:t>
      </w:r>
    </w:p>
    <w:p>
      <w:pPr>
        <w:spacing w:after="0" w:line="292" w:lineRule="auto"/>
        <w:sectPr>
          <w:type w:val="continuous"/>
          <w:pgSz w:w="11900" w:h="16840"/>
          <w:pgMar w:top="1260" w:bottom="280" w:left="640" w:right="640"/>
          <w:cols w:num="2" w:equalWidth="0">
            <w:col w:w="3585" w:space="1322"/>
            <w:col w:w="5713"/>
          </w:cols>
        </w:sectPr>
      </w:pPr>
    </w:p>
    <w:p>
      <w:pPr>
        <w:spacing w:line="45" w:lineRule="exact" w:before="0"/>
        <w:ind w:left="413" w:right="0" w:firstLine="0"/>
        <w:jc w:val="left"/>
        <w:rPr>
          <w:sz w:val="12"/>
        </w:rPr>
      </w:pPr>
      <w:r>
        <w:rPr/>
        <w:drawing>
          <wp:anchor distT="0" distB="0" distL="0" distR="0" allowOverlap="1" layoutInCell="1" locked="0" behindDoc="0" simplePos="0" relativeHeight="16074752">
            <wp:simplePos x="0" y="0"/>
            <wp:positionH relativeFrom="page">
              <wp:posOffset>534708</wp:posOffset>
            </wp:positionH>
            <wp:positionV relativeFrom="paragraph">
              <wp:posOffset>-39408</wp:posOffset>
            </wp:positionV>
            <wp:extent cx="80924" cy="142875"/>
            <wp:effectExtent l="0" t="0" r="0" b="0"/>
            <wp:wrapNone/>
            <wp:docPr id="457" name="image65.png"/>
            <wp:cNvGraphicFramePr>
              <a:graphicFrameLocks noChangeAspect="1"/>
            </wp:cNvGraphicFramePr>
            <a:graphic>
              <a:graphicData uri="http://schemas.openxmlformats.org/drawingml/2006/picture">
                <pic:pic>
                  <pic:nvPicPr>
                    <pic:cNvPr id="458" name="image65.png"/>
                    <pic:cNvPicPr/>
                  </pic:nvPicPr>
                  <pic:blipFill>
                    <a:blip r:embed="rId112" cstate="print"/>
                    <a:stretch>
                      <a:fillRect/>
                    </a:stretch>
                  </pic:blipFill>
                  <pic:spPr>
                    <a:xfrm>
                      <a:off x="0" y="0"/>
                      <a:ext cx="80924" cy="142875"/>
                    </a:xfrm>
                    <a:prstGeom prst="rect">
                      <a:avLst/>
                    </a:prstGeom>
                  </pic:spPr>
                </pic:pic>
              </a:graphicData>
            </a:graphic>
          </wp:anchor>
        </w:drawing>
      </w:r>
      <w:r>
        <w:rPr>
          <w:w w:val="110"/>
          <w:sz w:val="12"/>
        </w:rPr>
        <w:t>Other (b)</w:t>
      </w:r>
    </w:p>
    <w:p>
      <w:pPr>
        <w:spacing w:line="126" w:lineRule="exact" w:before="0"/>
        <w:ind w:left="407" w:right="0" w:firstLine="0"/>
        <w:jc w:val="left"/>
        <w:rPr>
          <w:sz w:val="12"/>
        </w:rPr>
      </w:pPr>
      <w:r>
        <w:rPr>
          <w:w w:val="105"/>
          <w:sz w:val="12"/>
        </w:rPr>
        <w:t>Manufacturing</w:t>
      </w:r>
    </w:p>
    <w:p>
      <w:pPr>
        <w:pStyle w:val="BodyText"/>
        <w:spacing w:before="1" w:after="39"/>
        <w:rPr>
          <w:sz w:val="28"/>
        </w:rPr>
      </w:pPr>
    </w:p>
    <w:p>
      <w:pPr>
        <w:pStyle w:val="BodyText"/>
        <w:spacing w:line="20" w:lineRule="exact"/>
        <w:ind w:left="197"/>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7"/>
        <w:rPr>
          <w:sz w:val="24"/>
        </w:rPr>
      </w:pPr>
      <w:r>
        <w:rPr/>
        <w:pict>
          <v:shape style="position:absolute;margin-left:42.103001pt;margin-top:16.375977pt;width:4.350pt;height:.1pt;mso-position-horizontal-relative:page;mso-position-vertical-relative:paragraph;z-index:-15400960;mso-wrap-distance-left:0;mso-wrap-distance-right:0" coordorigin="842,328" coordsize="87,0" path="m842,328l929,328e" filled="false" stroked="true" strokeweight=".5pt" strokecolor="#000000">
            <v:path arrowok="t"/>
            <v:stroke dashstyle="solid"/>
            <w10:wrap type="topAndBottom"/>
          </v:shape>
        </w:pict>
      </w:r>
    </w:p>
    <w:p>
      <w:pPr>
        <w:spacing w:line="46" w:lineRule="exact" w:before="0"/>
        <w:ind w:left="202" w:right="0" w:firstLine="0"/>
        <w:jc w:val="left"/>
        <w:rPr>
          <w:sz w:val="12"/>
        </w:rPr>
      </w:pPr>
      <w:r>
        <w:rPr/>
        <w:br w:type="column"/>
      </w:r>
      <w:r>
        <w:rPr>
          <w:w w:val="105"/>
          <w:sz w:val="12"/>
        </w:rPr>
        <w:t>Services</w:t>
      </w:r>
    </w:p>
    <w:p>
      <w:pPr>
        <w:spacing w:line="124" w:lineRule="exact" w:before="0"/>
        <w:ind w:left="202" w:right="0" w:firstLine="0"/>
        <w:jc w:val="left"/>
        <w:rPr>
          <w:sz w:val="12"/>
        </w:rPr>
      </w:pPr>
      <w:r>
        <w:rPr/>
        <w:pict>
          <v:group style="position:absolute;margin-left:98.102997pt;margin-top:-5.576622pt;width:6.5pt;height:9.8pt;mso-position-horizontal-relative:page;mso-position-vertical-relative:paragraph;z-index:16075264" coordorigin="1962,-112" coordsize="130,196">
            <v:rect style="position:absolute;left:1967;top:-107;width:118;height:108" filled="true" fillcolor="#fdeecc" stroked="false">
              <v:fill type="solid"/>
            </v:rect>
            <v:rect style="position:absolute;left:1967;top:-107;width:118;height:108" filled="false" stroked="true" strokeweight=".5pt" strokecolor="#000000">
              <v:stroke dashstyle="solid"/>
            </v:rect>
            <v:line style="position:absolute" from="1962,74" to="2092,74" stroked="true" strokeweight="1pt" strokecolor="#de0035">
              <v:stroke dashstyle="solid"/>
            </v:line>
            <w10:wrap type="none"/>
          </v:group>
        </w:pict>
      </w:r>
      <w:r>
        <w:rPr>
          <w:sz w:val="12"/>
        </w:rPr>
        <w:t>GDP</w:t>
      </w:r>
    </w:p>
    <w:p>
      <w:pPr>
        <w:spacing w:line="131" w:lineRule="exact" w:before="53"/>
        <w:ind w:left="0" w:right="0" w:firstLine="0"/>
        <w:jc w:val="right"/>
        <w:rPr>
          <w:sz w:val="12"/>
        </w:rPr>
      </w:pPr>
      <w:r>
        <w:rPr>
          <w:w w:val="110"/>
          <w:sz w:val="12"/>
        </w:rPr>
        <w:t>Contribution to quarterly</w:t>
      </w:r>
      <w:r>
        <w:rPr>
          <w:spacing w:val="-22"/>
          <w:w w:val="110"/>
          <w:sz w:val="12"/>
        </w:rPr>
        <w:t> </w:t>
      </w:r>
      <w:r>
        <w:rPr>
          <w:w w:val="110"/>
          <w:sz w:val="12"/>
        </w:rPr>
        <w:t>growth,</w:t>
      </w:r>
    </w:p>
    <w:p>
      <w:pPr>
        <w:spacing w:line="131" w:lineRule="exact" w:before="0"/>
        <w:ind w:left="0" w:right="0" w:firstLine="0"/>
        <w:jc w:val="right"/>
        <w:rPr>
          <w:sz w:val="12"/>
        </w:rPr>
      </w:pPr>
      <w:r>
        <w:rPr>
          <w:w w:val="110"/>
          <w:sz w:val="12"/>
        </w:rPr>
        <w:t>percentage</w:t>
      </w:r>
      <w:r>
        <w:rPr>
          <w:spacing w:val="2"/>
          <w:w w:val="110"/>
          <w:sz w:val="12"/>
        </w:rPr>
        <w:t> </w:t>
      </w:r>
      <w:r>
        <w:rPr>
          <w:w w:val="110"/>
          <w:sz w:val="12"/>
        </w:rPr>
        <w:t>points</w:t>
      </w:r>
    </w:p>
    <w:p>
      <w:pPr>
        <w:pStyle w:val="BodyText"/>
        <w:spacing w:before="1"/>
        <w:rPr>
          <w:sz w:val="4"/>
        </w:rPr>
      </w:pPr>
    </w:p>
    <w:p>
      <w:pPr>
        <w:pStyle w:val="BodyText"/>
        <w:spacing w:line="20" w:lineRule="exact"/>
        <w:ind w:left="2012"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rPr>
          <w:sz w:val="28"/>
        </w:rPr>
      </w:pPr>
    </w:p>
    <w:p>
      <w:pPr>
        <w:pStyle w:val="BodyText"/>
        <w:spacing w:line="20" w:lineRule="exact"/>
        <w:ind w:left="2012"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rPr>
          <w:sz w:val="28"/>
        </w:rPr>
      </w:pPr>
    </w:p>
    <w:p>
      <w:pPr>
        <w:pStyle w:val="BodyText"/>
        <w:spacing w:line="20" w:lineRule="exact"/>
        <w:ind w:left="2012"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1"/>
        <w:rPr>
          <w:sz w:val="29"/>
        </w:rPr>
      </w:pPr>
    </w:p>
    <w:p>
      <w:pPr>
        <w:pStyle w:val="BodyText"/>
        <w:spacing w:line="20" w:lineRule="exact"/>
        <w:ind w:left="2012"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rPr>
          <w:sz w:val="28"/>
        </w:rPr>
      </w:pPr>
    </w:p>
    <w:p>
      <w:pPr>
        <w:pStyle w:val="BodyText"/>
        <w:spacing w:line="20" w:lineRule="exact"/>
        <w:ind w:left="2012"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pStyle w:val="BodyText"/>
        <w:spacing w:before="8"/>
        <w:rPr>
          <w:sz w:val="16"/>
        </w:rPr>
      </w:pPr>
    </w:p>
    <w:p>
      <w:pPr>
        <w:spacing w:before="0"/>
        <w:ind w:left="9" w:right="0" w:firstLine="0"/>
        <w:jc w:val="left"/>
        <w:rPr>
          <w:sz w:val="12"/>
        </w:rPr>
      </w:pPr>
      <w:r>
        <w:rPr>
          <w:w w:val="115"/>
          <w:sz w:val="12"/>
        </w:rPr>
        <w:t>2.0</w:t>
      </w:r>
    </w:p>
    <w:p>
      <w:pPr>
        <w:pStyle w:val="BodyText"/>
        <w:rPr>
          <w:sz w:val="12"/>
        </w:rPr>
      </w:pPr>
    </w:p>
    <w:p>
      <w:pPr>
        <w:pStyle w:val="BodyText"/>
        <w:rPr>
          <w:sz w:val="12"/>
        </w:rPr>
      </w:pPr>
    </w:p>
    <w:p>
      <w:pPr>
        <w:pStyle w:val="BodyText"/>
        <w:spacing w:before="8"/>
        <w:rPr>
          <w:sz w:val="12"/>
        </w:rPr>
      </w:pPr>
    </w:p>
    <w:p>
      <w:pPr>
        <w:spacing w:before="0"/>
        <w:ind w:left="9" w:right="0" w:firstLine="0"/>
        <w:jc w:val="left"/>
        <w:rPr>
          <w:sz w:val="12"/>
        </w:rPr>
      </w:pPr>
      <w:r>
        <w:rPr>
          <w:w w:val="115"/>
          <w:sz w:val="12"/>
        </w:rPr>
        <w:t>1.5</w:t>
      </w:r>
    </w:p>
    <w:p>
      <w:pPr>
        <w:pStyle w:val="BodyText"/>
        <w:rPr>
          <w:sz w:val="12"/>
        </w:rPr>
      </w:pPr>
    </w:p>
    <w:p>
      <w:pPr>
        <w:pStyle w:val="BodyText"/>
        <w:rPr>
          <w:sz w:val="12"/>
        </w:rPr>
      </w:pPr>
    </w:p>
    <w:p>
      <w:pPr>
        <w:pStyle w:val="BodyText"/>
        <w:spacing w:before="9"/>
        <w:rPr>
          <w:sz w:val="13"/>
        </w:rPr>
      </w:pPr>
    </w:p>
    <w:p>
      <w:pPr>
        <w:spacing w:before="0"/>
        <w:ind w:left="9" w:right="0" w:firstLine="0"/>
        <w:jc w:val="left"/>
        <w:rPr>
          <w:sz w:val="12"/>
        </w:rPr>
      </w:pPr>
      <w:r>
        <w:rPr>
          <w:w w:val="115"/>
          <w:sz w:val="12"/>
        </w:rPr>
        <w:t>1.0</w:t>
      </w:r>
    </w:p>
    <w:p>
      <w:pPr>
        <w:pStyle w:val="BodyText"/>
        <w:rPr>
          <w:sz w:val="12"/>
        </w:rPr>
      </w:pPr>
    </w:p>
    <w:p>
      <w:pPr>
        <w:pStyle w:val="BodyText"/>
        <w:rPr>
          <w:sz w:val="12"/>
        </w:rPr>
      </w:pPr>
    </w:p>
    <w:p>
      <w:pPr>
        <w:pStyle w:val="BodyText"/>
        <w:spacing w:before="1"/>
        <w:rPr>
          <w:sz w:val="15"/>
        </w:rPr>
      </w:pPr>
    </w:p>
    <w:p>
      <w:pPr>
        <w:spacing w:before="0"/>
        <w:ind w:left="9" w:right="0" w:firstLine="0"/>
        <w:jc w:val="left"/>
        <w:rPr>
          <w:sz w:val="12"/>
        </w:rPr>
      </w:pPr>
      <w:r>
        <w:rPr>
          <w:w w:val="115"/>
          <w:sz w:val="12"/>
        </w:rPr>
        <w:t>0.5</w:t>
      </w:r>
    </w:p>
    <w:p>
      <w:pPr>
        <w:pStyle w:val="BodyText"/>
        <w:spacing w:before="8"/>
        <w:rPr>
          <w:sz w:val="16"/>
        </w:rPr>
      </w:pPr>
    </w:p>
    <w:p>
      <w:pPr>
        <w:spacing w:before="0"/>
        <w:ind w:left="-39" w:right="0" w:firstLine="0"/>
        <w:jc w:val="left"/>
        <w:rPr>
          <w:sz w:val="16"/>
        </w:rPr>
      </w:pPr>
      <w:r>
        <w:rPr>
          <w:w w:val="107"/>
          <w:sz w:val="16"/>
        </w:rPr>
        <w:t>+</w:t>
      </w:r>
    </w:p>
    <w:p>
      <w:pPr>
        <w:spacing w:before="59"/>
        <w:ind w:left="9" w:right="0" w:firstLine="0"/>
        <w:jc w:val="left"/>
        <w:rPr>
          <w:sz w:val="12"/>
        </w:rPr>
      </w:pPr>
      <w:r>
        <w:rPr>
          <w:w w:val="115"/>
          <w:sz w:val="12"/>
        </w:rPr>
        <w:t>0.0</w:t>
      </w:r>
    </w:p>
    <w:p>
      <w:pPr>
        <w:spacing w:before="50"/>
        <w:ind w:left="-37" w:right="0" w:firstLine="0"/>
        <w:jc w:val="left"/>
        <w:rPr>
          <w:sz w:val="16"/>
        </w:rPr>
      </w:pPr>
      <w:r>
        <w:rPr>
          <w:w w:val="117"/>
          <w:sz w:val="16"/>
        </w:rPr>
        <w:t>–</w:t>
      </w:r>
    </w:p>
    <w:p>
      <w:pPr>
        <w:pStyle w:val="BodyText"/>
        <w:spacing w:line="224" w:lineRule="exact"/>
        <w:ind w:left="202"/>
      </w:pPr>
      <w:r>
        <w:rPr/>
        <w:br w:type="column"/>
      </w:r>
      <w:r>
        <w:rPr>
          <w:w w:val="105"/>
        </w:rPr>
        <w:t>components of GDP.</w:t>
      </w:r>
    </w:p>
    <w:p>
      <w:pPr>
        <w:pStyle w:val="BodyText"/>
        <w:spacing w:before="11"/>
        <w:rPr>
          <w:sz w:val="26"/>
        </w:rPr>
      </w:pPr>
    </w:p>
    <w:p>
      <w:pPr>
        <w:pStyle w:val="BodyText"/>
        <w:spacing w:line="292" w:lineRule="auto"/>
        <w:ind w:left="202" w:right="174"/>
      </w:pPr>
      <w:r>
        <w:rPr/>
        <w:pict>
          <v:shape style="position:absolute;margin-left:42.103001pt;margin-top:140.950928pt;width:151.85pt;height:3.4pt;mso-position-horizontal-relative:page;mso-position-vertical-relative:paragraph;z-index:16076288" coordorigin="842,2819" coordsize="3037,68" path="m842,2881l929,2881m985,2881l3879,2881m990,2819l990,2886m2015,2819l2015,2886m3025,2819l3025,2886e" filled="false" stroked="true" strokeweight=".5pt" strokecolor="#000000">
            <v:path arrowok="t"/>
            <v:stroke dashstyle="solid"/>
            <w10:wrap type="none"/>
          </v:shape>
        </w:pict>
      </w:r>
      <w:r>
        <w:rPr>
          <w:w w:val="110"/>
        </w:rPr>
        <w:t>Preliminary</w:t>
      </w:r>
      <w:r>
        <w:rPr>
          <w:spacing w:val="-19"/>
          <w:w w:val="110"/>
        </w:rPr>
        <w:t> </w:t>
      </w:r>
      <w:r>
        <w:rPr>
          <w:w w:val="110"/>
        </w:rPr>
        <w:t>estimates</w:t>
      </w:r>
      <w:r>
        <w:rPr>
          <w:spacing w:val="-18"/>
          <w:w w:val="110"/>
        </w:rPr>
        <w:t> </w:t>
      </w:r>
      <w:r>
        <w:rPr>
          <w:w w:val="110"/>
        </w:rPr>
        <w:t>suggest</w:t>
      </w:r>
      <w:r>
        <w:rPr>
          <w:spacing w:val="-18"/>
          <w:w w:val="110"/>
        </w:rPr>
        <w:t> </w:t>
      </w:r>
      <w:r>
        <w:rPr>
          <w:w w:val="110"/>
        </w:rPr>
        <w:t>that</w:t>
      </w:r>
      <w:r>
        <w:rPr>
          <w:spacing w:val="-18"/>
          <w:w w:val="110"/>
        </w:rPr>
        <w:t> </w:t>
      </w:r>
      <w:r>
        <w:rPr>
          <w:w w:val="110"/>
        </w:rPr>
        <w:t>service</w:t>
      </w:r>
      <w:r>
        <w:rPr>
          <w:spacing w:val="-18"/>
          <w:w w:val="110"/>
        </w:rPr>
        <w:t> </w:t>
      </w:r>
      <w:r>
        <w:rPr>
          <w:w w:val="110"/>
        </w:rPr>
        <w:t>sector</w:t>
      </w:r>
      <w:r>
        <w:rPr>
          <w:spacing w:val="-18"/>
          <w:w w:val="110"/>
        </w:rPr>
        <w:t> </w:t>
      </w:r>
      <w:r>
        <w:rPr>
          <w:w w:val="110"/>
        </w:rPr>
        <w:t>output</w:t>
      </w:r>
      <w:r>
        <w:rPr>
          <w:spacing w:val="-18"/>
          <w:w w:val="110"/>
        </w:rPr>
        <w:t> </w:t>
      </w:r>
      <w:r>
        <w:rPr>
          <w:w w:val="110"/>
        </w:rPr>
        <w:t>rose </w:t>
      </w:r>
      <w:r>
        <w:rPr>
          <w:spacing w:val="-3"/>
          <w:w w:val="110"/>
        </w:rPr>
        <w:t>by </w:t>
      </w:r>
      <w:r>
        <w:rPr>
          <w:w w:val="110"/>
        </w:rPr>
        <w:t>0.7% in </w:t>
      </w:r>
      <w:r>
        <w:rPr>
          <w:spacing w:val="-4"/>
          <w:w w:val="110"/>
        </w:rPr>
        <w:t>2000 </w:t>
      </w:r>
      <w:r>
        <w:rPr>
          <w:w w:val="110"/>
        </w:rPr>
        <w:t>Q4, less than in the previous </w:t>
      </w:r>
      <w:r>
        <w:rPr>
          <w:spacing w:val="-3"/>
          <w:w w:val="110"/>
        </w:rPr>
        <w:t>quarter, </w:t>
      </w:r>
      <w:r>
        <w:rPr>
          <w:w w:val="110"/>
        </w:rPr>
        <w:t>but close </w:t>
      </w:r>
      <w:r>
        <w:rPr>
          <w:spacing w:val="-4"/>
          <w:w w:val="110"/>
        </w:rPr>
        <w:t>to </w:t>
      </w:r>
      <w:r>
        <w:rPr>
          <w:w w:val="110"/>
        </w:rPr>
        <w:t>the </w:t>
      </w:r>
      <w:r>
        <w:rPr>
          <w:spacing w:val="-3"/>
          <w:w w:val="110"/>
        </w:rPr>
        <w:t>average </w:t>
      </w:r>
      <w:r>
        <w:rPr>
          <w:w w:val="110"/>
        </w:rPr>
        <w:t>quarterly growth </w:t>
      </w:r>
      <w:r>
        <w:rPr>
          <w:spacing w:val="-4"/>
          <w:w w:val="110"/>
        </w:rPr>
        <w:t>rate </w:t>
      </w:r>
      <w:r>
        <w:rPr>
          <w:spacing w:val="-3"/>
          <w:w w:val="110"/>
        </w:rPr>
        <w:t>over </w:t>
      </w:r>
      <w:r>
        <w:rPr>
          <w:w w:val="110"/>
        </w:rPr>
        <w:t>the past </w:t>
      </w:r>
      <w:r>
        <w:rPr>
          <w:spacing w:val="-5"/>
          <w:w w:val="110"/>
        </w:rPr>
        <w:t>two </w:t>
      </w:r>
      <w:r>
        <w:rPr>
          <w:spacing w:val="-3"/>
          <w:w w:val="110"/>
        </w:rPr>
        <w:t>years </w:t>
      </w:r>
      <w:r>
        <w:rPr>
          <w:w w:val="110"/>
        </w:rPr>
        <w:t>(see Chart </w:t>
      </w:r>
      <w:r>
        <w:rPr>
          <w:spacing w:val="-3"/>
          <w:w w:val="110"/>
        </w:rPr>
        <w:t>2.20). </w:t>
      </w:r>
      <w:r>
        <w:rPr>
          <w:w w:val="110"/>
        </w:rPr>
        <w:t>The breakdown of service sector output</w:t>
      </w:r>
      <w:r>
        <w:rPr>
          <w:spacing w:val="-11"/>
          <w:w w:val="110"/>
        </w:rPr>
        <w:t> </w:t>
      </w:r>
      <w:r>
        <w:rPr>
          <w:w w:val="110"/>
        </w:rPr>
        <w:t>available</w:t>
      </w:r>
      <w:r>
        <w:rPr>
          <w:spacing w:val="-11"/>
          <w:w w:val="110"/>
        </w:rPr>
        <w:t> </w:t>
      </w:r>
      <w:r>
        <w:rPr>
          <w:w w:val="110"/>
        </w:rPr>
        <w:t>for</w:t>
      </w:r>
      <w:r>
        <w:rPr>
          <w:spacing w:val="-11"/>
          <w:w w:val="110"/>
        </w:rPr>
        <w:t> </w:t>
      </w:r>
      <w:r>
        <w:rPr>
          <w:w w:val="110"/>
        </w:rPr>
        <w:t>Q3</w:t>
      </w:r>
      <w:r>
        <w:rPr>
          <w:spacing w:val="-10"/>
          <w:w w:val="110"/>
        </w:rPr>
        <w:t> </w:t>
      </w:r>
      <w:r>
        <w:rPr>
          <w:w w:val="110"/>
        </w:rPr>
        <w:t>indicates</w:t>
      </w:r>
      <w:r>
        <w:rPr>
          <w:spacing w:val="-11"/>
          <w:w w:val="110"/>
        </w:rPr>
        <w:t> </w:t>
      </w:r>
      <w:r>
        <w:rPr>
          <w:w w:val="110"/>
        </w:rPr>
        <w:t>that</w:t>
      </w:r>
      <w:r>
        <w:rPr>
          <w:spacing w:val="-11"/>
          <w:w w:val="110"/>
        </w:rPr>
        <w:t> </w:t>
      </w:r>
      <w:r>
        <w:rPr>
          <w:w w:val="110"/>
        </w:rPr>
        <w:t>growth</w:t>
      </w:r>
      <w:r>
        <w:rPr>
          <w:spacing w:val="-11"/>
          <w:w w:val="110"/>
        </w:rPr>
        <w:t> </w:t>
      </w:r>
      <w:r>
        <w:rPr>
          <w:w w:val="110"/>
        </w:rPr>
        <w:t>in</w:t>
      </w:r>
      <w:r>
        <w:rPr>
          <w:spacing w:val="-10"/>
          <w:w w:val="110"/>
        </w:rPr>
        <w:t> </w:t>
      </w:r>
      <w:r>
        <w:rPr>
          <w:w w:val="110"/>
        </w:rPr>
        <w:t>the</w:t>
      </w:r>
      <w:r>
        <w:rPr>
          <w:spacing w:val="-11"/>
          <w:w w:val="110"/>
        </w:rPr>
        <w:t> </w:t>
      </w:r>
      <w:r>
        <w:rPr>
          <w:w w:val="110"/>
        </w:rPr>
        <w:t>transport and</w:t>
      </w:r>
      <w:r>
        <w:rPr>
          <w:spacing w:val="-22"/>
          <w:w w:val="110"/>
        </w:rPr>
        <w:t> </w:t>
      </w:r>
      <w:r>
        <w:rPr>
          <w:w w:val="110"/>
        </w:rPr>
        <w:t>communications</w:t>
      </w:r>
      <w:r>
        <w:rPr>
          <w:spacing w:val="-21"/>
          <w:w w:val="110"/>
        </w:rPr>
        <w:t> </w:t>
      </w:r>
      <w:r>
        <w:rPr>
          <w:w w:val="110"/>
        </w:rPr>
        <w:t>sector</w:t>
      </w:r>
      <w:r>
        <w:rPr>
          <w:spacing w:val="-22"/>
          <w:w w:val="110"/>
        </w:rPr>
        <w:t> </w:t>
      </w:r>
      <w:r>
        <w:rPr>
          <w:w w:val="110"/>
        </w:rPr>
        <w:t>remained</w:t>
      </w:r>
      <w:r>
        <w:rPr>
          <w:spacing w:val="-21"/>
          <w:w w:val="110"/>
        </w:rPr>
        <w:t> </w:t>
      </w:r>
      <w:r>
        <w:rPr>
          <w:w w:val="110"/>
        </w:rPr>
        <w:t>very</w:t>
      </w:r>
      <w:r>
        <w:rPr>
          <w:spacing w:val="-21"/>
          <w:w w:val="110"/>
        </w:rPr>
        <w:t> </w:t>
      </w:r>
      <w:r>
        <w:rPr>
          <w:w w:val="110"/>
        </w:rPr>
        <w:t>strong,</w:t>
      </w:r>
      <w:r>
        <w:rPr>
          <w:spacing w:val="-22"/>
          <w:w w:val="110"/>
        </w:rPr>
        <w:t> </w:t>
      </w:r>
      <w:r>
        <w:rPr>
          <w:w w:val="110"/>
        </w:rPr>
        <w:t>up</w:t>
      </w:r>
      <w:r>
        <w:rPr>
          <w:spacing w:val="-21"/>
          <w:w w:val="110"/>
        </w:rPr>
        <w:t> </w:t>
      </w:r>
      <w:r>
        <w:rPr>
          <w:w w:val="110"/>
        </w:rPr>
        <w:t>6.9%</w:t>
      </w:r>
      <w:r>
        <w:rPr>
          <w:spacing w:val="-21"/>
          <w:w w:val="110"/>
        </w:rPr>
        <w:t> </w:t>
      </w:r>
      <w:r>
        <w:rPr>
          <w:w w:val="110"/>
        </w:rPr>
        <w:t>on a year </w:t>
      </w:r>
      <w:r>
        <w:rPr>
          <w:spacing w:val="-3"/>
          <w:w w:val="110"/>
        </w:rPr>
        <w:t>earlier, </w:t>
      </w:r>
      <w:r>
        <w:rPr>
          <w:w w:val="110"/>
        </w:rPr>
        <w:t>reflecting strong sales of telecommunications services. The ONS has indicated that the transport sector accounted for some of the slowdown in Q4, because of the disruption</w:t>
      </w:r>
      <w:r>
        <w:rPr>
          <w:spacing w:val="-15"/>
          <w:w w:val="110"/>
        </w:rPr>
        <w:t> </w:t>
      </w:r>
      <w:r>
        <w:rPr>
          <w:spacing w:val="-4"/>
          <w:w w:val="110"/>
        </w:rPr>
        <w:t>to</w:t>
      </w:r>
      <w:r>
        <w:rPr>
          <w:spacing w:val="-15"/>
          <w:w w:val="110"/>
        </w:rPr>
        <w:t> </w:t>
      </w:r>
      <w:r>
        <w:rPr>
          <w:spacing w:val="-3"/>
          <w:w w:val="110"/>
        </w:rPr>
        <w:t>rail</w:t>
      </w:r>
      <w:r>
        <w:rPr>
          <w:spacing w:val="-15"/>
          <w:w w:val="110"/>
        </w:rPr>
        <w:t> </w:t>
      </w:r>
      <w:r>
        <w:rPr>
          <w:w w:val="110"/>
        </w:rPr>
        <w:t>services.</w:t>
      </w:r>
      <w:r>
        <w:rPr>
          <w:spacing w:val="26"/>
          <w:w w:val="110"/>
        </w:rPr>
        <w:t> </w:t>
      </w:r>
      <w:r>
        <w:rPr>
          <w:w w:val="110"/>
        </w:rPr>
        <w:t>But</w:t>
      </w:r>
      <w:r>
        <w:rPr>
          <w:spacing w:val="-15"/>
          <w:w w:val="110"/>
        </w:rPr>
        <w:t> </w:t>
      </w:r>
      <w:r>
        <w:rPr>
          <w:spacing w:val="-3"/>
          <w:w w:val="110"/>
        </w:rPr>
        <w:t>lower</w:t>
      </w:r>
      <w:r>
        <w:rPr>
          <w:spacing w:val="-15"/>
          <w:w w:val="110"/>
        </w:rPr>
        <w:t> </w:t>
      </w:r>
      <w:r>
        <w:rPr>
          <w:w w:val="110"/>
        </w:rPr>
        <w:t>growth</w:t>
      </w:r>
      <w:r>
        <w:rPr>
          <w:spacing w:val="-15"/>
          <w:w w:val="110"/>
        </w:rPr>
        <w:t> </w:t>
      </w:r>
      <w:r>
        <w:rPr>
          <w:w w:val="110"/>
        </w:rPr>
        <w:t>in</w:t>
      </w:r>
      <w:r>
        <w:rPr>
          <w:spacing w:val="-15"/>
          <w:w w:val="110"/>
        </w:rPr>
        <w:t> </w:t>
      </w:r>
      <w:r>
        <w:rPr>
          <w:w w:val="110"/>
        </w:rPr>
        <w:t>the</w:t>
      </w:r>
      <w:r>
        <w:rPr>
          <w:spacing w:val="-15"/>
          <w:w w:val="110"/>
        </w:rPr>
        <w:t> </w:t>
      </w:r>
      <w:r>
        <w:rPr>
          <w:w w:val="110"/>
        </w:rPr>
        <w:t>business</w:t>
      </w:r>
    </w:p>
    <w:p>
      <w:pPr>
        <w:spacing w:after="0" w:line="292" w:lineRule="auto"/>
        <w:sectPr>
          <w:type w:val="continuous"/>
          <w:pgSz w:w="11900" w:h="16840"/>
          <w:pgMar w:top="1260" w:bottom="280" w:left="640" w:right="640"/>
          <w:cols w:num="4" w:equalWidth="0">
            <w:col w:w="1213" w:space="105"/>
            <w:col w:w="2101" w:space="40"/>
            <w:col w:w="222" w:space="1206"/>
            <w:col w:w="5733"/>
          </w:cols>
        </w:sectPr>
      </w:pPr>
    </w:p>
    <w:p>
      <w:pPr>
        <w:pStyle w:val="BodyText"/>
        <w:spacing w:before="9"/>
        <w:rPr>
          <w:sz w:val="9"/>
        </w:rPr>
      </w:pPr>
    </w:p>
    <w:p>
      <w:pPr>
        <w:tabs>
          <w:tab w:pos="1820" w:val="left" w:leader="none"/>
          <w:tab w:pos="2700" w:val="left" w:leader="none"/>
        </w:tabs>
        <w:spacing w:before="1"/>
        <w:ind w:left="670" w:right="0" w:firstLine="0"/>
        <w:jc w:val="left"/>
        <w:rPr>
          <w:sz w:val="12"/>
        </w:rPr>
      </w:pPr>
      <w:r>
        <w:rPr/>
        <w:pict>
          <v:group style="position:absolute;margin-left:42.103001pt;margin-top:-104.59845pt;width:151.950pt;height:92.5pt;mso-position-horizontal-relative:page;mso-position-vertical-relative:paragraph;z-index:16074240" coordorigin="842,-2092" coordsize="3039,1850">
            <v:rect style="position:absolute;left:990;top:-1395;width:88;height:785" filled="true" fillcolor="#fdeecc" stroked="false">
              <v:fill type="solid"/>
            </v:rect>
            <v:rect style="position:absolute;left:990;top:-1395;width:88;height:785" filled="false" stroked="true" strokeweight=".5pt" strokecolor="#000000">
              <v:stroke dashstyle="solid"/>
            </v:rect>
            <v:rect style="position:absolute;left:990;top:-1512;width:88;height:120" filled="true" fillcolor="#006caa" stroked="false">
              <v:fill type="solid"/>
            </v:rect>
            <v:rect style="position:absolute;left:990;top:-1515;width:88;height:123" filled="false" stroked="true" strokeweight=".5pt" strokecolor="#000000">
              <v:stroke dashstyle="solid"/>
            </v:rect>
            <v:rect style="position:absolute;left:990;top:-1605;width:88;height:93" filled="true" fillcolor="#abd035" stroked="false">
              <v:fill type="solid"/>
            </v:rect>
            <v:rect style="position:absolute;left:990;top:-1605;width:88;height:93" filled="false" stroked="true" strokeweight=".5pt" strokecolor="#000000">
              <v:stroke dashstyle="solid"/>
            </v:rect>
            <v:rect style="position:absolute;left:1245;top:-1530;width:88;height:920" filled="true" fillcolor="#fdeecc" stroked="false">
              <v:fill type="solid"/>
            </v:rect>
            <v:rect style="position:absolute;left:1245;top:-1530;width:88;height:920" filled="false" stroked="true" strokeweight=".5pt" strokecolor="#000000">
              <v:stroke dashstyle="solid"/>
            </v:rect>
            <v:rect style="position:absolute;left:1245;top:-1620;width:88;height:93" filled="true" fillcolor="#006caa" stroked="false">
              <v:fill type="solid"/>
            </v:rect>
            <v:rect style="position:absolute;left:1245;top:-1620;width:88;height:93" filled="false" stroked="true" strokeweight=".5pt" strokecolor="#000000">
              <v:stroke dashstyle="solid"/>
            </v:rect>
            <v:rect style="position:absolute;left:1245;top:-612;width:88;height:18" filled="true" fillcolor="#abd035" stroked="false">
              <v:fill type="solid"/>
            </v:rect>
            <v:rect style="position:absolute;left:1245;top:-612;width:88;height:18" filled="false" stroked="true" strokeweight=".5pt" strokecolor="#000000">
              <v:stroke dashstyle="solid"/>
            </v:rect>
            <v:line style="position:absolute" from="1033,-1469" to="1288,-1364" stroked="true" strokeweight="1pt" strokecolor="#de0035">
              <v:stroke dashstyle="solid"/>
            </v:line>
            <v:rect style="position:absolute;left:1502;top:-1245;width:88;height:635" filled="true" fillcolor="#fdeecc" stroked="false">
              <v:fill type="solid"/>
            </v:rect>
            <v:rect style="position:absolute;left:1502;top:-1245;width:88;height:635" filled="false" stroked="true" strokeweight=".5pt" strokecolor="#000000">
              <v:stroke dashstyle="solid"/>
            </v:rect>
            <v:rect style="position:absolute;left:1502;top:-612;width:88;height:63" filled="true" fillcolor="#006caa" stroked="false">
              <v:fill type="solid"/>
            </v:rect>
            <v:rect style="position:absolute;left:1502;top:-612;width:88;height:63" filled="false" stroked="true" strokeweight=".5pt" strokecolor="#000000">
              <v:stroke dashstyle="solid"/>
            </v:rect>
            <v:rect style="position:absolute;left:1502;top:-552;width:88;height:18" filled="true" fillcolor="#abd035" stroked="false">
              <v:fill type="solid"/>
            </v:rect>
            <v:rect style="position:absolute;left:1502;top:-552;width:88;height:18" filled="false" stroked="true" strokeweight=".5pt" strokecolor="#000000">
              <v:stroke dashstyle="solid"/>
            </v:rect>
            <v:line style="position:absolute" from="1288,-1364" to="1545,-1244" stroked="true" strokeweight="1pt" strokecolor="#de0035">
              <v:stroke dashstyle="solid"/>
            </v:line>
            <v:rect style="position:absolute;left:1757;top:-957;width:88;height:348" filled="true" fillcolor="#fdeecc" stroked="false">
              <v:fill type="solid"/>
            </v:rect>
            <v:rect style="position:absolute;left:1757;top:-957;width:88;height:348" filled="false" stroked="true" strokeweight=".5pt" strokecolor="#000000">
              <v:stroke dashstyle="solid"/>
            </v:rect>
            <v:rect style="position:absolute;left:1757;top:-612;width:88;height:228" filled="true" fillcolor="#006caa" stroked="false">
              <v:fill type="solid"/>
            </v:rect>
            <v:rect style="position:absolute;left:1757;top:-612;width:88;height:228" filled="false" stroked="true" strokeweight=".5pt" strokecolor="#000000">
              <v:stroke dashstyle="solid"/>
            </v:rect>
            <v:rect style="position:absolute;left:1757;top:-972;width:88;height:18" filled="true" fillcolor="#abd035" stroked="false">
              <v:fill type="solid"/>
            </v:rect>
            <v:rect style="position:absolute;left:1757;top:-972;width:88;height:18" filled="false" stroked="true" strokeweight=".5pt" strokecolor="#000000">
              <v:stroke dashstyle="solid"/>
            </v:rect>
            <v:line style="position:absolute" from="1545,-1244" to="1800,-717" stroked="true" strokeweight="1pt" strokecolor="#de0035">
              <v:stroke dashstyle="solid"/>
            </v:line>
            <v:rect style="position:absolute;left:2012;top:-1170;width:88;height:560" filled="true" fillcolor="#fdeecc" stroked="false">
              <v:fill type="solid"/>
            </v:rect>
            <v:rect style="position:absolute;left:2012;top:-1170;width:88;height:560" filled="false" stroked="true" strokeweight=".5pt" strokecolor="#000000">
              <v:stroke dashstyle="solid"/>
            </v:rect>
            <v:rect style="position:absolute;left:2012;top:-612;width:88;height:60" filled="true" fillcolor="#006caa" stroked="false">
              <v:fill type="solid"/>
            </v:rect>
            <v:rect style="position:absolute;left:2012;top:-612;width:88;height:63" filled="false" stroked="true" strokeweight=".5pt" strokecolor="#000000">
              <v:stroke dashstyle="solid"/>
            </v:rect>
            <v:rect style="position:absolute;left:2012;top:-552;width:88;height:93" filled="true" fillcolor="#abd035" stroked="false">
              <v:fill type="solid"/>
            </v:rect>
            <v:rect style="position:absolute;left:2012;top:-552;width:88;height:93" filled="false" stroked="true" strokeweight=".5pt" strokecolor="#000000">
              <v:stroke dashstyle="solid"/>
            </v:rect>
            <v:line style="position:absolute" from="1800,-717" to="2055,-1139" stroked="true" strokeweight="1pt" strokecolor="#de0035">
              <v:stroke dashstyle="solid"/>
            </v:line>
            <v:rect style="position:absolute;left:2267;top:-1095;width:88;height:485" filled="true" fillcolor="#fdeecc" stroked="false">
              <v:fill type="solid"/>
            </v:rect>
            <v:rect style="position:absolute;left:2267;top:-1095;width:88;height:485" filled="false" stroked="true" strokeweight=".5pt" strokecolor="#000000">
              <v:stroke dashstyle="solid"/>
            </v:rect>
            <v:rect style="position:absolute;left:2267;top:-1137;width:88;height:45" filled="true" fillcolor="#006caa" stroked="false">
              <v:fill type="solid"/>
            </v:rect>
            <v:rect style="position:absolute;left:2267;top:-1140;width:88;height:48" filled="false" stroked="true" strokeweight=".5pt" strokecolor="#000000">
              <v:stroke dashstyle="solid"/>
            </v:rect>
            <v:rect style="position:absolute;left:2267;top:-1290;width:88;height:153" filled="true" fillcolor="#abd035" stroked="false">
              <v:fill type="solid"/>
            </v:rect>
            <v:rect style="position:absolute;left:2267;top:-1290;width:88;height:153" filled="false" stroked="true" strokeweight=".5pt" strokecolor="#000000">
              <v:stroke dashstyle="solid"/>
            </v:rect>
            <v:line style="position:absolute" from="2055,-1139" to="2310,-1349" stroked="true" strokeweight="1pt" strokecolor="#de0035">
              <v:stroke dashstyle="solid"/>
            </v:line>
            <v:rect style="position:absolute;left:2512;top:-1515;width:88;height:905" filled="true" fillcolor="#fdeecc" stroked="false">
              <v:fill type="solid"/>
            </v:rect>
            <v:rect style="position:absolute;left:2512;top:-1515;width:88;height:905" filled="false" stroked="true" strokeweight=".5pt" strokecolor="#000000">
              <v:stroke dashstyle="solid"/>
            </v:rect>
            <v:rect style="position:absolute;left:2512;top:-1892;width:88;height:380" filled="true" fillcolor="#006caa" stroked="false">
              <v:fill type="solid"/>
            </v:rect>
            <v:rect style="position:absolute;left:2512;top:-1892;width:88;height:380" filled="false" stroked="true" strokeweight=".5pt" strokecolor="#000000">
              <v:stroke dashstyle="solid"/>
            </v:rect>
            <v:rect style="position:absolute;left:2512;top:-2087;width:88;height:198" filled="true" fillcolor="#abd035" stroked="false">
              <v:fill type="solid"/>
            </v:rect>
            <v:rect style="position:absolute;left:2512;top:-2087;width:88;height:198" filled="false" stroked="true" strokeweight=".5pt" strokecolor="#000000">
              <v:stroke dashstyle="solid"/>
            </v:rect>
            <v:line style="position:absolute" from="2310,-1349" to="2555,-2072" stroked="true" strokeweight="1pt" strokecolor="#de0035">
              <v:stroke dashstyle="solid"/>
            </v:line>
            <v:rect style="position:absolute;left:2767;top:-1365;width:88;height:755" filled="true" fillcolor="#fdeecc" stroked="false">
              <v:fill type="solid"/>
            </v:rect>
            <v:rect style="position:absolute;left:2767;top:-1365;width:88;height:755" filled="false" stroked="true" strokeweight=".5pt" strokecolor="#000000">
              <v:stroke dashstyle="solid"/>
            </v:rect>
            <v:rect style="position:absolute;left:2767;top:-1425;width:88;height:63" filled="true" fillcolor="#006caa" stroked="false">
              <v:fill type="solid"/>
            </v:rect>
            <v:rect style="position:absolute;left:2767;top:-1425;width:88;height:63" filled="false" stroked="true" strokeweight=".5pt" strokecolor="#000000">
              <v:stroke dashstyle="solid"/>
            </v:rect>
            <v:rect style="position:absolute;left:2767;top:-1470;width:88;height:48" filled="true" fillcolor="#abd035" stroked="false">
              <v:fill type="solid"/>
            </v:rect>
            <v:rect style="position:absolute;left:2767;top:-1470;width:88;height:48" filled="false" stroked="true" strokeweight=".5pt" strokecolor="#000000">
              <v:stroke dashstyle="solid"/>
            </v:rect>
            <v:line style="position:absolute" from="2555,-2072" to="2810,-1544" stroked="true" strokeweight="1pt" strokecolor="#de0035">
              <v:stroke dashstyle="solid"/>
            </v:line>
            <v:rect style="position:absolute;left:3022;top:-882;width:88;height:273" filled="true" fillcolor="#fdeecc" stroked="false">
              <v:fill type="solid"/>
            </v:rect>
            <v:rect style="position:absolute;left:3022;top:-882;width:88;height:273" filled="false" stroked="true" strokeweight=".5pt" strokecolor="#000000">
              <v:stroke dashstyle="solid"/>
            </v:rect>
            <v:rect style="position:absolute;left:3022;top:-612;width:88;height:63" filled="true" fillcolor="#006caa" stroked="false">
              <v:fill type="solid"/>
            </v:rect>
            <v:rect style="position:absolute;left:3022;top:-612;width:88;height:63" filled="false" stroked="true" strokeweight=".5pt" strokecolor="#000000">
              <v:stroke dashstyle="solid"/>
            </v:rect>
            <v:rect style="position:absolute;left:3022;top:-1140;width:88;height:260" filled="true" fillcolor="#abd035" stroked="false">
              <v:fill type="solid"/>
            </v:rect>
            <v:rect style="position:absolute;left:3022;top:-1140;width:88;height:260" filled="false" stroked="true" strokeweight=".5pt" strokecolor="#000000">
              <v:stroke dashstyle="solid"/>
            </v:rect>
            <v:line style="position:absolute" from="2810,-1544" to="3065,-1124" stroked="true" strokeweight="1pt" strokecolor="#de0035">
              <v:stroke dashstyle="solid"/>
            </v:line>
            <v:rect style="position:absolute;left:3277;top:-1560;width:88;height:950" filled="true" fillcolor="#fdeecc" stroked="false">
              <v:fill type="solid"/>
            </v:rect>
            <v:rect style="position:absolute;left:3277;top:-1560;width:88;height:950" filled="false" stroked="true" strokeweight=".5pt" strokecolor="#000000">
              <v:stroke dashstyle="solid"/>
            </v:rect>
            <v:rect style="position:absolute;left:3277;top:-1647;width:88;height:90" filled="true" fillcolor="#006caa" stroked="false">
              <v:fill type="solid"/>
            </v:rect>
            <v:rect style="position:absolute;left:3277;top:-1650;width:88;height:93" filled="false" stroked="true" strokeweight=".5pt" strokecolor="#000000">
              <v:stroke dashstyle="solid"/>
            </v:rect>
            <v:rect style="position:absolute;left:3277;top:-1877;width:88;height:230" filled="true" fillcolor="#abd035" stroked="false">
              <v:fill type="solid"/>
            </v:rect>
            <v:rect style="position:absolute;left:3277;top:-1877;width:88;height:230" filled="false" stroked="true" strokeweight=".5pt" strokecolor="#000000">
              <v:stroke dashstyle="solid"/>
            </v:rect>
            <v:line style="position:absolute" from="3065,-1124" to="3320,-1727" stroked="true" strokeweight="1pt" strokecolor="#de0035">
              <v:stroke dashstyle="solid"/>
            </v:line>
            <v:rect style="position:absolute;left:3532;top:-1350;width:88;height:740" filled="true" fillcolor="#fdeecc" stroked="false">
              <v:fill type="solid"/>
            </v:rect>
            <v:rect style="position:absolute;left:3532;top:-1350;width:88;height:740" filled="false" stroked="true" strokeweight=".5pt" strokecolor="#000000">
              <v:stroke dashstyle="solid"/>
            </v:rect>
            <v:rect style="position:absolute;left:3532;top:-1500;width:88;height:153" filled="true" fillcolor="#006caa" stroked="false">
              <v:fill type="solid"/>
            </v:rect>
            <v:rect style="position:absolute;left:3532;top:-1500;width:88;height:153" filled="false" stroked="true" strokeweight=".5pt" strokecolor="#000000">
              <v:stroke dashstyle="solid"/>
            </v:rect>
            <v:rect style="position:absolute;left:3532;top:-612;width:88;height:18" filled="true" fillcolor="#abd035" stroked="false">
              <v:fill type="solid"/>
            </v:rect>
            <v:rect style="position:absolute;left:3532;top:-612;width:88;height:18" filled="false" stroked="true" strokeweight=".5pt" strokecolor="#000000">
              <v:stroke dashstyle="solid"/>
            </v:rect>
            <v:line style="position:absolute" from="3320,-1727" to="3575,-1424" stroked="true" strokeweight="1pt" strokecolor="#de0035">
              <v:stroke dashstyle="solid"/>
            </v:line>
            <v:rect style="position:absolute;left:3787;top:-1140;width:88;height:530" filled="true" fillcolor="#fdeecc" stroked="false">
              <v:fill type="solid"/>
            </v:rect>
            <v:rect style="position:absolute;left:3787;top:-1140;width:88;height:530" filled="false" stroked="true" strokeweight=".5pt" strokecolor="#000000">
              <v:stroke dashstyle="solid"/>
            </v:rect>
            <v:rect style="position:absolute;left:3787;top:-1275;width:88;height:138" filled="true" fillcolor="#006caa" stroked="false">
              <v:fill type="solid"/>
            </v:rect>
            <v:rect style="position:absolute;left:3787;top:-1275;width:88;height:138" filled="false" stroked="true" strokeweight=".5pt" strokecolor="#000000">
              <v:stroke dashstyle="solid"/>
            </v:rect>
            <v:rect style="position:absolute;left:3787;top:-612;width:88;height:365" filled="true" fillcolor="#abd035" stroked="false">
              <v:fill type="solid"/>
            </v:rect>
            <v:rect style="position:absolute;left:3787;top:-612;width:88;height:365" filled="false" stroked="true" strokeweight=".5pt" strokecolor="#000000">
              <v:stroke dashstyle="solid"/>
            </v:rect>
            <v:line style="position:absolute" from="3575,-1424" to="3830,-912" stroked="true" strokeweight="1pt" strokecolor="#de0035">
              <v:stroke dashstyle="solid"/>
            </v:line>
            <v:shape style="position:absolute;left:842;top:-1770;width:3037;height:1158" coordorigin="842,-1769" coordsize="3037,1158" path="m842,-1769l929,-1769m842,-1184l929,-1184m842,-612l929,-612m985,-612l3879,-612e" filled="false" stroked="true" strokeweight=".5pt" strokecolor="#000000">
              <v:path arrowok="t"/>
              <v:stroke dashstyle="solid"/>
            </v:shape>
            <w10:wrap type="none"/>
          </v:group>
        </w:pict>
      </w:r>
      <w:r>
        <w:rPr/>
        <w:pict>
          <v:line style="position:absolute;mso-position-horizontal-relative:page;mso-position-vertical-relative:paragraph;z-index:16075776" from="198.770996pt,-1.848446pt" to="203.102996pt,-1.848446pt" stroked="true" strokeweight=".5pt" strokecolor="#000000">
            <v:stroke dashstyle="solid"/>
            <w10:wrap type="none"/>
          </v:line>
        </w:pict>
      </w:r>
      <w:r>
        <w:rPr>
          <w:w w:val="120"/>
          <w:sz w:val="12"/>
        </w:rPr>
        <w:t>1998</w:t>
        <w:tab/>
        <w:t>99</w:t>
        <w:tab/>
        <w:t>2000</w:t>
      </w:r>
    </w:p>
    <w:p>
      <w:pPr>
        <w:spacing w:before="71"/>
        <w:ind w:left="173" w:right="0" w:firstLine="0"/>
        <w:jc w:val="left"/>
        <w:rPr>
          <w:sz w:val="12"/>
        </w:rPr>
      </w:pPr>
      <w:r>
        <w:rPr>
          <w:w w:val="105"/>
          <w:sz w:val="12"/>
        </w:rPr>
        <w:t>(a) At constant 1995 basic prices.</w:t>
      </w:r>
    </w:p>
    <w:p>
      <w:pPr>
        <w:spacing w:line="131" w:lineRule="exact" w:before="0"/>
        <w:ind w:left="173" w:right="0" w:firstLine="0"/>
        <w:jc w:val="left"/>
        <w:rPr>
          <w:sz w:val="12"/>
        </w:rPr>
      </w:pPr>
      <w:r>
        <w:rPr/>
        <w:br w:type="column"/>
      </w:r>
      <w:r>
        <w:rPr>
          <w:w w:val="115"/>
          <w:sz w:val="12"/>
        </w:rPr>
        <w:t>0.5</w:t>
      </w:r>
    </w:p>
    <w:p>
      <w:pPr>
        <w:pStyle w:val="BodyText"/>
        <w:spacing w:line="224" w:lineRule="exact"/>
        <w:ind w:left="173"/>
      </w:pPr>
      <w:r>
        <w:rPr/>
        <w:br w:type="column"/>
      </w:r>
      <w:r>
        <w:rPr>
          <w:w w:val="110"/>
        </w:rPr>
        <w:t>services and finance sector was more important; in particular,</w:t>
      </w:r>
    </w:p>
    <w:p>
      <w:pPr>
        <w:pStyle w:val="BodyText"/>
        <w:spacing w:line="191" w:lineRule="exact" w:before="50"/>
        <w:ind w:left="173"/>
      </w:pPr>
      <w:r>
        <w:rPr>
          <w:w w:val="110"/>
        </w:rPr>
        <w:t>output of the computing services sector is estimated to have</w:t>
      </w:r>
    </w:p>
    <w:p>
      <w:pPr>
        <w:spacing w:after="0" w:line="191" w:lineRule="exact"/>
        <w:sectPr>
          <w:type w:val="continuous"/>
          <w:pgSz w:w="11900" w:h="16840"/>
          <w:pgMar w:top="1260" w:bottom="280" w:left="640" w:right="640"/>
          <w:cols w:num="3" w:equalWidth="0">
            <w:col w:w="3032" w:space="262"/>
            <w:col w:w="386" w:space="1236"/>
            <w:col w:w="5704"/>
          </w:cols>
        </w:sectPr>
      </w:pPr>
    </w:p>
    <w:p>
      <w:pPr>
        <w:pStyle w:val="ListParagraph"/>
        <w:numPr>
          <w:ilvl w:val="0"/>
          <w:numId w:val="15"/>
        </w:numPr>
        <w:tabs>
          <w:tab w:pos="414" w:val="left" w:leader="none"/>
        </w:tabs>
        <w:spacing w:line="106" w:lineRule="exact" w:before="0" w:after="0"/>
        <w:ind w:left="413" w:right="0" w:hanging="241"/>
        <w:jc w:val="both"/>
        <w:rPr>
          <w:sz w:val="12"/>
        </w:rPr>
      </w:pPr>
      <w:r>
        <w:rPr>
          <w:w w:val="110"/>
          <w:sz w:val="12"/>
        </w:rPr>
        <w:t>Other</w:t>
      </w:r>
      <w:r>
        <w:rPr>
          <w:spacing w:val="-11"/>
          <w:w w:val="110"/>
          <w:sz w:val="12"/>
        </w:rPr>
        <w:t> </w:t>
      </w:r>
      <w:r>
        <w:rPr>
          <w:w w:val="110"/>
          <w:sz w:val="12"/>
        </w:rPr>
        <w:t>includes</w:t>
      </w:r>
      <w:r>
        <w:rPr>
          <w:spacing w:val="-10"/>
          <w:w w:val="110"/>
          <w:sz w:val="12"/>
        </w:rPr>
        <w:t> </w:t>
      </w:r>
      <w:r>
        <w:rPr>
          <w:w w:val="110"/>
          <w:sz w:val="12"/>
        </w:rPr>
        <w:t>construction,</w:t>
      </w:r>
      <w:r>
        <w:rPr>
          <w:spacing w:val="-11"/>
          <w:w w:val="110"/>
          <w:sz w:val="12"/>
        </w:rPr>
        <w:t> </w:t>
      </w:r>
      <w:r>
        <w:rPr>
          <w:w w:val="110"/>
          <w:sz w:val="12"/>
        </w:rPr>
        <w:t>the</w:t>
      </w:r>
      <w:r>
        <w:rPr>
          <w:spacing w:val="-10"/>
          <w:w w:val="110"/>
          <w:sz w:val="12"/>
        </w:rPr>
        <w:t> </w:t>
      </w:r>
      <w:r>
        <w:rPr>
          <w:w w:val="110"/>
          <w:sz w:val="12"/>
        </w:rPr>
        <w:t>utilities,</w:t>
      </w:r>
      <w:r>
        <w:rPr>
          <w:spacing w:val="-11"/>
          <w:w w:val="110"/>
          <w:sz w:val="12"/>
        </w:rPr>
        <w:t> </w:t>
      </w:r>
      <w:r>
        <w:rPr>
          <w:w w:val="110"/>
          <w:sz w:val="12"/>
        </w:rPr>
        <w:t>mining</w:t>
      </w:r>
      <w:r>
        <w:rPr>
          <w:spacing w:val="-10"/>
          <w:w w:val="110"/>
          <w:sz w:val="12"/>
        </w:rPr>
        <w:t> </w:t>
      </w:r>
      <w:r>
        <w:rPr>
          <w:w w:val="110"/>
          <w:sz w:val="12"/>
        </w:rPr>
        <w:t>and</w:t>
      </w:r>
      <w:r>
        <w:rPr>
          <w:spacing w:val="-11"/>
          <w:w w:val="110"/>
          <w:sz w:val="12"/>
        </w:rPr>
        <w:t> </w:t>
      </w:r>
      <w:r>
        <w:rPr>
          <w:w w:val="110"/>
          <w:sz w:val="12"/>
        </w:rPr>
        <w:t>quarrying,</w:t>
      </w:r>
    </w:p>
    <w:p>
      <w:pPr>
        <w:spacing w:line="208" w:lineRule="auto" w:before="5"/>
        <w:ind w:left="413" w:right="38" w:firstLine="0"/>
        <w:jc w:val="both"/>
        <w:rPr>
          <w:sz w:val="12"/>
        </w:rPr>
      </w:pPr>
      <w:r>
        <w:rPr>
          <w:w w:val="110"/>
          <w:sz w:val="12"/>
        </w:rPr>
        <w:t>and</w:t>
      </w:r>
      <w:r>
        <w:rPr>
          <w:spacing w:val="-10"/>
          <w:w w:val="110"/>
          <w:sz w:val="12"/>
        </w:rPr>
        <w:t> </w:t>
      </w:r>
      <w:r>
        <w:rPr>
          <w:w w:val="110"/>
          <w:sz w:val="12"/>
        </w:rPr>
        <w:t>agriculture.</w:t>
      </w:r>
      <w:r>
        <w:rPr>
          <w:spacing w:val="14"/>
          <w:w w:val="110"/>
          <w:sz w:val="12"/>
        </w:rPr>
        <w:t> </w:t>
      </w:r>
      <w:r>
        <w:rPr>
          <w:w w:val="110"/>
          <w:sz w:val="12"/>
        </w:rPr>
        <w:t>The</w:t>
      </w:r>
      <w:r>
        <w:rPr>
          <w:spacing w:val="-10"/>
          <w:w w:val="110"/>
          <w:sz w:val="12"/>
        </w:rPr>
        <w:t> </w:t>
      </w:r>
      <w:r>
        <w:rPr>
          <w:w w:val="110"/>
          <w:sz w:val="12"/>
        </w:rPr>
        <w:t>contribution</w:t>
      </w:r>
      <w:r>
        <w:rPr>
          <w:spacing w:val="-9"/>
          <w:w w:val="110"/>
          <w:sz w:val="12"/>
        </w:rPr>
        <w:t> </w:t>
      </w:r>
      <w:r>
        <w:rPr>
          <w:w w:val="110"/>
          <w:sz w:val="12"/>
        </w:rPr>
        <w:t>has</w:t>
      </w:r>
      <w:r>
        <w:rPr>
          <w:spacing w:val="-10"/>
          <w:w w:val="110"/>
          <w:sz w:val="12"/>
        </w:rPr>
        <w:t> </w:t>
      </w:r>
      <w:r>
        <w:rPr>
          <w:w w:val="110"/>
          <w:sz w:val="12"/>
        </w:rPr>
        <w:t>been</w:t>
      </w:r>
      <w:r>
        <w:rPr>
          <w:spacing w:val="-10"/>
          <w:w w:val="110"/>
          <w:sz w:val="12"/>
        </w:rPr>
        <w:t> </w:t>
      </w:r>
      <w:r>
        <w:rPr>
          <w:w w:val="110"/>
          <w:sz w:val="12"/>
        </w:rPr>
        <w:t>derived</w:t>
      </w:r>
      <w:r>
        <w:rPr>
          <w:spacing w:val="-9"/>
          <w:w w:val="110"/>
          <w:sz w:val="12"/>
        </w:rPr>
        <w:t> </w:t>
      </w:r>
      <w:r>
        <w:rPr>
          <w:w w:val="110"/>
          <w:sz w:val="12"/>
        </w:rPr>
        <w:t>as</w:t>
      </w:r>
      <w:r>
        <w:rPr>
          <w:spacing w:val="-10"/>
          <w:w w:val="110"/>
          <w:sz w:val="12"/>
        </w:rPr>
        <w:t> </w:t>
      </w:r>
      <w:r>
        <w:rPr>
          <w:w w:val="110"/>
          <w:sz w:val="12"/>
        </w:rPr>
        <w:t>a</w:t>
      </w:r>
      <w:r>
        <w:rPr>
          <w:spacing w:val="-9"/>
          <w:w w:val="110"/>
          <w:sz w:val="12"/>
        </w:rPr>
        <w:t> </w:t>
      </w:r>
      <w:r>
        <w:rPr>
          <w:w w:val="110"/>
          <w:sz w:val="12"/>
        </w:rPr>
        <w:t>residual from</w:t>
      </w:r>
      <w:r>
        <w:rPr>
          <w:spacing w:val="-7"/>
          <w:w w:val="110"/>
          <w:sz w:val="12"/>
        </w:rPr>
        <w:t> </w:t>
      </w:r>
      <w:r>
        <w:rPr>
          <w:w w:val="110"/>
          <w:sz w:val="12"/>
        </w:rPr>
        <w:t>the</w:t>
      </w:r>
      <w:r>
        <w:rPr>
          <w:spacing w:val="-6"/>
          <w:w w:val="110"/>
          <w:sz w:val="12"/>
        </w:rPr>
        <w:t> </w:t>
      </w:r>
      <w:r>
        <w:rPr>
          <w:w w:val="110"/>
          <w:sz w:val="12"/>
        </w:rPr>
        <w:t>other</w:t>
      </w:r>
      <w:r>
        <w:rPr>
          <w:spacing w:val="-7"/>
          <w:w w:val="110"/>
          <w:sz w:val="12"/>
        </w:rPr>
        <w:t> </w:t>
      </w:r>
      <w:r>
        <w:rPr>
          <w:w w:val="110"/>
          <w:sz w:val="12"/>
        </w:rPr>
        <w:t>components</w:t>
      </w:r>
      <w:r>
        <w:rPr>
          <w:spacing w:val="-6"/>
          <w:w w:val="110"/>
          <w:sz w:val="12"/>
        </w:rPr>
        <w:t> </w:t>
      </w:r>
      <w:r>
        <w:rPr>
          <w:w w:val="110"/>
          <w:sz w:val="12"/>
        </w:rPr>
        <w:t>of</w:t>
      </w:r>
      <w:r>
        <w:rPr>
          <w:spacing w:val="-6"/>
          <w:w w:val="110"/>
          <w:sz w:val="12"/>
        </w:rPr>
        <w:t> </w:t>
      </w:r>
      <w:r>
        <w:rPr>
          <w:w w:val="110"/>
          <w:sz w:val="12"/>
        </w:rPr>
        <w:t>GDP</w:t>
      </w:r>
      <w:r>
        <w:rPr>
          <w:spacing w:val="-7"/>
          <w:w w:val="110"/>
          <w:sz w:val="12"/>
        </w:rPr>
        <w:t> </w:t>
      </w:r>
      <w:r>
        <w:rPr>
          <w:w w:val="110"/>
          <w:sz w:val="12"/>
        </w:rPr>
        <w:t>as</w:t>
      </w:r>
      <w:r>
        <w:rPr>
          <w:spacing w:val="-6"/>
          <w:w w:val="110"/>
          <w:sz w:val="12"/>
        </w:rPr>
        <w:t> </w:t>
      </w:r>
      <w:r>
        <w:rPr>
          <w:w w:val="110"/>
          <w:sz w:val="12"/>
        </w:rPr>
        <w:t>data</w:t>
      </w:r>
      <w:r>
        <w:rPr>
          <w:spacing w:val="-7"/>
          <w:w w:val="110"/>
          <w:sz w:val="12"/>
        </w:rPr>
        <w:t> </w:t>
      </w:r>
      <w:r>
        <w:rPr>
          <w:w w:val="110"/>
          <w:sz w:val="12"/>
        </w:rPr>
        <w:t>for</w:t>
      </w:r>
      <w:r>
        <w:rPr>
          <w:spacing w:val="-6"/>
          <w:w w:val="110"/>
          <w:sz w:val="12"/>
        </w:rPr>
        <w:t> </w:t>
      </w:r>
      <w:r>
        <w:rPr>
          <w:w w:val="110"/>
          <w:sz w:val="12"/>
        </w:rPr>
        <w:t>construction</w:t>
      </w:r>
      <w:r>
        <w:rPr>
          <w:spacing w:val="-6"/>
          <w:w w:val="110"/>
          <w:sz w:val="12"/>
        </w:rPr>
        <w:t> </w:t>
      </w:r>
      <w:r>
        <w:rPr>
          <w:w w:val="110"/>
          <w:sz w:val="12"/>
        </w:rPr>
        <w:t>and agriculture</w:t>
      </w:r>
      <w:r>
        <w:rPr>
          <w:spacing w:val="-5"/>
          <w:w w:val="110"/>
          <w:sz w:val="12"/>
        </w:rPr>
        <w:t> </w:t>
      </w:r>
      <w:r>
        <w:rPr>
          <w:w w:val="110"/>
          <w:sz w:val="12"/>
        </w:rPr>
        <w:t>output</w:t>
      </w:r>
      <w:r>
        <w:rPr>
          <w:spacing w:val="-4"/>
          <w:w w:val="110"/>
          <w:sz w:val="12"/>
        </w:rPr>
        <w:t> </w:t>
      </w:r>
      <w:r>
        <w:rPr>
          <w:w w:val="110"/>
          <w:sz w:val="12"/>
        </w:rPr>
        <w:t>in</w:t>
      </w:r>
      <w:r>
        <w:rPr>
          <w:spacing w:val="-5"/>
          <w:w w:val="110"/>
          <w:sz w:val="12"/>
        </w:rPr>
        <w:t> </w:t>
      </w:r>
      <w:r>
        <w:rPr>
          <w:w w:val="110"/>
          <w:sz w:val="12"/>
        </w:rPr>
        <w:t>Q4</w:t>
      </w:r>
      <w:r>
        <w:rPr>
          <w:spacing w:val="-4"/>
          <w:w w:val="110"/>
          <w:sz w:val="12"/>
        </w:rPr>
        <w:t> </w:t>
      </w:r>
      <w:r>
        <w:rPr>
          <w:w w:val="110"/>
          <w:sz w:val="12"/>
        </w:rPr>
        <w:t>are</w:t>
      </w:r>
      <w:r>
        <w:rPr>
          <w:spacing w:val="-4"/>
          <w:w w:val="110"/>
          <w:sz w:val="12"/>
        </w:rPr>
        <w:t> </w:t>
      </w:r>
      <w:r>
        <w:rPr>
          <w:w w:val="110"/>
          <w:sz w:val="12"/>
        </w:rPr>
        <w:t>not</w:t>
      </w:r>
      <w:r>
        <w:rPr>
          <w:spacing w:val="-5"/>
          <w:w w:val="110"/>
          <w:sz w:val="12"/>
        </w:rPr>
        <w:t> </w:t>
      </w:r>
      <w:r>
        <w:rPr>
          <w:w w:val="110"/>
          <w:sz w:val="12"/>
        </w:rPr>
        <w:t>yet</w:t>
      </w:r>
      <w:r>
        <w:rPr>
          <w:spacing w:val="-4"/>
          <w:w w:val="110"/>
          <w:sz w:val="12"/>
        </w:rPr>
        <w:t> </w:t>
      </w:r>
      <w:r>
        <w:rPr>
          <w:w w:val="110"/>
          <w:sz w:val="12"/>
        </w:rPr>
        <w:t>available.</w:t>
      </w:r>
    </w:p>
    <w:p>
      <w:pPr>
        <w:pStyle w:val="BodyText"/>
        <w:rPr>
          <w:sz w:val="11"/>
        </w:rPr>
      </w:pPr>
    </w:p>
    <w:p>
      <w:pPr>
        <w:pStyle w:val="Heading6"/>
        <w:spacing w:before="1"/>
        <w:ind w:left="184"/>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8"/>
        </w:rPr>
        <w:t>2.20</w:t>
      </w:r>
    </w:p>
    <w:p>
      <w:pPr>
        <w:spacing w:before="7"/>
        <w:ind w:left="184" w:right="0" w:firstLine="0"/>
        <w:jc w:val="left"/>
        <w:rPr>
          <w:sz w:val="12"/>
        </w:rPr>
      </w:pPr>
      <w:r>
        <w:rPr>
          <w:rFonts w:ascii="Trebuchet MS"/>
          <w:b/>
          <w:color w:val="89C6DC"/>
          <w:sz w:val="20"/>
        </w:rPr>
        <w:t>Service sector output growth</w:t>
      </w:r>
      <w:r>
        <w:rPr>
          <w:position w:val="4"/>
          <w:sz w:val="12"/>
        </w:rPr>
        <w:t>(a)</w:t>
      </w:r>
    </w:p>
    <w:p>
      <w:pPr>
        <w:spacing w:line="276" w:lineRule="auto" w:before="90"/>
        <w:ind w:left="396" w:right="1269" w:firstLine="0"/>
        <w:jc w:val="left"/>
        <w:rPr>
          <w:sz w:val="12"/>
        </w:rPr>
      </w:pPr>
      <w:r>
        <w:rPr/>
        <w:drawing>
          <wp:anchor distT="0" distB="0" distL="0" distR="0" allowOverlap="1" layoutInCell="1" locked="0" behindDoc="0" simplePos="0" relativeHeight="16067584">
            <wp:simplePos x="0" y="0"/>
            <wp:positionH relativeFrom="page">
              <wp:posOffset>525538</wp:posOffset>
            </wp:positionH>
            <wp:positionV relativeFrom="paragraph">
              <wp:posOffset>53423</wp:posOffset>
            </wp:positionV>
            <wp:extent cx="103720" cy="401231"/>
            <wp:effectExtent l="0" t="0" r="0" b="0"/>
            <wp:wrapNone/>
            <wp:docPr id="459" name="image66.png"/>
            <wp:cNvGraphicFramePr>
              <a:graphicFrameLocks noChangeAspect="1"/>
            </wp:cNvGraphicFramePr>
            <a:graphic>
              <a:graphicData uri="http://schemas.openxmlformats.org/drawingml/2006/picture">
                <pic:pic>
                  <pic:nvPicPr>
                    <pic:cNvPr id="460" name="image66.png"/>
                    <pic:cNvPicPr/>
                  </pic:nvPicPr>
                  <pic:blipFill>
                    <a:blip r:embed="rId113" cstate="print"/>
                    <a:stretch>
                      <a:fillRect/>
                    </a:stretch>
                  </pic:blipFill>
                  <pic:spPr>
                    <a:xfrm>
                      <a:off x="0" y="0"/>
                      <a:ext cx="103720" cy="401231"/>
                    </a:xfrm>
                    <a:prstGeom prst="rect">
                      <a:avLst/>
                    </a:prstGeom>
                  </pic:spPr>
                </pic:pic>
              </a:graphicData>
            </a:graphic>
          </wp:anchor>
        </w:drawing>
      </w:r>
      <w:r>
        <w:rPr>
          <w:w w:val="110"/>
          <w:sz w:val="12"/>
        </w:rPr>
        <w:t>Government and other services Business services and finance Transport, storage and communications Distribution, hotels and catering</w:t>
      </w:r>
    </w:p>
    <w:p>
      <w:pPr>
        <w:spacing w:line="116" w:lineRule="exact" w:before="15"/>
        <w:ind w:left="395" w:right="0" w:firstLine="0"/>
        <w:jc w:val="left"/>
        <w:rPr>
          <w:sz w:val="12"/>
        </w:rPr>
      </w:pPr>
      <w:r>
        <w:rPr/>
        <w:pict>
          <v:line style="position:absolute;mso-position-horizontal-relative:page;mso-position-vertical-relative:paragraph;z-index:16066560" from="41.763pt,4.894275pt" to="49.096pt,4.894275pt" stroked="true" strokeweight="1pt" strokecolor="#de0035">
            <v:stroke dashstyle="solid"/>
            <w10:wrap type="none"/>
          </v:line>
        </w:pict>
      </w:r>
      <w:r>
        <w:rPr>
          <w:w w:val="105"/>
          <w:sz w:val="12"/>
        </w:rPr>
        <w:t>Total</w:t>
      </w:r>
    </w:p>
    <w:p>
      <w:pPr>
        <w:spacing w:line="109" w:lineRule="exact" w:before="0"/>
        <w:ind w:left="0" w:right="309" w:firstLine="0"/>
        <w:jc w:val="right"/>
        <w:rPr>
          <w:sz w:val="12"/>
        </w:rPr>
      </w:pPr>
      <w:r>
        <w:rPr>
          <w:w w:val="110"/>
          <w:sz w:val="12"/>
        </w:rPr>
        <w:t>Contributions to quarterly</w:t>
      </w:r>
      <w:r>
        <w:rPr>
          <w:spacing w:val="-25"/>
          <w:w w:val="110"/>
          <w:sz w:val="12"/>
        </w:rPr>
        <w:t> </w:t>
      </w:r>
      <w:r>
        <w:rPr>
          <w:w w:val="110"/>
          <w:sz w:val="12"/>
        </w:rPr>
        <w:t>growth,</w:t>
      </w:r>
    </w:p>
    <w:p>
      <w:pPr>
        <w:spacing w:line="110" w:lineRule="exact" w:before="0"/>
        <w:ind w:left="0" w:right="337" w:firstLine="0"/>
        <w:jc w:val="right"/>
        <w:rPr>
          <w:sz w:val="12"/>
        </w:rPr>
      </w:pPr>
      <w:r>
        <w:rPr>
          <w:w w:val="110"/>
          <w:sz w:val="12"/>
        </w:rPr>
        <w:t>percentage</w:t>
      </w:r>
      <w:r>
        <w:rPr>
          <w:spacing w:val="2"/>
          <w:w w:val="110"/>
          <w:sz w:val="12"/>
        </w:rPr>
        <w:t> </w:t>
      </w:r>
      <w:r>
        <w:rPr>
          <w:w w:val="110"/>
          <w:sz w:val="12"/>
        </w:rPr>
        <w:t>points</w:t>
      </w:r>
    </w:p>
    <w:p>
      <w:pPr>
        <w:spacing w:line="117" w:lineRule="exact" w:before="0"/>
        <w:ind w:left="3478" w:right="0" w:firstLine="0"/>
        <w:jc w:val="left"/>
        <w:rPr>
          <w:sz w:val="12"/>
        </w:rPr>
      </w:pPr>
      <w:r>
        <w:rPr/>
        <w:pict>
          <v:line style="position:absolute;mso-position-horizontal-relative:page;mso-position-vertical-relative:paragraph;z-index:16062976" from="41.931pt,2.547435pt" to="46.263pt,2.547435pt" stroked="true" strokeweight=".5pt" strokecolor="#000000">
            <v:stroke dashstyle="solid"/>
            <w10:wrap type="none"/>
          </v:line>
        </w:pict>
      </w:r>
      <w:r>
        <w:rPr/>
        <w:pict>
          <v:line style="position:absolute;mso-position-horizontal-relative:page;mso-position-vertical-relative:paragraph;z-index:16066048" from="199.597pt,2.547435pt" to="203.929pt,2.547435pt" stroked="true" strokeweight=".5pt" strokecolor="#000000">
            <v:stroke dashstyle="solid"/>
            <w10:wrap type="none"/>
          </v:line>
        </w:pict>
      </w:r>
      <w:r>
        <w:rPr>
          <w:w w:val="115"/>
          <w:sz w:val="12"/>
        </w:rPr>
        <w:t>2.0</w:t>
      </w:r>
    </w:p>
    <w:p>
      <w:pPr>
        <w:pStyle w:val="BodyText"/>
        <w:rPr>
          <w:sz w:val="12"/>
        </w:rPr>
      </w:pPr>
    </w:p>
    <w:p>
      <w:pPr>
        <w:pStyle w:val="BodyText"/>
        <w:rPr>
          <w:sz w:val="12"/>
        </w:rPr>
      </w:pPr>
    </w:p>
    <w:p>
      <w:pPr>
        <w:pStyle w:val="BodyText"/>
        <w:spacing w:before="7"/>
        <w:rPr>
          <w:sz w:val="13"/>
        </w:rPr>
      </w:pPr>
    </w:p>
    <w:p>
      <w:pPr>
        <w:spacing w:before="0"/>
        <w:ind w:left="3478" w:right="0" w:firstLine="0"/>
        <w:jc w:val="left"/>
        <w:rPr>
          <w:sz w:val="12"/>
        </w:rPr>
      </w:pPr>
      <w:r>
        <w:rPr/>
        <w:pict>
          <v:group style="position:absolute;margin-left:50.555pt;margin-top:.072871pt;width:145.550pt;height:93.8pt;mso-position-horizontal-relative:page;mso-position-vertical-relative:paragraph;z-index:16061952" coordorigin="1011,1" coordsize="2911,1876">
            <v:rect style="position:absolute;left:1016;top:1572;width:88;height:240" filled="true" fillcolor="#972140" stroked="false">
              <v:fill type="solid"/>
            </v:rect>
            <v:rect style="position:absolute;left:1016;top:1569;width:88;height:243" filled="false" stroked="true" strokeweight=".5pt" strokecolor="#000000">
              <v:stroke dashstyle="solid"/>
            </v:rect>
            <v:rect style="position:absolute;left:1016;top:1452;width:88;height:120" filled="true" fillcolor="#0099d9" stroked="false">
              <v:fill type="solid"/>
            </v:rect>
            <v:rect style="position:absolute;left:1016;top:1449;width:88;height:123" filled="false" stroked="true" strokeweight=".5pt" strokecolor="#000000">
              <v:stroke dashstyle="solid"/>
            </v:rect>
            <v:rect style="position:absolute;left:1016;top:864;width:88;height:588" filled="true" fillcolor="#b3dabb" stroked="false">
              <v:fill type="solid"/>
            </v:rect>
            <v:rect style="position:absolute;left:1016;top:864;width:88;height:588" filled="false" stroked="true" strokeweight=".5pt" strokecolor="#000000">
              <v:stroke dashstyle="solid"/>
            </v:rect>
            <v:rect style="position:absolute;left:1016;top:639;width:88;height:228" filled="true" fillcolor="#fdeecc" stroked="false">
              <v:fill type="solid"/>
            </v:rect>
            <v:rect style="position:absolute;left:1016;top:639;width:88;height:228" filled="false" stroked="true" strokeweight=".5pt" strokecolor="#000000">
              <v:stroke dashstyle="solid"/>
            </v:rect>
            <v:rect style="position:absolute;left:1271;top:1782;width:88;height:30" filled="true" fillcolor="#972140" stroked="false">
              <v:fill type="solid"/>
            </v:rect>
            <v:rect style="position:absolute;left:1271;top:1779;width:88;height:33" filled="false" stroked="true" strokeweight=".5pt" strokecolor="#000000">
              <v:stroke dashstyle="solid"/>
            </v:rect>
            <v:rect style="position:absolute;left:1271;top:1572;width:88;height:210" filled="true" fillcolor="#0099d9" stroked="false">
              <v:fill type="solid"/>
            </v:rect>
            <v:rect style="position:absolute;left:1271;top:1569;width:88;height:213" filled="false" stroked="true" strokeweight=".5pt" strokecolor="#000000">
              <v:stroke dashstyle="solid"/>
            </v:rect>
            <v:rect style="position:absolute;left:1271;top:684;width:88;height:888" filled="true" fillcolor="#b3dabb" stroked="false">
              <v:fill type="solid"/>
            </v:rect>
            <v:rect style="position:absolute;left:1271;top:684;width:88;height:888" filled="false" stroked="true" strokeweight=".5pt" strokecolor="#000000">
              <v:stroke dashstyle="solid"/>
            </v:rect>
            <v:rect style="position:absolute;left:1271;top:474;width:88;height:213" filled="true" fillcolor="#fdeecc" stroked="false">
              <v:fill type="solid"/>
            </v:rect>
            <v:rect style="position:absolute;left:1271;top:474;width:88;height:213" filled="false" stroked="true" strokeweight=".5pt" strokecolor="#000000">
              <v:stroke dashstyle="solid"/>
            </v:rect>
            <v:line style="position:absolute" from="1059,655" to="1314,445" stroked="true" strokeweight="1pt" strokecolor="#de0035">
              <v:stroke dashstyle="solid"/>
            </v:line>
            <v:rect style="position:absolute;left:1518;top:1677;width:88;height:135" filled="true" fillcolor="#972140" stroked="false">
              <v:fill type="solid"/>
            </v:rect>
            <v:rect style="position:absolute;left:1518;top:1674;width:88;height:138" filled="false" stroked="true" strokeweight=".5pt" strokecolor="#000000">
              <v:stroke dashstyle="solid"/>
            </v:rect>
            <v:rect style="position:absolute;left:1518;top:1329;width:88;height:348" filled="true" fillcolor="#0099d9" stroked="false">
              <v:fill type="solid"/>
            </v:rect>
            <v:rect style="position:absolute;left:1518;top:1329;width:88;height:348" filled="false" stroked="true" strokeweight=".5pt" strokecolor="#000000">
              <v:stroke dashstyle="solid"/>
            </v:rect>
            <v:rect style="position:absolute;left:1518;top:999;width:88;height:333" filled="true" fillcolor="#b3dabb" stroked="false">
              <v:fill type="solid"/>
            </v:rect>
            <v:rect style="position:absolute;left:1518;top:999;width:88;height:333" filled="false" stroked="true" strokeweight=".5pt" strokecolor="#000000">
              <v:stroke dashstyle="solid"/>
            </v:rect>
            <v:rect style="position:absolute;left:1518;top:864;width:88;height:138" filled="true" fillcolor="#fdeecc" stroked="false">
              <v:fill type="solid"/>
            </v:rect>
            <v:rect style="position:absolute;left:1518;top:864;width:88;height:138" filled="false" stroked="true" strokeweight=".5pt" strokecolor="#000000">
              <v:stroke dashstyle="solid"/>
            </v:rect>
            <v:line style="position:absolute" from="1314,445" to="1561,880" stroked="true" strokeweight="1pt" strokecolor="#de0035">
              <v:stroke dashstyle="solid"/>
            </v:line>
            <v:rect style="position:absolute;left:1773;top:1782;width:88;height:30" filled="true" fillcolor="#972140" stroked="false">
              <v:fill type="solid"/>
            </v:rect>
            <v:rect style="position:absolute;left:1773;top:1779;width:88;height:33" filled="false" stroked="true" strokeweight=".5pt" strokecolor="#000000">
              <v:stroke dashstyle="solid"/>
            </v:rect>
            <v:rect style="position:absolute;left:1773;top:1509;width:88;height:273" filled="true" fillcolor="#0099d9" stroked="false">
              <v:fill type="solid"/>
            </v:rect>
            <v:rect style="position:absolute;left:1773;top:1509;width:88;height:273" filled="false" stroked="true" strokeweight=".5pt" strokecolor="#000000">
              <v:stroke dashstyle="solid"/>
            </v:rect>
            <v:rect style="position:absolute;left:1773;top:1389;width:88;height:123" filled="true" fillcolor="#b3dabb" stroked="false">
              <v:fill type="solid"/>
            </v:rect>
            <v:rect style="position:absolute;left:1773;top:1389;width:88;height:123" filled="false" stroked="true" strokeweight=".5pt" strokecolor="#000000">
              <v:stroke dashstyle="solid"/>
            </v:rect>
            <v:rect style="position:absolute;left:1773;top:1314;width:88;height:78" filled="true" fillcolor="#fdeecc" stroked="false">
              <v:fill type="solid"/>
            </v:rect>
            <v:rect style="position:absolute;left:1773;top:1314;width:88;height:78" filled="false" stroked="true" strokeweight=".5pt" strokecolor="#000000">
              <v:stroke dashstyle="solid"/>
            </v:rect>
            <v:line style="position:absolute" from="1561,880" to="1816,1300" stroked="true" strokeweight="1pt" strokecolor="#de0035">
              <v:stroke dashstyle="solid"/>
            </v:line>
            <v:rect style="position:absolute;left:2031;top:1602;width:88;height:210" filled="true" fillcolor="#972140" stroked="false">
              <v:fill type="solid"/>
            </v:rect>
            <v:rect style="position:absolute;left:2031;top:1599;width:88;height:213" filled="false" stroked="true" strokeweight=".5pt" strokecolor="#000000">
              <v:stroke dashstyle="solid"/>
            </v:rect>
            <v:rect style="position:absolute;left:2031;top:1269;width:88;height:333" filled="true" fillcolor="#0099d9" stroked="false">
              <v:fill type="solid"/>
            </v:rect>
            <v:rect style="position:absolute;left:2031;top:1269;width:88;height:333" filled="false" stroked="true" strokeweight=".5pt" strokecolor="#000000">
              <v:stroke dashstyle="solid"/>
            </v:rect>
            <v:rect style="position:absolute;left:2031;top:1047;width:88;height:225" filled="true" fillcolor="#b3dabb" stroked="false">
              <v:fill type="solid"/>
            </v:rect>
            <v:rect style="position:absolute;left:2031;top:1044;width:88;height:228" filled="false" stroked="true" strokeweight=".5pt" strokecolor="#000000">
              <v:stroke dashstyle="solid"/>
            </v:rect>
            <v:rect style="position:absolute;left:2031;top:954;width:88;height:93" filled="true" fillcolor="#fdeecc" stroked="false">
              <v:fill type="solid"/>
            </v:rect>
            <v:rect style="position:absolute;left:2031;top:954;width:88;height:93" filled="false" stroked="true" strokeweight=".5pt" strokecolor="#000000">
              <v:stroke dashstyle="solid"/>
            </v:rect>
            <v:line style="position:absolute" from="1816,1300" to="2074,985" stroked="true" strokeweight="1pt" strokecolor="#de0035">
              <v:stroke dashstyle="solid"/>
            </v:line>
            <v:rect style="position:absolute;left:2286;top:1812;width:90;height:15" filled="true" fillcolor="#972140" stroked="false">
              <v:fill type="solid"/>
            </v:rect>
            <v:shape style="position:absolute;left:2281;top:1808;width:100;height:14" coordorigin="2281,1808" coordsize="100,14" path="m2281,1808l2381,1808m2281,1822l2381,1822e" filled="false" stroked="true" strokeweight=".375pt" strokecolor="#000000">
              <v:path arrowok="t"/>
              <v:stroke dashstyle="solid"/>
            </v:shape>
            <v:rect style="position:absolute;left:2286;top:1449;width:90;height:363" filled="true" fillcolor="#0099d9" stroked="false">
              <v:fill type="solid"/>
            </v:rect>
            <v:rect style="position:absolute;left:2286;top:1449;width:90;height:363" filled="false" stroked="true" strokeweight=".5pt" strokecolor="#000000">
              <v:stroke dashstyle="solid"/>
            </v:rect>
            <v:rect style="position:absolute;left:2286;top:1104;width:90;height:348" filled="true" fillcolor="#b3dabb" stroked="false">
              <v:fill type="solid"/>
            </v:rect>
            <v:rect style="position:absolute;left:2286;top:1104;width:90;height:348" filled="false" stroked="true" strokeweight=".5pt" strokecolor="#000000">
              <v:stroke dashstyle="solid"/>
            </v:rect>
            <v:rect style="position:absolute;left:2286;top:1824;width:90;height:33" filled="true" fillcolor="#fdeecc" stroked="false">
              <v:fill type="solid"/>
            </v:rect>
            <v:rect style="position:absolute;left:2286;top:1824;width:90;height:33" filled="false" stroked="true" strokeweight=".5pt" strokecolor="#000000">
              <v:stroke dashstyle="solid"/>
            </v:rect>
            <v:line style="position:absolute" from="2074,985" to="2329,1105" stroked="true" strokeweight="1pt" strokecolor="#de0035">
              <v:stroke dashstyle="solid"/>
            </v:line>
            <v:rect style="position:absolute;left:2533;top:1539;width:88;height:273" filled="true" fillcolor="#972140" stroked="false">
              <v:fill type="solid"/>
            </v:rect>
            <v:rect style="position:absolute;left:2533;top:1539;width:88;height:273" filled="false" stroked="true" strokeweight=".5pt" strokecolor="#000000">
              <v:stroke dashstyle="solid"/>
            </v:rect>
            <v:rect style="position:absolute;left:2533;top:1209;width:88;height:333" filled="true" fillcolor="#0099d9" stroked="false">
              <v:fill type="solid"/>
            </v:rect>
            <v:rect style="position:absolute;left:2533;top:1209;width:88;height:333" filled="false" stroked="true" strokeweight=".5pt" strokecolor="#000000">
              <v:stroke dashstyle="solid"/>
            </v:rect>
            <v:rect style="position:absolute;left:2533;top:639;width:88;height:573" filled="true" fillcolor="#b3dabb" stroked="false">
              <v:fill type="solid"/>
            </v:rect>
            <v:rect style="position:absolute;left:2533;top:639;width:88;height:573" filled="false" stroked="true" strokeweight=".5pt" strokecolor="#000000">
              <v:stroke dashstyle="solid"/>
            </v:rect>
            <v:rect style="position:absolute;left:2533;top:564;width:88;height:78" filled="true" fillcolor="#fdeecc" stroked="false">
              <v:fill type="solid"/>
            </v:rect>
            <v:rect style="position:absolute;left:2533;top:564;width:88;height:78" filled="false" stroked="true" strokeweight=".5pt" strokecolor="#000000">
              <v:stroke dashstyle="solid"/>
            </v:rect>
            <v:line style="position:absolute" from="2329,1105" to="2576,505" stroked="true" strokeweight="1pt" strokecolor="#de0035">
              <v:stroke dashstyle="solid"/>
            </v:line>
            <v:rect style="position:absolute;left:2788;top:1782;width:90;height:30" filled="true" fillcolor="#972140" stroked="false">
              <v:fill type="solid"/>
            </v:rect>
            <v:rect style="position:absolute;left:2788;top:1779;width:90;height:33" filled="false" stroked="true" strokeweight=".5pt" strokecolor="#000000">
              <v:stroke dashstyle="solid"/>
            </v:rect>
            <v:rect style="position:absolute;left:2788;top:1359;width:90;height:423" filled="true" fillcolor="#0099d9" stroked="false">
              <v:fill type="solid"/>
            </v:rect>
            <v:rect style="position:absolute;left:2788;top:1359;width:90;height:423" filled="false" stroked="true" strokeweight=".5pt" strokecolor="#000000">
              <v:stroke dashstyle="solid"/>
            </v:rect>
            <v:rect style="position:absolute;left:2788;top:954;width:90;height:408" filled="true" fillcolor="#b3dabb" stroked="false">
              <v:fill type="solid"/>
            </v:rect>
            <v:rect style="position:absolute;left:2788;top:954;width:90;height:408" filled="false" stroked="true" strokeweight=".5pt" strokecolor="#000000">
              <v:stroke dashstyle="solid"/>
            </v:rect>
            <v:rect style="position:absolute;left:2788;top:684;width:90;height:273" filled="true" fillcolor="#fdeecc" stroked="false">
              <v:fill type="solid"/>
            </v:rect>
            <v:rect style="position:absolute;left:2788;top:684;width:90;height:273" filled="false" stroked="true" strokeweight=".5pt" strokecolor="#000000">
              <v:stroke dashstyle="solid"/>
            </v:rect>
            <v:line style="position:absolute" from="2576,505" to="2831,715" stroked="true" strokeweight="1pt" strokecolor="#de0035">
              <v:stroke dashstyle="solid"/>
            </v:line>
            <v:rect style="position:absolute;left:3046;top:1812;width:88;height:60" filled="true" fillcolor="#972140" stroked="false">
              <v:fill type="solid"/>
            </v:rect>
            <v:rect style="position:absolute;left:3046;top:1809;width:88;height:63" filled="false" stroked="true" strokeweight=".5pt" strokecolor="#000000">
              <v:stroke dashstyle="solid"/>
            </v:rect>
            <v:rect style="position:absolute;left:3046;top:1602;width:88;height:210" filled="true" fillcolor="#0099d9" stroked="false">
              <v:fill type="solid"/>
            </v:rect>
            <v:rect style="position:absolute;left:3046;top:1599;width:88;height:213" filled="false" stroked="true" strokeweight=".5pt" strokecolor="#000000">
              <v:stroke dashstyle="solid"/>
            </v:rect>
            <v:rect style="position:absolute;left:3046;top:1437;width:88;height:165" filled="true" fillcolor="#b3dabb" stroked="false">
              <v:fill type="solid"/>
            </v:rect>
            <v:rect style="position:absolute;left:3046;top:1434;width:88;height:168" filled="false" stroked="true" strokeweight=".5pt" strokecolor="#000000">
              <v:stroke dashstyle="solid"/>
            </v:rect>
            <v:rect style="position:absolute;left:3046;top:1314;width:88;height:123" filled="true" fillcolor="#fdeecc" stroked="false">
              <v:fill type="solid"/>
            </v:rect>
            <v:rect style="position:absolute;left:3046;top:1314;width:88;height:123" filled="false" stroked="true" strokeweight=".5pt" strokecolor="#000000">
              <v:stroke dashstyle="solid"/>
            </v:rect>
            <v:line style="position:absolute" from="2831,715" to="3089,1405" stroked="true" strokeweight="1pt" strokecolor="#de0035">
              <v:stroke dashstyle="solid"/>
            </v:line>
            <v:rect style="position:absolute;left:3303;top:1539;width:88;height:273" filled="true" fillcolor="#972140" stroked="false">
              <v:fill type="solid"/>
            </v:rect>
            <v:rect style="position:absolute;left:3303;top:1539;width:88;height:273" filled="false" stroked="true" strokeweight=".5pt" strokecolor="#000000">
              <v:stroke dashstyle="solid"/>
            </v:rect>
            <v:rect style="position:absolute;left:3303;top:1269;width:88;height:273" filled="true" fillcolor="#0099d9" stroked="false">
              <v:fill type="solid"/>
            </v:rect>
            <v:rect style="position:absolute;left:3303;top:1269;width:88;height:273" filled="false" stroked="true" strokeweight=".5pt" strokecolor="#000000">
              <v:stroke dashstyle="solid"/>
            </v:rect>
            <v:rect style="position:absolute;left:3303;top:684;width:88;height:588" filled="true" fillcolor="#b3dabb" stroked="false">
              <v:fill type="solid"/>
            </v:rect>
            <v:rect style="position:absolute;left:3303;top:684;width:88;height:588" filled="false" stroked="true" strokeweight=".5pt" strokecolor="#000000">
              <v:stroke dashstyle="solid"/>
            </v:rect>
            <v:rect style="position:absolute;left:3303;top:414;width:88;height:273" filled="true" fillcolor="#fdeecc" stroked="false">
              <v:fill type="solid"/>
            </v:rect>
            <v:rect style="position:absolute;left:3303;top:414;width:88;height:273" filled="false" stroked="true" strokeweight=".5pt" strokecolor="#000000">
              <v:stroke dashstyle="solid"/>
            </v:rect>
            <v:line style="position:absolute" from="3089,1405" to="3346,430" stroked="true" strokeweight="1pt" strokecolor="#de0035">
              <v:stroke dashstyle="solid"/>
            </v:line>
            <v:rect style="position:absolute;left:3548;top:1524;width:88;height:288" filled="true" fillcolor="#972140" stroked="false">
              <v:fill type="solid"/>
            </v:rect>
            <v:rect style="position:absolute;left:3548;top:1524;width:88;height:288" filled="false" stroked="true" strokeweight=".5pt" strokecolor="#000000">
              <v:stroke dashstyle="solid"/>
            </v:rect>
            <v:rect style="position:absolute;left:3548;top:1317;width:88;height:210" filled="true" fillcolor="#0099d9" stroked="false">
              <v:fill type="solid"/>
            </v:rect>
            <v:rect style="position:absolute;left:3548;top:1314;width:88;height:213" filled="false" stroked="true" strokeweight=".5pt" strokecolor="#000000">
              <v:stroke dashstyle="solid"/>
            </v:rect>
            <v:rect style="position:absolute;left:3548;top:909;width:88;height:408" filled="true" fillcolor="#b3dabb" stroked="false">
              <v:fill type="solid"/>
            </v:rect>
            <v:rect style="position:absolute;left:3548;top:909;width:88;height:408" filled="false" stroked="true" strokeweight=".5pt" strokecolor="#000000">
              <v:stroke dashstyle="solid"/>
            </v:rect>
            <v:rect style="position:absolute;left:3548;top:789;width:88;height:123" filled="true" fillcolor="#fdeecc" stroked="false">
              <v:fill type="solid"/>
            </v:rect>
            <v:rect style="position:absolute;left:3548;top:789;width:88;height:123" filled="false" stroked="true" strokeweight=".5pt" strokecolor="#000000">
              <v:stroke dashstyle="solid"/>
            </v:rect>
            <v:line style="position:absolute" from="3346,430" to="3591,745" stroked="true" strokeweight="1pt" strokecolor="#de0035">
              <v:stroke dashstyle="solid"/>
            </v:line>
            <v:shape style="position:absolute;left:1015;top:172;width:2881;height:1640" coordorigin="1015,173" coordsize="2881,1640" path="m1015,1812l3896,1812m3849,173l3849,840e" filled="false" stroked="true" strokeweight=".5pt" strokecolor="#000000">
              <v:path arrowok="t"/>
              <v:stroke dashstyle="solid"/>
            </v:shape>
            <v:shape style="position:absolute;left:3816;top:954;width:63;height:90" coordorigin="3816,955" coordsize="63,90" path="m3849,955l3816,1000,3849,1045,3879,1000,3849,955xe" filled="true" fillcolor="#de0035" stroked="false">
              <v:path arrowok="t"/>
              <v:fill type="solid"/>
            </v:shape>
            <v:shape style="position:absolute;left:3816;top:954;width:63;height:90" coordorigin="3816,955" coordsize="63,90" path="m3849,955l3879,1000,3849,1045,3816,1000,3849,955xe" filled="false" stroked="true" strokeweight=".5pt" strokecolor="#de0035">
              <v:path arrowok="t"/>
              <v:stroke dashstyle="solid"/>
            </v:shape>
            <v:shape style="position:absolute;left:3823;top:822;width:51;height:85" coordorigin="3823,823" coordsize="51,85" path="m3874,823l3823,823,3830,838,3834,851,3849,907,3850,899,3852,888,3855,876,3859,863,3863,852,3874,823xe" filled="true" fillcolor="#000000" stroked="false">
              <v:path arrowok="t"/>
              <v:fill type="solid"/>
            </v:shape>
            <v:shape style="position:absolute;left:3304;top:1;width:617;height:246" type="#_x0000_t202" filled="false" stroked="false">
              <v:textbox inset="0,0,0,0">
                <w:txbxContent>
                  <w:p>
                    <w:pPr>
                      <w:spacing w:line="108" w:lineRule="exact" w:before="0"/>
                      <w:ind w:left="0" w:right="0" w:firstLine="0"/>
                      <w:jc w:val="left"/>
                      <w:rPr>
                        <w:sz w:val="12"/>
                      </w:rPr>
                    </w:pPr>
                    <w:r>
                      <w:rPr>
                        <w:w w:val="105"/>
                        <w:sz w:val="12"/>
                      </w:rPr>
                      <w:t>Preliminary</w:t>
                    </w:r>
                  </w:p>
                  <w:p>
                    <w:pPr>
                      <w:spacing w:line="132" w:lineRule="exact" w:before="0"/>
                      <w:ind w:left="64" w:right="0" w:firstLine="0"/>
                      <w:jc w:val="left"/>
                      <w:rPr>
                        <w:sz w:val="12"/>
                      </w:rPr>
                    </w:pPr>
                    <w:r>
                      <w:rPr>
                        <w:w w:val="110"/>
                        <w:sz w:val="12"/>
                      </w:rPr>
                      <w:t>estimate</w:t>
                    </w:r>
                  </w:p>
                </w:txbxContent>
              </v:textbox>
              <w10:wrap type="none"/>
            </v:shape>
            <w10:wrap type="none"/>
          </v:group>
        </w:pict>
      </w:r>
      <w:r>
        <w:rPr/>
        <w:pict>
          <v:line style="position:absolute;mso-position-horizontal-relative:page;mso-position-vertical-relative:paragraph;z-index:16062464" from="41.931pt,3.601718pt" to="46.263pt,3.601718pt" stroked="true" strokeweight=".5pt" strokecolor="#000000">
            <v:stroke dashstyle="solid"/>
            <w10:wrap type="none"/>
          </v:line>
        </w:pict>
      </w:r>
      <w:r>
        <w:rPr/>
        <w:pict>
          <v:line style="position:absolute;mso-position-horizontal-relative:page;mso-position-vertical-relative:paragraph;z-index:16063488" from="199.597pt,3.601718pt" to="203.929pt,3.601718pt" stroked="true" strokeweight=".5pt" strokecolor="#000000">
            <v:stroke dashstyle="solid"/>
            <w10:wrap type="none"/>
          </v:line>
        </w:pict>
      </w:r>
      <w:r>
        <w:rPr>
          <w:w w:val="115"/>
          <w:sz w:val="12"/>
        </w:rPr>
        <w:t>1.5</w:t>
      </w:r>
    </w:p>
    <w:p>
      <w:pPr>
        <w:pStyle w:val="BodyText"/>
        <w:spacing w:line="292" w:lineRule="auto" w:before="88"/>
        <w:ind w:left="173" w:right="163"/>
      </w:pPr>
      <w:r>
        <w:rPr/>
        <w:br w:type="column"/>
      </w:r>
      <w:r>
        <w:rPr>
          <w:w w:val="110"/>
        </w:rPr>
        <w:t>been</w:t>
      </w:r>
      <w:r>
        <w:rPr>
          <w:spacing w:val="-17"/>
          <w:w w:val="110"/>
        </w:rPr>
        <w:t> </w:t>
      </w:r>
      <w:r>
        <w:rPr>
          <w:w w:val="110"/>
        </w:rPr>
        <w:t>broadly</w:t>
      </w:r>
      <w:r>
        <w:rPr>
          <w:spacing w:val="-17"/>
          <w:w w:val="110"/>
        </w:rPr>
        <w:t> </w:t>
      </w:r>
      <w:r>
        <w:rPr>
          <w:w w:val="110"/>
        </w:rPr>
        <w:t>flat</w:t>
      </w:r>
      <w:r>
        <w:rPr>
          <w:spacing w:val="-17"/>
          <w:w w:val="110"/>
        </w:rPr>
        <w:t> </w:t>
      </w:r>
      <w:r>
        <w:rPr>
          <w:w w:val="110"/>
        </w:rPr>
        <w:t>since</w:t>
      </w:r>
      <w:r>
        <w:rPr>
          <w:spacing w:val="-17"/>
          <w:w w:val="110"/>
        </w:rPr>
        <w:t> </w:t>
      </w:r>
      <w:r>
        <w:rPr>
          <w:spacing w:val="-4"/>
          <w:w w:val="110"/>
        </w:rPr>
        <w:t>2000</w:t>
      </w:r>
      <w:r>
        <w:rPr>
          <w:spacing w:val="-17"/>
          <w:w w:val="110"/>
        </w:rPr>
        <w:t> </w:t>
      </w:r>
      <w:r>
        <w:rPr>
          <w:w w:val="110"/>
        </w:rPr>
        <w:t>Q2,</w:t>
      </w:r>
      <w:r>
        <w:rPr>
          <w:spacing w:val="-16"/>
          <w:w w:val="110"/>
        </w:rPr>
        <w:t> </w:t>
      </w:r>
      <w:r>
        <w:rPr>
          <w:w w:val="110"/>
        </w:rPr>
        <w:t>following</w:t>
      </w:r>
      <w:r>
        <w:rPr>
          <w:spacing w:val="-17"/>
          <w:w w:val="110"/>
        </w:rPr>
        <w:t> </w:t>
      </w:r>
      <w:r>
        <w:rPr>
          <w:w w:val="110"/>
        </w:rPr>
        <w:t>rapid</w:t>
      </w:r>
      <w:r>
        <w:rPr>
          <w:spacing w:val="-17"/>
          <w:w w:val="110"/>
        </w:rPr>
        <w:t> </w:t>
      </w:r>
      <w:r>
        <w:rPr>
          <w:w w:val="110"/>
        </w:rPr>
        <w:t>growth</w:t>
      </w:r>
      <w:r>
        <w:rPr>
          <w:spacing w:val="-17"/>
          <w:w w:val="110"/>
        </w:rPr>
        <w:t> </w:t>
      </w:r>
      <w:r>
        <w:rPr>
          <w:w w:val="110"/>
        </w:rPr>
        <w:t>in</w:t>
      </w:r>
      <w:r>
        <w:rPr>
          <w:spacing w:val="-17"/>
          <w:w w:val="110"/>
        </w:rPr>
        <w:t> </w:t>
      </w:r>
      <w:r>
        <w:rPr>
          <w:w w:val="110"/>
        </w:rPr>
        <w:t>the lead-up </w:t>
      </w:r>
      <w:r>
        <w:rPr>
          <w:spacing w:val="-4"/>
          <w:w w:val="110"/>
        </w:rPr>
        <w:t>to </w:t>
      </w:r>
      <w:r>
        <w:rPr>
          <w:w w:val="110"/>
        </w:rPr>
        <w:t>the new millennium. That is consistent with some easing in the volume of </w:t>
      </w:r>
      <w:r>
        <w:rPr>
          <w:spacing w:val="-3"/>
          <w:w w:val="110"/>
        </w:rPr>
        <w:t>work </w:t>
      </w:r>
      <w:r>
        <w:rPr>
          <w:w w:val="110"/>
        </w:rPr>
        <w:t>done </w:t>
      </w:r>
      <w:r>
        <w:rPr>
          <w:spacing w:val="-3"/>
          <w:w w:val="110"/>
        </w:rPr>
        <w:t>by </w:t>
      </w:r>
      <w:r>
        <w:rPr>
          <w:w w:val="110"/>
        </w:rPr>
        <w:t>business and professional service sector firms, and optimism about their business situation, reported in the November CBI/Deloitte &amp; </w:t>
      </w:r>
      <w:r>
        <w:rPr>
          <w:spacing w:val="-4"/>
          <w:w w:val="110"/>
        </w:rPr>
        <w:t>Touche </w:t>
      </w:r>
      <w:r>
        <w:rPr>
          <w:spacing w:val="-3"/>
          <w:w w:val="110"/>
        </w:rPr>
        <w:t>survey </w:t>
      </w:r>
      <w:r>
        <w:rPr>
          <w:w w:val="110"/>
        </w:rPr>
        <w:t>(see </w:t>
      </w:r>
      <w:r>
        <w:rPr>
          <w:spacing w:val="-5"/>
          <w:w w:val="110"/>
        </w:rPr>
        <w:t>Table </w:t>
      </w:r>
      <w:r>
        <w:rPr>
          <w:w w:val="110"/>
        </w:rPr>
        <w:t>2.E). In the financial services </w:t>
      </w:r>
      <w:r>
        <w:rPr>
          <w:spacing w:val="-3"/>
          <w:w w:val="110"/>
        </w:rPr>
        <w:t>industry, </w:t>
      </w:r>
      <w:r>
        <w:rPr>
          <w:w w:val="110"/>
        </w:rPr>
        <w:t>the December CBI/PricewaterhouseCoopers </w:t>
      </w:r>
      <w:r>
        <w:rPr>
          <w:spacing w:val="-3"/>
          <w:w w:val="110"/>
        </w:rPr>
        <w:t>survey </w:t>
      </w:r>
      <w:r>
        <w:rPr>
          <w:w w:val="110"/>
        </w:rPr>
        <w:t>indicated an </w:t>
      </w:r>
      <w:r>
        <w:rPr>
          <w:spacing w:val="-3"/>
          <w:w w:val="110"/>
        </w:rPr>
        <w:t>overall </w:t>
      </w:r>
      <w:r>
        <w:rPr>
          <w:w w:val="110"/>
        </w:rPr>
        <w:t>picture of strong growth in business volumes. Looking at the service sector as a whole, the CIPS and BCC </w:t>
      </w:r>
      <w:r>
        <w:rPr>
          <w:spacing w:val="-3"/>
          <w:w w:val="110"/>
        </w:rPr>
        <w:t>surveys </w:t>
      </w:r>
      <w:r>
        <w:rPr>
          <w:w w:val="110"/>
        </w:rPr>
        <w:t>indicated that growth in incoming new business</w:t>
      </w:r>
      <w:r>
        <w:rPr>
          <w:spacing w:val="-14"/>
          <w:w w:val="110"/>
        </w:rPr>
        <w:t> </w:t>
      </w:r>
      <w:r>
        <w:rPr>
          <w:w w:val="110"/>
        </w:rPr>
        <w:t>rose</w:t>
      </w:r>
      <w:r>
        <w:rPr>
          <w:spacing w:val="-13"/>
          <w:w w:val="110"/>
        </w:rPr>
        <w:t> </w:t>
      </w:r>
      <w:r>
        <w:rPr>
          <w:w w:val="110"/>
        </w:rPr>
        <w:t>in</w:t>
      </w:r>
      <w:r>
        <w:rPr>
          <w:spacing w:val="-14"/>
          <w:w w:val="110"/>
        </w:rPr>
        <w:t> </w:t>
      </w:r>
      <w:r>
        <w:rPr>
          <w:w w:val="110"/>
        </w:rPr>
        <w:t>Q4,</w:t>
      </w:r>
      <w:r>
        <w:rPr>
          <w:spacing w:val="-13"/>
          <w:w w:val="110"/>
        </w:rPr>
        <w:t> </w:t>
      </w:r>
      <w:r>
        <w:rPr>
          <w:w w:val="110"/>
        </w:rPr>
        <w:t>and</w:t>
      </w:r>
      <w:r>
        <w:rPr>
          <w:spacing w:val="-13"/>
          <w:w w:val="110"/>
        </w:rPr>
        <w:t> </w:t>
      </w:r>
      <w:r>
        <w:rPr>
          <w:w w:val="110"/>
        </w:rPr>
        <w:t>business</w:t>
      </w:r>
      <w:r>
        <w:rPr>
          <w:spacing w:val="-14"/>
          <w:w w:val="110"/>
        </w:rPr>
        <w:t> </w:t>
      </w:r>
      <w:r>
        <w:rPr>
          <w:w w:val="110"/>
        </w:rPr>
        <w:t>optimism</w:t>
      </w:r>
      <w:r>
        <w:rPr>
          <w:spacing w:val="-13"/>
          <w:w w:val="110"/>
        </w:rPr>
        <w:t> </w:t>
      </w:r>
      <w:r>
        <w:rPr>
          <w:w w:val="110"/>
        </w:rPr>
        <w:t>remains</w:t>
      </w:r>
      <w:r>
        <w:rPr>
          <w:spacing w:val="-13"/>
          <w:w w:val="110"/>
        </w:rPr>
        <w:t> </w:t>
      </w:r>
      <w:r>
        <w:rPr>
          <w:w w:val="110"/>
        </w:rPr>
        <w:t>high.</w:t>
      </w:r>
    </w:p>
    <w:p>
      <w:pPr>
        <w:spacing w:after="0" w:line="292" w:lineRule="auto"/>
        <w:sectPr>
          <w:type w:val="continuous"/>
          <w:pgSz w:w="11900" w:h="16840"/>
          <w:pgMar w:top="1260" w:bottom="280" w:left="640" w:right="640"/>
          <w:cols w:num="2" w:equalWidth="0">
            <w:col w:w="3775" w:space="1141"/>
            <w:col w:w="5704"/>
          </w:cols>
        </w:sectPr>
      </w:pPr>
    </w:p>
    <w:p>
      <w:pPr>
        <w:pStyle w:val="BodyText"/>
        <w:spacing w:before="10"/>
        <w:rPr>
          <w:sz w:val="14"/>
        </w:rPr>
      </w:pPr>
    </w:p>
    <w:p>
      <w:pPr>
        <w:pStyle w:val="BodyText"/>
        <w:spacing w:line="20" w:lineRule="exact"/>
        <w:ind w:left="193"/>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5"/>
        <w:rPr>
          <w:sz w:val="24"/>
        </w:rPr>
      </w:pPr>
      <w:r>
        <w:rPr/>
        <w:pict>
          <v:shape style="position:absolute;margin-left:41.931pt;margin-top:16.250977pt;width:4.350pt;height:.1pt;mso-position-horizontal-relative:page;mso-position-vertical-relative:paragraph;z-index:-15397376;mso-wrap-distance-left:0;mso-wrap-distance-right:0" coordorigin="839,325" coordsize="87,0" path="m839,325l925,325e" filled="false" stroked="true" strokeweight=".5pt" strokecolor="#000000">
            <v:path arrowok="t"/>
            <v:stroke dashstyle="solid"/>
            <w10:wrap type="topAndBottom"/>
          </v:shape>
        </w:pict>
      </w:r>
    </w:p>
    <w:p>
      <w:pPr>
        <w:pStyle w:val="BodyText"/>
      </w:pPr>
    </w:p>
    <w:p>
      <w:pPr>
        <w:pStyle w:val="BodyText"/>
        <w:spacing w:before="1"/>
        <w:rPr>
          <w:sz w:val="24"/>
        </w:rPr>
      </w:pPr>
      <w:r>
        <w:rPr/>
        <w:pict>
          <v:shape style="position:absolute;margin-left:41.931pt;margin-top:16.050976pt;width:4.350pt;height:.1pt;mso-position-horizontal-relative:page;mso-position-vertical-relative:paragraph;z-index:-15396864;mso-wrap-distance-left:0;mso-wrap-distance-right:0" coordorigin="839,321" coordsize="87,0" path="m839,321l925,321e" filled="false" stroked="true" strokeweight=".5pt" strokecolor="#000000">
            <v:path arrowok="t"/>
            <v:stroke dashstyle="solid"/>
            <w10:wrap type="topAndBottom"/>
          </v:shape>
        </w:pict>
      </w:r>
    </w:p>
    <w:p>
      <w:pPr>
        <w:pStyle w:val="BodyText"/>
      </w:pPr>
    </w:p>
    <w:p>
      <w:pPr>
        <w:pStyle w:val="BodyText"/>
        <w:spacing w:before="9"/>
        <w:rPr>
          <w:sz w:val="22"/>
        </w:rPr>
      </w:pPr>
      <w:r>
        <w:rPr/>
        <w:pict>
          <v:shape style="position:absolute;margin-left:41.931pt;margin-top:15.300977pt;width:4.350pt;height:.1pt;mso-position-horizontal-relative:page;mso-position-vertical-relative:paragraph;z-index:-15396352;mso-wrap-distance-left:0;mso-wrap-distance-right:0" coordorigin="839,306" coordsize="87,0" path="m839,306l925,306e" filled="false" stroked="true" strokeweight=".5pt" strokecolor="#000000">
            <v:path arrowok="t"/>
            <v:stroke dashstyle="solid"/>
            <w10:wrap type="topAndBottom"/>
          </v:shape>
        </w:pict>
      </w:r>
    </w:p>
    <w:p>
      <w:pPr>
        <w:tabs>
          <w:tab w:pos="1858" w:val="left" w:leader="none"/>
        </w:tabs>
        <w:spacing w:before="4"/>
        <w:ind w:left="723" w:right="0" w:firstLine="0"/>
        <w:jc w:val="left"/>
        <w:rPr>
          <w:sz w:val="12"/>
        </w:rPr>
      </w:pPr>
      <w:r>
        <w:rPr>
          <w:w w:val="120"/>
          <w:sz w:val="12"/>
        </w:rPr>
        <w:t>1998</w:t>
        <w:tab/>
      </w:r>
      <w:r>
        <w:rPr>
          <w:spacing w:val="-10"/>
          <w:w w:val="120"/>
          <w:sz w:val="12"/>
        </w:rPr>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2"/>
        </w:rPr>
      </w:pPr>
    </w:p>
    <w:p>
      <w:pPr>
        <w:spacing w:before="0"/>
        <w:ind w:left="0" w:right="0" w:firstLine="0"/>
        <w:jc w:val="right"/>
        <w:rPr>
          <w:sz w:val="12"/>
        </w:rPr>
      </w:pPr>
      <w:r>
        <w:rPr>
          <w:w w:val="120"/>
          <w:sz w:val="12"/>
        </w:rPr>
        <w:t>2000</w:t>
      </w:r>
    </w:p>
    <w:p>
      <w:pPr>
        <w:spacing w:before="104"/>
        <w:ind w:left="393" w:right="0" w:firstLine="0"/>
        <w:jc w:val="left"/>
        <w:rPr>
          <w:sz w:val="12"/>
        </w:rPr>
      </w:pPr>
      <w:r>
        <w:rPr/>
        <w:br w:type="column"/>
      </w:r>
      <w:r>
        <w:rPr>
          <w:w w:val="115"/>
          <w:sz w:val="12"/>
        </w:rPr>
        <w:t>1.0</w:t>
      </w:r>
    </w:p>
    <w:p>
      <w:pPr>
        <w:pStyle w:val="BodyText"/>
        <w:rPr>
          <w:sz w:val="12"/>
        </w:rPr>
      </w:pPr>
    </w:p>
    <w:p>
      <w:pPr>
        <w:pStyle w:val="BodyText"/>
        <w:rPr>
          <w:sz w:val="12"/>
        </w:rPr>
      </w:pPr>
    </w:p>
    <w:p>
      <w:pPr>
        <w:pStyle w:val="BodyText"/>
        <w:spacing w:before="6"/>
        <w:rPr>
          <w:sz w:val="13"/>
        </w:rPr>
      </w:pPr>
    </w:p>
    <w:p>
      <w:pPr>
        <w:spacing w:before="0"/>
        <w:ind w:left="393" w:right="0" w:firstLine="0"/>
        <w:jc w:val="left"/>
        <w:rPr>
          <w:sz w:val="12"/>
        </w:rPr>
      </w:pPr>
      <w:r>
        <w:rPr/>
        <w:pict>
          <v:line style="position:absolute;mso-position-horizontal-relative:page;mso-position-vertical-relative:paragraph;z-index:16064000" from="199.597pt,-24.898281pt" to="203.929pt,-24.898281pt" stroked="true" strokeweight=".5pt" strokecolor="#000000">
            <v:stroke dashstyle="solid"/>
            <w10:wrap type="none"/>
          </v:line>
        </w:pict>
      </w:r>
      <w:r>
        <w:rPr/>
        <w:pict>
          <v:line style="position:absolute;mso-position-horizontal-relative:page;mso-position-vertical-relative:paragraph;z-index:16064512" from="199.597pt,3.601718pt" to="203.929pt,3.601718pt" stroked="true" strokeweight=".5pt" strokecolor="#000000">
            <v:stroke dashstyle="solid"/>
            <w10:wrap type="none"/>
          </v:line>
        </w:pict>
      </w:r>
      <w:r>
        <w:rPr>
          <w:w w:val="115"/>
          <w:sz w:val="12"/>
        </w:rPr>
        <w:t>0.5</w:t>
      </w:r>
    </w:p>
    <w:p>
      <w:pPr>
        <w:pStyle w:val="BodyText"/>
        <w:spacing w:before="1"/>
        <w:rPr>
          <w:sz w:val="16"/>
        </w:rPr>
      </w:pPr>
    </w:p>
    <w:p>
      <w:pPr>
        <w:spacing w:before="0"/>
        <w:ind w:left="344" w:right="0" w:firstLine="0"/>
        <w:jc w:val="left"/>
        <w:rPr>
          <w:sz w:val="16"/>
        </w:rPr>
      </w:pPr>
      <w:r>
        <w:rPr>
          <w:w w:val="107"/>
          <w:sz w:val="16"/>
        </w:rPr>
        <w:t>+</w:t>
      </w:r>
    </w:p>
    <w:p>
      <w:pPr>
        <w:spacing w:before="78"/>
        <w:ind w:left="393" w:right="0" w:firstLine="0"/>
        <w:jc w:val="left"/>
        <w:rPr>
          <w:sz w:val="12"/>
        </w:rPr>
      </w:pPr>
      <w:r>
        <w:rPr/>
        <w:pict>
          <v:line style="position:absolute;mso-position-horizontal-relative:page;mso-position-vertical-relative:paragraph;z-index:16065024" from="199.597pt,7.50171pt" to="203.929pt,7.50171pt" stroked="true" strokeweight=".5pt" strokecolor="#000000">
            <v:stroke dashstyle="solid"/>
            <w10:wrap type="none"/>
          </v:line>
        </w:pict>
      </w:r>
      <w:r>
        <w:rPr>
          <w:w w:val="115"/>
          <w:sz w:val="12"/>
        </w:rPr>
        <w:t>0.0</w:t>
      </w:r>
    </w:p>
    <w:p>
      <w:pPr>
        <w:spacing w:before="50"/>
        <w:ind w:left="345" w:right="0" w:firstLine="0"/>
        <w:jc w:val="left"/>
        <w:rPr>
          <w:sz w:val="16"/>
        </w:rPr>
      </w:pPr>
      <w:r>
        <w:rPr>
          <w:w w:val="117"/>
          <w:sz w:val="16"/>
        </w:rPr>
        <w:t>–</w:t>
      </w:r>
    </w:p>
    <w:p>
      <w:pPr>
        <w:pStyle w:val="BodyText"/>
        <w:spacing w:before="3"/>
        <w:rPr>
          <w:sz w:val="17"/>
        </w:rPr>
      </w:pPr>
    </w:p>
    <w:p>
      <w:pPr>
        <w:spacing w:before="0"/>
        <w:ind w:left="393" w:right="0" w:firstLine="0"/>
        <w:jc w:val="left"/>
        <w:rPr>
          <w:sz w:val="12"/>
        </w:rPr>
      </w:pPr>
      <w:r>
        <w:rPr/>
        <w:pict>
          <v:line style="position:absolute;mso-position-horizontal-relative:page;mso-position-vertical-relative:paragraph;z-index:16065536" from="199.597pt,3.601711pt" to="203.929pt,3.601711pt" stroked="true" strokeweight=".5pt" strokecolor="#000000">
            <v:stroke dashstyle="solid"/>
            <w10:wrap type="none"/>
          </v:line>
        </w:pict>
      </w:r>
      <w:r>
        <w:rPr/>
        <w:pict>
          <v:shape style="position:absolute;margin-left:50.763pt;margin-top:.49771pt;width:144.050pt;height:3.4pt;mso-position-horizontal-relative:page;mso-position-vertical-relative:paragraph;z-index:16067072" coordorigin="1015,10" coordsize="2881,68" path="m1015,72l3896,72m1016,10l1016,77m2031,10l2031,77m3046,10l3046,77e" filled="false" stroked="true" strokeweight=".5pt" strokecolor="#000000">
            <v:path arrowok="t"/>
            <v:stroke dashstyle="solid"/>
            <w10:wrap type="none"/>
          </v:shape>
        </w:pict>
      </w:r>
      <w:r>
        <w:rPr>
          <w:w w:val="115"/>
          <w:sz w:val="12"/>
        </w:rPr>
        <w:t>0.5</w:t>
      </w:r>
    </w:p>
    <w:p>
      <w:pPr>
        <w:pStyle w:val="BodyText"/>
        <w:spacing w:before="1"/>
        <w:rPr>
          <w:sz w:val="22"/>
        </w:rPr>
      </w:pPr>
      <w:r>
        <w:rPr/>
        <w:br w:type="column"/>
      </w:r>
      <w:r>
        <w:rPr>
          <w:sz w:val="22"/>
        </w:rPr>
      </w:r>
    </w:p>
    <w:p>
      <w:pPr>
        <w:pStyle w:val="BodyText"/>
        <w:spacing w:line="292" w:lineRule="auto"/>
        <w:ind w:left="723" w:right="130"/>
      </w:pPr>
      <w:r>
        <w:rPr>
          <w:w w:val="110"/>
        </w:rPr>
        <w:t>Manufacturing output continued </w:t>
      </w:r>
      <w:r>
        <w:rPr>
          <w:spacing w:val="-4"/>
          <w:w w:val="110"/>
        </w:rPr>
        <w:t>to </w:t>
      </w:r>
      <w:r>
        <w:rPr>
          <w:spacing w:val="-3"/>
          <w:w w:val="110"/>
        </w:rPr>
        <w:t>grow </w:t>
      </w:r>
      <w:r>
        <w:rPr>
          <w:w w:val="110"/>
        </w:rPr>
        <w:t>in Q4, with output rising</w:t>
      </w:r>
      <w:r>
        <w:rPr>
          <w:spacing w:val="-23"/>
          <w:w w:val="110"/>
        </w:rPr>
        <w:t> </w:t>
      </w:r>
      <w:r>
        <w:rPr>
          <w:spacing w:val="-3"/>
          <w:w w:val="110"/>
        </w:rPr>
        <w:t>by</w:t>
      </w:r>
      <w:r>
        <w:rPr>
          <w:spacing w:val="-23"/>
          <w:w w:val="110"/>
        </w:rPr>
        <w:t> </w:t>
      </w:r>
      <w:r>
        <w:rPr>
          <w:w w:val="110"/>
        </w:rPr>
        <w:t>0.5%.</w:t>
      </w:r>
      <w:r>
        <w:rPr>
          <w:spacing w:val="9"/>
          <w:w w:val="110"/>
        </w:rPr>
        <w:t> </w:t>
      </w:r>
      <w:r>
        <w:rPr>
          <w:w w:val="110"/>
        </w:rPr>
        <w:t>Forward-looking</w:t>
      </w:r>
      <w:r>
        <w:rPr>
          <w:spacing w:val="-22"/>
          <w:w w:val="110"/>
        </w:rPr>
        <w:t> </w:t>
      </w:r>
      <w:r>
        <w:rPr>
          <w:spacing w:val="-3"/>
          <w:w w:val="110"/>
        </w:rPr>
        <w:t>surveys</w:t>
      </w:r>
      <w:r>
        <w:rPr>
          <w:spacing w:val="-23"/>
          <w:w w:val="110"/>
        </w:rPr>
        <w:t> </w:t>
      </w:r>
      <w:r>
        <w:rPr>
          <w:w w:val="110"/>
        </w:rPr>
        <w:t>and</w:t>
      </w:r>
      <w:r>
        <w:rPr>
          <w:spacing w:val="-23"/>
          <w:w w:val="110"/>
        </w:rPr>
        <w:t> </w:t>
      </w:r>
      <w:r>
        <w:rPr>
          <w:w w:val="110"/>
        </w:rPr>
        <w:t>reports</w:t>
      </w:r>
      <w:r>
        <w:rPr>
          <w:spacing w:val="-23"/>
          <w:w w:val="110"/>
        </w:rPr>
        <w:t> </w:t>
      </w:r>
      <w:r>
        <w:rPr>
          <w:w w:val="110"/>
        </w:rPr>
        <w:t>from</w:t>
      </w:r>
      <w:r>
        <w:rPr>
          <w:spacing w:val="-23"/>
          <w:w w:val="110"/>
        </w:rPr>
        <w:t> </w:t>
      </w:r>
      <w:r>
        <w:rPr>
          <w:w w:val="110"/>
        </w:rPr>
        <w:t>the </w:t>
      </w:r>
      <w:r>
        <w:rPr>
          <w:spacing w:val="-3"/>
          <w:w w:val="110"/>
        </w:rPr>
        <w:t>Bank’s</w:t>
      </w:r>
      <w:r>
        <w:rPr>
          <w:spacing w:val="-19"/>
          <w:w w:val="110"/>
        </w:rPr>
        <w:t> </w:t>
      </w:r>
      <w:r>
        <w:rPr>
          <w:w w:val="110"/>
        </w:rPr>
        <w:t>regional</w:t>
      </w:r>
      <w:r>
        <w:rPr>
          <w:spacing w:val="-19"/>
          <w:w w:val="110"/>
        </w:rPr>
        <w:t> </w:t>
      </w:r>
      <w:r>
        <w:rPr>
          <w:w w:val="110"/>
        </w:rPr>
        <w:t>Agents</w:t>
      </w:r>
      <w:r>
        <w:rPr>
          <w:spacing w:val="-19"/>
          <w:w w:val="110"/>
        </w:rPr>
        <w:t> </w:t>
      </w:r>
      <w:r>
        <w:rPr>
          <w:w w:val="110"/>
        </w:rPr>
        <w:t>point</w:t>
      </w:r>
      <w:r>
        <w:rPr>
          <w:spacing w:val="-19"/>
          <w:w w:val="110"/>
        </w:rPr>
        <w:t> </w:t>
      </w:r>
      <w:r>
        <w:rPr>
          <w:spacing w:val="-4"/>
          <w:w w:val="110"/>
        </w:rPr>
        <w:t>to</w:t>
      </w:r>
      <w:r>
        <w:rPr>
          <w:spacing w:val="-19"/>
          <w:w w:val="110"/>
        </w:rPr>
        <w:t> </w:t>
      </w:r>
      <w:r>
        <w:rPr>
          <w:spacing w:val="-3"/>
          <w:w w:val="110"/>
        </w:rPr>
        <w:t>steady</w:t>
      </w:r>
      <w:r>
        <w:rPr>
          <w:spacing w:val="-19"/>
          <w:w w:val="110"/>
        </w:rPr>
        <w:t> </w:t>
      </w:r>
      <w:r>
        <w:rPr>
          <w:spacing w:val="-2"/>
          <w:w w:val="110"/>
        </w:rPr>
        <w:t>growth</w:t>
      </w:r>
      <w:r>
        <w:rPr>
          <w:spacing w:val="-19"/>
          <w:w w:val="110"/>
        </w:rPr>
        <w:t> </w:t>
      </w:r>
      <w:r>
        <w:rPr>
          <w:w w:val="110"/>
        </w:rPr>
        <w:t>in</w:t>
      </w:r>
      <w:r>
        <w:rPr>
          <w:spacing w:val="-19"/>
          <w:w w:val="110"/>
        </w:rPr>
        <w:t> </w:t>
      </w:r>
      <w:r>
        <w:rPr>
          <w:w w:val="110"/>
        </w:rPr>
        <w:t>the</w:t>
      </w:r>
      <w:r>
        <w:rPr>
          <w:spacing w:val="-19"/>
          <w:w w:val="110"/>
        </w:rPr>
        <w:t> </w:t>
      </w:r>
      <w:r>
        <w:rPr>
          <w:w w:val="110"/>
        </w:rPr>
        <w:t>near</w:t>
      </w:r>
      <w:r>
        <w:rPr>
          <w:spacing w:val="-19"/>
          <w:w w:val="110"/>
        </w:rPr>
        <w:t> </w:t>
      </w:r>
      <w:r>
        <w:rPr>
          <w:spacing w:val="-3"/>
          <w:w w:val="110"/>
        </w:rPr>
        <w:t>term, </w:t>
      </w:r>
      <w:r>
        <w:rPr>
          <w:w w:val="110"/>
        </w:rPr>
        <w:t>despite</w:t>
      </w:r>
      <w:r>
        <w:rPr>
          <w:spacing w:val="-29"/>
          <w:w w:val="110"/>
        </w:rPr>
        <w:t> </w:t>
      </w:r>
      <w:r>
        <w:rPr>
          <w:w w:val="110"/>
        </w:rPr>
        <w:t>the</w:t>
      </w:r>
      <w:r>
        <w:rPr>
          <w:spacing w:val="-28"/>
          <w:w w:val="110"/>
        </w:rPr>
        <w:t> </w:t>
      </w:r>
      <w:r>
        <w:rPr>
          <w:w w:val="110"/>
        </w:rPr>
        <w:t>expected</w:t>
      </w:r>
      <w:r>
        <w:rPr>
          <w:spacing w:val="-28"/>
          <w:w w:val="110"/>
        </w:rPr>
        <w:t> </w:t>
      </w:r>
      <w:r>
        <w:rPr>
          <w:w w:val="110"/>
        </w:rPr>
        <w:t>slowdown</w:t>
      </w:r>
      <w:r>
        <w:rPr>
          <w:spacing w:val="-29"/>
          <w:w w:val="110"/>
        </w:rPr>
        <w:t> </w:t>
      </w:r>
      <w:r>
        <w:rPr>
          <w:w w:val="110"/>
        </w:rPr>
        <w:t>in</w:t>
      </w:r>
      <w:r>
        <w:rPr>
          <w:spacing w:val="-28"/>
          <w:w w:val="110"/>
        </w:rPr>
        <w:t> </w:t>
      </w:r>
      <w:r>
        <w:rPr>
          <w:w w:val="110"/>
        </w:rPr>
        <w:t>aggregate</w:t>
      </w:r>
      <w:r>
        <w:rPr>
          <w:spacing w:val="-28"/>
          <w:w w:val="110"/>
        </w:rPr>
        <w:t> </w:t>
      </w:r>
      <w:r>
        <w:rPr>
          <w:w w:val="110"/>
        </w:rPr>
        <w:t>world</w:t>
      </w:r>
      <w:r>
        <w:rPr>
          <w:spacing w:val="-29"/>
          <w:w w:val="110"/>
        </w:rPr>
        <w:t> </w:t>
      </w:r>
      <w:r>
        <w:rPr>
          <w:w w:val="110"/>
        </w:rPr>
        <w:t>demand</w:t>
      </w:r>
      <w:r>
        <w:rPr>
          <w:spacing w:val="-28"/>
          <w:w w:val="110"/>
        </w:rPr>
        <w:t> </w:t>
      </w:r>
      <w:r>
        <w:rPr>
          <w:w w:val="110"/>
        </w:rPr>
        <w:t>(see </w:t>
      </w:r>
      <w:r>
        <w:rPr>
          <w:spacing w:val="-5"/>
          <w:w w:val="110"/>
        </w:rPr>
        <w:t>Table</w:t>
      </w:r>
      <w:r>
        <w:rPr>
          <w:spacing w:val="-22"/>
          <w:w w:val="110"/>
        </w:rPr>
        <w:t> </w:t>
      </w:r>
      <w:r>
        <w:rPr>
          <w:w w:val="110"/>
        </w:rPr>
        <w:t>2.F).</w:t>
      </w:r>
      <w:r>
        <w:rPr>
          <w:spacing w:val="12"/>
          <w:w w:val="110"/>
        </w:rPr>
        <w:t> </w:t>
      </w:r>
      <w:r>
        <w:rPr>
          <w:w w:val="110"/>
        </w:rPr>
        <w:t>The</w:t>
      </w:r>
      <w:r>
        <w:rPr>
          <w:spacing w:val="-22"/>
          <w:w w:val="110"/>
        </w:rPr>
        <w:t> </w:t>
      </w:r>
      <w:r>
        <w:rPr>
          <w:w w:val="110"/>
        </w:rPr>
        <w:t>previous</w:t>
      </w:r>
      <w:r>
        <w:rPr>
          <w:spacing w:val="-22"/>
          <w:w w:val="110"/>
        </w:rPr>
        <w:t> </w:t>
      </w:r>
      <w:r>
        <w:rPr>
          <w:i/>
          <w:w w:val="110"/>
        </w:rPr>
        <w:t>Report</w:t>
      </w:r>
      <w:r>
        <w:rPr>
          <w:i/>
          <w:spacing w:val="-21"/>
          <w:w w:val="110"/>
        </w:rPr>
        <w:t> </w:t>
      </w:r>
      <w:r>
        <w:rPr>
          <w:w w:val="110"/>
        </w:rPr>
        <w:t>highlighted</w:t>
      </w:r>
      <w:r>
        <w:rPr>
          <w:spacing w:val="-22"/>
          <w:w w:val="110"/>
        </w:rPr>
        <w:t> </w:t>
      </w:r>
      <w:r>
        <w:rPr>
          <w:w w:val="110"/>
        </w:rPr>
        <w:t>the</w:t>
      </w:r>
      <w:r>
        <w:rPr>
          <w:spacing w:val="-22"/>
          <w:w w:val="110"/>
        </w:rPr>
        <w:t> </w:t>
      </w:r>
      <w:r>
        <w:rPr>
          <w:w w:val="110"/>
        </w:rPr>
        <w:t>divergence</w:t>
      </w:r>
      <w:r>
        <w:rPr>
          <w:spacing w:val="-22"/>
          <w:w w:val="110"/>
        </w:rPr>
        <w:t> </w:t>
      </w:r>
      <w:r>
        <w:rPr>
          <w:w w:val="110"/>
        </w:rPr>
        <w:t>in output growth </w:t>
      </w:r>
      <w:r>
        <w:rPr>
          <w:spacing w:val="-3"/>
          <w:w w:val="110"/>
        </w:rPr>
        <w:t>between </w:t>
      </w:r>
      <w:r>
        <w:rPr>
          <w:w w:val="110"/>
        </w:rPr>
        <w:t>the high-technology </w:t>
      </w:r>
      <w:r>
        <w:rPr>
          <w:spacing w:val="-3"/>
          <w:w w:val="110"/>
        </w:rPr>
        <w:t>sectors </w:t>
      </w:r>
      <w:r>
        <w:rPr>
          <w:w w:val="110"/>
        </w:rPr>
        <w:t>and the </w:t>
      </w:r>
      <w:r>
        <w:rPr>
          <w:spacing w:val="-3"/>
          <w:w w:val="110"/>
        </w:rPr>
        <w:t>rest </w:t>
      </w:r>
      <w:r>
        <w:rPr>
          <w:w w:val="110"/>
        </w:rPr>
        <w:t>of manufacturing. Those </w:t>
      </w:r>
      <w:r>
        <w:rPr>
          <w:spacing w:val="-3"/>
          <w:w w:val="110"/>
        </w:rPr>
        <w:t>patterns </w:t>
      </w:r>
      <w:r>
        <w:rPr>
          <w:w w:val="110"/>
        </w:rPr>
        <w:t>remained in Q4</w:t>
      </w:r>
      <w:r>
        <w:rPr>
          <w:spacing w:val="-32"/>
          <w:w w:val="110"/>
        </w:rPr>
        <w:t> </w:t>
      </w:r>
      <w:r>
        <w:rPr>
          <w:w w:val="110"/>
        </w:rPr>
        <w:t>(see</w:t>
      </w:r>
    </w:p>
    <w:p>
      <w:pPr>
        <w:spacing w:after="0" w:line="292" w:lineRule="auto"/>
        <w:sectPr>
          <w:type w:val="continuous"/>
          <w:pgSz w:w="11900" w:h="16840"/>
          <w:pgMar w:top="1260" w:bottom="280" w:left="640" w:right="640"/>
          <w:cols w:num="4" w:equalWidth="0">
            <w:col w:w="2005" w:space="40"/>
            <w:col w:w="1001" w:space="39"/>
            <w:col w:w="606" w:space="674"/>
            <w:col w:w="6255"/>
          </w:cols>
        </w:sectPr>
      </w:pPr>
    </w:p>
    <w:p>
      <w:pPr>
        <w:spacing w:line="79" w:lineRule="exact" w:before="0"/>
        <w:ind w:left="189" w:right="0" w:firstLine="0"/>
        <w:jc w:val="left"/>
        <w:rPr>
          <w:sz w:val="12"/>
        </w:rPr>
      </w:pPr>
      <w:r>
        <w:rPr>
          <w:w w:val="110"/>
          <w:sz w:val="12"/>
        </w:rPr>
        <w:t>(a) At constant 1995 basic prices. Contributions do not sum to the</w:t>
      </w:r>
    </w:p>
    <w:p>
      <w:pPr>
        <w:spacing w:line="129" w:lineRule="exact" w:before="0"/>
        <w:ind w:left="429" w:right="0" w:firstLine="0"/>
        <w:jc w:val="left"/>
        <w:rPr>
          <w:sz w:val="12"/>
        </w:rPr>
      </w:pPr>
      <w:r>
        <w:rPr>
          <w:w w:val="110"/>
          <w:sz w:val="12"/>
        </w:rPr>
        <w:t>total due to rounding.</w:t>
      </w:r>
    </w:p>
    <w:p>
      <w:pPr>
        <w:pStyle w:val="BodyText"/>
        <w:spacing w:line="226" w:lineRule="exact"/>
        <w:ind w:left="189"/>
      </w:pPr>
      <w:r>
        <w:rPr/>
        <w:br w:type="column"/>
      </w:r>
      <w:r>
        <w:rPr>
          <w:w w:val="110"/>
        </w:rPr>
        <w:t>Chart 2.21), and the latest Engineering Employers Federation</w:t>
      </w:r>
    </w:p>
    <w:p>
      <w:pPr>
        <w:spacing w:after="0" w:line="226" w:lineRule="exact"/>
        <w:sectPr>
          <w:type w:val="continuous"/>
          <w:pgSz w:w="11900" w:h="16840"/>
          <w:pgMar w:top="1260" w:bottom="280" w:left="640" w:right="640"/>
          <w:cols w:num="2" w:equalWidth="0">
            <w:col w:w="3732" w:space="1167"/>
            <w:col w:w="5721"/>
          </w:cols>
        </w:sectPr>
      </w:pPr>
    </w:p>
    <w:p>
      <w:pPr>
        <w:pStyle w:val="BodyText"/>
      </w:pPr>
    </w:p>
    <w:p>
      <w:pPr>
        <w:spacing w:after="0"/>
        <w:sectPr>
          <w:pgSz w:w="11900" w:h="16840"/>
          <w:pgMar w:header="601" w:footer="575" w:top="800" w:bottom="760" w:left="640" w:right="640"/>
        </w:sectPr>
      </w:pPr>
    </w:p>
    <w:p>
      <w:pPr>
        <w:pStyle w:val="BodyText"/>
        <w:spacing w:before="4"/>
        <w:rPr>
          <w:sz w:val="22"/>
        </w:rPr>
      </w:pPr>
    </w:p>
    <w:p>
      <w:pPr>
        <w:pStyle w:val="Heading6"/>
      </w:pPr>
      <w:bookmarkStart w:name="Summary" w:id="58"/>
      <w:bookmarkEnd w:id="58"/>
      <w:r>
        <w:rPr>
          <w:b w:val="0"/>
        </w:rPr>
      </w:r>
      <w:bookmarkStart w:name="_bookmark28" w:id="59"/>
      <w:bookmarkEnd w:id="59"/>
      <w:r>
        <w:rPr>
          <w:b w:val="0"/>
        </w:rPr>
      </w:r>
      <w:r>
        <w:rPr>
          <w:color w:val="89C6DC"/>
          <w:spacing w:val="-15"/>
          <w:w w:val="81"/>
        </w:rPr>
        <w:t>T</w:t>
      </w:r>
      <w:r>
        <w:rPr>
          <w:color w:val="89C6DC"/>
          <w:spacing w:val="-1"/>
          <w:w w:val="91"/>
        </w:rPr>
        <w:t>abl</w:t>
      </w:r>
      <w:r>
        <w:rPr>
          <w:color w:val="89C6DC"/>
          <w:w w:val="91"/>
        </w:rPr>
        <w:t>e</w:t>
      </w:r>
      <w:r>
        <w:rPr>
          <w:color w:val="89C6DC"/>
          <w:spacing w:val="6"/>
        </w:rPr>
        <w:t> </w:t>
      </w:r>
      <w:r>
        <w:rPr>
          <w:smallCaps/>
          <w:color w:val="89C6DC"/>
          <w:spacing w:val="-1"/>
          <w:w w:val="85"/>
        </w:rPr>
        <w:t>2.E</w:t>
      </w:r>
    </w:p>
    <w:p>
      <w:pPr>
        <w:spacing w:before="8"/>
        <w:ind w:left="178" w:right="0" w:firstLine="0"/>
        <w:jc w:val="left"/>
        <w:rPr>
          <w:sz w:val="12"/>
        </w:rPr>
      </w:pPr>
      <w:r>
        <w:rPr>
          <w:rFonts w:ascii="Trebuchet MS"/>
          <w:b/>
          <w:color w:val="89C6DC"/>
          <w:sz w:val="20"/>
        </w:rPr>
        <w:t>Service sector output prospects</w:t>
      </w:r>
      <w:r>
        <w:rPr>
          <w:position w:val="4"/>
          <w:sz w:val="12"/>
        </w:rPr>
        <w:t>(a)</w:t>
      </w:r>
    </w:p>
    <w:p>
      <w:pPr>
        <w:tabs>
          <w:tab w:pos="4340" w:val="right" w:leader="none"/>
        </w:tabs>
        <w:spacing w:line="150" w:lineRule="exact" w:before="105"/>
        <w:ind w:left="2238" w:right="0" w:firstLine="0"/>
        <w:jc w:val="left"/>
        <w:rPr>
          <w:sz w:val="14"/>
        </w:rPr>
      </w:pPr>
      <w:r>
        <w:rPr>
          <w:w w:val="115"/>
          <w:sz w:val="14"/>
        </w:rPr>
        <w:t>Series</w:t>
        <w:tab/>
      </w:r>
      <w:r>
        <w:rPr>
          <w:spacing w:val="-3"/>
          <w:w w:val="115"/>
          <w:sz w:val="14"/>
          <w:u w:val="single"/>
        </w:rPr>
        <w:t>2000</w:t>
      </w:r>
      <w:r>
        <w:rPr>
          <w:spacing w:val="-3"/>
          <w:sz w:val="14"/>
          <w:u w:val="single"/>
        </w:rPr>
        <w:tab/>
      </w:r>
    </w:p>
    <w:p>
      <w:pPr>
        <w:tabs>
          <w:tab w:pos="3738" w:val="left" w:leader="none"/>
        </w:tabs>
        <w:spacing w:line="150" w:lineRule="exact" w:before="0"/>
        <w:ind w:left="2238" w:right="0" w:firstLine="0"/>
        <w:jc w:val="left"/>
        <w:rPr>
          <w:sz w:val="14"/>
        </w:rPr>
      </w:pPr>
      <w:r>
        <w:rPr>
          <w:w w:val="110"/>
          <w:sz w:val="14"/>
        </w:rPr>
        <w:t>average </w:t>
      </w:r>
      <w:r>
        <w:rPr>
          <w:w w:val="110"/>
          <w:sz w:val="12"/>
        </w:rPr>
        <w:t>(b) </w:t>
      </w:r>
      <w:r>
        <w:rPr>
          <w:spacing w:val="16"/>
          <w:w w:val="110"/>
          <w:sz w:val="12"/>
        </w:rPr>
        <w:t> </w:t>
      </w:r>
      <w:r>
        <w:rPr>
          <w:w w:val="110"/>
          <w:sz w:val="14"/>
        </w:rPr>
        <w:t>Q1   </w:t>
      </w:r>
      <w:r>
        <w:rPr>
          <w:spacing w:val="9"/>
          <w:w w:val="110"/>
          <w:sz w:val="14"/>
        </w:rPr>
        <w:t> </w:t>
      </w:r>
      <w:r>
        <w:rPr>
          <w:w w:val="110"/>
          <w:sz w:val="14"/>
        </w:rPr>
        <w:t>Q2</w:t>
        <w:tab/>
        <w:t>Q3</w:t>
      </w:r>
      <w:r>
        <w:rPr>
          <w:spacing w:val="6"/>
          <w:w w:val="110"/>
          <w:sz w:val="14"/>
        </w:rPr>
        <w:t> </w:t>
      </w:r>
      <w:r>
        <w:rPr>
          <w:w w:val="110"/>
          <w:sz w:val="14"/>
        </w:rPr>
        <w:t>Q4</w:t>
      </w:r>
    </w:p>
    <w:p>
      <w:pPr>
        <w:pStyle w:val="BodyText"/>
        <w:spacing w:before="8"/>
        <w:rPr>
          <w:sz w:val="3"/>
        </w:rPr>
      </w:pPr>
    </w:p>
    <w:tbl>
      <w:tblPr>
        <w:tblW w:w="0" w:type="auto"/>
        <w:jc w:val="left"/>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7"/>
        <w:gridCol w:w="655"/>
        <w:gridCol w:w="45"/>
        <w:gridCol w:w="275"/>
        <w:gridCol w:w="126"/>
        <w:gridCol w:w="275"/>
        <w:gridCol w:w="116"/>
        <w:gridCol w:w="370"/>
        <w:gridCol w:w="305"/>
      </w:tblGrid>
      <w:tr>
        <w:trPr>
          <w:trHeight w:val="520" w:hRule="atLeast"/>
        </w:trPr>
        <w:tc>
          <w:tcPr>
            <w:tcW w:w="2097" w:type="dxa"/>
          </w:tcPr>
          <w:p>
            <w:pPr>
              <w:pStyle w:val="TableParagraph"/>
              <w:spacing w:line="150" w:lineRule="exact" w:before="73"/>
              <w:ind w:left="50"/>
              <w:rPr>
                <w:sz w:val="12"/>
              </w:rPr>
            </w:pPr>
            <w:r>
              <w:rPr>
                <w:sz w:val="14"/>
              </w:rPr>
              <w:t>CIPS </w:t>
            </w:r>
            <w:r>
              <w:rPr>
                <w:sz w:val="12"/>
              </w:rPr>
              <w:t>(c)</w:t>
            </w:r>
          </w:p>
          <w:p>
            <w:pPr>
              <w:pStyle w:val="TableParagraph"/>
              <w:spacing w:line="140" w:lineRule="exact" w:before="8"/>
              <w:ind w:left="191" w:right="591" w:hanging="36"/>
              <w:rPr>
                <w:sz w:val="14"/>
              </w:rPr>
            </w:pPr>
            <w:r>
              <w:rPr>
                <w:w w:val="105"/>
                <w:sz w:val="14"/>
              </w:rPr>
              <w:t>Business expectations, next twelve months</w:t>
            </w:r>
          </w:p>
        </w:tc>
        <w:tc>
          <w:tcPr>
            <w:tcW w:w="655" w:type="dxa"/>
            <w:tcBorders>
              <w:top w:val="single" w:sz="2" w:space="0" w:color="000000"/>
            </w:tcBorders>
          </w:tcPr>
          <w:p>
            <w:pPr>
              <w:pStyle w:val="TableParagraph"/>
              <w:rPr>
                <w:sz w:val="14"/>
              </w:rPr>
            </w:pPr>
          </w:p>
          <w:p>
            <w:pPr>
              <w:pStyle w:val="TableParagraph"/>
              <w:spacing w:before="8"/>
              <w:rPr>
                <w:sz w:val="16"/>
              </w:rPr>
            </w:pPr>
          </w:p>
          <w:p>
            <w:pPr>
              <w:pStyle w:val="TableParagraph"/>
              <w:spacing w:line="147" w:lineRule="exact"/>
              <w:ind w:right="250"/>
              <w:jc w:val="right"/>
              <w:rPr>
                <w:sz w:val="14"/>
              </w:rPr>
            </w:pPr>
            <w:r>
              <w:rPr>
                <w:w w:val="115"/>
                <w:sz w:val="14"/>
              </w:rPr>
              <w:t>77.5</w:t>
            </w:r>
          </w:p>
        </w:tc>
        <w:tc>
          <w:tcPr>
            <w:tcW w:w="45" w:type="dxa"/>
          </w:tcPr>
          <w:p>
            <w:pPr>
              <w:pStyle w:val="TableParagraph"/>
              <w:rPr>
                <w:sz w:val="16"/>
              </w:rPr>
            </w:pPr>
          </w:p>
        </w:tc>
        <w:tc>
          <w:tcPr>
            <w:tcW w:w="275" w:type="dxa"/>
            <w:tcBorders>
              <w:top w:val="single" w:sz="2" w:space="0" w:color="000000"/>
            </w:tcBorders>
          </w:tcPr>
          <w:p>
            <w:pPr>
              <w:pStyle w:val="TableParagraph"/>
              <w:rPr>
                <w:sz w:val="14"/>
              </w:rPr>
            </w:pPr>
          </w:p>
          <w:p>
            <w:pPr>
              <w:pStyle w:val="TableParagraph"/>
              <w:spacing w:before="8"/>
              <w:rPr>
                <w:sz w:val="16"/>
              </w:rPr>
            </w:pPr>
          </w:p>
          <w:p>
            <w:pPr>
              <w:pStyle w:val="TableParagraph"/>
              <w:spacing w:line="147" w:lineRule="exact"/>
              <w:ind w:left="-3"/>
              <w:jc w:val="right"/>
              <w:rPr>
                <w:sz w:val="14"/>
              </w:rPr>
            </w:pPr>
            <w:r>
              <w:rPr>
                <w:spacing w:val="-10"/>
                <w:w w:val="115"/>
                <w:sz w:val="14"/>
              </w:rPr>
              <w:t>77.5</w:t>
            </w:r>
          </w:p>
        </w:tc>
        <w:tc>
          <w:tcPr>
            <w:tcW w:w="126" w:type="dxa"/>
          </w:tcPr>
          <w:p>
            <w:pPr>
              <w:pStyle w:val="TableParagraph"/>
              <w:rPr>
                <w:sz w:val="16"/>
              </w:rPr>
            </w:pPr>
          </w:p>
        </w:tc>
        <w:tc>
          <w:tcPr>
            <w:tcW w:w="275" w:type="dxa"/>
            <w:tcBorders>
              <w:top w:val="single" w:sz="2" w:space="0" w:color="000000"/>
            </w:tcBorders>
          </w:tcPr>
          <w:p>
            <w:pPr>
              <w:pStyle w:val="TableParagraph"/>
              <w:rPr>
                <w:sz w:val="14"/>
              </w:rPr>
            </w:pPr>
          </w:p>
          <w:p>
            <w:pPr>
              <w:pStyle w:val="TableParagraph"/>
              <w:spacing w:before="8"/>
              <w:rPr>
                <w:sz w:val="16"/>
              </w:rPr>
            </w:pPr>
          </w:p>
          <w:p>
            <w:pPr>
              <w:pStyle w:val="TableParagraph"/>
              <w:spacing w:line="147" w:lineRule="exact"/>
              <w:ind w:left="-3" w:right="1"/>
              <w:jc w:val="right"/>
              <w:rPr>
                <w:sz w:val="14"/>
              </w:rPr>
            </w:pPr>
            <w:r>
              <w:rPr>
                <w:spacing w:val="-7"/>
                <w:w w:val="115"/>
                <w:sz w:val="14"/>
              </w:rPr>
              <w:t>75.4</w:t>
            </w:r>
          </w:p>
        </w:tc>
        <w:tc>
          <w:tcPr>
            <w:tcW w:w="116" w:type="dxa"/>
          </w:tcPr>
          <w:p>
            <w:pPr>
              <w:pStyle w:val="TableParagraph"/>
              <w:rPr>
                <w:sz w:val="16"/>
              </w:rPr>
            </w:pPr>
          </w:p>
        </w:tc>
        <w:tc>
          <w:tcPr>
            <w:tcW w:w="675" w:type="dxa"/>
            <w:gridSpan w:val="2"/>
          </w:tcPr>
          <w:p>
            <w:pPr>
              <w:pStyle w:val="TableParagraph"/>
              <w:spacing w:line="20" w:lineRule="exact"/>
              <w:ind w:left="30"/>
              <w:rPr>
                <w:sz w:val="2"/>
              </w:rPr>
            </w:pPr>
            <w:r>
              <w:rPr>
                <w:sz w:val="2"/>
              </w:rPr>
              <w:pict>
                <v:group style="width:10.8pt;height:.15pt;mso-position-horizontal-relative:char;mso-position-vertical-relative:line" coordorigin="0,0" coordsize="216,3">
                  <v:line style="position:absolute" from="0,1" to="215,1" stroked="true" strokeweight=".125pt" strokecolor="#000000">
                    <v:stroke dashstyle="solid"/>
                  </v:line>
                </v:group>
              </w:pict>
            </w:r>
            <w:r>
              <w:rPr>
                <w:sz w:val="2"/>
              </w:rPr>
            </w:r>
          </w:p>
          <w:p>
            <w:pPr>
              <w:pStyle w:val="TableParagraph"/>
              <w:rPr>
                <w:sz w:val="14"/>
              </w:rPr>
            </w:pPr>
          </w:p>
          <w:p>
            <w:pPr>
              <w:pStyle w:val="TableParagraph"/>
              <w:rPr>
                <w:sz w:val="15"/>
              </w:rPr>
            </w:pPr>
          </w:p>
          <w:p>
            <w:pPr>
              <w:pStyle w:val="TableParagraph"/>
              <w:spacing w:line="147" w:lineRule="exact"/>
              <w:ind w:left="11"/>
              <w:rPr>
                <w:sz w:val="14"/>
              </w:rPr>
            </w:pPr>
            <w:r>
              <w:rPr>
                <w:w w:val="115"/>
                <w:sz w:val="14"/>
              </w:rPr>
              <w:t>74.6 75.0</w:t>
            </w:r>
          </w:p>
        </w:tc>
      </w:tr>
      <w:tr>
        <w:trPr>
          <w:trHeight w:val="420" w:hRule="atLeast"/>
        </w:trPr>
        <w:tc>
          <w:tcPr>
            <w:tcW w:w="2097" w:type="dxa"/>
          </w:tcPr>
          <w:p>
            <w:pPr>
              <w:pStyle w:val="TableParagraph"/>
              <w:spacing w:line="123" w:lineRule="exact"/>
              <w:ind w:left="156"/>
              <w:rPr>
                <w:sz w:val="14"/>
              </w:rPr>
            </w:pPr>
            <w:r>
              <w:rPr>
                <w:w w:val="105"/>
                <w:sz w:val="14"/>
              </w:rPr>
              <w:t>Incoming business</w:t>
            </w:r>
          </w:p>
          <w:p>
            <w:pPr>
              <w:pStyle w:val="TableParagraph"/>
              <w:spacing w:line="140" w:lineRule="exact" w:before="8"/>
              <w:ind w:left="85" w:right="480" w:hanging="36"/>
              <w:rPr>
                <w:sz w:val="14"/>
              </w:rPr>
            </w:pPr>
            <w:r>
              <w:rPr>
                <w:w w:val="105"/>
                <w:sz w:val="14"/>
              </w:rPr>
              <w:t>BCC business confidence, next twelve months</w:t>
            </w:r>
          </w:p>
        </w:tc>
        <w:tc>
          <w:tcPr>
            <w:tcW w:w="655" w:type="dxa"/>
          </w:tcPr>
          <w:p>
            <w:pPr>
              <w:pStyle w:val="TableParagraph"/>
              <w:spacing w:line="134" w:lineRule="exact"/>
              <w:ind w:right="250"/>
              <w:jc w:val="right"/>
              <w:rPr>
                <w:sz w:val="14"/>
              </w:rPr>
            </w:pPr>
            <w:r>
              <w:rPr>
                <w:spacing w:val="-4"/>
                <w:w w:val="115"/>
                <w:sz w:val="14"/>
              </w:rPr>
              <w:t>56.4</w:t>
            </w:r>
          </w:p>
          <w:p>
            <w:pPr>
              <w:pStyle w:val="TableParagraph"/>
              <w:spacing w:line="147" w:lineRule="exact" w:before="119"/>
              <w:ind w:right="249"/>
              <w:jc w:val="right"/>
              <w:rPr>
                <w:sz w:val="14"/>
              </w:rPr>
            </w:pPr>
            <w:r>
              <w:rPr>
                <w:spacing w:val="-5"/>
                <w:w w:val="120"/>
                <w:sz w:val="14"/>
              </w:rPr>
              <w:t>47</w:t>
            </w:r>
          </w:p>
        </w:tc>
        <w:tc>
          <w:tcPr>
            <w:tcW w:w="45" w:type="dxa"/>
          </w:tcPr>
          <w:p>
            <w:pPr>
              <w:pStyle w:val="TableParagraph"/>
              <w:rPr>
                <w:sz w:val="16"/>
              </w:rPr>
            </w:pPr>
          </w:p>
        </w:tc>
        <w:tc>
          <w:tcPr>
            <w:tcW w:w="275" w:type="dxa"/>
          </w:tcPr>
          <w:p>
            <w:pPr>
              <w:pStyle w:val="TableParagraph"/>
              <w:spacing w:line="134" w:lineRule="exact"/>
              <w:ind w:left="-3"/>
              <w:jc w:val="right"/>
              <w:rPr>
                <w:sz w:val="14"/>
              </w:rPr>
            </w:pPr>
            <w:r>
              <w:rPr>
                <w:spacing w:val="-4"/>
                <w:w w:val="115"/>
                <w:sz w:val="14"/>
              </w:rPr>
              <w:t>56.9</w:t>
            </w:r>
          </w:p>
          <w:p>
            <w:pPr>
              <w:pStyle w:val="TableParagraph"/>
              <w:spacing w:line="147" w:lineRule="exact" w:before="119"/>
              <w:ind w:left="-3" w:right="1"/>
              <w:jc w:val="right"/>
              <w:rPr>
                <w:sz w:val="14"/>
              </w:rPr>
            </w:pPr>
            <w:r>
              <w:rPr>
                <w:spacing w:val="-6"/>
                <w:w w:val="120"/>
                <w:sz w:val="14"/>
              </w:rPr>
              <w:t>56</w:t>
            </w:r>
          </w:p>
        </w:tc>
        <w:tc>
          <w:tcPr>
            <w:tcW w:w="126" w:type="dxa"/>
          </w:tcPr>
          <w:p>
            <w:pPr>
              <w:pStyle w:val="TableParagraph"/>
              <w:rPr>
                <w:sz w:val="16"/>
              </w:rPr>
            </w:pPr>
          </w:p>
        </w:tc>
        <w:tc>
          <w:tcPr>
            <w:tcW w:w="275" w:type="dxa"/>
          </w:tcPr>
          <w:p>
            <w:pPr>
              <w:pStyle w:val="TableParagraph"/>
              <w:spacing w:line="134" w:lineRule="exact"/>
              <w:ind w:left="-3" w:right="1"/>
              <w:jc w:val="right"/>
              <w:rPr>
                <w:sz w:val="14"/>
              </w:rPr>
            </w:pPr>
            <w:r>
              <w:rPr>
                <w:spacing w:val="-4"/>
                <w:w w:val="115"/>
                <w:sz w:val="14"/>
              </w:rPr>
              <w:t>56.6</w:t>
            </w:r>
          </w:p>
          <w:p>
            <w:pPr>
              <w:pStyle w:val="TableParagraph"/>
              <w:spacing w:line="147" w:lineRule="exact" w:before="119"/>
              <w:ind w:left="-3"/>
              <w:jc w:val="right"/>
              <w:rPr>
                <w:sz w:val="14"/>
              </w:rPr>
            </w:pPr>
            <w:r>
              <w:rPr>
                <w:spacing w:val="-6"/>
                <w:w w:val="120"/>
                <w:sz w:val="14"/>
              </w:rPr>
              <w:t>56</w:t>
            </w:r>
          </w:p>
        </w:tc>
        <w:tc>
          <w:tcPr>
            <w:tcW w:w="116" w:type="dxa"/>
          </w:tcPr>
          <w:p>
            <w:pPr>
              <w:pStyle w:val="TableParagraph"/>
              <w:rPr>
                <w:sz w:val="16"/>
              </w:rPr>
            </w:pPr>
          </w:p>
        </w:tc>
        <w:tc>
          <w:tcPr>
            <w:tcW w:w="675" w:type="dxa"/>
            <w:gridSpan w:val="2"/>
          </w:tcPr>
          <w:p>
            <w:pPr>
              <w:pStyle w:val="TableParagraph"/>
              <w:spacing w:line="134" w:lineRule="exact"/>
              <w:ind w:left="-4" w:right="52"/>
              <w:jc w:val="right"/>
              <w:rPr>
                <w:sz w:val="14"/>
              </w:rPr>
            </w:pPr>
            <w:r>
              <w:rPr>
                <w:spacing w:val="-4"/>
                <w:w w:val="115"/>
                <w:sz w:val="14"/>
              </w:rPr>
              <w:t>56.6 </w:t>
            </w:r>
            <w:r>
              <w:rPr>
                <w:spacing w:val="11"/>
                <w:w w:val="115"/>
                <w:sz w:val="14"/>
              </w:rPr>
              <w:t> </w:t>
            </w:r>
            <w:r>
              <w:rPr>
                <w:spacing w:val="-7"/>
                <w:w w:val="115"/>
                <w:sz w:val="14"/>
              </w:rPr>
              <w:t>56.7</w:t>
            </w:r>
          </w:p>
          <w:p>
            <w:pPr>
              <w:pStyle w:val="TableParagraph"/>
              <w:spacing w:line="147" w:lineRule="exact" w:before="119"/>
              <w:ind w:left="-4" w:right="51"/>
              <w:jc w:val="right"/>
              <w:rPr>
                <w:sz w:val="14"/>
              </w:rPr>
            </w:pPr>
            <w:r>
              <w:rPr>
                <w:spacing w:val="-6"/>
                <w:w w:val="120"/>
                <w:sz w:val="14"/>
              </w:rPr>
              <w:t>52    </w:t>
            </w:r>
            <w:r>
              <w:rPr>
                <w:spacing w:val="12"/>
                <w:w w:val="120"/>
                <w:sz w:val="14"/>
              </w:rPr>
              <w:t> </w:t>
            </w:r>
            <w:r>
              <w:rPr>
                <w:spacing w:val="-8"/>
                <w:w w:val="120"/>
                <w:sz w:val="14"/>
              </w:rPr>
              <w:t>53</w:t>
            </w:r>
          </w:p>
        </w:tc>
      </w:tr>
      <w:tr>
        <w:trPr>
          <w:trHeight w:val="280" w:hRule="atLeast"/>
        </w:trPr>
        <w:tc>
          <w:tcPr>
            <w:tcW w:w="2097" w:type="dxa"/>
          </w:tcPr>
          <w:p>
            <w:pPr>
              <w:pStyle w:val="TableParagraph"/>
              <w:spacing w:line="123" w:lineRule="exact"/>
              <w:ind w:left="50"/>
              <w:rPr>
                <w:sz w:val="14"/>
              </w:rPr>
            </w:pPr>
            <w:r>
              <w:rPr>
                <w:w w:val="105"/>
                <w:sz w:val="14"/>
              </w:rPr>
              <w:t>BCC home</w:t>
            </w:r>
            <w:r>
              <w:rPr>
                <w:spacing w:val="-16"/>
                <w:w w:val="105"/>
                <w:sz w:val="14"/>
              </w:rPr>
              <w:t> </w:t>
            </w:r>
            <w:r>
              <w:rPr>
                <w:w w:val="105"/>
                <w:sz w:val="14"/>
              </w:rPr>
              <w:t>orders,</w:t>
            </w:r>
          </w:p>
          <w:p>
            <w:pPr>
              <w:pStyle w:val="TableParagraph"/>
              <w:spacing w:line="137" w:lineRule="exact"/>
              <w:ind w:left="85"/>
              <w:rPr>
                <w:sz w:val="14"/>
              </w:rPr>
            </w:pPr>
            <w:r>
              <w:rPr>
                <w:w w:val="110"/>
                <w:sz w:val="14"/>
              </w:rPr>
              <w:t>past three</w:t>
            </w:r>
            <w:r>
              <w:rPr>
                <w:spacing w:val="-15"/>
                <w:w w:val="110"/>
                <w:sz w:val="14"/>
              </w:rPr>
              <w:t> </w:t>
            </w:r>
            <w:r>
              <w:rPr>
                <w:w w:val="110"/>
                <w:sz w:val="14"/>
              </w:rPr>
              <w:t>months</w:t>
            </w:r>
          </w:p>
        </w:tc>
        <w:tc>
          <w:tcPr>
            <w:tcW w:w="655" w:type="dxa"/>
          </w:tcPr>
          <w:p>
            <w:pPr>
              <w:pStyle w:val="TableParagraph"/>
              <w:spacing w:line="147" w:lineRule="exact" w:before="113"/>
              <w:ind w:right="249"/>
              <w:jc w:val="right"/>
              <w:rPr>
                <w:sz w:val="14"/>
              </w:rPr>
            </w:pPr>
            <w:r>
              <w:rPr>
                <w:w w:val="120"/>
                <w:sz w:val="14"/>
              </w:rPr>
              <w:t>17</w:t>
            </w:r>
          </w:p>
        </w:tc>
        <w:tc>
          <w:tcPr>
            <w:tcW w:w="45" w:type="dxa"/>
          </w:tcPr>
          <w:p>
            <w:pPr>
              <w:pStyle w:val="TableParagraph"/>
              <w:rPr>
                <w:sz w:val="16"/>
              </w:rPr>
            </w:pPr>
          </w:p>
        </w:tc>
        <w:tc>
          <w:tcPr>
            <w:tcW w:w="275" w:type="dxa"/>
          </w:tcPr>
          <w:p>
            <w:pPr>
              <w:pStyle w:val="TableParagraph"/>
              <w:spacing w:line="147" w:lineRule="exact" w:before="113"/>
              <w:ind w:left="-3" w:right="1"/>
              <w:jc w:val="right"/>
              <w:rPr>
                <w:sz w:val="14"/>
              </w:rPr>
            </w:pPr>
            <w:r>
              <w:rPr>
                <w:w w:val="120"/>
                <w:sz w:val="14"/>
              </w:rPr>
              <w:t>21</w:t>
            </w:r>
          </w:p>
        </w:tc>
        <w:tc>
          <w:tcPr>
            <w:tcW w:w="126" w:type="dxa"/>
          </w:tcPr>
          <w:p>
            <w:pPr>
              <w:pStyle w:val="TableParagraph"/>
              <w:rPr>
                <w:sz w:val="16"/>
              </w:rPr>
            </w:pPr>
          </w:p>
        </w:tc>
        <w:tc>
          <w:tcPr>
            <w:tcW w:w="275" w:type="dxa"/>
          </w:tcPr>
          <w:p>
            <w:pPr>
              <w:pStyle w:val="TableParagraph"/>
              <w:spacing w:line="147" w:lineRule="exact" w:before="113"/>
              <w:ind w:left="-3"/>
              <w:jc w:val="right"/>
              <w:rPr>
                <w:sz w:val="14"/>
              </w:rPr>
            </w:pPr>
            <w:r>
              <w:rPr>
                <w:w w:val="120"/>
                <w:sz w:val="14"/>
              </w:rPr>
              <w:t>31</w:t>
            </w:r>
          </w:p>
        </w:tc>
        <w:tc>
          <w:tcPr>
            <w:tcW w:w="116" w:type="dxa"/>
          </w:tcPr>
          <w:p>
            <w:pPr>
              <w:pStyle w:val="TableParagraph"/>
              <w:rPr>
                <w:sz w:val="16"/>
              </w:rPr>
            </w:pPr>
          </w:p>
        </w:tc>
        <w:tc>
          <w:tcPr>
            <w:tcW w:w="675" w:type="dxa"/>
            <w:gridSpan w:val="2"/>
          </w:tcPr>
          <w:p>
            <w:pPr>
              <w:pStyle w:val="TableParagraph"/>
              <w:tabs>
                <w:tab w:pos="473" w:val="left" w:leader="none"/>
              </w:tabs>
              <w:spacing w:line="147" w:lineRule="exact" w:before="113"/>
              <w:ind w:left="112"/>
              <w:rPr>
                <w:sz w:val="14"/>
              </w:rPr>
            </w:pPr>
            <w:r>
              <w:rPr>
                <w:spacing w:val="-6"/>
                <w:w w:val="120"/>
                <w:sz w:val="14"/>
              </w:rPr>
              <w:t>23</w:t>
              <w:tab/>
            </w:r>
            <w:r>
              <w:rPr>
                <w:spacing w:val="-12"/>
                <w:w w:val="120"/>
                <w:sz w:val="14"/>
              </w:rPr>
              <w:t>31</w:t>
            </w:r>
          </w:p>
        </w:tc>
      </w:tr>
      <w:tr>
        <w:trPr>
          <w:trHeight w:val="280" w:hRule="atLeast"/>
        </w:trPr>
        <w:tc>
          <w:tcPr>
            <w:tcW w:w="2097" w:type="dxa"/>
          </w:tcPr>
          <w:p>
            <w:pPr>
              <w:pStyle w:val="TableParagraph"/>
              <w:spacing w:line="123" w:lineRule="exact"/>
              <w:ind w:left="50"/>
              <w:rPr>
                <w:sz w:val="12"/>
              </w:rPr>
            </w:pPr>
            <w:r>
              <w:rPr>
                <w:w w:val="105"/>
                <w:sz w:val="14"/>
              </w:rPr>
              <w:t>CBI/Deloitte &amp; Touche </w:t>
            </w:r>
            <w:r>
              <w:rPr>
                <w:w w:val="105"/>
                <w:sz w:val="12"/>
              </w:rPr>
              <w:t>(d)</w:t>
            </w:r>
          </w:p>
          <w:p>
            <w:pPr>
              <w:pStyle w:val="TableParagraph"/>
              <w:spacing w:line="137" w:lineRule="exact"/>
              <w:ind w:left="156"/>
              <w:rPr>
                <w:sz w:val="14"/>
              </w:rPr>
            </w:pPr>
            <w:r>
              <w:rPr>
                <w:w w:val="105"/>
                <w:sz w:val="14"/>
              </w:rPr>
              <w:t>Business optimism</w:t>
            </w:r>
          </w:p>
        </w:tc>
        <w:tc>
          <w:tcPr>
            <w:tcW w:w="655" w:type="dxa"/>
          </w:tcPr>
          <w:p>
            <w:pPr>
              <w:pStyle w:val="TableParagraph"/>
              <w:spacing w:line="147" w:lineRule="exact" w:before="113"/>
              <w:ind w:right="249"/>
              <w:jc w:val="right"/>
              <w:rPr>
                <w:sz w:val="14"/>
              </w:rPr>
            </w:pPr>
            <w:r>
              <w:rPr>
                <w:w w:val="121"/>
                <w:sz w:val="14"/>
              </w:rPr>
              <w:t>6</w:t>
            </w:r>
          </w:p>
        </w:tc>
        <w:tc>
          <w:tcPr>
            <w:tcW w:w="45" w:type="dxa"/>
          </w:tcPr>
          <w:p>
            <w:pPr>
              <w:pStyle w:val="TableParagraph"/>
              <w:rPr>
                <w:sz w:val="16"/>
              </w:rPr>
            </w:pPr>
          </w:p>
        </w:tc>
        <w:tc>
          <w:tcPr>
            <w:tcW w:w="275" w:type="dxa"/>
          </w:tcPr>
          <w:p>
            <w:pPr>
              <w:pStyle w:val="TableParagraph"/>
              <w:spacing w:line="147" w:lineRule="exact" w:before="113"/>
              <w:ind w:right="1"/>
              <w:jc w:val="right"/>
              <w:rPr>
                <w:sz w:val="14"/>
              </w:rPr>
            </w:pPr>
            <w:r>
              <w:rPr>
                <w:w w:val="121"/>
                <w:sz w:val="14"/>
              </w:rPr>
              <w:t>8</w:t>
            </w:r>
          </w:p>
        </w:tc>
        <w:tc>
          <w:tcPr>
            <w:tcW w:w="126" w:type="dxa"/>
          </w:tcPr>
          <w:p>
            <w:pPr>
              <w:pStyle w:val="TableParagraph"/>
              <w:rPr>
                <w:sz w:val="16"/>
              </w:rPr>
            </w:pPr>
          </w:p>
        </w:tc>
        <w:tc>
          <w:tcPr>
            <w:tcW w:w="275" w:type="dxa"/>
          </w:tcPr>
          <w:p>
            <w:pPr>
              <w:pStyle w:val="TableParagraph"/>
              <w:spacing w:line="147" w:lineRule="exact" w:before="113"/>
              <w:ind w:right="53"/>
              <w:jc w:val="right"/>
              <w:rPr>
                <w:b/>
                <w:sz w:val="14"/>
              </w:rPr>
            </w:pPr>
            <w:r>
              <w:rPr>
                <w:b/>
                <w:w w:val="121"/>
                <w:sz w:val="14"/>
              </w:rPr>
              <w:t>1</w:t>
            </w:r>
          </w:p>
        </w:tc>
        <w:tc>
          <w:tcPr>
            <w:tcW w:w="116" w:type="dxa"/>
          </w:tcPr>
          <w:p>
            <w:pPr>
              <w:pStyle w:val="TableParagraph"/>
              <w:rPr>
                <w:sz w:val="16"/>
              </w:rPr>
            </w:pPr>
          </w:p>
        </w:tc>
        <w:tc>
          <w:tcPr>
            <w:tcW w:w="675" w:type="dxa"/>
            <w:gridSpan w:val="2"/>
          </w:tcPr>
          <w:p>
            <w:pPr>
              <w:pStyle w:val="TableParagraph"/>
              <w:spacing w:line="147" w:lineRule="exact" w:before="113"/>
              <w:ind w:left="186"/>
              <w:rPr>
                <w:sz w:val="14"/>
              </w:rPr>
            </w:pPr>
            <w:r>
              <w:rPr>
                <w:w w:val="120"/>
                <w:sz w:val="14"/>
              </w:rPr>
              <w:t>7 -10</w:t>
            </w:r>
          </w:p>
        </w:tc>
      </w:tr>
      <w:tr>
        <w:trPr>
          <w:trHeight w:val="280" w:hRule="atLeast"/>
        </w:trPr>
        <w:tc>
          <w:tcPr>
            <w:tcW w:w="2097" w:type="dxa"/>
          </w:tcPr>
          <w:p>
            <w:pPr>
              <w:pStyle w:val="TableParagraph"/>
              <w:spacing w:line="123" w:lineRule="exact"/>
              <w:ind w:left="156"/>
              <w:rPr>
                <w:sz w:val="14"/>
              </w:rPr>
            </w:pPr>
            <w:r>
              <w:rPr>
                <w:w w:val="105"/>
                <w:sz w:val="14"/>
              </w:rPr>
              <w:t>Volume of business,</w:t>
            </w:r>
          </w:p>
          <w:p>
            <w:pPr>
              <w:pStyle w:val="TableParagraph"/>
              <w:spacing w:line="137" w:lineRule="exact"/>
              <w:ind w:left="191"/>
              <w:rPr>
                <w:sz w:val="14"/>
              </w:rPr>
            </w:pPr>
            <w:r>
              <w:rPr>
                <w:w w:val="110"/>
                <w:sz w:val="14"/>
              </w:rPr>
              <w:t>next three months</w:t>
            </w:r>
          </w:p>
        </w:tc>
        <w:tc>
          <w:tcPr>
            <w:tcW w:w="655" w:type="dxa"/>
          </w:tcPr>
          <w:p>
            <w:pPr>
              <w:pStyle w:val="TableParagraph"/>
              <w:spacing w:line="147" w:lineRule="exact" w:before="113"/>
              <w:ind w:right="249"/>
              <w:jc w:val="right"/>
              <w:rPr>
                <w:sz w:val="14"/>
              </w:rPr>
            </w:pPr>
            <w:r>
              <w:rPr>
                <w:w w:val="120"/>
                <w:sz w:val="14"/>
              </w:rPr>
              <w:t>23</w:t>
            </w:r>
          </w:p>
        </w:tc>
        <w:tc>
          <w:tcPr>
            <w:tcW w:w="45" w:type="dxa"/>
          </w:tcPr>
          <w:p>
            <w:pPr>
              <w:pStyle w:val="TableParagraph"/>
              <w:rPr>
                <w:sz w:val="16"/>
              </w:rPr>
            </w:pPr>
          </w:p>
        </w:tc>
        <w:tc>
          <w:tcPr>
            <w:tcW w:w="275" w:type="dxa"/>
          </w:tcPr>
          <w:p>
            <w:pPr>
              <w:pStyle w:val="TableParagraph"/>
              <w:spacing w:line="147" w:lineRule="exact" w:before="113"/>
              <w:ind w:left="-3" w:right="1"/>
              <w:jc w:val="right"/>
              <w:rPr>
                <w:sz w:val="14"/>
              </w:rPr>
            </w:pPr>
            <w:r>
              <w:rPr>
                <w:w w:val="120"/>
                <w:sz w:val="14"/>
              </w:rPr>
              <w:t>26</w:t>
            </w:r>
          </w:p>
        </w:tc>
        <w:tc>
          <w:tcPr>
            <w:tcW w:w="126" w:type="dxa"/>
          </w:tcPr>
          <w:p>
            <w:pPr>
              <w:pStyle w:val="TableParagraph"/>
              <w:rPr>
                <w:sz w:val="16"/>
              </w:rPr>
            </w:pPr>
          </w:p>
        </w:tc>
        <w:tc>
          <w:tcPr>
            <w:tcW w:w="275" w:type="dxa"/>
          </w:tcPr>
          <w:p>
            <w:pPr>
              <w:pStyle w:val="TableParagraph"/>
              <w:spacing w:line="147" w:lineRule="exact" w:before="113"/>
              <w:ind w:left="-3"/>
              <w:jc w:val="right"/>
              <w:rPr>
                <w:sz w:val="14"/>
              </w:rPr>
            </w:pPr>
            <w:r>
              <w:rPr>
                <w:w w:val="120"/>
                <w:sz w:val="14"/>
              </w:rPr>
              <w:t>33</w:t>
            </w:r>
          </w:p>
        </w:tc>
        <w:tc>
          <w:tcPr>
            <w:tcW w:w="116" w:type="dxa"/>
          </w:tcPr>
          <w:p>
            <w:pPr>
              <w:pStyle w:val="TableParagraph"/>
              <w:rPr>
                <w:sz w:val="16"/>
              </w:rPr>
            </w:pPr>
          </w:p>
        </w:tc>
        <w:tc>
          <w:tcPr>
            <w:tcW w:w="675" w:type="dxa"/>
            <w:gridSpan w:val="2"/>
          </w:tcPr>
          <w:p>
            <w:pPr>
              <w:pStyle w:val="TableParagraph"/>
              <w:spacing w:line="147" w:lineRule="exact" w:before="113"/>
              <w:ind w:left="115"/>
              <w:rPr>
                <w:sz w:val="14"/>
              </w:rPr>
            </w:pPr>
            <w:r>
              <w:rPr>
                <w:w w:val="120"/>
                <w:sz w:val="14"/>
              </w:rPr>
              <w:t>36 23</w:t>
            </w:r>
          </w:p>
        </w:tc>
      </w:tr>
      <w:tr>
        <w:trPr>
          <w:trHeight w:val="280" w:hRule="atLeast"/>
        </w:trPr>
        <w:tc>
          <w:tcPr>
            <w:tcW w:w="2097" w:type="dxa"/>
          </w:tcPr>
          <w:p>
            <w:pPr>
              <w:pStyle w:val="TableParagraph"/>
              <w:spacing w:line="123" w:lineRule="exact"/>
              <w:ind w:left="50"/>
              <w:rPr>
                <w:sz w:val="14"/>
              </w:rPr>
            </w:pPr>
            <w:r>
              <w:rPr>
                <w:w w:val="110"/>
                <w:sz w:val="14"/>
              </w:rPr>
              <w:t>CBI/PricewaterhouseCoopers</w:t>
            </w:r>
          </w:p>
          <w:p>
            <w:pPr>
              <w:pStyle w:val="TableParagraph"/>
              <w:spacing w:line="137" w:lineRule="exact"/>
              <w:ind w:left="50"/>
              <w:rPr>
                <w:sz w:val="14"/>
              </w:rPr>
            </w:pPr>
            <w:r>
              <w:rPr>
                <w:w w:val="105"/>
                <w:sz w:val="14"/>
              </w:rPr>
              <w:t>Financial services</w:t>
            </w:r>
          </w:p>
        </w:tc>
        <w:tc>
          <w:tcPr>
            <w:tcW w:w="655" w:type="dxa"/>
          </w:tcPr>
          <w:p>
            <w:pPr>
              <w:pStyle w:val="TableParagraph"/>
              <w:rPr>
                <w:sz w:val="16"/>
              </w:rPr>
            </w:pPr>
          </w:p>
        </w:tc>
        <w:tc>
          <w:tcPr>
            <w:tcW w:w="45" w:type="dxa"/>
          </w:tcPr>
          <w:p>
            <w:pPr>
              <w:pStyle w:val="TableParagraph"/>
              <w:rPr>
                <w:sz w:val="16"/>
              </w:rPr>
            </w:pPr>
          </w:p>
        </w:tc>
        <w:tc>
          <w:tcPr>
            <w:tcW w:w="275" w:type="dxa"/>
          </w:tcPr>
          <w:p>
            <w:pPr>
              <w:pStyle w:val="TableParagraph"/>
              <w:rPr>
                <w:sz w:val="16"/>
              </w:rPr>
            </w:pPr>
          </w:p>
        </w:tc>
        <w:tc>
          <w:tcPr>
            <w:tcW w:w="126" w:type="dxa"/>
          </w:tcPr>
          <w:p>
            <w:pPr>
              <w:pStyle w:val="TableParagraph"/>
              <w:rPr>
                <w:sz w:val="16"/>
              </w:rPr>
            </w:pPr>
          </w:p>
        </w:tc>
        <w:tc>
          <w:tcPr>
            <w:tcW w:w="275" w:type="dxa"/>
          </w:tcPr>
          <w:p>
            <w:pPr>
              <w:pStyle w:val="TableParagraph"/>
              <w:rPr>
                <w:sz w:val="16"/>
              </w:rPr>
            </w:pPr>
          </w:p>
        </w:tc>
        <w:tc>
          <w:tcPr>
            <w:tcW w:w="116" w:type="dxa"/>
          </w:tcPr>
          <w:p>
            <w:pPr>
              <w:pStyle w:val="TableParagraph"/>
              <w:rPr>
                <w:sz w:val="16"/>
              </w:rPr>
            </w:pPr>
          </w:p>
        </w:tc>
        <w:tc>
          <w:tcPr>
            <w:tcW w:w="675" w:type="dxa"/>
            <w:gridSpan w:val="2"/>
          </w:tcPr>
          <w:p>
            <w:pPr>
              <w:pStyle w:val="TableParagraph"/>
              <w:rPr>
                <w:sz w:val="16"/>
              </w:rPr>
            </w:pPr>
          </w:p>
        </w:tc>
      </w:tr>
      <w:tr>
        <w:trPr>
          <w:trHeight w:val="420" w:hRule="atLeast"/>
        </w:trPr>
        <w:tc>
          <w:tcPr>
            <w:tcW w:w="2097" w:type="dxa"/>
          </w:tcPr>
          <w:p>
            <w:pPr>
              <w:pStyle w:val="TableParagraph"/>
              <w:spacing w:line="123" w:lineRule="exact"/>
              <w:ind w:left="156"/>
              <w:rPr>
                <w:sz w:val="14"/>
              </w:rPr>
            </w:pPr>
            <w:r>
              <w:rPr>
                <w:w w:val="105"/>
                <w:sz w:val="14"/>
              </w:rPr>
              <w:t>Business</w:t>
            </w:r>
            <w:r>
              <w:rPr>
                <w:spacing w:val="-19"/>
                <w:w w:val="105"/>
                <w:sz w:val="14"/>
              </w:rPr>
              <w:t> </w:t>
            </w:r>
            <w:r>
              <w:rPr>
                <w:w w:val="105"/>
                <w:sz w:val="14"/>
              </w:rPr>
              <w:t>optimism</w:t>
            </w:r>
          </w:p>
          <w:p>
            <w:pPr>
              <w:pStyle w:val="TableParagraph"/>
              <w:spacing w:line="140" w:lineRule="exact" w:before="8"/>
              <w:ind w:left="191" w:right="759" w:hanging="36"/>
              <w:rPr>
                <w:sz w:val="14"/>
              </w:rPr>
            </w:pPr>
            <w:r>
              <w:rPr>
                <w:spacing w:val="-3"/>
                <w:w w:val="105"/>
                <w:sz w:val="14"/>
              </w:rPr>
              <w:t>Volume </w:t>
            </w:r>
            <w:r>
              <w:rPr>
                <w:w w:val="105"/>
                <w:sz w:val="14"/>
              </w:rPr>
              <w:t>of</w:t>
            </w:r>
            <w:r>
              <w:rPr>
                <w:spacing w:val="-21"/>
                <w:w w:val="105"/>
                <w:sz w:val="14"/>
              </w:rPr>
              <w:t> </w:t>
            </w:r>
            <w:r>
              <w:rPr>
                <w:w w:val="105"/>
                <w:sz w:val="14"/>
              </w:rPr>
              <w:t>business, next three</w:t>
            </w:r>
            <w:r>
              <w:rPr>
                <w:spacing w:val="12"/>
                <w:w w:val="105"/>
                <w:sz w:val="14"/>
              </w:rPr>
              <w:t> </w:t>
            </w:r>
            <w:r>
              <w:rPr>
                <w:w w:val="105"/>
                <w:sz w:val="14"/>
              </w:rPr>
              <w:t>months</w:t>
            </w:r>
          </w:p>
        </w:tc>
        <w:tc>
          <w:tcPr>
            <w:tcW w:w="655" w:type="dxa"/>
          </w:tcPr>
          <w:p>
            <w:pPr>
              <w:pStyle w:val="TableParagraph"/>
              <w:spacing w:line="134" w:lineRule="exact"/>
              <w:ind w:left="66"/>
              <w:jc w:val="center"/>
              <w:rPr>
                <w:sz w:val="14"/>
              </w:rPr>
            </w:pPr>
            <w:r>
              <w:rPr>
                <w:w w:val="121"/>
                <w:sz w:val="14"/>
              </w:rPr>
              <w:t>7</w:t>
            </w:r>
          </w:p>
          <w:p>
            <w:pPr>
              <w:pStyle w:val="TableParagraph"/>
              <w:spacing w:line="147" w:lineRule="exact" w:before="119"/>
              <w:ind w:left="221" w:right="226"/>
              <w:jc w:val="center"/>
              <w:rPr>
                <w:sz w:val="14"/>
              </w:rPr>
            </w:pPr>
            <w:r>
              <w:rPr>
                <w:w w:val="120"/>
                <w:sz w:val="14"/>
              </w:rPr>
              <w:t>23</w:t>
            </w:r>
          </w:p>
        </w:tc>
        <w:tc>
          <w:tcPr>
            <w:tcW w:w="320" w:type="dxa"/>
            <w:gridSpan w:val="2"/>
          </w:tcPr>
          <w:p>
            <w:pPr>
              <w:pStyle w:val="TableParagraph"/>
              <w:spacing w:line="134" w:lineRule="exact"/>
              <w:ind w:left="162"/>
              <w:rPr>
                <w:sz w:val="14"/>
              </w:rPr>
            </w:pPr>
            <w:r>
              <w:rPr>
                <w:spacing w:val="-8"/>
                <w:w w:val="120"/>
                <w:sz w:val="14"/>
              </w:rPr>
              <w:t>36</w:t>
            </w:r>
          </w:p>
          <w:p>
            <w:pPr>
              <w:pStyle w:val="TableParagraph"/>
              <w:spacing w:line="147" w:lineRule="exact" w:before="119"/>
              <w:ind w:left="163"/>
              <w:rPr>
                <w:sz w:val="14"/>
              </w:rPr>
            </w:pPr>
            <w:r>
              <w:rPr>
                <w:spacing w:val="-8"/>
                <w:w w:val="120"/>
                <w:sz w:val="14"/>
              </w:rPr>
              <w:t>33</w:t>
            </w:r>
          </w:p>
        </w:tc>
        <w:tc>
          <w:tcPr>
            <w:tcW w:w="401" w:type="dxa"/>
            <w:gridSpan w:val="2"/>
          </w:tcPr>
          <w:p>
            <w:pPr>
              <w:pStyle w:val="TableParagraph"/>
              <w:spacing w:line="134" w:lineRule="exact"/>
              <w:ind w:left="263"/>
              <w:rPr>
                <w:sz w:val="14"/>
              </w:rPr>
            </w:pPr>
            <w:r>
              <w:rPr>
                <w:w w:val="115"/>
                <w:sz w:val="14"/>
              </w:rPr>
              <w:t>-6</w:t>
            </w:r>
          </w:p>
          <w:p>
            <w:pPr>
              <w:pStyle w:val="TableParagraph"/>
              <w:spacing w:line="147" w:lineRule="exact" w:before="119"/>
              <w:ind w:left="240"/>
              <w:rPr>
                <w:sz w:val="14"/>
              </w:rPr>
            </w:pPr>
            <w:r>
              <w:rPr>
                <w:spacing w:val="-7"/>
                <w:w w:val="120"/>
                <w:sz w:val="14"/>
              </w:rPr>
              <w:t>30</w:t>
            </w:r>
          </w:p>
        </w:tc>
        <w:tc>
          <w:tcPr>
            <w:tcW w:w="486" w:type="dxa"/>
            <w:gridSpan w:val="2"/>
          </w:tcPr>
          <w:p>
            <w:pPr>
              <w:pStyle w:val="TableParagraph"/>
              <w:spacing w:line="134" w:lineRule="exact"/>
              <w:ind w:left="302"/>
              <w:rPr>
                <w:sz w:val="14"/>
              </w:rPr>
            </w:pPr>
            <w:r>
              <w:rPr>
                <w:w w:val="121"/>
                <w:sz w:val="14"/>
              </w:rPr>
              <w:t>3</w:t>
            </w:r>
          </w:p>
          <w:p>
            <w:pPr>
              <w:pStyle w:val="TableParagraph"/>
              <w:spacing w:line="147" w:lineRule="exact" w:before="119"/>
              <w:ind w:left="239"/>
              <w:rPr>
                <w:sz w:val="14"/>
              </w:rPr>
            </w:pPr>
            <w:r>
              <w:rPr>
                <w:w w:val="120"/>
                <w:sz w:val="14"/>
              </w:rPr>
              <w:t>16</w:t>
            </w:r>
          </w:p>
        </w:tc>
        <w:tc>
          <w:tcPr>
            <w:tcW w:w="305" w:type="dxa"/>
          </w:tcPr>
          <w:p>
            <w:pPr>
              <w:pStyle w:val="TableParagraph"/>
              <w:spacing w:line="134" w:lineRule="exact"/>
              <w:ind w:left="166"/>
              <w:rPr>
                <w:sz w:val="14"/>
              </w:rPr>
            </w:pPr>
            <w:r>
              <w:rPr>
                <w:w w:val="121"/>
                <w:sz w:val="14"/>
              </w:rPr>
              <w:t>2</w:t>
            </w:r>
          </w:p>
          <w:p>
            <w:pPr>
              <w:pStyle w:val="TableParagraph"/>
              <w:spacing w:line="147" w:lineRule="exact" w:before="119"/>
              <w:ind w:left="92"/>
              <w:rPr>
                <w:sz w:val="14"/>
              </w:rPr>
            </w:pPr>
            <w:r>
              <w:rPr>
                <w:w w:val="120"/>
                <w:sz w:val="14"/>
              </w:rPr>
              <w:t>22</w:t>
            </w:r>
          </w:p>
        </w:tc>
      </w:tr>
    </w:tbl>
    <w:p>
      <w:pPr>
        <w:spacing w:before="112"/>
        <w:ind w:left="178" w:right="0" w:firstLine="0"/>
        <w:jc w:val="left"/>
        <w:rPr>
          <w:sz w:val="12"/>
        </w:rPr>
      </w:pPr>
      <w:r>
        <w:rPr>
          <w:w w:val="105"/>
          <w:sz w:val="12"/>
        </w:rPr>
        <w:t>Sources: CIPS, BCC, CBI/Deloitte &amp; Touche and CBI/PricewaterhouseCoopers.</w:t>
      </w:r>
    </w:p>
    <w:p>
      <w:pPr>
        <w:pStyle w:val="BodyText"/>
        <w:spacing w:before="2"/>
        <w:rPr>
          <w:sz w:val="10"/>
        </w:rPr>
      </w:pPr>
    </w:p>
    <w:p>
      <w:pPr>
        <w:pStyle w:val="ListParagraph"/>
        <w:numPr>
          <w:ilvl w:val="0"/>
          <w:numId w:val="16"/>
        </w:numPr>
        <w:tabs>
          <w:tab w:pos="419" w:val="left" w:leader="none"/>
        </w:tabs>
        <w:spacing w:line="208" w:lineRule="auto" w:before="0" w:after="0"/>
        <w:ind w:left="418" w:right="65" w:hanging="240"/>
        <w:jc w:val="left"/>
        <w:rPr>
          <w:sz w:val="12"/>
        </w:rPr>
      </w:pPr>
      <w:r>
        <w:rPr>
          <w:w w:val="105"/>
          <w:sz w:val="12"/>
        </w:rPr>
        <w:t>Numbers reported are survey balances unless otherwise stated. An increase suggests a rise in the proportion of respondents reporting ‘higher’ relative to </w:t>
      </w:r>
      <w:r>
        <w:rPr>
          <w:spacing w:val="-4"/>
          <w:w w:val="105"/>
          <w:sz w:val="12"/>
        </w:rPr>
        <w:t>‘lower’.</w:t>
      </w:r>
    </w:p>
    <w:p>
      <w:pPr>
        <w:pStyle w:val="ListParagraph"/>
        <w:numPr>
          <w:ilvl w:val="0"/>
          <w:numId w:val="16"/>
        </w:numPr>
        <w:tabs>
          <w:tab w:pos="419" w:val="left" w:leader="none"/>
        </w:tabs>
        <w:spacing w:line="208" w:lineRule="auto" w:before="0" w:after="0"/>
        <w:ind w:left="418" w:right="41" w:hanging="240"/>
        <w:jc w:val="left"/>
        <w:rPr>
          <w:sz w:val="12"/>
        </w:rPr>
      </w:pPr>
      <w:r>
        <w:rPr>
          <w:w w:val="105"/>
          <w:sz w:val="12"/>
        </w:rPr>
        <w:t>Since </w:t>
      </w:r>
      <w:r>
        <w:rPr>
          <w:spacing w:val="-12"/>
          <w:w w:val="105"/>
          <w:sz w:val="12"/>
        </w:rPr>
        <w:t>1989 </w:t>
      </w:r>
      <w:r>
        <w:rPr>
          <w:w w:val="105"/>
          <w:sz w:val="12"/>
        </w:rPr>
        <w:t>for BCC and CBI/PricewaterhouseCoopers; since November </w:t>
      </w:r>
      <w:r>
        <w:rPr>
          <w:spacing w:val="-11"/>
          <w:w w:val="105"/>
          <w:sz w:val="12"/>
        </w:rPr>
        <w:t>1998 </w:t>
      </w:r>
      <w:r>
        <w:rPr>
          <w:w w:val="105"/>
          <w:sz w:val="12"/>
        </w:rPr>
        <w:t>for CBI/Deloitte &amp; Touche; CIPS since</w:t>
      </w:r>
      <w:r>
        <w:rPr>
          <w:spacing w:val="-10"/>
          <w:w w:val="105"/>
          <w:sz w:val="12"/>
        </w:rPr>
        <w:t> </w:t>
      </w:r>
      <w:r>
        <w:rPr>
          <w:spacing w:val="-8"/>
          <w:w w:val="105"/>
          <w:sz w:val="12"/>
        </w:rPr>
        <w:t>1996.</w:t>
      </w:r>
    </w:p>
    <w:p>
      <w:pPr>
        <w:pStyle w:val="ListParagraph"/>
        <w:numPr>
          <w:ilvl w:val="0"/>
          <w:numId w:val="16"/>
        </w:numPr>
        <w:tabs>
          <w:tab w:pos="419" w:val="left" w:leader="none"/>
        </w:tabs>
        <w:spacing w:line="208" w:lineRule="auto" w:before="0" w:after="0"/>
        <w:ind w:left="418" w:right="69" w:hanging="240"/>
        <w:jc w:val="left"/>
        <w:rPr>
          <w:sz w:val="12"/>
        </w:rPr>
      </w:pPr>
      <w:r>
        <w:rPr>
          <w:w w:val="105"/>
          <w:sz w:val="12"/>
        </w:rPr>
        <w:t>Average of seasonally adjusted monthly indices. A reading above </w:t>
      </w:r>
      <w:r>
        <w:rPr>
          <w:spacing w:val="-5"/>
          <w:w w:val="105"/>
          <w:sz w:val="12"/>
        </w:rPr>
        <w:t>50 </w:t>
      </w:r>
      <w:r>
        <w:rPr>
          <w:w w:val="105"/>
          <w:sz w:val="12"/>
        </w:rPr>
        <w:t>suggests expansion, a reading below </w:t>
      </w:r>
      <w:r>
        <w:rPr>
          <w:spacing w:val="-5"/>
          <w:w w:val="105"/>
          <w:sz w:val="12"/>
        </w:rPr>
        <w:t>50 </w:t>
      </w:r>
      <w:r>
        <w:rPr>
          <w:w w:val="105"/>
          <w:sz w:val="12"/>
        </w:rPr>
        <w:t>suggests</w:t>
      </w:r>
      <w:r>
        <w:rPr>
          <w:spacing w:val="-1"/>
          <w:w w:val="105"/>
          <w:sz w:val="12"/>
        </w:rPr>
        <w:t> </w:t>
      </w:r>
      <w:r>
        <w:rPr>
          <w:w w:val="105"/>
          <w:sz w:val="12"/>
        </w:rPr>
        <w:t>contraction.</w:t>
      </w:r>
    </w:p>
    <w:p>
      <w:pPr>
        <w:pStyle w:val="ListParagraph"/>
        <w:numPr>
          <w:ilvl w:val="0"/>
          <w:numId w:val="16"/>
        </w:numPr>
        <w:tabs>
          <w:tab w:pos="419" w:val="left" w:leader="none"/>
        </w:tabs>
        <w:spacing w:line="208" w:lineRule="auto" w:before="0" w:after="0"/>
        <w:ind w:left="418" w:right="38" w:hanging="240"/>
        <w:jc w:val="left"/>
        <w:rPr>
          <w:sz w:val="12"/>
        </w:rPr>
      </w:pPr>
      <w:r>
        <w:rPr>
          <w:w w:val="105"/>
          <w:sz w:val="12"/>
        </w:rPr>
        <w:t>Unweighted average of the responses for consumer, business and professional services.</w:t>
      </w:r>
    </w:p>
    <w:p>
      <w:pPr>
        <w:pStyle w:val="BodyText"/>
        <w:rPr>
          <w:sz w:val="12"/>
        </w:rPr>
      </w:pPr>
    </w:p>
    <w:p>
      <w:pPr>
        <w:pStyle w:val="BodyText"/>
        <w:rPr>
          <w:sz w:val="12"/>
        </w:rPr>
      </w:pPr>
    </w:p>
    <w:p>
      <w:pPr>
        <w:pStyle w:val="BodyText"/>
        <w:spacing w:before="5"/>
        <w:rPr>
          <w:sz w:val="9"/>
        </w:rPr>
      </w:pPr>
    </w:p>
    <w:p>
      <w:pPr>
        <w:pStyle w:val="Heading6"/>
        <w:ind w:left="166"/>
      </w:pPr>
      <w:r>
        <w:rPr>
          <w:color w:val="89C6DC"/>
          <w:spacing w:val="-15"/>
          <w:w w:val="81"/>
        </w:rPr>
        <w:t>T</w:t>
      </w:r>
      <w:r>
        <w:rPr>
          <w:color w:val="89C6DC"/>
          <w:spacing w:val="-1"/>
          <w:w w:val="91"/>
        </w:rPr>
        <w:t>abl</w:t>
      </w:r>
      <w:r>
        <w:rPr>
          <w:color w:val="89C6DC"/>
          <w:w w:val="91"/>
        </w:rPr>
        <w:t>e</w:t>
      </w:r>
      <w:r>
        <w:rPr>
          <w:color w:val="89C6DC"/>
          <w:spacing w:val="6"/>
        </w:rPr>
        <w:t> </w:t>
      </w:r>
      <w:r>
        <w:rPr>
          <w:smallCaps/>
          <w:color w:val="89C6DC"/>
          <w:spacing w:val="-1"/>
          <w:w w:val="81"/>
        </w:rPr>
        <w:t>2.F</w:t>
      </w:r>
    </w:p>
    <w:p>
      <w:pPr>
        <w:spacing w:before="8"/>
        <w:ind w:left="166" w:right="0" w:firstLine="0"/>
        <w:jc w:val="left"/>
        <w:rPr>
          <w:sz w:val="12"/>
        </w:rPr>
      </w:pPr>
      <w:r>
        <w:rPr>
          <w:rFonts w:ascii="Trebuchet MS"/>
          <w:b/>
          <w:color w:val="89C6DC"/>
          <w:sz w:val="20"/>
        </w:rPr>
        <w:t>Manufacturing output prospects</w:t>
      </w:r>
      <w:r>
        <w:rPr>
          <w:position w:val="4"/>
          <w:sz w:val="12"/>
        </w:rPr>
        <w:t>(a)</w:t>
      </w:r>
    </w:p>
    <w:p>
      <w:pPr>
        <w:tabs>
          <w:tab w:pos="2575" w:val="left" w:leader="none"/>
          <w:tab w:pos="4344" w:val="left" w:leader="none"/>
        </w:tabs>
        <w:spacing w:line="150" w:lineRule="exact" w:before="104"/>
        <w:ind w:left="1896" w:right="0" w:firstLine="0"/>
        <w:jc w:val="left"/>
        <w:rPr>
          <w:sz w:val="14"/>
        </w:rPr>
      </w:pPr>
      <w:r>
        <w:rPr>
          <w:w w:val="115"/>
          <w:sz w:val="14"/>
        </w:rPr>
        <w:t>Series</w:t>
        <w:tab/>
      </w:r>
      <w:r>
        <w:rPr>
          <w:spacing w:val="-3"/>
          <w:w w:val="115"/>
          <w:sz w:val="14"/>
          <w:u w:val="single"/>
        </w:rPr>
        <w:t>2000</w:t>
      </w:r>
      <w:r>
        <w:rPr>
          <w:spacing w:val="-3"/>
          <w:sz w:val="14"/>
          <w:u w:val="single"/>
        </w:rPr>
        <w:tab/>
      </w:r>
    </w:p>
    <w:p>
      <w:pPr>
        <w:tabs>
          <w:tab w:pos="3116" w:val="left" w:leader="none"/>
          <w:tab w:pos="3616" w:val="left" w:leader="none"/>
          <w:tab w:pos="4136" w:val="left" w:leader="none"/>
        </w:tabs>
        <w:spacing w:line="150" w:lineRule="exact" w:before="0"/>
        <w:ind w:left="1896" w:right="0" w:firstLine="0"/>
        <w:jc w:val="left"/>
        <w:rPr>
          <w:sz w:val="14"/>
        </w:rPr>
      </w:pPr>
      <w:r>
        <w:rPr>
          <w:w w:val="110"/>
          <w:sz w:val="14"/>
        </w:rPr>
        <w:t>average</w:t>
      </w:r>
      <w:r>
        <w:rPr>
          <w:spacing w:val="-12"/>
          <w:w w:val="110"/>
          <w:sz w:val="14"/>
        </w:rPr>
        <w:t> </w:t>
      </w:r>
      <w:r>
        <w:rPr>
          <w:w w:val="110"/>
          <w:sz w:val="12"/>
        </w:rPr>
        <w:t>(b)</w:t>
      </w:r>
      <w:r>
        <w:rPr>
          <w:spacing w:val="5"/>
          <w:w w:val="110"/>
          <w:sz w:val="12"/>
        </w:rPr>
        <w:t> </w:t>
      </w:r>
      <w:r>
        <w:rPr>
          <w:w w:val="110"/>
          <w:sz w:val="14"/>
        </w:rPr>
        <w:t>Q1</w:t>
        <w:tab/>
        <w:t>Q2</w:t>
        <w:tab/>
        <w:t>Q3</w:t>
        <w:tab/>
        <w:t>Q4</w:t>
      </w: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6"/>
        <w:gridCol w:w="625"/>
        <w:gridCol w:w="47"/>
        <w:gridCol w:w="805"/>
        <w:gridCol w:w="227"/>
        <w:gridCol w:w="281"/>
        <w:gridCol w:w="472"/>
      </w:tblGrid>
      <w:tr>
        <w:trPr>
          <w:trHeight w:val="400" w:hRule="atLeast"/>
        </w:trPr>
        <w:tc>
          <w:tcPr>
            <w:tcW w:w="1776" w:type="dxa"/>
          </w:tcPr>
          <w:p>
            <w:pPr>
              <w:pStyle w:val="TableParagraph"/>
              <w:spacing w:line="140" w:lineRule="exact" w:before="112"/>
              <w:ind w:left="120" w:right="244" w:hanging="71"/>
              <w:rPr>
                <w:sz w:val="14"/>
              </w:rPr>
            </w:pPr>
            <w:r>
              <w:rPr>
                <w:w w:val="105"/>
                <w:sz w:val="14"/>
              </w:rPr>
              <w:t>CBI total new orders, past four months</w:t>
            </w:r>
          </w:p>
        </w:tc>
        <w:tc>
          <w:tcPr>
            <w:tcW w:w="625" w:type="dxa"/>
            <w:tcBorders>
              <w:top w:val="single" w:sz="2" w:space="0" w:color="000000"/>
            </w:tcBorders>
          </w:tcPr>
          <w:p>
            <w:pPr>
              <w:pStyle w:val="TableParagraph"/>
              <w:spacing w:before="3"/>
              <w:rPr>
                <w:sz w:val="20"/>
              </w:rPr>
            </w:pPr>
          </w:p>
          <w:p>
            <w:pPr>
              <w:pStyle w:val="TableParagraph"/>
              <w:spacing w:line="147" w:lineRule="exact" w:before="1"/>
              <w:ind w:right="309"/>
              <w:jc w:val="right"/>
              <w:rPr>
                <w:sz w:val="14"/>
              </w:rPr>
            </w:pPr>
            <w:r>
              <w:rPr>
                <w:w w:val="115"/>
                <w:sz w:val="14"/>
              </w:rPr>
              <w:t>-1</w:t>
            </w:r>
          </w:p>
        </w:tc>
        <w:tc>
          <w:tcPr>
            <w:tcW w:w="47" w:type="dxa"/>
          </w:tcPr>
          <w:p>
            <w:pPr>
              <w:pStyle w:val="TableParagraph"/>
              <w:rPr>
                <w:sz w:val="16"/>
              </w:rPr>
            </w:pPr>
          </w:p>
        </w:tc>
        <w:tc>
          <w:tcPr>
            <w:tcW w:w="805" w:type="dxa"/>
            <w:tcBorders>
              <w:top w:val="single" w:sz="2" w:space="0" w:color="000000"/>
            </w:tcBorders>
          </w:tcPr>
          <w:p>
            <w:pPr>
              <w:pStyle w:val="TableParagraph"/>
              <w:spacing w:line="20" w:lineRule="exact"/>
              <w:ind w:left="18"/>
              <w:rPr>
                <w:sz w:val="2"/>
              </w:rPr>
            </w:pPr>
            <w:r>
              <w:rPr>
                <w:sz w:val="2"/>
              </w:rPr>
              <w:pict>
                <v:group style="width:11.9pt;height:.15pt;mso-position-horizontal-relative:char;mso-position-vertical-relative:line" coordorigin="0,0" coordsize="238,3">
                  <v:line style="position:absolute" from="0,1" to="237,1" stroked="true" strokeweight=".125pt" strokecolor="#000000">
                    <v:stroke dashstyle="solid"/>
                  </v:line>
                </v:group>
              </w:pict>
            </w:r>
            <w:r>
              <w:rPr>
                <w:sz w:val="2"/>
              </w:rPr>
            </w:r>
          </w:p>
          <w:p>
            <w:pPr>
              <w:pStyle w:val="TableParagraph"/>
              <w:spacing w:before="6"/>
              <w:rPr>
                <w:sz w:val="18"/>
              </w:rPr>
            </w:pPr>
          </w:p>
          <w:p>
            <w:pPr>
              <w:pStyle w:val="TableParagraph"/>
              <w:tabs>
                <w:tab w:pos="529" w:val="left" w:leader="none"/>
              </w:tabs>
              <w:spacing w:line="147" w:lineRule="exact" w:before="1"/>
              <w:ind w:right="1"/>
              <w:jc w:val="right"/>
              <w:rPr>
                <w:sz w:val="14"/>
              </w:rPr>
            </w:pPr>
            <w:r>
              <w:rPr>
                <w:w w:val="115"/>
                <w:sz w:val="14"/>
              </w:rPr>
              <w:t>-4</w:t>
              <w:tab/>
            </w:r>
            <w:r>
              <w:rPr>
                <w:spacing w:val="-1"/>
                <w:w w:val="115"/>
                <w:sz w:val="14"/>
              </w:rPr>
              <w:t>-8</w:t>
            </w:r>
          </w:p>
        </w:tc>
        <w:tc>
          <w:tcPr>
            <w:tcW w:w="227" w:type="dxa"/>
          </w:tcPr>
          <w:p>
            <w:pPr>
              <w:pStyle w:val="TableParagraph"/>
              <w:rPr>
                <w:sz w:val="16"/>
              </w:rPr>
            </w:pPr>
          </w:p>
        </w:tc>
        <w:tc>
          <w:tcPr>
            <w:tcW w:w="281" w:type="dxa"/>
            <w:tcBorders>
              <w:top w:val="single" w:sz="2" w:space="0" w:color="000000"/>
            </w:tcBorders>
          </w:tcPr>
          <w:p>
            <w:pPr>
              <w:pStyle w:val="TableParagraph"/>
              <w:spacing w:before="3"/>
              <w:rPr>
                <w:sz w:val="20"/>
              </w:rPr>
            </w:pPr>
          </w:p>
          <w:p>
            <w:pPr>
              <w:pStyle w:val="TableParagraph"/>
              <w:spacing w:line="147" w:lineRule="exact" w:before="1"/>
              <w:ind w:left="123"/>
              <w:jc w:val="center"/>
              <w:rPr>
                <w:sz w:val="14"/>
              </w:rPr>
            </w:pPr>
            <w:r>
              <w:rPr>
                <w:w w:val="115"/>
                <w:sz w:val="14"/>
              </w:rPr>
              <w:t>-9</w:t>
            </w:r>
          </w:p>
        </w:tc>
        <w:tc>
          <w:tcPr>
            <w:tcW w:w="472" w:type="dxa"/>
            <w:tcBorders>
              <w:top w:val="single" w:sz="2" w:space="0" w:color="000000"/>
            </w:tcBorders>
          </w:tcPr>
          <w:p>
            <w:pPr>
              <w:pStyle w:val="TableParagraph"/>
              <w:spacing w:before="3"/>
              <w:rPr>
                <w:sz w:val="20"/>
              </w:rPr>
            </w:pPr>
          </w:p>
          <w:p>
            <w:pPr>
              <w:pStyle w:val="TableParagraph"/>
              <w:spacing w:line="147" w:lineRule="exact" w:before="1"/>
              <w:ind w:right="21"/>
              <w:jc w:val="right"/>
              <w:rPr>
                <w:sz w:val="14"/>
              </w:rPr>
            </w:pPr>
            <w:r>
              <w:rPr>
                <w:w w:val="121"/>
                <w:sz w:val="14"/>
              </w:rPr>
              <w:t>4</w:t>
            </w:r>
          </w:p>
        </w:tc>
      </w:tr>
      <w:tr>
        <w:trPr>
          <w:trHeight w:val="140" w:hRule="atLeast"/>
        </w:trPr>
        <w:tc>
          <w:tcPr>
            <w:tcW w:w="1776" w:type="dxa"/>
          </w:tcPr>
          <w:p>
            <w:pPr>
              <w:pStyle w:val="TableParagraph"/>
              <w:spacing w:line="120" w:lineRule="exact"/>
              <w:ind w:left="50"/>
              <w:rPr>
                <w:sz w:val="14"/>
              </w:rPr>
            </w:pPr>
            <w:r>
              <w:rPr>
                <w:w w:val="105"/>
                <w:sz w:val="14"/>
              </w:rPr>
              <w:t>CBI volume of output,</w:t>
            </w:r>
          </w:p>
        </w:tc>
        <w:tc>
          <w:tcPr>
            <w:tcW w:w="625" w:type="dxa"/>
          </w:tcPr>
          <w:p>
            <w:pPr>
              <w:pStyle w:val="TableParagraph"/>
              <w:rPr>
                <w:sz w:val="8"/>
              </w:rPr>
            </w:pPr>
          </w:p>
        </w:tc>
        <w:tc>
          <w:tcPr>
            <w:tcW w:w="47" w:type="dxa"/>
          </w:tcPr>
          <w:p>
            <w:pPr>
              <w:pStyle w:val="TableParagraph"/>
              <w:rPr>
                <w:sz w:val="8"/>
              </w:rPr>
            </w:pPr>
          </w:p>
        </w:tc>
        <w:tc>
          <w:tcPr>
            <w:tcW w:w="805" w:type="dxa"/>
          </w:tcPr>
          <w:p>
            <w:pPr>
              <w:pStyle w:val="TableParagraph"/>
              <w:rPr>
                <w:sz w:val="8"/>
              </w:rPr>
            </w:pPr>
          </w:p>
        </w:tc>
        <w:tc>
          <w:tcPr>
            <w:tcW w:w="227" w:type="dxa"/>
          </w:tcPr>
          <w:p>
            <w:pPr>
              <w:pStyle w:val="TableParagraph"/>
              <w:rPr>
                <w:sz w:val="8"/>
              </w:rPr>
            </w:pPr>
          </w:p>
        </w:tc>
        <w:tc>
          <w:tcPr>
            <w:tcW w:w="281" w:type="dxa"/>
          </w:tcPr>
          <w:p>
            <w:pPr>
              <w:pStyle w:val="TableParagraph"/>
              <w:rPr>
                <w:sz w:val="8"/>
              </w:rPr>
            </w:pPr>
          </w:p>
        </w:tc>
        <w:tc>
          <w:tcPr>
            <w:tcW w:w="472" w:type="dxa"/>
          </w:tcPr>
          <w:p>
            <w:pPr>
              <w:pStyle w:val="TableParagraph"/>
              <w:rPr>
                <w:sz w:val="8"/>
              </w:rPr>
            </w:pPr>
          </w:p>
        </w:tc>
      </w:tr>
      <w:tr>
        <w:trPr>
          <w:trHeight w:val="140" w:hRule="atLeast"/>
        </w:trPr>
        <w:tc>
          <w:tcPr>
            <w:tcW w:w="1776" w:type="dxa"/>
          </w:tcPr>
          <w:p>
            <w:pPr>
              <w:pStyle w:val="TableParagraph"/>
              <w:spacing w:line="120" w:lineRule="exact"/>
              <w:ind w:left="120"/>
              <w:rPr>
                <w:sz w:val="14"/>
              </w:rPr>
            </w:pPr>
            <w:r>
              <w:rPr>
                <w:w w:val="110"/>
                <w:sz w:val="14"/>
              </w:rPr>
              <w:t>next four months</w:t>
            </w:r>
          </w:p>
        </w:tc>
        <w:tc>
          <w:tcPr>
            <w:tcW w:w="625" w:type="dxa"/>
          </w:tcPr>
          <w:p>
            <w:pPr>
              <w:pStyle w:val="TableParagraph"/>
              <w:spacing w:line="120" w:lineRule="exact"/>
              <w:ind w:right="308"/>
              <w:jc w:val="right"/>
              <w:rPr>
                <w:sz w:val="14"/>
              </w:rPr>
            </w:pPr>
            <w:r>
              <w:rPr>
                <w:w w:val="121"/>
                <w:sz w:val="14"/>
              </w:rPr>
              <w:t>8</w:t>
            </w:r>
          </w:p>
        </w:tc>
        <w:tc>
          <w:tcPr>
            <w:tcW w:w="47" w:type="dxa"/>
          </w:tcPr>
          <w:p>
            <w:pPr>
              <w:pStyle w:val="TableParagraph"/>
              <w:rPr>
                <w:sz w:val="8"/>
              </w:rPr>
            </w:pPr>
          </w:p>
        </w:tc>
        <w:tc>
          <w:tcPr>
            <w:tcW w:w="805" w:type="dxa"/>
          </w:tcPr>
          <w:p>
            <w:pPr>
              <w:pStyle w:val="TableParagraph"/>
              <w:tabs>
                <w:tab w:pos="529" w:val="left" w:leader="none"/>
              </w:tabs>
              <w:spacing w:line="120" w:lineRule="exact"/>
              <w:jc w:val="right"/>
              <w:rPr>
                <w:sz w:val="14"/>
              </w:rPr>
            </w:pPr>
            <w:r>
              <w:rPr>
                <w:w w:val="120"/>
                <w:sz w:val="14"/>
              </w:rPr>
              <w:t>1</w:t>
              <w:tab/>
              <w:t>3</w:t>
            </w:r>
          </w:p>
        </w:tc>
        <w:tc>
          <w:tcPr>
            <w:tcW w:w="227" w:type="dxa"/>
          </w:tcPr>
          <w:p>
            <w:pPr>
              <w:pStyle w:val="TableParagraph"/>
              <w:rPr>
                <w:sz w:val="8"/>
              </w:rPr>
            </w:pPr>
          </w:p>
        </w:tc>
        <w:tc>
          <w:tcPr>
            <w:tcW w:w="281" w:type="dxa"/>
          </w:tcPr>
          <w:p>
            <w:pPr>
              <w:pStyle w:val="TableParagraph"/>
              <w:spacing w:line="120" w:lineRule="exact"/>
              <w:ind w:left="174"/>
              <w:jc w:val="center"/>
              <w:rPr>
                <w:sz w:val="14"/>
              </w:rPr>
            </w:pPr>
            <w:r>
              <w:rPr>
                <w:w w:val="121"/>
                <w:sz w:val="14"/>
              </w:rPr>
              <w:t>3</w:t>
            </w:r>
          </w:p>
        </w:tc>
        <w:tc>
          <w:tcPr>
            <w:tcW w:w="472" w:type="dxa"/>
          </w:tcPr>
          <w:p>
            <w:pPr>
              <w:pStyle w:val="TableParagraph"/>
              <w:spacing w:line="120" w:lineRule="exact"/>
              <w:ind w:right="22"/>
              <w:jc w:val="right"/>
              <w:rPr>
                <w:sz w:val="14"/>
              </w:rPr>
            </w:pPr>
            <w:r>
              <w:rPr>
                <w:w w:val="120"/>
                <w:sz w:val="14"/>
              </w:rPr>
              <w:t>14</w:t>
            </w:r>
          </w:p>
        </w:tc>
      </w:tr>
      <w:tr>
        <w:trPr>
          <w:trHeight w:val="140" w:hRule="atLeast"/>
        </w:trPr>
        <w:tc>
          <w:tcPr>
            <w:tcW w:w="1776" w:type="dxa"/>
          </w:tcPr>
          <w:p>
            <w:pPr>
              <w:pStyle w:val="TableParagraph"/>
              <w:spacing w:line="120" w:lineRule="exact"/>
              <w:ind w:left="50"/>
              <w:rPr>
                <w:sz w:val="14"/>
              </w:rPr>
            </w:pPr>
            <w:r>
              <w:rPr>
                <w:w w:val="105"/>
                <w:sz w:val="14"/>
              </w:rPr>
              <w:t>CBI business optimism</w:t>
            </w:r>
          </w:p>
        </w:tc>
        <w:tc>
          <w:tcPr>
            <w:tcW w:w="625" w:type="dxa"/>
          </w:tcPr>
          <w:p>
            <w:pPr>
              <w:pStyle w:val="TableParagraph"/>
              <w:spacing w:line="120" w:lineRule="exact"/>
              <w:ind w:right="309"/>
              <w:jc w:val="right"/>
              <w:rPr>
                <w:sz w:val="14"/>
              </w:rPr>
            </w:pPr>
            <w:r>
              <w:rPr>
                <w:w w:val="115"/>
                <w:sz w:val="14"/>
              </w:rPr>
              <w:t>-5</w:t>
            </w:r>
          </w:p>
        </w:tc>
        <w:tc>
          <w:tcPr>
            <w:tcW w:w="47" w:type="dxa"/>
          </w:tcPr>
          <w:p>
            <w:pPr>
              <w:pStyle w:val="TableParagraph"/>
              <w:rPr>
                <w:sz w:val="8"/>
              </w:rPr>
            </w:pPr>
          </w:p>
        </w:tc>
        <w:tc>
          <w:tcPr>
            <w:tcW w:w="805" w:type="dxa"/>
          </w:tcPr>
          <w:p>
            <w:pPr>
              <w:pStyle w:val="TableParagraph"/>
              <w:tabs>
                <w:tab w:pos="461" w:val="left" w:leader="none"/>
              </w:tabs>
              <w:spacing w:line="120" w:lineRule="exact"/>
              <w:ind w:right="1"/>
              <w:jc w:val="right"/>
              <w:rPr>
                <w:sz w:val="14"/>
              </w:rPr>
            </w:pPr>
            <w:r>
              <w:rPr>
                <w:w w:val="115"/>
                <w:sz w:val="14"/>
              </w:rPr>
              <w:t>-2</w:t>
              <w:tab/>
            </w:r>
            <w:r>
              <w:rPr>
                <w:spacing w:val="-6"/>
                <w:w w:val="115"/>
                <w:sz w:val="14"/>
              </w:rPr>
              <w:t>-10</w:t>
            </w:r>
          </w:p>
        </w:tc>
        <w:tc>
          <w:tcPr>
            <w:tcW w:w="227" w:type="dxa"/>
          </w:tcPr>
          <w:p>
            <w:pPr>
              <w:pStyle w:val="TableParagraph"/>
              <w:rPr>
                <w:sz w:val="8"/>
              </w:rPr>
            </w:pPr>
          </w:p>
        </w:tc>
        <w:tc>
          <w:tcPr>
            <w:tcW w:w="281" w:type="dxa"/>
          </w:tcPr>
          <w:p>
            <w:pPr>
              <w:pStyle w:val="TableParagraph"/>
              <w:spacing w:line="120" w:lineRule="exact"/>
              <w:ind w:left="124"/>
              <w:jc w:val="center"/>
              <w:rPr>
                <w:sz w:val="14"/>
              </w:rPr>
            </w:pPr>
            <w:r>
              <w:rPr>
                <w:w w:val="115"/>
                <w:sz w:val="14"/>
              </w:rPr>
              <w:t>-9</w:t>
            </w:r>
          </w:p>
        </w:tc>
        <w:tc>
          <w:tcPr>
            <w:tcW w:w="472" w:type="dxa"/>
          </w:tcPr>
          <w:p>
            <w:pPr>
              <w:pStyle w:val="TableParagraph"/>
              <w:spacing w:line="120" w:lineRule="exact"/>
              <w:ind w:right="21"/>
              <w:jc w:val="right"/>
              <w:rPr>
                <w:sz w:val="14"/>
              </w:rPr>
            </w:pPr>
            <w:r>
              <w:rPr>
                <w:w w:val="110"/>
                <w:sz w:val="14"/>
              </w:rPr>
              <w:t>-3</w:t>
            </w:r>
          </w:p>
        </w:tc>
      </w:tr>
      <w:tr>
        <w:trPr>
          <w:trHeight w:val="140" w:hRule="atLeast"/>
        </w:trPr>
        <w:tc>
          <w:tcPr>
            <w:tcW w:w="1776" w:type="dxa"/>
          </w:tcPr>
          <w:p>
            <w:pPr>
              <w:pStyle w:val="TableParagraph"/>
              <w:spacing w:line="120" w:lineRule="exact"/>
              <w:ind w:left="50"/>
              <w:rPr>
                <w:sz w:val="14"/>
              </w:rPr>
            </w:pPr>
            <w:r>
              <w:rPr>
                <w:w w:val="105"/>
                <w:sz w:val="14"/>
              </w:rPr>
              <w:t>CIPS new orders index,</w:t>
            </w:r>
          </w:p>
        </w:tc>
        <w:tc>
          <w:tcPr>
            <w:tcW w:w="625" w:type="dxa"/>
          </w:tcPr>
          <w:p>
            <w:pPr>
              <w:pStyle w:val="TableParagraph"/>
              <w:rPr>
                <w:sz w:val="8"/>
              </w:rPr>
            </w:pPr>
          </w:p>
        </w:tc>
        <w:tc>
          <w:tcPr>
            <w:tcW w:w="47" w:type="dxa"/>
          </w:tcPr>
          <w:p>
            <w:pPr>
              <w:pStyle w:val="TableParagraph"/>
              <w:rPr>
                <w:sz w:val="8"/>
              </w:rPr>
            </w:pPr>
          </w:p>
        </w:tc>
        <w:tc>
          <w:tcPr>
            <w:tcW w:w="805" w:type="dxa"/>
          </w:tcPr>
          <w:p>
            <w:pPr>
              <w:pStyle w:val="TableParagraph"/>
              <w:rPr>
                <w:sz w:val="8"/>
              </w:rPr>
            </w:pPr>
          </w:p>
        </w:tc>
        <w:tc>
          <w:tcPr>
            <w:tcW w:w="227" w:type="dxa"/>
          </w:tcPr>
          <w:p>
            <w:pPr>
              <w:pStyle w:val="TableParagraph"/>
              <w:rPr>
                <w:sz w:val="8"/>
              </w:rPr>
            </w:pPr>
          </w:p>
        </w:tc>
        <w:tc>
          <w:tcPr>
            <w:tcW w:w="281" w:type="dxa"/>
          </w:tcPr>
          <w:p>
            <w:pPr>
              <w:pStyle w:val="TableParagraph"/>
              <w:rPr>
                <w:sz w:val="8"/>
              </w:rPr>
            </w:pPr>
          </w:p>
        </w:tc>
        <w:tc>
          <w:tcPr>
            <w:tcW w:w="472" w:type="dxa"/>
          </w:tcPr>
          <w:p>
            <w:pPr>
              <w:pStyle w:val="TableParagraph"/>
              <w:rPr>
                <w:sz w:val="8"/>
              </w:rPr>
            </w:pPr>
          </w:p>
        </w:tc>
      </w:tr>
      <w:tr>
        <w:trPr>
          <w:trHeight w:val="140" w:hRule="atLeast"/>
        </w:trPr>
        <w:tc>
          <w:tcPr>
            <w:tcW w:w="1776" w:type="dxa"/>
          </w:tcPr>
          <w:p>
            <w:pPr>
              <w:pStyle w:val="TableParagraph"/>
              <w:spacing w:line="120" w:lineRule="exact"/>
              <w:ind w:left="120"/>
              <w:rPr>
                <w:sz w:val="12"/>
              </w:rPr>
            </w:pPr>
            <w:r>
              <w:rPr>
                <w:w w:val="110"/>
                <w:sz w:val="14"/>
              </w:rPr>
              <w:t>past month </w:t>
            </w:r>
            <w:r>
              <w:rPr>
                <w:w w:val="110"/>
                <w:sz w:val="12"/>
              </w:rPr>
              <w:t>(c)</w:t>
            </w:r>
          </w:p>
        </w:tc>
        <w:tc>
          <w:tcPr>
            <w:tcW w:w="625" w:type="dxa"/>
          </w:tcPr>
          <w:p>
            <w:pPr>
              <w:pStyle w:val="TableParagraph"/>
              <w:spacing w:line="120" w:lineRule="exact"/>
              <w:ind w:right="309"/>
              <w:jc w:val="right"/>
              <w:rPr>
                <w:sz w:val="14"/>
              </w:rPr>
            </w:pPr>
            <w:r>
              <w:rPr>
                <w:w w:val="115"/>
                <w:sz w:val="14"/>
              </w:rPr>
              <w:t>52.9</w:t>
            </w:r>
          </w:p>
        </w:tc>
        <w:tc>
          <w:tcPr>
            <w:tcW w:w="47" w:type="dxa"/>
          </w:tcPr>
          <w:p>
            <w:pPr>
              <w:pStyle w:val="TableParagraph"/>
              <w:rPr>
                <w:sz w:val="8"/>
              </w:rPr>
            </w:pPr>
          </w:p>
        </w:tc>
        <w:tc>
          <w:tcPr>
            <w:tcW w:w="805" w:type="dxa"/>
          </w:tcPr>
          <w:p>
            <w:pPr>
              <w:pStyle w:val="TableParagraph"/>
              <w:tabs>
                <w:tab w:pos="536" w:val="left" w:leader="none"/>
              </w:tabs>
              <w:spacing w:line="120" w:lineRule="exact"/>
              <w:ind w:left="-2" w:right="1"/>
              <w:jc w:val="right"/>
              <w:rPr>
                <w:sz w:val="14"/>
              </w:rPr>
            </w:pPr>
            <w:r>
              <w:rPr>
                <w:spacing w:val="-4"/>
                <w:w w:val="115"/>
                <w:sz w:val="14"/>
              </w:rPr>
              <w:t>52.4</w:t>
              <w:tab/>
            </w:r>
            <w:r>
              <w:rPr>
                <w:spacing w:val="-10"/>
                <w:w w:val="115"/>
                <w:sz w:val="14"/>
              </w:rPr>
              <w:t>51.6</w:t>
            </w:r>
          </w:p>
        </w:tc>
        <w:tc>
          <w:tcPr>
            <w:tcW w:w="227" w:type="dxa"/>
          </w:tcPr>
          <w:p>
            <w:pPr>
              <w:pStyle w:val="TableParagraph"/>
              <w:rPr>
                <w:sz w:val="8"/>
              </w:rPr>
            </w:pPr>
          </w:p>
        </w:tc>
        <w:tc>
          <w:tcPr>
            <w:tcW w:w="281" w:type="dxa"/>
          </w:tcPr>
          <w:p>
            <w:pPr>
              <w:pStyle w:val="TableParagraph"/>
              <w:spacing w:line="120" w:lineRule="exact"/>
              <w:ind w:left="-4" w:right="9"/>
              <w:jc w:val="center"/>
              <w:rPr>
                <w:sz w:val="14"/>
              </w:rPr>
            </w:pPr>
            <w:r>
              <w:rPr>
                <w:spacing w:val="-4"/>
                <w:w w:val="115"/>
                <w:sz w:val="14"/>
              </w:rPr>
              <w:t>52.1</w:t>
            </w:r>
          </w:p>
        </w:tc>
        <w:tc>
          <w:tcPr>
            <w:tcW w:w="472" w:type="dxa"/>
          </w:tcPr>
          <w:p>
            <w:pPr>
              <w:pStyle w:val="TableParagraph"/>
              <w:spacing w:line="120" w:lineRule="exact"/>
              <w:ind w:right="21"/>
              <w:jc w:val="right"/>
              <w:rPr>
                <w:sz w:val="14"/>
              </w:rPr>
            </w:pPr>
            <w:r>
              <w:rPr>
                <w:w w:val="115"/>
                <w:sz w:val="14"/>
              </w:rPr>
              <w:t>52.5</w:t>
            </w:r>
          </w:p>
        </w:tc>
      </w:tr>
      <w:tr>
        <w:trPr>
          <w:trHeight w:val="140" w:hRule="atLeast"/>
        </w:trPr>
        <w:tc>
          <w:tcPr>
            <w:tcW w:w="1776" w:type="dxa"/>
          </w:tcPr>
          <w:p>
            <w:pPr>
              <w:pStyle w:val="TableParagraph"/>
              <w:spacing w:line="120" w:lineRule="exact"/>
              <w:ind w:left="50"/>
              <w:rPr>
                <w:sz w:val="14"/>
              </w:rPr>
            </w:pPr>
            <w:r>
              <w:rPr>
                <w:w w:val="105"/>
                <w:sz w:val="14"/>
              </w:rPr>
              <w:t>BCC home orders,</w:t>
            </w:r>
          </w:p>
        </w:tc>
        <w:tc>
          <w:tcPr>
            <w:tcW w:w="625" w:type="dxa"/>
          </w:tcPr>
          <w:p>
            <w:pPr>
              <w:pStyle w:val="TableParagraph"/>
              <w:rPr>
                <w:sz w:val="8"/>
              </w:rPr>
            </w:pPr>
          </w:p>
        </w:tc>
        <w:tc>
          <w:tcPr>
            <w:tcW w:w="47" w:type="dxa"/>
          </w:tcPr>
          <w:p>
            <w:pPr>
              <w:pStyle w:val="TableParagraph"/>
              <w:rPr>
                <w:sz w:val="8"/>
              </w:rPr>
            </w:pPr>
          </w:p>
        </w:tc>
        <w:tc>
          <w:tcPr>
            <w:tcW w:w="805" w:type="dxa"/>
          </w:tcPr>
          <w:p>
            <w:pPr>
              <w:pStyle w:val="TableParagraph"/>
              <w:rPr>
                <w:sz w:val="8"/>
              </w:rPr>
            </w:pPr>
          </w:p>
        </w:tc>
        <w:tc>
          <w:tcPr>
            <w:tcW w:w="227" w:type="dxa"/>
          </w:tcPr>
          <w:p>
            <w:pPr>
              <w:pStyle w:val="TableParagraph"/>
              <w:rPr>
                <w:sz w:val="8"/>
              </w:rPr>
            </w:pPr>
          </w:p>
        </w:tc>
        <w:tc>
          <w:tcPr>
            <w:tcW w:w="281" w:type="dxa"/>
          </w:tcPr>
          <w:p>
            <w:pPr>
              <w:pStyle w:val="TableParagraph"/>
              <w:rPr>
                <w:sz w:val="8"/>
              </w:rPr>
            </w:pPr>
          </w:p>
        </w:tc>
        <w:tc>
          <w:tcPr>
            <w:tcW w:w="472" w:type="dxa"/>
          </w:tcPr>
          <w:p>
            <w:pPr>
              <w:pStyle w:val="TableParagraph"/>
              <w:rPr>
                <w:sz w:val="8"/>
              </w:rPr>
            </w:pPr>
          </w:p>
        </w:tc>
      </w:tr>
      <w:tr>
        <w:trPr>
          <w:trHeight w:val="140" w:hRule="atLeast"/>
        </w:trPr>
        <w:tc>
          <w:tcPr>
            <w:tcW w:w="1776" w:type="dxa"/>
          </w:tcPr>
          <w:p>
            <w:pPr>
              <w:pStyle w:val="TableParagraph"/>
              <w:spacing w:line="120" w:lineRule="exact"/>
              <w:ind w:left="120"/>
              <w:rPr>
                <w:sz w:val="14"/>
              </w:rPr>
            </w:pPr>
            <w:r>
              <w:rPr>
                <w:w w:val="110"/>
                <w:sz w:val="14"/>
              </w:rPr>
              <w:t>past three months</w:t>
            </w:r>
          </w:p>
        </w:tc>
        <w:tc>
          <w:tcPr>
            <w:tcW w:w="625" w:type="dxa"/>
          </w:tcPr>
          <w:p>
            <w:pPr>
              <w:pStyle w:val="TableParagraph"/>
              <w:spacing w:line="120" w:lineRule="exact"/>
              <w:ind w:right="308"/>
              <w:jc w:val="right"/>
              <w:rPr>
                <w:sz w:val="14"/>
              </w:rPr>
            </w:pPr>
            <w:r>
              <w:rPr>
                <w:w w:val="121"/>
                <w:sz w:val="14"/>
              </w:rPr>
              <w:t>6</w:t>
            </w:r>
          </w:p>
        </w:tc>
        <w:tc>
          <w:tcPr>
            <w:tcW w:w="47" w:type="dxa"/>
          </w:tcPr>
          <w:p>
            <w:pPr>
              <w:pStyle w:val="TableParagraph"/>
              <w:rPr>
                <w:sz w:val="8"/>
              </w:rPr>
            </w:pPr>
          </w:p>
        </w:tc>
        <w:tc>
          <w:tcPr>
            <w:tcW w:w="805" w:type="dxa"/>
          </w:tcPr>
          <w:p>
            <w:pPr>
              <w:pStyle w:val="TableParagraph"/>
              <w:tabs>
                <w:tab w:pos="589" w:val="left" w:leader="none"/>
              </w:tabs>
              <w:spacing w:line="120" w:lineRule="exact"/>
              <w:jc w:val="right"/>
              <w:rPr>
                <w:sz w:val="14"/>
              </w:rPr>
            </w:pPr>
            <w:r>
              <w:rPr>
                <w:spacing w:val="-13"/>
                <w:w w:val="120"/>
                <w:sz w:val="14"/>
              </w:rPr>
              <w:t>15</w:t>
              <w:tab/>
            </w:r>
            <w:r>
              <w:rPr>
                <w:w w:val="120"/>
                <w:sz w:val="14"/>
              </w:rPr>
              <w:t>5</w:t>
            </w:r>
          </w:p>
        </w:tc>
        <w:tc>
          <w:tcPr>
            <w:tcW w:w="227" w:type="dxa"/>
          </w:tcPr>
          <w:p>
            <w:pPr>
              <w:pStyle w:val="TableParagraph"/>
              <w:rPr>
                <w:sz w:val="8"/>
              </w:rPr>
            </w:pPr>
          </w:p>
        </w:tc>
        <w:tc>
          <w:tcPr>
            <w:tcW w:w="281" w:type="dxa"/>
          </w:tcPr>
          <w:p>
            <w:pPr>
              <w:pStyle w:val="TableParagraph"/>
              <w:spacing w:line="120" w:lineRule="exact"/>
              <w:ind w:left="69"/>
              <w:jc w:val="center"/>
              <w:rPr>
                <w:b/>
                <w:sz w:val="14"/>
              </w:rPr>
            </w:pPr>
            <w:r>
              <w:rPr>
                <w:b/>
                <w:w w:val="121"/>
                <w:sz w:val="14"/>
              </w:rPr>
              <w:t>1</w:t>
            </w:r>
          </w:p>
        </w:tc>
        <w:tc>
          <w:tcPr>
            <w:tcW w:w="472" w:type="dxa"/>
          </w:tcPr>
          <w:p>
            <w:pPr>
              <w:pStyle w:val="TableParagraph"/>
              <w:spacing w:line="120" w:lineRule="exact"/>
              <w:ind w:right="20"/>
              <w:jc w:val="right"/>
              <w:rPr>
                <w:sz w:val="14"/>
              </w:rPr>
            </w:pPr>
            <w:r>
              <w:rPr>
                <w:w w:val="120"/>
                <w:sz w:val="14"/>
              </w:rPr>
              <w:t>12</w:t>
            </w:r>
          </w:p>
        </w:tc>
      </w:tr>
      <w:tr>
        <w:trPr>
          <w:trHeight w:val="140" w:hRule="atLeast"/>
        </w:trPr>
        <w:tc>
          <w:tcPr>
            <w:tcW w:w="1776" w:type="dxa"/>
          </w:tcPr>
          <w:p>
            <w:pPr>
              <w:pStyle w:val="TableParagraph"/>
              <w:spacing w:line="120" w:lineRule="exact"/>
              <w:ind w:left="50"/>
              <w:rPr>
                <w:sz w:val="14"/>
              </w:rPr>
            </w:pPr>
            <w:r>
              <w:rPr>
                <w:sz w:val="14"/>
              </w:rPr>
              <w:t>EEF volume of new orders,</w:t>
            </w:r>
          </w:p>
        </w:tc>
        <w:tc>
          <w:tcPr>
            <w:tcW w:w="625" w:type="dxa"/>
          </w:tcPr>
          <w:p>
            <w:pPr>
              <w:pStyle w:val="TableParagraph"/>
              <w:rPr>
                <w:sz w:val="8"/>
              </w:rPr>
            </w:pPr>
          </w:p>
        </w:tc>
        <w:tc>
          <w:tcPr>
            <w:tcW w:w="47" w:type="dxa"/>
          </w:tcPr>
          <w:p>
            <w:pPr>
              <w:pStyle w:val="TableParagraph"/>
              <w:rPr>
                <w:sz w:val="8"/>
              </w:rPr>
            </w:pPr>
          </w:p>
        </w:tc>
        <w:tc>
          <w:tcPr>
            <w:tcW w:w="805" w:type="dxa"/>
          </w:tcPr>
          <w:p>
            <w:pPr>
              <w:pStyle w:val="TableParagraph"/>
              <w:rPr>
                <w:sz w:val="8"/>
              </w:rPr>
            </w:pPr>
          </w:p>
        </w:tc>
        <w:tc>
          <w:tcPr>
            <w:tcW w:w="227" w:type="dxa"/>
          </w:tcPr>
          <w:p>
            <w:pPr>
              <w:pStyle w:val="TableParagraph"/>
              <w:rPr>
                <w:sz w:val="8"/>
              </w:rPr>
            </w:pPr>
          </w:p>
        </w:tc>
        <w:tc>
          <w:tcPr>
            <w:tcW w:w="281" w:type="dxa"/>
          </w:tcPr>
          <w:p>
            <w:pPr>
              <w:pStyle w:val="TableParagraph"/>
              <w:rPr>
                <w:sz w:val="8"/>
              </w:rPr>
            </w:pPr>
          </w:p>
        </w:tc>
        <w:tc>
          <w:tcPr>
            <w:tcW w:w="472" w:type="dxa"/>
          </w:tcPr>
          <w:p>
            <w:pPr>
              <w:pStyle w:val="TableParagraph"/>
              <w:rPr>
                <w:sz w:val="8"/>
              </w:rPr>
            </w:pPr>
          </w:p>
        </w:tc>
      </w:tr>
      <w:tr>
        <w:trPr>
          <w:trHeight w:val="394" w:hRule="atLeast"/>
        </w:trPr>
        <w:tc>
          <w:tcPr>
            <w:tcW w:w="1776" w:type="dxa"/>
          </w:tcPr>
          <w:p>
            <w:pPr>
              <w:pStyle w:val="TableParagraph"/>
              <w:spacing w:line="134" w:lineRule="exact"/>
              <w:ind w:left="120"/>
              <w:rPr>
                <w:sz w:val="14"/>
              </w:rPr>
            </w:pPr>
            <w:r>
              <w:rPr>
                <w:w w:val="110"/>
                <w:sz w:val="14"/>
              </w:rPr>
              <w:t>past three months</w:t>
            </w:r>
          </w:p>
          <w:p>
            <w:pPr>
              <w:pStyle w:val="TableParagraph"/>
              <w:spacing w:line="123" w:lineRule="exact" w:before="117"/>
              <w:ind w:left="50" w:right="-15"/>
              <w:rPr>
                <w:sz w:val="12"/>
              </w:rPr>
            </w:pPr>
            <w:r>
              <w:rPr>
                <w:sz w:val="12"/>
              </w:rPr>
              <w:t>Sources: BCC, CIPS, CBI and</w:t>
            </w:r>
            <w:r>
              <w:rPr>
                <w:spacing w:val="-14"/>
                <w:sz w:val="12"/>
              </w:rPr>
              <w:t> </w:t>
            </w:r>
            <w:r>
              <w:rPr>
                <w:spacing w:val="-7"/>
                <w:sz w:val="12"/>
              </w:rPr>
              <w:t>EEF.</w:t>
            </w:r>
          </w:p>
        </w:tc>
        <w:tc>
          <w:tcPr>
            <w:tcW w:w="625" w:type="dxa"/>
          </w:tcPr>
          <w:p>
            <w:pPr>
              <w:pStyle w:val="TableParagraph"/>
              <w:spacing w:line="134" w:lineRule="exact"/>
              <w:ind w:right="309"/>
              <w:jc w:val="right"/>
              <w:rPr>
                <w:sz w:val="14"/>
              </w:rPr>
            </w:pPr>
            <w:r>
              <w:rPr>
                <w:w w:val="121"/>
                <w:sz w:val="14"/>
              </w:rPr>
              <w:t>6</w:t>
            </w:r>
          </w:p>
        </w:tc>
        <w:tc>
          <w:tcPr>
            <w:tcW w:w="47" w:type="dxa"/>
          </w:tcPr>
          <w:p>
            <w:pPr>
              <w:pStyle w:val="TableParagraph"/>
              <w:rPr>
                <w:sz w:val="16"/>
              </w:rPr>
            </w:pPr>
          </w:p>
        </w:tc>
        <w:tc>
          <w:tcPr>
            <w:tcW w:w="805" w:type="dxa"/>
          </w:tcPr>
          <w:p>
            <w:pPr>
              <w:pStyle w:val="TableParagraph"/>
              <w:tabs>
                <w:tab w:pos="480" w:val="left" w:leader="none"/>
              </w:tabs>
              <w:spacing w:line="134" w:lineRule="exact"/>
              <w:ind w:right="1"/>
              <w:jc w:val="right"/>
              <w:rPr>
                <w:sz w:val="14"/>
              </w:rPr>
            </w:pPr>
            <w:r>
              <w:rPr>
                <w:w w:val="120"/>
                <w:sz w:val="14"/>
              </w:rPr>
              <w:t>6</w:t>
              <w:tab/>
            </w:r>
            <w:r>
              <w:rPr>
                <w:spacing w:val="-1"/>
                <w:w w:val="115"/>
                <w:sz w:val="14"/>
              </w:rPr>
              <w:t>-8</w:t>
            </w:r>
          </w:p>
        </w:tc>
        <w:tc>
          <w:tcPr>
            <w:tcW w:w="227" w:type="dxa"/>
          </w:tcPr>
          <w:p>
            <w:pPr>
              <w:pStyle w:val="TableParagraph"/>
              <w:rPr>
                <w:sz w:val="16"/>
              </w:rPr>
            </w:pPr>
          </w:p>
        </w:tc>
        <w:tc>
          <w:tcPr>
            <w:tcW w:w="281" w:type="dxa"/>
          </w:tcPr>
          <w:p>
            <w:pPr>
              <w:pStyle w:val="TableParagraph"/>
              <w:spacing w:line="134" w:lineRule="exact"/>
              <w:ind w:left="174"/>
              <w:jc w:val="center"/>
              <w:rPr>
                <w:sz w:val="14"/>
              </w:rPr>
            </w:pPr>
            <w:r>
              <w:rPr>
                <w:w w:val="121"/>
                <w:sz w:val="14"/>
              </w:rPr>
              <w:t>5</w:t>
            </w:r>
          </w:p>
        </w:tc>
        <w:tc>
          <w:tcPr>
            <w:tcW w:w="472" w:type="dxa"/>
          </w:tcPr>
          <w:p>
            <w:pPr>
              <w:pStyle w:val="TableParagraph"/>
              <w:spacing w:line="134" w:lineRule="exact"/>
              <w:ind w:right="20"/>
              <w:jc w:val="right"/>
              <w:rPr>
                <w:sz w:val="14"/>
              </w:rPr>
            </w:pPr>
            <w:r>
              <w:rPr>
                <w:w w:val="120"/>
                <w:sz w:val="14"/>
              </w:rPr>
              <w:t>10</w:t>
            </w:r>
          </w:p>
        </w:tc>
      </w:tr>
    </w:tbl>
    <w:p>
      <w:pPr>
        <w:pStyle w:val="BodyText"/>
        <w:spacing w:before="8"/>
        <w:rPr>
          <w:sz w:val="11"/>
        </w:rPr>
      </w:pPr>
    </w:p>
    <w:p>
      <w:pPr>
        <w:pStyle w:val="ListParagraph"/>
        <w:numPr>
          <w:ilvl w:val="0"/>
          <w:numId w:val="17"/>
        </w:numPr>
        <w:tabs>
          <w:tab w:pos="407" w:val="left" w:leader="none"/>
        </w:tabs>
        <w:spacing w:line="208" w:lineRule="auto" w:before="0" w:after="0"/>
        <w:ind w:left="406" w:right="77" w:hanging="240"/>
        <w:jc w:val="left"/>
        <w:rPr>
          <w:sz w:val="12"/>
        </w:rPr>
      </w:pPr>
      <w:r>
        <w:rPr>
          <w:w w:val="105"/>
          <w:sz w:val="12"/>
        </w:rPr>
        <w:t>Numbers reported are survey balances unless otherwise stated. An increase suggests a rise in the proportion of respondents reporting ‘higher’ relative to </w:t>
      </w:r>
      <w:r>
        <w:rPr>
          <w:spacing w:val="-4"/>
          <w:w w:val="105"/>
          <w:sz w:val="12"/>
        </w:rPr>
        <w:t>‘lower’.</w:t>
      </w:r>
    </w:p>
    <w:p>
      <w:pPr>
        <w:pStyle w:val="ListParagraph"/>
        <w:numPr>
          <w:ilvl w:val="0"/>
          <w:numId w:val="17"/>
        </w:numPr>
        <w:tabs>
          <w:tab w:pos="407" w:val="left" w:leader="none"/>
        </w:tabs>
        <w:spacing w:line="114" w:lineRule="exact" w:before="0" w:after="0"/>
        <w:ind w:left="406" w:right="0" w:hanging="241"/>
        <w:jc w:val="left"/>
        <w:rPr>
          <w:sz w:val="12"/>
        </w:rPr>
      </w:pPr>
      <w:r>
        <w:rPr>
          <w:w w:val="110"/>
          <w:sz w:val="12"/>
        </w:rPr>
        <w:t>CBI since </w:t>
      </w:r>
      <w:r>
        <w:rPr>
          <w:spacing w:val="-11"/>
          <w:w w:val="110"/>
          <w:sz w:val="12"/>
        </w:rPr>
        <w:t>1975; </w:t>
      </w:r>
      <w:r>
        <w:rPr>
          <w:w w:val="110"/>
          <w:sz w:val="12"/>
        </w:rPr>
        <w:t>CIPS since </w:t>
      </w:r>
      <w:r>
        <w:rPr>
          <w:spacing w:val="-8"/>
          <w:w w:val="110"/>
          <w:sz w:val="12"/>
        </w:rPr>
        <w:t>1992; </w:t>
      </w:r>
      <w:r>
        <w:rPr>
          <w:w w:val="110"/>
          <w:sz w:val="12"/>
        </w:rPr>
        <w:t>BCC since </w:t>
      </w:r>
      <w:r>
        <w:rPr>
          <w:spacing w:val="-10"/>
          <w:w w:val="110"/>
          <w:sz w:val="12"/>
        </w:rPr>
        <w:t>1989; </w:t>
      </w:r>
      <w:r>
        <w:rPr>
          <w:w w:val="110"/>
          <w:sz w:val="12"/>
        </w:rPr>
        <w:t>EEF since</w:t>
      </w:r>
      <w:r>
        <w:rPr>
          <w:spacing w:val="-21"/>
          <w:w w:val="110"/>
          <w:sz w:val="12"/>
        </w:rPr>
        <w:t> </w:t>
      </w:r>
      <w:r>
        <w:rPr>
          <w:spacing w:val="-9"/>
          <w:w w:val="110"/>
          <w:sz w:val="12"/>
        </w:rPr>
        <w:t>1994.</w:t>
      </w:r>
    </w:p>
    <w:p>
      <w:pPr>
        <w:pStyle w:val="ListParagraph"/>
        <w:numPr>
          <w:ilvl w:val="0"/>
          <w:numId w:val="17"/>
        </w:numPr>
        <w:tabs>
          <w:tab w:pos="407" w:val="left" w:leader="none"/>
        </w:tabs>
        <w:spacing w:line="208" w:lineRule="auto" w:before="5" w:after="0"/>
        <w:ind w:left="406" w:right="82" w:hanging="240"/>
        <w:jc w:val="left"/>
        <w:rPr>
          <w:sz w:val="12"/>
        </w:rPr>
      </w:pPr>
      <w:r>
        <w:rPr>
          <w:w w:val="105"/>
          <w:sz w:val="12"/>
        </w:rPr>
        <w:t>Average of seasonally adjusted monthly indices. A reading above </w:t>
      </w:r>
      <w:r>
        <w:rPr>
          <w:spacing w:val="-5"/>
          <w:w w:val="105"/>
          <w:sz w:val="12"/>
        </w:rPr>
        <w:t>50 </w:t>
      </w:r>
      <w:r>
        <w:rPr>
          <w:w w:val="105"/>
          <w:sz w:val="12"/>
        </w:rPr>
        <w:t>suggests expansion, a reading below </w:t>
      </w:r>
      <w:r>
        <w:rPr>
          <w:spacing w:val="-5"/>
          <w:w w:val="105"/>
          <w:sz w:val="12"/>
        </w:rPr>
        <w:t>50 </w:t>
      </w:r>
      <w:r>
        <w:rPr>
          <w:w w:val="105"/>
          <w:sz w:val="12"/>
        </w:rPr>
        <w:t>suggests</w:t>
      </w:r>
      <w:r>
        <w:rPr>
          <w:spacing w:val="-1"/>
          <w:w w:val="105"/>
          <w:sz w:val="12"/>
        </w:rPr>
        <w:t> </w:t>
      </w:r>
      <w:r>
        <w:rPr>
          <w:w w:val="105"/>
          <w:sz w:val="12"/>
        </w:rPr>
        <w:t>contraction.</w:t>
      </w:r>
    </w:p>
    <w:p>
      <w:pPr>
        <w:pStyle w:val="BodyText"/>
        <w:rPr>
          <w:sz w:val="12"/>
        </w:rPr>
      </w:pPr>
    </w:p>
    <w:p>
      <w:pPr>
        <w:pStyle w:val="BodyText"/>
        <w:rPr>
          <w:sz w:val="12"/>
        </w:rPr>
      </w:pPr>
    </w:p>
    <w:p>
      <w:pPr>
        <w:pStyle w:val="BodyText"/>
        <w:spacing w:before="7"/>
        <w:rPr>
          <w:sz w:val="11"/>
        </w:rPr>
      </w:pPr>
    </w:p>
    <w:p>
      <w:pPr>
        <w:pStyle w:val="Heading6"/>
        <w:spacing w:line="247" w:lineRule="auto" w:before="1"/>
        <w:ind w:left="179" w:right="2192"/>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2.21</w:t>
      </w:r>
      <w:r>
        <w:rPr>
          <w:smallCaps w:val="0"/>
          <w:color w:val="89C6DC"/>
          <w:spacing w:val="-1"/>
          <w:w w:val="84"/>
        </w:rPr>
        <w:t> </w:t>
      </w:r>
      <w:r>
        <w:rPr>
          <w:smallCaps w:val="0"/>
          <w:color w:val="89C6DC"/>
          <w:spacing w:val="-3"/>
          <w:w w:val="107"/>
        </w:rPr>
        <w:t>M</w:t>
      </w:r>
      <w:r>
        <w:rPr>
          <w:smallCaps w:val="0"/>
          <w:color w:val="89C6DC"/>
          <w:spacing w:val="-1"/>
          <w:w w:val="87"/>
        </w:rPr>
        <w:t>anufactu</w:t>
      </w:r>
      <w:r>
        <w:rPr>
          <w:smallCaps w:val="0"/>
          <w:color w:val="89C6DC"/>
          <w:spacing w:val="-2"/>
          <w:w w:val="87"/>
        </w:rPr>
        <w:t>r</w:t>
      </w:r>
      <w:r>
        <w:rPr>
          <w:smallCaps w:val="0"/>
          <w:color w:val="89C6DC"/>
          <w:spacing w:val="-1"/>
          <w:w w:val="96"/>
        </w:rPr>
        <w:t>in</w:t>
      </w:r>
      <w:r>
        <w:rPr>
          <w:smallCaps w:val="0"/>
          <w:color w:val="89C6DC"/>
          <w:w w:val="96"/>
        </w:rPr>
        <w:t>g</w:t>
      </w:r>
      <w:r>
        <w:rPr>
          <w:smallCaps w:val="0"/>
          <w:color w:val="89C6DC"/>
          <w:spacing w:val="6"/>
        </w:rPr>
        <w:t> </w:t>
      </w:r>
      <w:r>
        <w:rPr>
          <w:smallCaps w:val="0"/>
          <w:color w:val="89C6DC"/>
          <w:spacing w:val="-1"/>
          <w:w w:val="88"/>
        </w:rPr>
        <w:t>output</w:t>
      </w:r>
    </w:p>
    <w:p>
      <w:pPr>
        <w:pStyle w:val="BodyText"/>
        <w:spacing w:before="3"/>
        <w:rPr>
          <w:rFonts w:ascii="Trebuchet MS"/>
          <w:b/>
        </w:rPr>
      </w:pPr>
      <w:r>
        <w:rPr/>
        <w:br w:type="column"/>
      </w:r>
      <w:r>
        <w:rPr>
          <w:rFonts w:ascii="Trebuchet MS"/>
          <w:b/>
        </w:rPr>
      </w:r>
    </w:p>
    <w:p>
      <w:pPr>
        <w:pStyle w:val="BodyText"/>
        <w:spacing w:line="292" w:lineRule="auto"/>
        <w:ind w:left="286" w:right="201"/>
      </w:pPr>
      <w:r>
        <w:rPr>
          <w:spacing w:val="-3"/>
          <w:w w:val="110"/>
        </w:rPr>
        <w:t>survey </w:t>
      </w:r>
      <w:r>
        <w:rPr>
          <w:w w:val="110"/>
        </w:rPr>
        <w:t>indicated that new </w:t>
      </w:r>
      <w:r>
        <w:rPr>
          <w:spacing w:val="-3"/>
          <w:w w:val="110"/>
        </w:rPr>
        <w:t>orders </w:t>
      </w:r>
      <w:r>
        <w:rPr>
          <w:w w:val="110"/>
        </w:rPr>
        <w:t>in high-technology </w:t>
      </w:r>
      <w:r>
        <w:rPr>
          <w:spacing w:val="-3"/>
          <w:w w:val="110"/>
        </w:rPr>
        <w:t>sectors </w:t>
      </w:r>
      <w:r>
        <w:rPr>
          <w:w w:val="110"/>
        </w:rPr>
        <w:t>such</w:t>
      </w:r>
      <w:r>
        <w:rPr>
          <w:spacing w:val="-17"/>
          <w:w w:val="110"/>
        </w:rPr>
        <w:t> </w:t>
      </w:r>
      <w:r>
        <w:rPr>
          <w:w w:val="110"/>
        </w:rPr>
        <w:t>as</w:t>
      </w:r>
      <w:r>
        <w:rPr>
          <w:spacing w:val="-16"/>
          <w:w w:val="110"/>
        </w:rPr>
        <w:t> </w:t>
      </w:r>
      <w:r>
        <w:rPr>
          <w:w w:val="110"/>
        </w:rPr>
        <w:t>electronics</w:t>
      </w:r>
      <w:r>
        <w:rPr>
          <w:spacing w:val="-16"/>
          <w:w w:val="110"/>
        </w:rPr>
        <w:t> </w:t>
      </w:r>
      <w:r>
        <w:rPr>
          <w:w w:val="110"/>
        </w:rPr>
        <w:t>and</w:t>
      </w:r>
      <w:r>
        <w:rPr>
          <w:spacing w:val="-17"/>
          <w:w w:val="110"/>
        </w:rPr>
        <w:t> </w:t>
      </w:r>
      <w:r>
        <w:rPr>
          <w:w w:val="110"/>
        </w:rPr>
        <w:t>electrical</w:t>
      </w:r>
      <w:r>
        <w:rPr>
          <w:spacing w:val="-16"/>
          <w:w w:val="110"/>
        </w:rPr>
        <w:t> </w:t>
      </w:r>
      <w:r>
        <w:rPr>
          <w:w w:val="110"/>
        </w:rPr>
        <w:t>equipment</w:t>
      </w:r>
      <w:r>
        <w:rPr>
          <w:spacing w:val="-16"/>
          <w:w w:val="110"/>
        </w:rPr>
        <w:t> </w:t>
      </w:r>
      <w:r>
        <w:rPr>
          <w:spacing w:val="-3"/>
          <w:w w:val="110"/>
        </w:rPr>
        <w:t>improved</w:t>
      </w:r>
      <w:r>
        <w:rPr>
          <w:spacing w:val="-17"/>
          <w:w w:val="110"/>
        </w:rPr>
        <w:t> </w:t>
      </w:r>
      <w:r>
        <w:rPr>
          <w:w w:val="110"/>
        </w:rPr>
        <w:t>in</w:t>
      </w:r>
      <w:r>
        <w:rPr>
          <w:spacing w:val="-16"/>
          <w:w w:val="110"/>
        </w:rPr>
        <w:t> </w:t>
      </w:r>
      <w:r>
        <w:rPr>
          <w:w w:val="110"/>
        </w:rPr>
        <w:t>Q4. </w:t>
      </w:r>
      <w:r>
        <w:rPr>
          <w:spacing w:val="-4"/>
          <w:w w:val="110"/>
        </w:rPr>
        <w:t>However, </w:t>
      </w:r>
      <w:r>
        <w:rPr>
          <w:w w:val="110"/>
        </w:rPr>
        <w:t>looking forward, in the January CBI Industrial </w:t>
      </w:r>
      <w:r>
        <w:rPr>
          <w:spacing w:val="-4"/>
          <w:w w:val="110"/>
        </w:rPr>
        <w:t>Trends </w:t>
      </w:r>
      <w:r>
        <w:rPr>
          <w:w w:val="110"/>
        </w:rPr>
        <w:t>survey the balance of firms in the office machinery and data processing equipment sector expected new orders </w:t>
      </w:r>
      <w:r>
        <w:rPr>
          <w:spacing w:val="-4"/>
          <w:w w:val="110"/>
        </w:rPr>
        <w:t>to </w:t>
      </w:r>
      <w:r>
        <w:rPr>
          <w:w w:val="110"/>
        </w:rPr>
        <w:t>decline, </w:t>
      </w:r>
      <w:r>
        <w:rPr>
          <w:spacing w:val="-3"/>
          <w:w w:val="110"/>
        </w:rPr>
        <w:t>even </w:t>
      </w:r>
      <w:r>
        <w:rPr>
          <w:w w:val="110"/>
        </w:rPr>
        <w:t>though a large positive balance had experienced an increase in new orders </w:t>
      </w:r>
      <w:r>
        <w:rPr>
          <w:spacing w:val="-3"/>
          <w:w w:val="110"/>
        </w:rPr>
        <w:t>over </w:t>
      </w:r>
      <w:r>
        <w:rPr>
          <w:w w:val="110"/>
        </w:rPr>
        <w:t>the past four months.</w:t>
      </w:r>
    </w:p>
    <w:p>
      <w:pPr>
        <w:pStyle w:val="BodyText"/>
        <w:spacing w:before="5"/>
      </w:pPr>
    </w:p>
    <w:p>
      <w:pPr>
        <w:pStyle w:val="BodyText"/>
        <w:spacing w:line="292" w:lineRule="auto"/>
        <w:ind w:left="286" w:right="125"/>
      </w:pPr>
      <w:r>
        <w:rPr>
          <w:w w:val="110"/>
        </w:rPr>
        <w:t>The utilities, mining and quarrying, agriculture, and construction </w:t>
      </w:r>
      <w:r>
        <w:rPr>
          <w:spacing w:val="-3"/>
          <w:w w:val="110"/>
        </w:rPr>
        <w:t>sectors, </w:t>
      </w:r>
      <w:r>
        <w:rPr>
          <w:w w:val="110"/>
        </w:rPr>
        <w:t>where output tends </w:t>
      </w:r>
      <w:r>
        <w:rPr>
          <w:spacing w:val="-4"/>
          <w:w w:val="110"/>
        </w:rPr>
        <w:t>to </w:t>
      </w:r>
      <w:r>
        <w:rPr>
          <w:w w:val="110"/>
        </w:rPr>
        <w:t>be more volatile, together</w:t>
      </w:r>
      <w:r>
        <w:rPr>
          <w:spacing w:val="-18"/>
          <w:w w:val="110"/>
        </w:rPr>
        <w:t> </w:t>
      </w:r>
      <w:r>
        <w:rPr>
          <w:w w:val="110"/>
        </w:rPr>
        <w:t>made</w:t>
      </w:r>
      <w:r>
        <w:rPr>
          <w:spacing w:val="-18"/>
          <w:w w:val="110"/>
        </w:rPr>
        <w:t> </w:t>
      </w:r>
      <w:r>
        <w:rPr>
          <w:w w:val="110"/>
        </w:rPr>
        <w:t>a</w:t>
      </w:r>
      <w:r>
        <w:rPr>
          <w:spacing w:val="-18"/>
          <w:w w:val="110"/>
        </w:rPr>
        <w:t> </w:t>
      </w:r>
      <w:r>
        <w:rPr>
          <w:w w:val="110"/>
        </w:rPr>
        <w:t>small</w:t>
      </w:r>
      <w:r>
        <w:rPr>
          <w:spacing w:val="-18"/>
          <w:w w:val="110"/>
        </w:rPr>
        <w:t> </w:t>
      </w:r>
      <w:r>
        <w:rPr>
          <w:w w:val="110"/>
        </w:rPr>
        <w:t>negative</w:t>
      </w:r>
      <w:r>
        <w:rPr>
          <w:spacing w:val="-18"/>
          <w:w w:val="110"/>
        </w:rPr>
        <w:t> </w:t>
      </w:r>
      <w:r>
        <w:rPr>
          <w:w w:val="110"/>
        </w:rPr>
        <w:t>contribution</w:t>
      </w:r>
      <w:r>
        <w:rPr>
          <w:spacing w:val="-18"/>
          <w:w w:val="110"/>
        </w:rPr>
        <w:t> </w:t>
      </w:r>
      <w:r>
        <w:rPr>
          <w:spacing w:val="-4"/>
          <w:w w:val="110"/>
        </w:rPr>
        <w:t>to</w:t>
      </w:r>
      <w:r>
        <w:rPr>
          <w:spacing w:val="-18"/>
          <w:w w:val="110"/>
        </w:rPr>
        <w:t> </w:t>
      </w:r>
      <w:r>
        <w:rPr>
          <w:w w:val="110"/>
        </w:rPr>
        <w:t>GDP</w:t>
      </w:r>
      <w:r>
        <w:rPr>
          <w:spacing w:val="-18"/>
          <w:w w:val="110"/>
        </w:rPr>
        <w:t> </w:t>
      </w:r>
      <w:r>
        <w:rPr>
          <w:spacing w:val="-2"/>
          <w:w w:val="110"/>
        </w:rPr>
        <w:t>growth</w:t>
      </w:r>
      <w:r>
        <w:rPr>
          <w:spacing w:val="-18"/>
          <w:w w:val="110"/>
        </w:rPr>
        <w:t> </w:t>
      </w:r>
      <w:r>
        <w:rPr>
          <w:w w:val="110"/>
        </w:rPr>
        <w:t>in Q3, as construction sector output fell </w:t>
      </w:r>
      <w:r>
        <w:rPr>
          <w:spacing w:val="-3"/>
          <w:w w:val="110"/>
        </w:rPr>
        <w:t>sharply. </w:t>
      </w:r>
      <w:r>
        <w:rPr>
          <w:w w:val="110"/>
        </w:rPr>
        <w:t>And </w:t>
      </w:r>
      <w:r>
        <w:rPr>
          <w:spacing w:val="-3"/>
          <w:w w:val="110"/>
        </w:rPr>
        <w:t>overall </w:t>
      </w:r>
      <w:r>
        <w:rPr>
          <w:w w:val="110"/>
        </w:rPr>
        <w:t>output in these </w:t>
      </w:r>
      <w:r>
        <w:rPr>
          <w:spacing w:val="-3"/>
          <w:w w:val="110"/>
        </w:rPr>
        <w:t>sectors </w:t>
      </w:r>
      <w:r>
        <w:rPr>
          <w:w w:val="110"/>
        </w:rPr>
        <w:t>fell more significantly in Q4. Output of the utilities, agriculture, and construction </w:t>
      </w:r>
      <w:r>
        <w:rPr>
          <w:spacing w:val="-3"/>
          <w:w w:val="110"/>
        </w:rPr>
        <w:t>sectors was adversely</w:t>
      </w:r>
      <w:r>
        <w:rPr>
          <w:spacing w:val="-25"/>
          <w:w w:val="110"/>
        </w:rPr>
        <w:t> </w:t>
      </w:r>
      <w:r>
        <w:rPr>
          <w:w w:val="110"/>
        </w:rPr>
        <w:t>affected</w:t>
      </w:r>
      <w:r>
        <w:rPr>
          <w:spacing w:val="-25"/>
          <w:w w:val="110"/>
        </w:rPr>
        <w:t> </w:t>
      </w:r>
      <w:r>
        <w:rPr>
          <w:spacing w:val="-3"/>
          <w:w w:val="110"/>
        </w:rPr>
        <w:t>by</w:t>
      </w:r>
      <w:r>
        <w:rPr>
          <w:spacing w:val="-25"/>
          <w:w w:val="110"/>
        </w:rPr>
        <w:t> </w:t>
      </w:r>
      <w:r>
        <w:rPr>
          <w:w w:val="110"/>
        </w:rPr>
        <w:t>unusual</w:t>
      </w:r>
      <w:r>
        <w:rPr>
          <w:spacing w:val="-25"/>
          <w:w w:val="110"/>
        </w:rPr>
        <w:t> </w:t>
      </w:r>
      <w:r>
        <w:rPr>
          <w:spacing w:val="-3"/>
          <w:w w:val="110"/>
        </w:rPr>
        <w:t>weather.</w:t>
      </w:r>
      <w:r>
        <w:rPr>
          <w:spacing w:val="6"/>
          <w:w w:val="110"/>
        </w:rPr>
        <w:t> </w:t>
      </w:r>
      <w:r>
        <w:rPr>
          <w:w w:val="110"/>
        </w:rPr>
        <w:t>Mining</w:t>
      </w:r>
      <w:r>
        <w:rPr>
          <w:spacing w:val="-24"/>
          <w:w w:val="110"/>
        </w:rPr>
        <w:t> </w:t>
      </w:r>
      <w:r>
        <w:rPr>
          <w:w w:val="110"/>
        </w:rPr>
        <w:t>output</w:t>
      </w:r>
      <w:r>
        <w:rPr>
          <w:spacing w:val="-25"/>
          <w:w w:val="110"/>
        </w:rPr>
        <w:t> </w:t>
      </w:r>
      <w:r>
        <w:rPr>
          <w:spacing w:val="-3"/>
          <w:w w:val="110"/>
        </w:rPr>
        <w:t>was</w:t>
      </w:r>
      <w:r>
        <w:rPr>
          <w:spacing w:val="-25"/>
          <w:w w:val="110"/>
        </w:rPr>
        <w:t> </w:t>
      </w:r>
      <w:r>
        <w:rPr>
          <w:w w:val="110"/>
        </w:rPr>
        <w:t>also unusually weak. Construction output has fallen since spring </w:t>
      </w:r>
      <w:r>
        <w:rPr>
          <w:spacing w:val="-4"/>
          <w:w w:val="110"/>
        </w:rPr>
        <w:t>2000 </w:t>
      </w:r>
      <w:r>
        <w:rPr>
          <w:w w:val="110"/>
        </w:rPr>
        <w:t>as millennium-related projects </w:t>
      </w:r>
      <w:r>
        <w:rPr>
          <w:spacing w:val="-3"/>
          <w:w w:val="110"/>
        </w:rPr>
        <w:t>were </w:t>
      </w:r>
      <w:r>
        <w:rPr>
          <w:w w:val="110"/>
        </w:rPr>
        <w:t>completed and adverse weather delayed projects. The expected return from housing construction </w:t>
      </w:r>
      <w:r>
        <w:rPr>
          <w:spacing w:val="-3"/>
          <w:w w:val="110"/>
        </w:rPr>
        <w:t>may </w:t>
      </w:r>
      <w:r>
        <w:rPr>
          <w:w w:val="110"/>
        </w:rPr>
        <w:t>also </w:t>
      </w:r>
      <w:r>
        <w:rPr>
          <w:spacing w:val="-3"/>
          <w:w w:val="110"/>
        </w:rPr>
        <w:t>have </w:t>
      </w:r>
      <w:r>
        <w:rPr>
          <w:w w:val="110"/>
        </w:rPr>
        <w:t>declined as house price inflation</w:t>
      </w:r>
      <w:r>
        <w:rPr>
          <w:spacing w:val="-18"/>
          <w:w w:val="110"/>
        </w:rPr>
        <w:t> </w:t>
      </w:r>
      <w:r>
        <w:rPr>
          <w:spacing w:val="-3"/>
          <w:w w:val="110"/>
        </w:rPr>
        <w:t>moderated</w:t>
      </w:r>
      <w:r>
        <w:rPr>
          <w:spacing w:val="-17"/>
          <w:w w:val="110"/>
        </w:rPr>
        <w:t> </w:t>
      </w:r>
      <w:r>
        <w:rPr>
          <w:w w:val="110"/>
        </w:rPr>
        <w:t>earlier</w:t>
      </w:r>
      <w:r>
        <w:rPr>
          <w:spacing w:val="-17"/>
          <w:w w:val="110"/>
        </w:rPr>
        <w:t> </w:t>
      </w:r>
      <w:r>
        <w:rPr>
          <w:w w:val="110"/>
        </w:rPr>
        <w:t>in</w:t>
      </w:r>
      <w:r>
        <w:rPr>
          <w:spacing w:val="-17"/>
          <w:w w:val="110"/>
        </w:rPr>
        <w:t> </w:t>
      </w:r>
      <w:r>
        <w:rPr>
          <w:w w:val="110"/>
        </w:rPr>
        <w:t>the</w:t>
      </w:r>
      <w:r>
        <w:rPr>
          <w:spacing w:val="-17"/>
          <w:w w:val="110"/>
        </w:rPr>
        <w:t> </w:t>
      </w:r>
      <w:r>
        <w:rPr>
          <w:spacing w:val="-4"/>
          <w:w w:val="110"/>
        </w:rPr>
        <w:t>year.</w:t>
      </w:r>
      <w:r>
        <w:rPr>
          <w:spacing w:val="21"/>
          <w:w w:val="110"/>
        </w:rPr>
        <w:t> </w:t>
      </w:r>
      <w:r>
        <w:rPr>
          <w:w w:val="110"/>
        </w:rPr>
        <w:t>But</w:t>
      </w:r>
      <w:r>
        <w:rPr>
          <w:spacing w:val="-17"/>
          <w:w w:val="110"/>
        </w:rPr>
        <w:t> </w:t>
      </w:r>
      <w:r>
        <w:rPr>
          <w:w w:val="110"/>
        </w:rPr>
        <w:t>the</w:t>
      </w:r>
      <w:r>
        <w:rPr>
          <w:spacing w:val="-17"/>
          <w:w w:val="110"/>
        </w:rPr>
        <w:t> </w:t>
      </w:r>
      <w:r>
        <w:rPr>
          <w:w w:val="110"/>
        </w:rPr>
        <w:t>CIPS</w:t>
      </w:r>
      <w:r>
        <w:rPr>
          <w:spacing w:val="-17"/>
          <w:w w:val="110"/>
        </w:rPr>
        <w:t> </w:t>
      </w:r>
      <w:r>
        <w:rPr>
          <w:spacing w:val="-3"/>
          <w:w w:val="110"/>
        </w:rPr>
        <w:t>survey</w:t>
      </w:r>
      <w:r>
        <w:rPr>
          <w:spacing w:val="-17"/>
          <w:w w:val="110"/>
        </w:rPr>
        <w:t> </w:t>
      </w:r>
      <w:r>
        <w:rPr>
          <w:w w:val="110"/>
        </w:rPr>
        <w:t>of construction indicates an upturn in activity in recent months and optimism about future business activity has been increasing for some time (see Chart </w:t>
      </w:r>
      <w:r>
        <w:rPr>
          <w:spacing w:val="-4"/>
          <w:w w:val="110"/>
        </w:rPr>
        <w:t>2.22), </w:t>
      </w:r>
      <w:r>
        <w:rPr>
          <w:w w:val="110"/>
        </w:rPr>
        <w:t>in part because of an </w:t>
      </w:r>
      <w:r>
        <w:rPr>
          <w:spacing w:val="-3"/>
          <w:w w:val="110"/>
        </w:rPr>
        <w:t>expected </w:t>
      </w:r>
      <w:r>
        <w:rPr>
          <w:w w:val="110"/>
        </w:rPr>
        <w:t>increase in public sector infrastructure </w:t>
      </w:r>
      <w:r>
        <w:rPr>
          <w:spacing w:val="-3"/>
          <w:w w:val="110"/>
        </w:rPr>
        <w:t>investment.</w:t>
      </w:r>
    </w:p>
    <w:p>
      <w:pPr>
        <w:pStyle w:val="Heading3"/>
        <w:numPr>
          <w:ilvl w:val="1"/>
          <w:numId w:val="8"/>
        </w:numPr>
        <w:tabs>
          <w:tab w:pos="766" w:val="left" w:leader="none"/>
          <w:tab w:pos="767" w:val="left" w:leader="none"/>
          <w:tab w:pos="5661" w:val="left" w:leader="none"/>
        </w:tabs>
        <w:spacing w:line="240" w:lineRule="auto" w:before="174" w:after="0"/>
        <w:ind w:left="766" w:right="0" w:hanging="601"/>
        <w:jc w:val="left"/>
        <w:rPr>
          <w:u w:val="none"/>
        </w:rPr>
      </w:pPr>
      <w:r>
        <w:rPr>
          <w:smallCaps w:val="0"/>
          <w:color w:val="89C6DC"/>
          <w:u w:val="single" w:color="006CB4"/>
        </w:rPr>
        <w:t>Summary</w:t>
        <w:tab/>
      </w:r>
    </w:p>
    <w:p>
      <w:pPr>
        <w:pStyle w:val="BodyText"/>
        <w:spacing w:line="292" w:lineRule="auto" w:before="254"/>
        <w:ind w:left="286" w:right="125"/>
      </w:pPr>
      <w:r>
        <w:rPr>
          <w:w w:val="110"/>
        </w:rPr>
        <w:t>Annual</w:t>
      </w:r>
      <w:r>
        <w:rPr>
          <w:spacing w:val="-21"/>
          <w:w w:val="110"/>
        </w:rPr>
        <w:t> </w:t>
      </w:r>
      <w:r>
        <w:rPr>
          <w:w w:val="110"/>
        </w:rPr>
        <w:t>growth</w:t>
      </w:r>
      <w:r>
        <w:rPr>
          <w:spacing w:val="-21"/>
          <w:w w:val="110"/>
        </w:rPr>
        <w:t> </w:t>
      </w:r>
      <w:r>
        <w:rPr>
          <w:w w:val="110"/>
        </w:rPr>
        <w:t>in</w:t>
      </w:r>
      <w:r>
        <w:rPr>
          <w:spacing w:val="-20"/>
          <w:w w:val="110"/>
        </w:rPr>
        <w:t> </w:t>
      </w:r>
      <w:r>
        <w:rPr>
          <w:w w:val="110"/>
        </w:rPr>
        <w:t>real</w:t>
      </w:r>
      <w:r>
        <w:rPr>
          <w:spacing w:val="-21"/>
          <w:w w:val="110"/>
        </w:rPr>
        <w:t> </w:t>
      </w:r>
      <w:r>
        <w:rPr>
          <w:w w:val="110"/>
        </w:rPr>
        <w:t>GDP</w:t>
      </w:r>
      <w:r>
        <w:rPr>
          <w:spacing w:val="-20"/>
          <w:w w:val="110"/>
        </w:rPr>
        <w:t> </w:t>
      </w:r>
      <w:r>
        <w:rPr>
          <w:spacing w:val="-2"/>
          <w:w w:val="110"/>
        </w:rPr>
        <w:t>slowed</w:t>
      </w:r>
      <w:r>
        <w:rPr>
          <w:spacing w:val="-21"/>
          <w:w w:val="110"/>
        </w:rPr>
        <w:t> </w:t>
      </w:r>
      <w:r>
        <w:rPr>
          <w:spacing w:val="-4"/>
          <w:w w:val="110"/>
        </w:rPr>
        <w:t>to</w:t>
      </w:r>
      <w:r>
        <w:rPr>
          <w:spacing w:val="-20"/>
          <w:w w:val="110"/>
        </w:rPr>
        <w:t> </w:t>
      </w:r>
      <w:r>
        <w:rPr>
          <w:w w:val="110"/>
        </w:rPr>
        <w:t>2.4%</w:t>
      </w:r>
      <w:r>
        <w:rPr>
          <w:spacing w:val="-21"/>
          <w:w w:val="110"/>
        </w:rPr>
        <w:t> </w:t>
      </w:r>
      <w:r>
        <w:rPr>
          <w:w w:val="110"/>
        </w:rPr>
        <w:t>during</w:t>
      </w:r>
      <w:r>
        <w:rPr>
          <w:spacing w:val="-20"/>
          <w:w w:val="110"/>
        </w:rPr>
        <w:t> </w:t>
      </w:r>
      <w:r>
        <w:rPr>
          <w:spacing w:val="-4"/>
          <w:w w:val="110"/>
        </w:rPr>
        <w:t>2000,</w:t>
      </w:r>
      <w:r>
        <w:rPr>
          <w:spacing w:val="-21"/>
          <w:w w:val="110"/>
        </w:rPr>
        <w:t> </w:t>
      </w:r>
      <w:r>
        <w:rPr>
          <w:w w:val="110"/>
        </w:rPr>
        <w:t>close </w:t>
      </w:r>
      <w:r>
        <w:rPr>
          <w:spacing w:val="-4"/>
          <w:w w:val="110"/>
        </w:rPr>
        <w:t>to </w:t>
      </w:r>
      <w:r>
        <w:rPr>
          <w:w w:val="110"/>
        </w:rPr>
        <w:t>trend. But the </w:t>
      </w:r>
      <w:r>
        <w:rPr>
          <w:spacing w:val="-3"/>
          <w:w w:val="110"/>
        </w:rPr>
        <w:t>extent </w:t>
      </w:r>
      <w:r>
        <w:rPr>
          <w:w w:val="110"/>
        </w:rPr>
        <w:t>of the </w:t>
      </w:r>
      <w:r>
        <w:rPr>
          <w:spacing w:val="-3"/>
          <w:w w:val="110"/>
        </w:rPr>
        <w:t>slowdown </w:t>
      </w:r>
      <w:r>
        <w:rPr>
          <w:w w:val="110"/>
        </w:rPr>
        <w:t>has probably been </w:t>
      </w:r>
      <w:r>
        <w:rPr>
          <w:spacing w:val="-3"/>
          <w:w w:val="110"/>
        </w:rPr>
        <w:t>exaggerated</w:t>
      </w:r>
      <w:r>
        <w:rPr>
          <w:spacing w:val="-10"/>
          <w:w w:val="110"/>
        </w:rPr>
        <w:t> </w:t>
      </w:r>
      <w:r>
        <w:rPr>
          <w:spacing w:val="-3"/>
          <w:w w:val="110"/>
        </w:rPr>
        <w:t>by</w:t>
      </w:r>
      <w:r>
        <w:rPr>
          <w:spacing w:val="-10"/>
          <w:w w:val="110"/>
        </w:rPr>
        <w:t> </w:t>
      </w:r>
      <w:r>
        <w:rPr>
          <w:spacing w:val="-3"/>
          <w:w w:val="110"/>
        </w:rPr>
        <w:t>temporary</w:t>
      </w:r>
      <w:r>
        <w:rPr>
          <w:spacing w:val="-10"/>
          <w:w w:val="110"/>
        </w:rPr>
        <w:t> </w:t>
      </w:r>
      <w:r>
        <w:rPr>
          <w:spacing w:val="-3"/>
          <w:w w:val="110"/>
        </w:rPr>
        <w:t>factors</w:t>
      </w:r>
      <w:r>
        <w:rPr>
          <w:spacing w:val="-10"/>
          <w:w w:val="110"/>
        </w:rPr>
        <w:t> </w:t>
      </w:r>
      <w:r>
        <w:rPr>
          <w:w w:val="110"/>
        </w:rPr>
        <w:t>affecting</w:t>
      </w:r>
      <w:r>
        <w:rPr>
          <w:spacing w:val="-9"/>
          <w:w w:val="110"/>
        </w:rPr>
        <w:t> </w:t>
      </w:r>
      <w:r>
        <w:rPr>
          <w:w w:val="110"/>
        </w:rPr>
        <w:t>output</w:t>
      </w:r>
      <w:r>
        <w:rPr>
          <w:spacing w:val="-10"/>
          <w:w w:val="110"/>
        </w:rPr>
        <w:t> </w:t>
      </w:r>
      <w:r>
        <w:rPr>
          <w:w w:val="110"/>
        </w:rPr>
        <w:t>in</w:t>
      </w:r>
      <w:r>
        <w:rPr>
          <w:spacing w:val="-10"/>
          <w:w w:val="110"/>
        </w:rPr>
        <w:t> </w:t>
      </w:r>
      <w:r>
        <w:rPr>
          <w:w w:val="110"/>
        </w:rPr>
        <w:t>Q4.</w:t>
      </w:r>
    </w:p>
    <w:p>
      <w:pPr>
        <w:pStyle w:val="BodyText"/>
        <w:spacing w:line="292" w:lineRule="auto"/>
        <w:ind w:left="286" w:right="125"/>
      </w:pPr>
      <w:r>
        <w:rPr>
          <w:spacing w:val="-3"/>
          <w:w w:val="110"/>
        </w:rPr>
        <w:t>Private</w:t>
      </w:r>
      <w:r>
        <w:rPr>
          <w:spacing w:val="-32"/>
          <w:w w:val="110"/>
        </w:rPr>
        <w:t> </w:t>
      </w:r>
      <w:r>
        <w:rPr>
          <w:w w:val="110"/>
        </w:rPr>
        <w:t>final</w:t>
      </w:r>
      <w:r>
        <w:rPr>
          <w:spacing w:val="-32"/>
          <w:w w:val="110"/>
        </w:rPr>
        <w:t> </w:t>
      </w:r>
      <w:r>
        <w:rPr>
          <w:w w:val="110"/>
        </w:rPr>
        <w:t>domestic</w:t>
      </w:r>
      <w:r>
        <w:rPr>
          <w:spacing w:val="-31"/>
          <w:w w:val="110"/>
        </w:rPr>
        <w:t> </w:t>
      </w:r>
      <w:r>
        <w:rPr>
          <w:w w:val="110"/>
        </w:rPr>
        <w:t>demand,</w:t>
      </w:r>
      <w:r>
        <w:rPr>
          <w:spacing w:val="-32"/>
          <w:w w:val="110"/>
        </w:rPr>
        <w:t> </w:t>
      </w:r>
      <w:r>
        <w:rPr>
          <w:w w:val="110"/>
        </w:rPr>
        <w:t>while</w:t>
      </w:r>
      <w:r>
        <w:rPr>
          <w:spacing w:val="-31"/>
          <w:w w:val="110"/>
        </w:rPr>
        <w:t> </w:t>
      </w:r>
      <w:r>
        <w:rPr>
          <w:w w:val="110"/>
        </w:rPr>
        <w:t>growing</w:t>
      </w:r>
      <w:r>
        <w:rPr>
          <w:spacing w:val="-32"/>
          <w:w w:val="110"/>
        </w:rPr>
        <w:t> </w:t>
      </w:r>
      <w:r>
        <w:rPr>
          <w:w w:val="110"/>
        </w:rPr>
        <w:t>less</w:t>
      </w:r>
      <w:r>
        <w:rPr>
          <w:spacing w:val="-31"/>
          <w:w w:val="110"/>
        </w:rPr>
        <w:t> </w:t>
      </w:r>
      <w:r>
        <w:rPr>
          <w:w w:val="110"/>
        </w:rPr>
        <w:t>rapidly</w:t>
      </w:r>
      <w:r>
        <w:rPr>
          <w:spacing w:val="-32"/>
          <w:w w:val="110"/>
        </w:rPr>
        <w:t> </w:t>
      </w:r>
      <w:r>
        <w:rPr>
          <w:w w:val="110"/>
        </w:rPr>
        <w:t>than during </w:t>
      </w:r>
      <w:r>
        <w:rPr>
          <w:spacing w:val="-12"/>
          <w:w w:val="110"/>
        </w:rPr>
        <w:t>1999, </w:t>
      </w:r>
      <w:r>
        <w:rPr>
          <w:w w:val="110"/>
        </w:rPr>
        <w:t>has remained robust. Household consumption growth remains brisk and has continued </w:t>
      </w:r>
      <w:r>
        <w:rPr>
          <w:spacing w:val="-4"/>
          <w:w w:val="110"/>
        </w:rPr>
        <w:t>to </w:t>
      </w:r>
      <w:r>
        <w:rPr>
          <w:w w:val="110"/>
        </w:rPr>
        <w:t>be stronger than suggested</w:t>
      </w:r>
      <w:r>
        <w:rPr>
          <w:spacing w:val="-12"/>
          <w:w w:val="110"/>
        </w:rPr>
        <w:t> </w:t>
      </w:r>
      <w:r>
        <w:rPr>
          <w:spacing w:val="-3"/>
          <w:w w:val="110"/>
        </w:rPr>
        <w:t>by</w:t>
      </w:r>
      <w:r>
        <w:rPr>
          <w:spacing w:val="-12"/>
          <w:w w:val="110"/>
        </w:rPr>
        <w:t> </w:t>
      </w:r>
      <w:r>
        <w:rPr>
          <w:w w:val="110"/>
        </w:rPr>
        <w:t>its</w:t>
      </w:r>
      <w:r>
        <w:rPr>
          <w:spacing w:val="-12"/>
          <w:w w:val="110"/>
        </w:rPr>
        <w:t> </w:t>
      </w:r>
      <w:r>
        <w:rPr>
          <w:w w:val="110"/>
        </w:rPr>
        <w:t>historical</w:t>
      </w:r>
      <w:r>
        <w:rPr>
          <w:spacing w:val="-12"/>
          <w:w w:val="110"/>
        </w:rPr>
        <w:t> </w:t>
      </w:r>
      <w:r>
        <w:rPr>
          <w:w w:val="110"/>
        </w:rPr>
        <w:t>relationship</w:t>
      </w:r>
      <w:r>
        <w:rPr>
          <w:spacing w:val="-12"/>
          <w:w w:val="110"/>
        </w:rPr>
        <w:t> </w:t>
      </w:r>
      <w:r>
        <w:rPr>
          <w:w w:val="110"/>
        </w:rPr>
        <w:t>with</w:t>
      </w:r>
      <w:r>
        <w:rPr>
          <w:spacing w:val="-12"/>
          <w:w w:val="110"/>
        </w:rPr>
        <w:t> </w:t>
      </w:r>
      <w:r>
        <w:rPr>
          <w:w w:val="110"/>
        </w:rPr>
        <w:t>income</w:t>
      </w:r>
      <w:r>
        <w:rPr>
          <w:spacing w:val="-12"/>
          <w:w w:val="110"/>
        </w:rPr>
        <w:t> </w:t>
      </w:r>
      <w:r>
        <w:rPr>
          <w:w w:val="110"/>
        </w:rPr>
        <w:t>and</w:t>
      </w:r>
    </w:p>
    <w:p>
      <w:pPr>
        <w:spacing w:after="0" w:line="292" w:lineRule="auto"/>
        <w:sectPr>
          <w:type w:val="continuous"/>
          <w:pgSz w:w="11900" w:h="16840"/>
          <w:pgMar w:top="1260" w:bottom="280" w:left="640" w:right="640"/>
          <w:cols w:num="2" w:equalWidth="0">
            <w:col w:w="4424" w:space="403"/>
            <w:col w:w="5793"/>
          </w:cols>
        </w:sectPr>
      </w:pPr>
    </w:p>
    <w:p>
      <w:pPr>
        <w:spacing w:line="122" w:lineRule="exact" w:before="0"/>
        <w:ind w:left="190" w:right="0" w:firstLine="0"/>
        <w:jc w:val="left"/>
        <w:rPr>
          <w:rFonts w:ascii="Arial"/>
          <w:sz w:val="16"/>
        </w:rPr>
      </w:pPr>
      <w:r>
        <w:rPr>
          <w:rFonts w:ascii="Arial"/>
          <w:w w:val="105"/>
          <w:sz w:val="16"/>
        </w:rPr>
        <w:t>United Kingdom</w:t>
      </w:r>
    </w:p>
    <w:p>
      <w:pPr>
        <w:pStyle w:val="BodyText"/>
        <w:rPr>
          <w:rFonts w:ascii="Arial"/>
          <w:sz w:val="4"/>
        </w:rPr>
      </w:pPr>
    </w:p>
    <w:p>
      <w:pPr>
        <w:pStyle w:val="BodyText"/>
        <w:spacing w:line="20" w:lineRule="exact"/>
        <w:ind w:left="185"/>
        <w:rPr>
          <w:rFonts w:ascii="Arial"/>
          <w:sz w:val="2"/>
        </w:rPr>
      </w:pPr>
      <w:r>
        <w:rPr>
          <w:rFonts w:ascii="Arial"/>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rFonts w:ascii="Arial"/>
          <w:sz w:val="2"/>
        </w:rPr>
      </w:r>
    </w:p>
    <w:p>
      <w:pPr>
        <w:pStyle w:val="BodyText"/>
        <w:spacing w:before="9"/>
        <w:rPr>
          <w:rFonts w:ascii="Arial"/>
          <w:sz w:val="10"/>
        </w:rPr>
      </w:pPr>
      <w:r>
        <w:rPr/>
        <w:pict>
          <v:shape style="position:absolute;margin-left:41.773998pt;margin-top:8.420886pt;width:4.350pt;height:.1pt;mso-position-horizontal-relative:page;mso-position-vertical-relative:paragraph;z-index:-15378944;mso-wrap-distance-left:0;mso-wrap-distance-right:0" coordorigin="835,168" coordsize="87,0" path="m835,168l922,168e" filled="false" stroked="true" strokeweight=".5pt" strokecolor="#000000">
            <v:path arrowok="t"/>
            <v:stroke dashstyle="solid"/>
            <w10:wrap type="topAndBottom"/>
          </v:shape>
        </w:pict>
      </w:r>
      <w:r>
        <w:rPr/>
        <w:pict>
          <v:shape style="position:absolute;margin-left:41.773998pt;margin-top:18.045887pt;width:4.350pt;height:.1pt;mso-position-horizontal-relative:page;mso-position-vertical-relative:paragraph;z-index:-15378432;mso-wrap-distance-left:0;mso-wrap-distance-right:0" coordorigin="835,361" coordsize="87,0" path="m835,361l922,361e" filled="false" stroked="true" strokeweight=".5pt" strokecolor="#000000">
            <v:path arrowok="t"/>
            <v:stroke dashstyle="solid"/>
            <w10:wrap type="topAndBottom"/>
          </v:shape>
        </w:pict>
      </w:r>
    </w:p>
    <w:p>
      <w:pPr>
        <w:pStyle w:val="BodyText"/>
        <w:spacing w:before="11"/>
        <w:rPr>
          <w:rFonts w:ascii="Arial"/>
          <w:sz w:val="9"/>
        </w:rPr>
      </w:pPr>
    </w:p>
    <w:p>
      <w:pPr>
        <w:spacing w:line="114" w:lineRule="exact" w:before="12"/>
        <w:ind w:left="115" w:right="0" w:firstLine="0"/>
        <w:jc w:val="left"/>
        <w:rPr>
          <w:sz w:val="12"/>
        </w:rPr>
      </w:pPr>
      <w:r>
        <w:rPr/>
        <w:br w:type="column"/>
      </w:r>
      <w:r>
        <w:rPr>
          <w:w w:val="110"/>
          <w:sz w:val="12"/>
        </w:rPr>
        <w:t>Percentage changes on a year earlier</w:t>
      </w:r>
    </w:p>
    <w:p>
      <w:pPr>
        <w:spacing w:line="114" w:lineRule="exact" w:before="0"/>
        <w:ind w:left="0" w:right="38" w:firstLine="0"/>
        <w:jc w:val="right"/>
        <w:rPr>
          <w:sz w:val="12"/>
        </w:rPr>
      </w:pPr>
      <w:r>
        <w:rPr/>
        <w:pict>
          <v:line style="position:absolute;mso-position-horizontal-relative:page;mso-position-vertical-relative:paragraph;z-index:16093696" from="200.106995pt,2.380893pt" to="204.438995pt,2.380893pt" stroked="true" strokeweight=".5pt" strokecolor="#000000">
            <v:stroke dashstyle="solid"/>
            <w10:wrap type="none"/>
          </v:line>
        </w:pict>
      </w:r>
      <w:r>
        <w:rPr>
          <w:spacing w:val="-1"/>
          <w:w w:val="120"/>
          <w:sz w:val="12"/>
        </w:rPr>
        <w:t>60</w:t>
      </w:r>
    </w:p>
    <w:p>
      <w:pPr>
        <w:spacing w:before="45"/>
        <w:ind w:left="0" w:right="38" w:firstLine="0"/>
        <w:jc w:val="right"/>
        <w:rPr>
          <w:sz w:val="12"/>
        </w:rPr>
      </w:pPr>
      <w:r>
        <w:rPr/>
        <w:pict>
          <v:line style="position:absolute;mso-position-horizontal-relative:page;mso-position-vertical-relative:paragraph;z-index:16094208" from="200.106995pt,5.851825pt" to="204.438995pt,5.851825pt" stroked="true" strokeweight=".5pt" strokecolor="#000000">
            <v:stroke dashstyle="solid"/>
            <w10:wrap type="none"/>
          </v:line>
        </w:pict>
      </w:r>
      <w:r>
        <w:rPr>
          <w:spacing w:val="-1"/>
          <w:w w:val="120"/>
          <w:sz w:val="12"/>
        </w:rPr>
        <w:t>50</w:t>
      </w:r>
    </w:p>
    <w:p>
      <w:pPr>
        <w:spacing w:line="119" w:lineRule="exact" w:before="54"/>
        <w:ind w:left="0" w:right="38" w:firstLine="0"/>
        <w:jc w:val="right"/>
        <w:rPr>
          <w:sz w:val="12"/>
        </w:rPr>
      </w:pPr>
      <w:r>
        <w:rPr/>
        <w:pict>
          <v:line style="position:absolute;mso-position-horizontal-relative:page;mso-position-vertical-relative:paragraph;z-index:16094720" from="200.106995pt,6.301627pt" to="204.438995pt,6.301627pt" stroked="true" strokeweight=".5pt" strokecolor="#000000">
            <v:stroke dashstyle="solid"/>
            <w10:wrap type="none"/>
          </v:line>
        </w:pict>
      </w:r>
      <w:r>
        <w:rPr>
          <w:spacing w:val="-1"/>
          <w:w w:val="120"/>
          <w:sz w:val="12"/>
        </w:rPr>
        <w:t>40</w:t>
      </w:r>
    </w:p>
    <w:p>
      <w:pPr>
        <w:pStyle w:val="BodyText"/>
        <w:spacing w:line="292" w:lineRule="auto"/>
        <w:ind w:left="190"/>
      </w:pPr>
      <w:r>
        <w:rPr/>
        <w:br w:type="column"/>
      </w:r>
      <w:r>
        <w:rPr>
          <w:w w:val="110"/>
        </w:rPr>
        <w:t>wealth. </w:t>
      </w:r>
      <w:r>
        <w:rPr>
          <w:spacing w:val="-3"/>
          <w:w w:val="110"/>
        </w:rPr>
        <w:t>Surveys </w:t>
      </w:r>
      <w:r>
        <w:rPr>
          <w:w w:val="110"/>
        </w:rPr>
        <w:t>indicate that households remain relatively confident</w:t>
      </w:r>
      <w:r>
        <w:rPr>
          <w:spacing w:val="-19"/>
          <w:w w:val="110"/>
        </w:rPr>
        <w:t> </w:t>
      </w:r>
      <w:r>
        <w:rPr>
          <w:w w:val="110"/>
        </w:rPr>
        <w:t>about</w:t>
      </w:r>
      <w:r>
        <w:rPr>
          <w:spacing w:val="-18"/>
          <w:w w:val="110"/>
        </w:rPr>
        <w:t> </w:t>
      </w:r>
      <w:r>
        <w:rPr>
          <w:w w:val="110"/>
        </w:rPr>
        <w:t>their</w:t>
      </w:r>
      <w:r>
        <w:rPr>
          <w:spacing w:val="-18"/>
          <w:w w:val="110"/>
        </w:rPr>
        <w:t> </w:t>
      </w:r>
      <w:r>
        <w:rPr>
          <w:w w:val="110"/>
        </w:rPr>
        <w:t>own</w:t>
      </w:r>
      <w:r>
        <w:rPr>
          <w:spacing w:val="-18"/>
          <w:w w:val="110"/>
        </w:rPr>
        <w:t> </w:t>
      </w:r>
      <w:r>
        <w:rPr>
          <w:w w:val="110"/>
        </w:rPr>
        <w:t>financial</w:t>
      </w:r>
      <w:r>
        <w:rPr>
          <w:spacing w:val="-18"/>
          <w:w w:val="110"/>
        </w:rPr>
        <w:t> </w:t>
      </w:r>
      <w:r>
        <w:rPr>
          <w:w w:val="110"/>
        </w:rPr>
        <w:t>situation.</w:t>
      </w:r>
      <w:r>
        <w:rPr>
          <w:spacing w:val="20"/>
          <w:w w:val="110"/>
        </w:rPr>
        <w:t> </w:t>
      </w:r>
      <w:r>
        <w:rPr>
          <w:w w:val="110"/>
        </w:rPr>
        <w:t>So</w:t>
      </w:r>
      <w:r>
        <w:rPr>
          <w:spacing w:val="-18"/>
          <w:w w:val="110"/>
        </w:rPr>
        <w:t> </w:t>
      </w:r>
      <w:r>
        <w:rPr>
          <w:w w:val="110"/>
        </w:rPr>
        <w:t>the</w:t>
      </w:r>
      <w:r>
        <w:rPr>
          <w:spacing w:val="-18"/>
          <w:w w:val="110"/>
        </w:rPr>
        <w:t> </w:t>
      </w:r>
      <w:r>
        <w:rPr>
          <w:w w:val="110"/>
        </w:rPr>
        <w:t>MPC</w:t>
      </w:r>
      <w:r>
        <w:rPr>
          <w:spacing w:val="-18"/>
          <w:w w:val="110"/>
        </w:rPr>
        <w:t> </w:t>
      </w:r>
      <w:r>
        <w:rPr>
          <w:w w:val="110"/>
        </w:rPr>
        <w:t>has</w:t>
      </w:r>
    </w:p>
    <w:p>
      <w:pPr>
        <w:spacing w:after="0" w:line="292" w:lineRule="auto"/>
        <w:sectPr>
          <w:type w:val="continuous"/>
          <w:pgSz w:w="11900" w:h="16840"/>
          <w:pgMar w:top="1260" w:bottom="280" w:left="640" w:right="640"/>
          <w:cols w:num="3" w:equalWidth="0">
            <w:col w:w="1406" w:space="40"/>
            <w:col w:w="2229" w:space="1248"/>
            <w:col w:w="5697"/>
          </w:cols>
        </w:sectPr>
      </w:pPr>
    </w:p>
    <w:p>
      <w:pPr>
        <w:pStyle w:val="BodyText"/>
        <w:spacing w:before="4"/>
        <w:rPr>
          <w:sz w:val="11"/>
        </w:rPr>
      </w:pPr>
    </w:p>
    <w:p>
      <w:pPr>
        <w:pStyle w:val="BodyText"/>
        <w:spacing w:line="20" w:lineRule="exact"/>
        <w:ind w:left="19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pPr>
    </w:p>
    <w:p>
      <w:pPr>
        <w:pStyle w:val="BodyText"/>
        <w:spacing w:before="2"/>
        <w:rPr>
          <w:sz w:val="19"/>
        </w:rPr>
      </w:pPr>
      <w:r>
        <w:rPr/>
        <w:pict>
          <v:shape style="position:absolute;margin-left:41.773998pt;margin-top:13.251953pt;width:4.350pt;height:.1pt;mso-position-horizontal-relative:page;mso-position-vertical-relative:paragraph;z-index:-15377408;mso-wrap-distance-left:0;mso-wrap-distance-right:0" coordorigin="835,265" coordsize="87,0" path="m835,265l922,265e" filled="false" stroked="true" strokeweight=".5pt" strokecolor="#000000">
            <v:path arrowok="t"/>
            <v:stroke dashstyle="solid"/>
            <w10:wrap type="topAndBottom"/>
          </v:shape>
        </w:pict>
      </w:r>
    </w:p>
    <w:p>
      <w:pPr>
        <w:spacing w:before="23"/>
        <w:ind w:left="190" w:right="0" w:firstLine="0"/>
        <w:jc w:val="left"/>
        <w:rPr>
          <w:rFonts w:ascii="Arial"/>
          <w:sz w:val="16"/>
        </w:rPr>
      </w:pPr>
      <w:r>
        <w:rPr>
          <w:rFonts w:ascii="Arial"/>
          <w:w w:val="105"/>
          <w:sz w:val="16"/>
        </w:rPr>
        <w:t>United</w:t>
      </w:r>
      <w:r>
        <w:rPr>
          <w:rFonts w:ascii="Arial"/>
          <w:spacing w:val="-16"/>
          <w:w w:val="105"/>
          <w:sz w:val="16"/>
        </w:rPr>
        <w:t> </w:t>
      </w:r>
      <w:r>
        <w:rPr>
          <w:rFonts w:ascii="Arial"/>
          <w:spacing w:val="-4"/>
          <w:w w:val="105"/>
          <w:sz w:val="16"/>
        </w:rPr>
        <w:t>States</w:t>
      </w:r>
    </w:p>
    <w:p>
      <w:pPr>
        <w:pStyle w:val="BodyText"/>
        <w:spacing w:before="9"/>
        <w:rPr>
          <w:rFonts w:ascii="Arial"/>
          <w:sz w:val="3"/>
        </w:rPr>
      </w:pPr>
    </w:p>
    <w:p>
      <w:pPr>
        <w:pStyle w:val="BodyText"/>
        <w:spacing w:line="20" w:lineRule="exact"/>
        <w:ind w:left="185"/>
        <w:rPr>
          <w:rFonts w:ascii="Arial"/>
          <w:sz w:val="2"/>
        </w:rPr>
      </w:pPr>
      <w:r>
        <w:rPr>
          <w:rFonts w:ascii="Arial"/>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rFonts w:ascii="Arial"/>
          <w:sz w:val="2"/>
        </w:rPr>
      </w:r>
    </w:p>
    <w:p>
      <w:pPr>
        <w:pStyle w:val="BodyText"/>
        <w:spacing w:before="5"/>
        <w:rPr>
          <w:rFonts w:ascii="Arial"/>
          <w:sz w:val="11"/>
        </w:rPr>
      </w:pPr>
      <w:r>
        <w:rPr/>
        <w:pict>
          <v:shape style="position:absolute;margin-left:41.773998pt;margin-top:8.775928pt;width:4.350pt;height:.1pt;mso-position-horizontal-relative:page;mso-position-vertical-relative:paragraph;z-index:-15376384;mso-wrap-distance-left:0;mso-wrap-distance-right:0" coordorigin="835,176" coordsize="87,0" path="m835,176l922,176e" filled="false" stroked="true" strokeweight=".5pt" strokecolor="#000000">
            <v:path arrowok="t"/>
            <v:stroke dashstyle="solid"/>
            <w10:wrap type="topAndBottom"/>
          </v:shape>
        </w:pict>
      </w:r>
      <w:r>
        <w:rPr/>
        <w:pict>
          <v:shape style="position:absolute;margin-left:41.773998pt;margin-top:17.775928pt;width:4.350pt;height:.1pt;mso-position-horizontal-relative:page;mso-position-vertical-relative:paragraph;z-index:-15375872;mso-wrap-distance-left:0;mso-wrap-distance-right:0" coordorigin="835,356" coordsize="87,0" path="m835,356l922,356e" filled="false" stroked="true" strokeweight=".5pt" strokecolor="#000000">
            <v:path arrowok="t"/>
            <v:stroke dashstyle="solid"/>
            <w10:wrap type="topAndBottom"/>
          </v:shape>
        </w:pict>
      </w:r>
    </w:p>
    <w:p>
      <w:pPr>
        <w:pStyle w:val="BodyText"/>
        <w:spacing w:before="10"/>
        <w:rPr>
          <w:rFonts w:ascii="Arial"/>
          <w:sz w:val="8"/>
        </w:rPr>
      </w:pPr>
    </w:p>
    <w:p>
      <w:pPr>
        <w:tabs>
          <w:tab w:pos="2420" w:val="right" w:leader="none"/>
        </w:tabs>
        <w:spacing w:line="149" w:lineRule="exact" w:before="9"/>
        <w:ind w:left="77" w:right="0" w:firstLine="0"/>
        <w:jc w:val="left"/>
        <w:rPr>
          <w:sz w:val="12"/>
        </w:rPr>
      </w:pPr>
      <w:r>
        <w:rPr/>
        <w:br w:type="column"/>
      </w:r>
      <w:r>
        <w:rPr>
          <w:w w:val="110"/>
          <w:sz w:val="12"/>
        </w:rPr>
        <w:t>Computing,</w:t>
      </w:r>
      <w:r>
        <w:rPr>
          <w:spacing w:val="-4"/>
          <w:w w:val="110"/>
          <w:sz w:val="12"/>
        </w:rPr>
        <w:t> </w:t>
      </w:r>
      <w:r>
        <w:rPr>
          <w:w w:val="110"/>
          <w:sz w:val="12"/>
        </w:rPr>
        <w:t>electronics</w:t>
      </w:r>
      <w:r>
        <w:rPr>
          <w:spacing w:val="-3"/>
          <w:w w:val="110"/>
          <w:sz w:val="12"/>
        </w:rPr>
        <w:t> </w:t>
      </w:r>
      <w:r>
        <w:rPr>
          <w:w w:val="110"/>
          <w:sz w:val="12"/>
        </w:rPr>
        <w:t>and</w:t>
        <w:tab/>
      </w:r>
      <w:r>
        <w:rPr>
          <w:w w:val="110"/>
          <w:position w:val="-3"/>
          <w:sz w:val="12"/>
        </w:rPr>
        <w:t>30</w:t>
      </w:r>
    </w:p>
    <w:p>
      <w:pPr>
        <w:spacing w:line="98" w:lineRule="exact" w:before="0"/>
        <w:ind w:left="167" w:right="0" w:firstLine="0"/>
        <w:jc w:val="left"/>
        <w:rPr>
          <w:sz w:val="12"/>
        </w:rPr>
      </w:pPr>
      <w:r>
        <w:rPr/>
        <w:pict>
          <v:shape style="position:absolute;margin-left:171.440002pt;margin-top:-1.265294pt;width:22.75pt;height:19.25pt;mso-position-horizontal-relative:page;mso-position-vertical-relative:paragraph;z-index:-23244800" coordorigin="3429,-25" coordsize="455,385" path="m3429,360l3584,167m3584,167l3729,-5m3729,-5l3884,-25e" filled="false" stroked="true" strokeweight="1pt" strokecolor="#9ed01a">
            <v:path arrowok="t"/>
            <v:stroke dashstyle="solid"/>
            <w10:wrap type="none"/>
          </v:shape>
        </w:pict>
      </w:r>
      <w:r>
        <w:rPr/>
        <w:pict>
          <v:line style="position:absolute;mso-position-horizontal-relative:page;mso-position-vertical-relative:paragraph;z-index:16093184" from="200.106995pt,-1.140294pt" to="204.438995pt,-1.140294pt" stroked="true" strokeweight=".5pt" strokecolor="#000000">
            <v:stroke dashstyle="solid"/>
            <w10:wrap type="none"/>
          </v:line>
        </w:pict>
      </w:r>
      <w:r>
        <w:rPr>
          <w:w w:val="105"/>
          <w:sz w:val="12"/>
        </w:rPr>
        <w:t>communications equipment (a)</w:t>
      </w:r>
    </w:p>
    <w:p>
      <w:pPr>
        <w:spacing w:line="127" w:lineRule="exact" w:before="0"/>
        <w:ind w:left="2274" w:right="0" w:firstLine="0"/>
        <w:jc w:val="left"/>
        <w:rPr>
          <w:sz w:val="12"/>
        </w:rPr>
      </w:pPr>
      <w:r>
        <w:rPr/>
        <w:pict>
          <v:group style="position:absolute;margin-left:41.773998pt;margin-top:2.818286pt;width:152.950pt;height:21.65pt;mso-position-horizontal-relative:page;mso-position-vertical-relative:paragraph;z-index:-23245312" coordorigin="835,56" coordsize="3059,433">
            <v:shape style="position:absolute;left:998;top:88;width:1670;height:355" coordorigin="999,89" coordsize="1670,355" path="m999,284l1154,369m1154,369l1299,444m1299,444l1451,421m1451,421l1606,251m1606,251l1761,196m1761,196l1906,219m1906,219l2061,134m2061,134l2214,196m2214,196l2369,219m2369,219l2514,111m2514,111l2669,89e" filled="false" stroked="true" strokeweight="1pt" strokecolor="#9ed01a">
              <v:path arrowok="t"/>
              <v:stroke dashstyle="solid"/>
            </v:shape>
            <v:line style="position:absolute" from="2659,84" to="2831,84" stroked="true" strokeweight="1.5pt" strokecolor="#9ed01a">
              <v:stroke dashstyle="solid"/>
            </v:line>
            <v:shape style="position:absolute;left:2821;top:78;width:455;height:173" coordorigin="2821,79" coordsize="455,173" path="m2821,79l2976,121m2976,121l3121,186m3121,186l3276,251e" filled="false" stroked="true" strokeweight="1pt" strokecolor="#9ed01a">
              <v:path arrowok="t"/>
              <v:stroke dashstyle="solid"/>
            </v:shape>
            <v:shape style="position:absolute;left:988;top:427;width:320;height:2" coordorigin="989,428" coordsize="320,0" path="m989,428l1164,428m1144,428l1309,428e" filled="false" stroked="true" strokeweight="1.625pt" strokecolor="#006caa">
              <v:path arrowok="t"/>
              <v:stroke dashstyle="solid"/>
            </v:shape>
            <v:line style="position:absolute" from="1289,416" to="1461,416" stroked="true" strokeweight="1.5pt" strokecolor="#006caa">
              <v:stroke dashstyle="solid"/>
            </v:line>
            <v:shape style="position:absolute;left:1441;top:412;width:475;height:2" coordorigin="1441,413" coordsize="475,0" path="m1441,413l1616,413m1596,413l1771,413m1751,413l1916,413e" filled="false" stroked="true" strokeweight="1.125pt" strokecolor="#006caa">
              <v:path arrowok="t"/>
              <v:stroke dashstyle="solid"/>
            </v:shape>
            <v:line style="position:absolute" from="1906,411" to="2061,434" stroked="true" strokeweight="1pt" strokecolor="#006caa">
              <v:stroke dashstyle="solid"/>
            </v:line>
            <v:line style="position:absolute" from="2051,435" to="2224,435" stroked="true" strokeweight="1.125pt" strokecolor="#006caa">
              <v:stroke dashstyle="solid"/>
            </v:line>
            <v:line style="position:absolute" from="2204,428" to="2379,428" stroked="true" strokeweight="1.625pt" strokecolor="#006caa">
              <v:stroke dashstyle="solid"/>
            </v:line>
            <v:shape style="position:absolute;left:2368;top:421;width:300;height:43" coordorigin="2369,421" coordsize="300,43" path="m2369,421l2514,444m2514,444l2669,464e" filled="false" stroked="true" strokeweight="1pt" strokecolor="#006caa">
              <v:path arrowok="t"/>
              <v:stroke dashstyle="solid"/>
            </v:shape>
            <v:line style="position:absolute" from="2659,470" to="2831,470" stroked="true" strokeweight="1.625pt" strokecolor="#006caa">
              <v:stroke dashstyle="solid"/>
            </v:line>
            <v:line style="position:absolute" from="2811,478" to="2986,478" stroked="true" strokeweight="1.125pt" strokecolor="#006caa">
              <v:stroke dashstyle="solid"/>
            </v:line>
            <v:shape style="position:absolute;left:2976;top:411;width:300;height:65" coordorigin="2976,411" coordsize="300,65" path="m2976,476l3121,434m3121,434l3276,411e" filled="false" stroked="true" strokeweight="1pt" strokecolor="#006caa">
              <v:path arrowok="t"/>
              <v:stroke dashstyle="solid"/>
            </v:shape>
            <v:line style="position:absolute" from="3266,413" to="3439,413" stroked="true" strokeweight="1.125pt" strokecolor="#006caa">
              <v:stroke dashstyle="solid"/>
            </v:line>
            <v:line style="position:absolute" from="3419,416" to="3594,416" stroked="true" strokeweight="1.5pt" strokecolor="#006caa">
              <v:stroke dashstyle="solid"/>
            </v:line>
            <v:line style="position:absolute" from="3584,421" to="3729,454" stroked="true" strokeweight="1pt" strokecolor="#006caa">
              <v:stroke dashstyle="solid"/>
            </v:line>
            <v:line style="position:absolute" from="3719,455" to="3894,455" stroked="true" strokeweight="1.125pt" strokecolor="#006caa">
              <v:stroke dashstyle="solid"/>
            </v:line>
            <v:shape style="position:absolute;left:835;top:61;width:3050;height:375" coordorigin="835,61" coordsize="3050,375" path="m835,436l922,436m835,61l922,61m835,241l922,241m1005,436l3885,436e" filled="false" stroked="true" strokeweight=".5pt" strokecolor="#000000">
              <v:path arrowok="t"/>
              <v:stroke dashstyle="solid"/>
            </v:shape>
            <v:shape style="position:absolute;left:3266;top:174;width:193;height:133" type="#_x0000_t202" filled="false" stroked="false">
              <v:textbox inset="0,0,0,0">
                <w:txbxContent>
                  <w:p>
                    <w:pPr>
                      <w:spacing w:line="133" w:lineRule="exact" w:before="0"/>
                      <w:ind w:left="0" w:right="0" w:firstLine="0"/>
                      <w:jc w:val="left"/>
                      <w:rPr>
                        <w:sz w:val="12"/>
                      </w:rPr>
                    </w:pPr>
                    <w:r>
                      <w:rPr>
                        <w:sz w:val="12"/>
                        <w:u w:val="thick" w:color="9ED01A"/>
                      </w:rPr>
                      <w:t> </w:t>
                    </w:r>
                    <w:r>
                      <w:rPr>
                        <w:spacing w:val="-8"/>
                        <w:sz w:val="12"/>
                        <w:u w:val="thick" w:color="9ED01A"/>
                      </w:rPr>
                      <w:t> </w:t>
                    </w:r>
                  </w:p>
                </w:txbxContent>
              </v:textbox>
              <w10:wrap type="none"/>
            </v:shape>
            <v:shape style="position:absolute;left:1953;top:285;width:1164;height:121" type="#_x0000_t202" filled="false" stroked="false">
              <v:textbox inset="0,0,0,0">
                <w:txbxContent>
                  <w:p>
                    <w:pPr>
                      <w:spacing w:line="115" w:lineRule="exact" w:before="0"/>
                      <w:ind w:left="0" w:right="0" w:firstLine="0"/>
                      <w:jc w:val="left"/>
                      <w:rPr>
                        <w:sz w:val="12"/>
                      </w:rPr>
                    </w:pPr>
                    <w:r>
                      <w:rPr>
                        <w:w w:val="105"/>
                        <w:sz w:val="12"/>
                      </w:rPr>
                      <w:t>Rest of manufacturing</w:t>
                    </w:r>
                  </w:p>
                </w:txbxContent>
              </v:textbox>
              <w10:wrap type="none"/>
            </v:shape>
            <w10:wrap type="none"/>
          </v:group>
        </w:pict>
      </w:r>
      <w:r>
        <w:rPr/>
        <w:pict>
          <v:line style="position:absolute;mso-position-horizontal-relative:page;mso-position-vertical-relative:paragraph;z-index:16095232" from="200.106995pt,3.068286pt" to="204.438995pt,3.068286pt" stroked="true" strokeweight=".5pt" strokecolor="#000000">
            <v:stroke dashstyle="solid"/>
            <w10:wrap type="none"/>
          </v:line>
        </w:pict>
      </w:r>
      <w:r>
        <w:rPr>
          <w:w w:val="120"/>
          <w:sz w:val="12"/>
        </w:rPr>
        <w:t>20</w:t>
      </w:r>
    </w:p>
    <w:p>
      <w:pPr>
        <w:spacing w:line="120" w:lineRule="exact" w:before="42"/>
        <w:ind w:left="2274" w:right="0" w:firstLine="0"/>
        <w:jc w:val="left"/>
        <w:rPr>
          <w:sz w:val="12"/>
        </w:rPr>
      </w:pPr>
      <w:r>
        <w:rPr/>
        <w:pict>
          <v:line style="position:absolute;mso-position-horizontal-relative:page;mso-position-vertical-relative:paragraph;z-index:16096256" from="200.106995pt,5.700428pt" to="204.438995pt,5.700428pt" stroked="true" strokeweight=".5pt" strokecolor="#000000">
            <v:stroke dashstyle="solid"/>
            <w10:wrap type="none"/>
          </v:line>
        </w:pict>
      </w:r>
      <w:r>
        <w:rPr>
          <w:w w:val="120"/>
          <w:sz w:val="12"/>
        </w:rPr>
        <w:t>10</w:t>
      </w:r>
    </w:p>
    <w:p>
      <w:pPr>
        <w:spacing w:line="131" w:lineRule="exact" w:before="0"/>
        <w:ind w:left="2210" w:right="0" w:firstLine="0"/>
        <w:jc w:val="left"/>
        <w:rPr>
          <w:sz w:val="16"/>
        </w:rPr>
      </w:pPr>
      <w:r>
        <w:rPr/>
        <w:pict>
          <v:shape style="position:absolute;margin-left:210.064407pt;margin-top:4.894779pt;width:3.65pt;height:6.05pt;mso-position-horizontal-relative:page;mso-position-vertical-relative:paragraph;z-index:16097280" type="#_x0000_t202" filled="false" stroked="false">
            <v:textbox inset="0,0,0,0">
              <w:txbxContent>
                <w:p>
                  <w:pPr>
                    <w:spacing w:line="115" w:lineRule="exact" w:before="0"/>
                    <w:ind w:left="0" w:right="0" w:firstLine="0"/>
                    <w:jc w:val="left"/>
                    <w:rPr>
                      <w:sz w:val="12"/>
                    </w:rPr>
                  </w:pPr>
                  <w:r>
                    <w:rPr>
                      <w:w w:val="121"/>
                      <w:sz w:val="12"/>
                    </w:rPr>
                    <w:t>0</w:t>
                  </w:r>
                </w:p>
              </w:txbxContent>
            </v:textbox>
            <w10:wrap type="none"/>
          </v:shape>
        </w:pict>
      </w:r>
      <w:r>
        <w:rPr>
          <w:w w:val="107"/>
          <w:sz w:val="16"/>
        </w:rPr>
        <w:t>+</w:t>
      </w:r>
    </w:p>
    <w:p>
      <w:pPr>
        <w:pStyle w:val="BodyText"/>
        <w:spacing w:line="20" w:lineRule="exact"/>
        <w:ind w:left="2143"/>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106" w:lineRule="exact" w:before="0"/>
        <w:ind w:left="2213" w:right="0" w:firstLine="0"/>
        <w:jc w:val="left"/>
        <w:rPr>
          <w:sz w:val="16"/>
        </w:rPr>
      </w:pPr>
      <w:r>
        <w:rPr>
          <w:w w:val="117"/>
          <w:sz w:val="16"/>
        </w:rPr>
        <w:t>–</w:t>
      </w:r>
    </w:p>
    <w:p>
      <w:pPr>
        <w:spacing w:line="115" w:lineRule="exact" w:before="0"/>
        <w:ind w:left="2274" w:right="0" w:firstLine="0"/>
        <w:jc w:val="left"/>
        <w:rPr>
          <w:sz w:val="12"/>
        </w:rPr>
      </w:pPr>
      <w:r>
        <w:rPr/>
        <w:pict>
          <v:line style="position:absolute;mso-position-horizontal-relative:page;mso-position-vertical-relative:paragraph;z-index:16095744" from="200.106995pt,3.601451pt" to="204.438995pt,3.601451pt" stroked="true" strokeweight=".5pt" strokecolor="#000000">
            <v:stroke dashstyle="solid"/>
            <w10:wrap type="none"/>
          </v:line>
        </w:pict>
      </w:r>
      <w:r>
        <w:rPr>
          <w:w w:val="120"/>
          <w:sz w:val="12"/>
        </w:rPr>
        <w:t>10</w:t>
      </w:r>
    </w:p>
    <w:p>
      <w:pPr>
        <w:spacing w:line="118" w:lineRule="exact" w:before="85"/>
        <w:ind w:left="347" w:right="0" w:firstLine="0"/>
        <w:jc w:val="left"/>
        <w:rPr>
          <w:sz w:val="12"/>
        </w:rPr>
      </w:pPr>
      <w:r>
        <w:rPr>
          <w:w w:val="110"/>
          <w:sz w:val="12"/>
        </w:rPr>
        <w:t>Percentage changes on a year earlier</w:t>
      </w:r>
    </w:p>
    <w:p>
      <w:pPr>
        <w:spacing w:line="118" w:lineRule="exact" w:before="0"/>
        <w:ind w:left="0" w:right="38" w:firstLine="0"/>
        <w:jc w:val="right"/>
        <w:rPr>
          <w:sz w:val="12"/>
        </w:rPr>
      </w:pPr>
      <w:r>
        <w:rPr/>
        <w:pict>
          <v:group style="position:absolute;margin-left:49.689999pt;margin-top:3.963992pt;width:145.15pt;height:27.5pt;mso-position-horizontal-relative:page;mso-position-vertical-relative:paragraph;z-index:16085504" coordorigin="994,79" coordsize="2903,550">
            <v:line style="position:absolute" from="994,454" to="1164,454" stroked="true" strokeweight="1.5pt" strokecolor="#9ed01a">
              <v:stroke dashstyle="solid"/>
            </v:line>
            <v:line style="position:absolute" from="1154,449" to="1304,382" stroked="true" strokeweight="1pt" strokecolor="#9ed01a">
              <v:stroke dashstyle="solid"/>
            </v:line>
            <v:line style="position:absolute" from="1294,387" to="1466,387" stroked="true" strokeweight="1.5pt" strokecolor="#9ed01a">
              <v:stroke dashstyle="solid"/>
            </v:line>
            <v:shape style="position:absolute;left:1456;top:296;width:613;height:200" coordorigin="1456,297" coordsize="613,200" path="m1456,392l1606,354m1606,354l1769,297m1769,297l1919,354m1919,354l2069,497e" filled="false" stroked="true" strokeweight="1pt" strokecolor="#9ed01a">
              <v:path arrowok="t"/>
              <v:stroke dashstyle="solid"/>
            </v:shape>
            <v:line style="position:absolute" from="2059,498" to="2229,498" stroked="true" strokeweight="1.125pt" strokecolor="#9ed01a">
              <v:stroke dashstyle="solid"/>
            </v:line>
            <v:shape style="position:absolute;left:2218;top:89;width:1668;height:530" coordorigin="2219,89" coordsize="1668,530" path="m2219,497l2371,619m2371,619l2521,562m2521,562l2671,467m2671,467l2821,449m2821,449l2971,297m2971,297l3124,354m3124,354l3286,402m3286,402l3436,269m3436,269l3586,174m3586,174l3736,89m3736,89l3886,127e" filled="false" stroked="true" strokeweight="1pt" strokecolor="#9ed01a">
              <v:path arrowok="t"/>
              <v:stroke dashstyle="solid"/>
            </v:shape>
            <w10:wrap type="none"/>
          </v:group>
        </w:pict>
      </w:r>
      <w:r>
        <w:rPr/>
        <w:pict>
          <v:line style="position:absolute;mso-position-horizontal-relative:page;mso-position-vertical-relative:paragraph;z-index:16090112" from="200.106995pt,2.213992pt" to="204.438995pt,2.213992pt" stroked="true" strokeweight=".5pt" strokecolor="#000000">
            <v:stroke dashstyle="solid"/>
            <w10:wrap type="none"/>
          </v:line>
        </w:pict>
      </w:r>
      <w:r>
        <w:rPr>
          <w:spacing w:val="-1"/>
          <w:w w:val="120"/>
          <w:sz w:val="12"/>
        </w:rPr>
        <w:t>60</w:t>
      </w:r>
    </w:p>
    <w:p>
      <w:pPr>
        <w:spacing w:before="52"/>
        <w:ind w:left="0" w:right="38" w:firstLine="0"/>
        <w:jc w:val="right"/>
        <w:rPr>
          <w:sz w:val="12"/>
        </w:rPr>
      </w:pPr>
      <w:r>
        <w:rPr/>
        <w:pict>
          <v:line style="position:absolute;mso-position-horizontal-relative:page;mso-position-vertical-relative:paragraph;z-index:16090624" from="200.106995pt,5.826138pt" to="204.438995pt,5.826138pt" stroked="true" strokeweight=".5pt" strokecolor="#000000">
            <v:stroke dashstyle="solid"/>
            <w10:wrap type="none"/>
          </v:line>
        </w:pict>
      </w:r>
      <w:r>
        <w:rPr>
          <w:spacing w:val="-1"/>
          <w:w w:val="120"/>
          <w:sz w:val="12"/>
        </w:rPr>
        <w:t>50</w:t>
      </w:r>
    </w:p>
    <w:p>
      <w:pPr>
        <w:spacing w:before="42"/>
        <w:ind w:left="0" w:right="38" w:firstLine="0"/>
        <w:jc w:val="right"/>
        <w:rPr>
          <w:sz w:val="12"/>
        </w:rPr>
      </w:pPr>
      <w:r>
        <w:rPr/>
        <w:pict>
          <v:line style="position:absolute;mso-position-horizontal-relative:page;mso-position-vertical-relative:paragraph;z-index:16091136" from="200.106995pt,5.326138pt" to="204.438995pt,5.326138pt" stroked="true" strokeweight=".5pt" strokecolor="#000000">
            <v:stroke dashstyle="solid"/>
            <w10:wrap type="none"/>
          </v:line>
        </w:pict>
      </w:r>
      <w:r>
        <w:rPr>
          <w:spacing w:val="-1"/>
          <w:w w:val="120"/>
          <w:sz w:val="12"/>
        </w:rPr>
        <w:t>40</w:t>
      </w:r>
    </w:p>
    <w:p>
      <w:pPr>
        <w:pStyle w:val="BodyText"/>
        <w:spacing w:line="192" w:lineRule="exact"/>
        <w:ind w:left="190"/>
      </w:pPr>
      <w:r>
        <w:rPr/>
        <w:br w:type="column"/>
      </w:r>
      <w:r>
        <w:rPr>
          <w:w w:val="110"/>
        </w:rPr>
        <w:t>revised up its central projection for consumption, but</w:t>
      </w:r>
    </w:p>
    <w:p>
      <w:pPr>
        <w:pStyle w:val="BodyText"/>
        <w:spacing w:line="292" w:lineRule="auto" w:before="50"/>
        <w:ind w:left="190"/>
      </w:pPr>
      <w:r>
        <w:rPr>
          <w:w w:val="110"/>
        </w:rPr>
        <w:t>continues</w:t>
      </w:r>
      <w:r>
        <w:rPr>
          <w:spacing w:val="-25"/>
          <w:w w:val="110"/>
        </w:rPr>
        <w:t> </w:t>
      </w:r>
      <w:r>
        <w:rPr>
          <w:spacing w:val="-4"/>
          <w:w w:val="110"/>
        </w:rPr>
        <w:t>to</w:t>
      </w:r>
      <w:r>
        <w:rPr>
          <w:spacing w:val="-24"/>
          <w:w w:val="110"/>
        </w:rPr>
        <w:t> </w:t>
      </w:r>
      <w:r>
        <w:rPr>
          <w:w w:val="110"/>
        </w:rPr>
        <w:t>expect</w:t>
      </w:r>
      <w:r>
        <w:rPr>
          <w:spacing w:val="-24"/>
          <w:w w:val="110"/>
        </w:rPr>
        <w:t> </w:t>
      </w:r>
      <w:r>
        <w:rPr>
          <w:w w:val="110"/>
        </w:rPr>
        <w:t>some</w:t>
      </w:r>
      <w:r>
        <w:rPr>
          <w:spacing w:val="-24"/>
          <w:w w:val="110"/>
        </w:rPr>
        <w:t> </w:t>
      </w:r>
      <w:r>
        <w:rPr>
          <w:spacing w:val="-3"/>
          <w:w w:val="110"/>
        </w:rPr>
        <w:t>slowdown</w:t>
      </w:r>
      <w:r>
        <w:rPr>
          <w:spacing w:val="-24"/>
          <w:w w:val="110"/>
        </w:rPr>
        <w:t> </w:t>
      </w:r>
      <w:r>
        <w:rPr>
          <w:w w:val="110"/>
        </w:rPr>
        <w:t>in</w:t>
      </w:r>
      <w:r>
        <w:rPr>
          <w:spacing w:val="-24"/>
          <w:w w:val="110"/>
        </w:rPr>
        <w:t> </w:t>
      </w:r>
      <w:r>
        <w:rPr>
          <w:w w:val="110"/>
        </w:rPr>
        <w:t>consumption</w:t>
      </w:r>
      <w:r>
        <w:rPr>
          <w:spacing w:val="-24"/>
          <w:w w:val="110"/>
        </w:rPr>
        <w:t> </w:t>
      </w:r>
      <w:r>
        <w:rPr>
          <w:w w:val="110"/>
        </w:rPr>
        <w:t>growth</w:t>
      </w:r>
      <w:r>
        <w:rPr>
          <w:spacing w:val="-24"/>
          <w:w w:val="110"/>
        </w:rPr>
        <w:t> </w:t>
      </w:r>
      <w:r>
        <w:rPr>
          <w:w w:val="110"/>
        </w:rPr>
        <w:t>as wealth gains diminish and real income growth slows. The strength of consumption has been offset</w:t>
      </w:r>
      <w:r>
        <w:rPr>
          <w:spacing w:val="-39"/>
          <w:w w:val="110"/>
        </w:rPr>
        <w:t> </w:t>
      </w:r>
      <w:r>
        <w:rPr>
          <w:spacing w:val="-3"/>
          <w:w w:val="110"/>
        </w:rPr>
        <w:t>by</w:t>
      </w:r>
    </w:p>
    <w:p>
      <w:pPr>
        <w:pStyle w:val="BodyText"/>
        <w:spacing w:line="292" w:lineRule="auto"/>
        <w:ind w:left="190" w:right="158"/>
      </w:pPr>
      <w:r>
        <w:rPr>
          <w:spacing w:val="-4"/>
          <w:w w:val="110"/>
        </w:rPr>
        <w:t>weaker-than-expected </w:t>
      </w:r>
      <w:r>
        <w:rPr>
          <w:w w:val="110"/>
        </w:rPr>
        <w:t>business investment. </w:t>
      </w:r>
      <w:r>
        <w:rPr>
          <w:spacing w:val="-3"/>
          <w:w w:val="110"/>
        </w:rPr>
        <w:t>Surveys </w:t>
      </w:r>
      <w:r>
        <w:rPr>
          <w:w w:val="110"/>
        </w:rPr>
        <w:t>of </w:t>
      </w:r>
      <w:r>
        <w:rPr>
          <w:spacing w:val="-3"/>
          <w:w w:val="110"/>
        </w:rPr>
        <w:t>investment </w:t>
      </w:r>
      <w:r>
        <w:rPr>
          <w:w w:val="110"/>
        </w:rPr>
        <w:t>plans continue </w:t>
      </w:r>
      <w:r>
        <w:rPr>
          <w:spacing w:val="-4"/>
          <w:w w:val="110"/>
        </w:rPr>
        <w:t>to </w:t>
      </w:r>
      <w:r>
        <w:rPr>
          <w:w w:val="110"/>
        </w:rPr>
        <w:t>suggest a prospective </w:t>
      </w:r>
      <w:r>
        <w:rPr>
          <w:spacing w:val="-5"/>
          <w:w w:val="110"/>
        </w:rPr>
        <w:t>pick-up </w:t>
      </w:r>
      <w:r>
        <w:rPr>
          <w:w w:val="110"/>
        </w:rPr>
        <w:t>in</w:t>
      </w:r>
    </w:p>
    <w:p>
      <w:pPr>
        <w:spacing w:after="0" w:line="292" w:lineRule="auto"/>
        <w:sectPr>
          <w:type w:val="continuous"/>
          <w:pgSz w:w="11900" w:h="16840"/>
          <w:pgMar w:top="1260" w:bottom="280" w:left="640" w:right="640"/>
          <w:cols w:num="3" w:equalWidth="0">
            <w:col w:w="1174" w:space="40"/>
            <w:col w:w="2461" w:space="1248"/>
            <w:col w:w="5697"/>
          </w:cols>
        </w:sectPr>
      </w:pPr>
    </w:p>
    <w:p>
      <w:pPr>
        <w:pStyle w:val="BodyText"/>
        <w:spacing w:before="7"/>
        <w:rPr>
          <w:sz w:val="6"/>
        </w:rPr>
      </w:pPr>
    </w:p>
    <w:p>
      <w:pPr>
        <w:pStyle w:val="BodyText"/>
        <w:spacing w:line="20" w:lineRule="exact"/>
        <w:ind w:left="19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208" w:lineRule="auto" w:before="5"/>
        <w:ind w:left="463" w:right="0" w:hanging="90"/>
        <w:jc w:val="left"/>
        <w:rPr>
          <w:sz w:val="12"/>
        </w:rPr>
      </w:pPr>
      <w:r>
        <w:rPr/>
        <w:pict>
          <v:line style="position:absolute;mso-position-horizontal-relative:page;mso-position-vertical-relative:paragraph;z-index:16088064" from="41.773998pt,8.122355pt" to="46.105998pt,8.122355pt" stroked="true" strokeweight=".5pt" strokecolor="#000000">
            <v:stroke dashstyle="solid"/>
            <w10:wrap type="none"/>
          </v:line>
        </w:pict>
      </w:r>
      <w:r>
        <w:rPr>
          <w:w w:val="110"/>
          <w:sz w:val="12"/>
        </w:rPr>
        <w:t>Computing, electronics and </w:t>
      </w:r>
      <w:r>
        <w:rPr>
          <w:w w:val="105"/>
          <w:sz w:val="12"/>
        </w:rPr>
        <w:t>communications equipment</w:t>
      </w:r>
    </w:p>
    <w:p>
      <w:pPr>
        <w:pStyle w:val="BodyText"/>
        <w:tabs>
          <w:tab w:pos="1998" w:val="left" w:leader="none"/>
        </w:tabs>
        <w:spacing w:line="212" w:lineRule="exact"/>
        <w:ind w:left="373"/>
      </w:pPr>
      <w:r>
        <w:rPr/>
        <w:br w:type="column"/>
      </w:r>
      <w:r>
        <w:rPr>
          <w:w w:val="110"/>
          <w:position w:val="5"/>
          <w:sz w:val="12"/>
        </w:rPr>
        <w:t>30</w:t>
        <w:tab/>
      </w:r>
      <w:r>
        <w:rPr>
          <w:w w:val="110"/>
        </w:rPr>
        <w:t>investment,</w:t>
      </w:r>
      <w:r>
        <w:rPr>
          <w:spacing w:val="-20"/>
          <w:w w:val="110"/>
        </w:rPr>
        <w:t> </w:t>
      </w:r>
      <w:r>
        <w:rPr>
          <w:w w:val="110"/>
        </w:rPr>
        <w:t>with</w:t>
      </w:r>
      <w:r>
        <w:rPr>
          <w:spacing w:val="-20"/>
          <w:w w:val="110"/>
        </w:rPr>
        <w:t> </w:t>
      </w:r>
      <w:r>
        <w:rPr>
          <w:w w:val="110"/>
        </w:rPr>
        <w:t>business</w:t>
      </w:r>
      <w:r>
        <w:rPr>
          <w:spacing w:val="-20"/>
          <w:w w:val="110"/>
        </w:rPr>
        <w:t> </w:t>
      </w:r>
      <w:r>
        <w:rPr>
          <w:w w:val="110"/>
        </w:rPr>
        <w:t>confidence</w:t>
      </w:r>
      <w:r>
        <w:rPr>
          <w:spacing w:val="-19"/>
          <w:w w:val="110"/>
        </w:rPr>
        <w:t> </w:t>
      </w:r>
      <w:r>
        <w:rPr>
          <w:w w:val="110"/>
        </w:rPr>
        <w:t>remaining</w:t>
      </w:r>
      <w:r>
        <w:rPr>
          <w:spacing w:val="-20"/>
          <w:w w:val="110"/>
        </w:rPr>
        <w:t> </w:t>
      </w:r>
      <w:r>
        <w:rPr>
          <w:w w:val="110"/>
        </w:rPr>
        <w:t>firm.</w:t>
      </w:r>
      <w:r>
        <w:rPr>
          <w:spacing w:val="16"/>
          <w:w w:val="110"/>
        </w:rPr>
        <w:t> </w:t>
      </w:r>
      <w:r>
        <w:rPr>
          <w:w w:val="110"/>
        </w:rPr>
        <w:t>But</w:t>
      </w:r>
      <w:r>
        <w:rPr>
          <w:spacing w:val="-20"/>
          <w:w w:val="110"/>
        </w:rPr>
        <w:t> </w:t>
      </w:r>
      <w:r>
        <w:rPr>
          <w:w w:val="110"/>
        </w:rPr>
        <w:t>the</w:t>
      </w:r>
    </w:p>
    <w:p>
      <w:pPr>
        <w:spacing w:line="104" w:lineRule="exact" w:before="0"/>
        <w:ind w:left="373" w:right="0" w:firstLine="0"/>
        <w:jc w:val="left"/>
        <w:rPr>
          <w:sz w:val="12"/>
        </w:rPr>
      </w:pPr>
      <w:r>
        <w:rPr/>
        <w:pict>
          <v:line style="position:absolute;mso-position-horizontal-relative:page;mso-position-vertical-relative:paragraph;z-index:16089600" from="200.106995pt,-6.528874pt" to="204.438995pt,-6.528874pt" stroked="true" strokeweight=".5pt" strokecolor="#000000">
            <v:stroke dashstyle="solid"/>
            <w10:wrap type="none"/>
          </v:line>
        </w:pict>
      </w:r>
      <w:r>
        <w:rPr/>
        <w:pict>
          <v:line style="position:absolute;mso-position-horizontal-relative:page;mso-position-vertical-relative:paragraph;z-index:16091648" from="200.106995pt,2.346126pt" to="204.438995pt,2.346126pt" stroked="true" strokeweight=".5pt" strokecolor="#000000">
            <v:stroke dashstyle="solid"/>
            <w10:wrap type="none"/>
          </v:line>
        </w:pict>
      </w:r>
      <w:r>
        <w:rPr>
          <w:w w:val="120"/>
          <w:sz w:val="12"/>
        </w:rPr>
        <w:t>20</w:t>
      </w:r>
    </w:p>
    <w:p>
      <w:pPr>
        <w:spacing w:after="0" w:line="104" w:lineRule="exact"/>
        <w:jc w:val="left"/>
        <w:rPr>
          <w:sz w:val="12"/>
        </w:rPr>
        <w:sectPr>
          <w:type w:val="continuous"/>
          <w:pgSz w:w="11900" w:h="16840"/>
          <w:pgMar w:top="1260" w:bottom="280" w:left="640" w:right="640"/>
          <w:cols w:num="2" w:equalWidth="0">
            <w:col w:w="1945" w:space="1170"/>
            <w:col w:w="7505"/>
          </w:cols>
        </w:sectPr>
      </w:pPr>
    </w:p>
    <w:p>
      <w:pPr>
        <w:tabs>
          <w:tab w:pos="1118" w:val="left" w:leader="none"/>
          <w:tab w:pos="1568" w:val="left" w:leader="none"/>
          <w:tab w:pos="2097" w:val="left" w:leader="none"/>
        </w:tabs>
        <w:spacing w:before="47"/>
        <w:ind w:left="365" w:right="0" w:firstLine="0"/>
        <w:jc w:val="left"/>
        <w:rPr>
          <w:sz w:val="12"/>
        </w:rPr>
      </w:pPr>
      <w:r>
        <w:rPr/>
        <w:pict>
          <v:group style="position:absolute;margin-left:49.689999pt;margin-top:9.493634pt;width:39.25pt;height:5.75pt;mso-position-horizontal-relative:page;mso-position-vertical-relative:paragraph;z-index:16086016" coordorigin="994,190" coordsize="785,115">
            <v:line style="position:absolute" from="1004,295" to="1154,247" stroked="true" strokeweight="1pt" strokecolor="#006caa">
              <v:stroke dashstyle="solid"/>
            </v:line>
            <v:line style="position:absolute" from="1144,242" to="1314,242" stroked="true" strokeweight="1.5pt" strokecolor="#006caa">
              <v:stroke dashstyle="solid"/>
            </v:line>
            <v:line style="position:absolute" from="1294,234" to="1466,234" stroked="true" strokeweight="1.375pt" strokecolor="#006caa">
              <v:stroke dashstyle="solid"/>
            </v:line>
            <v:shape style="position:absolute;left:1456;top:199;width:313;height:30" coordorigin="1456,200" coordsize="313,30" path="m1456,230l1606,200m1606,200l1769,220e" filled="false" stroked="true" strokeweight="1pt" strokecolor="#006caa">
              <v:path arrowok="t"/>
              <v:stroke dashstyle="solid"/>
            </v:shape>
            <w10:wrap type="none"/>
          </v:group>
        </w:pict>
      </w:r>
      <w:r>
        <w:rPr/>
        <w:pict>
          <v:shape style="position:absolute;margin-left:95.940002pt;margin-top:9.493634pt;width:15pt;height:1pt;mso-position-horizontal-relative:page;mso-position-vertical-relative:paragraph;z-index:16086528" coordorigin="1919,190" coordsize="300,20" path="m1919,210l2069,190m2069,190l2219,210e" filled="false" stroked="true" strokeweight="1pt" strokecolor="#006caa">
            <v:path arrowok="t"/>
            <v:stroke dashstyle="solid"/>
            <w10:wrap type="none"/>
          </v:shape>
        </w:pict>
      </w:r>
      <w:r>
        <w:rPr/>
        <w:pict>
          <v:line style="position:absolute;mso-position-horizontal-relative:page;mso-position-vertical-relative:paragraph;z-index:16089088" from="41.773998pt,5.368634pt" to="46.105998pt,5.368634pt" stroked="true" strokeweight=".5pt" strokecolor="#000000">
            <v:stroke dashstyle="solid"/>
            <w10:wrap type="none"/>
          </v:line>
        </w:pict>
      </w:r>
      <w:r>
        <w:rPr/>
        <w:pict>
          <v:line style="position:absolute;mso-position-horizontal-relative:page;mso-position-vertical-relative:paragraph;z-index:-23237120" from="200.106995pt,5.368634pt" to="204.438995pt,5.368634pt" stroked="true" strokeweight=".5pt" strokecolor="#000000">
            <v:stroke dashstyle="solid"/>
            <w10:wrap type="none"/>
          </v:line>
        </w:pict>
      </w:r>
      <w:r>
        <w:rPr/>
        <w:pict>
          <v:shape style="position:absolute;margin-left:203.207809pt;margin-top:7.697824pt;width:4.9pt;height:8.0500pt;mso-position-horizontal-relative:page;mso-position-vertical-relative:paragraph;z-index:-23231488" type="#_x0000_t202" filled="false" stroked="false">
            <v:textbox inset="0,0,0,0">
              <w:txbxContent>
                <w:p>
                  <w:pPr>
                    <w:spacing w:line="153" w:lineRule="exact" w:before="0"/>
                    <w:ind w:left="0" w:right="0" w:firstLine="0"/>
                    <w:jc w:val="left"/>
                    <w:rPr>
                      <w:sz w:val="16"/>
                    </w:rPr>
                  </w:pPr>
                  <w:r>
                    <w:rPr>
                      <w:w w:val="107"/>
                      <w:sz w:val="16"/>
                    </w:rPr>
                    <w:t>+</w:t>
                  </w:r>
                </w:p>
              </w:txbxContent>
            </v:textbox>
            <w10:wrap type="none"/>
          </v:shape>
        </w:pict>
      </w:r>
      <w:r>
        <w:rPr>
          <w:position w:val="-7"/>
          <w:sz w:val="16"/>
          <w:u w:val="single"/>
        </w:rPr>
        <w:t> </w:t>
        <w:tab/>
      </w:r>
      <w:r>
        <w:rPr>
          <w:sz w:val="12"/>
          <w:u w:val="single"/>
        </w:rPr>
        <w:t>     </w:t>
      </w:r>
      <w:r>
        <w:rPr>
          <w:spacing w:val="-10"/>
          <w:sz w:val="12"/>
          <w:u w:val="single"/>
        </w:rPr>
        <w:t> </w:t>
      </w:r>
      <w:r>
        <w:rPr>
          <w:sz w:val="12"/>
        </w:rPr>
        <w:tab/>
      </w:r>
      <w:r>
        <w:rPr>
          <w:sz w:val="12"/>
          <w:u w:val="thick" w:color="006CAA"/>
        </w:rPr>
        <w:t>     </w:t>
      </w:r>
      <w:r>
        <w:rPr>
          <w:spacing w:val="-8"/>
          <w:sz w:val="12"/>
          <w:u w:val="thick" w:color="006CAA"/>
        </w:rPr>
        <w:t> </w:t>
      </w:r>
      <w:r>
        <w:rPr>
          <w:sz w:val="12"/>
        </w:rPr>
        <w:tab/>
      </w:r>
      <w:r>
        <w:rPr>
          <w:w w:val="110"/>
          <w:sz w:val="12"/>
        </w:rPr>
        <w:t>Rest of</w:t>
      </w:r>
      <w:r>
        <w:rPr>
          <w:w w:val="110"/>
          <w:position w:val="-7"/>
          <w:sz w:val="12"/>
          <w:u w:val="thick" w:color="006CAA"/>
        </w:rPr>
        <w:t> </w:t>
      </w:r>
      <w:r>
        <w:rPr>
          <w:w w:val="110"/>
          <w:sz w:val="12"/>
        </w:rPr>
        <w:t>manufacturing   </w:t>
      </w:r>
      <w:r>
        <w:rPr>
          <w:w w:val="110"/>
          <w:position w:val="-7"/>
          <w:sz w:val="12"/>
          <w:u w:val="single"/>
        </w:rPr>
        <w:t> </w:t>
      </w:r>
      <w:r>
        <w:rPr>
          <w:w w:val="110"/>
          <w:position w:val="-7"/>
          <w:sz w:val="12"/>
        </w:rPr>
        <w:t> </w:t>
      </w:r>
      <w:r>
        <w:rPr>
          <w:spacing w:val="23"/>
          <w:w w:val="110"/>
          <w:position w:val="-7"/>
          <w:sz w:val="12"/>
        </w:rPr>
        <w:t> </w:t>
      </w:r>
      <w:r>
        <w:rPr>
          <w:w w:val="110"/>
          <w:position w:val="3"/>
          <w:sz w:val="12"/>
        </w:rPr>
        <w:t>10</w:t>
      </w:r>
    </w:p>
    <w:p>
      <w:pPr>
        <w:pStyle w:val="BodyText"/>
        <w:spacing w:line="79" w:lineRule="exact"/>
        <w:ind w:left="1721"/>
        <w:rPr>
          <w:sz w:val="7"/>
        </w:rPr>
      </w:pPr>
      <w:r>
        <w:rPr>
          <w:position w:val="-1"/>
          <w:sz w:val="7"/>
        </w:rPr>
        <w:pict>
          <v:group style="width:38.65pt;height:3.9pt;mso-position-horizontal-relative:char;mso-position-vertical-relative:line" coordorigin="0,0" coordsize="773,78">
            <v:shape style="position:absolute;left:10;top:10;width:300;height:48" coordorigin="10,10" coordsize="300,48" path="m10,10l160,37m160,37l310,57e" filled="false" stroked="true" strokeweight="1pt" strokecolor="#006caa">
              <v:path arrowok="t"/>
              <v:stroke dashstyle="solid"/>
            </v:shape>
            <v:line style="position:absolute" from="300,61" to="470,61" stroked="true" strokeweight="1.375pt" strokecolor="#006caa">
              <v:stroke dashstyle="solid"/>
            </v:line>
            <v:line style="position:absolute" from="450,66" to="620,66" stroked="true" strokeweight="1.125pt" strokecolor="#006caa">
              <v:stroke dashstyle="solid"/>
            </v:line>
            <v:line style="position:absolute" from="610,65" to="763,47" stroked="true" strokeweight="1pt" strokecolor="#006caa">
              <v:stroke dashstyle="solid"/>
            </v:line>
          </v:group>
        </w:pict>
      </w:r>
      <w:r>
        <w:rPr>
          <w:position w:val="-1"/>
          <w:sz w:val="7"/>
        </w:rPr>
      </w:r>
    </w:p>
    <w:p>
      <w:pPr>
        <w:spacing w:line="123" w:lineRule="exact" w:before="0"/>
        <w:ind w:left="3427" w:right="0" w:firstLine="0"/>
        <w:jc w:val="left"/>
        <w:rPr>
          <w:sz w:val="16"/>
        </w:rPr>
      </w:pPr>
      <w:r>
        <w:rPr/>
        <w:pict>
          <v:shape style="position:absolute;margin-left:179.315002pt;margin-top:.130557pt;width:15pt;height:3.4pt;mso-position-horizontal-relative:page;mso-position-vertical-relative:paragraph;z-index:16087040" coordorigin="3586,3" coordsize="300,68" path="m3586,3l3736,23m3736,23l3886,70e" filled="false" stroked="true" strokeweight="1pt" strokecolor="#006caa">
            <v:path arrowok="t"/>
            <v:stroke dashstyle="solid"/>
            <w10:wrap type="none"/>
          </v:shape>
        </w:pict>
      </w:r>
      <w:r>
        <w:rPr/>
        <w:pict>
          <v:line style="position:absolute;mso-position-horizontal-relative:page;mso-position-vertical-relative:paragraph;z-index:16087552" from="41.773998pt,2.630557pt" to="46.105998pt,2.630557pt" stroked="true" strokeweight=".5pt" strokecolor="#000000">
            <v:stroke dashstyle="solid"/>
            <w10:wrap type="none"/>
          </v:line>
        </w:pict>
      </w:r>
      <w:r>
        <w:rPr/>
        <w:pict>
          <v:shape style="position:absolute;margin-left:50.272999pt;margin-top:8.407557pt;width:144pt;height:4pt;mso-position-horizontal-relative:page;mso-position-vertical-relative:paragraph;z-index:16096768" coordorigin="1005,168" coordsize="2880,80" path="m1005,243l3885,243m1154,210l1154,248m1456,210l1456,248m1005,168l1005,248m3439,168l3439,248m2821,168l2821,248m2219,168l2219,248m1606,168l1606,248m1304,210l1304,248m1770,210l1770,248m2072,210l2072,248m1920,210l1920,248m2370,210l2370,248m2672,210l2672,248m2520,210l2520,248m2970,210l2970,248m3272,210l3272,248m3120,210l3120,248m3583,210l3583,248m3885,210l3885,248m3733,210l3733,248e" filled="false" stroked="true" strokeweight=".5pt" strokecolor="#000000">
            <v:path arrowok="t"/>
            <v:stroke dashstyle="solid"/>
            <w10:wrap type="none"/>
          </v:shape>
        </w:pict>
      </w:r>
      <w:r>
        <w:rPr/>
        <w:pict>
          <v:shape style="position:absolute;margin-left:210.064407pt;margin-top:.689852pt;width:3.65pt;height:6.05pt;mso-position-horizontal-relative:page;mso-position-vertical-relative:paragraph;z-index:16097792" type="#_x0000_t202" filled="false" stroked="false">
            <v:textbox inset="0,0,0,0">
              <w:txbxContent>
                <w:p>
                  <w:pPr>
                    <w:spacing w:line="115" w:lineRule="exact" w:before="0"/>
                    <w:ind w:left="0" w:right="0" w:firstLine="0"/>
                    <w:jc w:val="left"/>
                    <w:rPr>
                      <w:sz w:val="12"/>
                    </w:rPr>
                  </w:pPr>
                  <w:r>
                    <w:rPr>
                      <w:w w:val="121"/>
                      <w:sz w:val="12"/>
                    </w:rPr>
                    <w:t>0</w:t>
                  </w:r>
                </w:p>
              </w:txbxContent>
            </v:textbox>
            <w10:wrap type="none"/>
          </v:shape>
        </w:pict>
      </w:r>
      <w:r>
        <w:rPr>
          <w:w w:val="117"/>
          <w:sz w:val="16"/>
        </w:rPr>
        <w:t>–</w:t>
      </w:r>
    </w:p>
    <w:p>
      <w:pPr>
        <w:spacing w:line="112" w:lineRule="exact" w:before="0"/>
        <w:ind w:left="3488" w:right="0" w:firstLine="0"/>
        <w:jc w:val="left"/>
        <w:rPr>
          <w:sz w:val="12"/>
        </w:rPr>
      </w:pPr>
      <w:r>
        <w:rPr/>
        <w:pict>
          <v:line style="position:absolute;mso-position-horizontal-relative:page;mso-position-vertical-relative:paragraph;z-index:16088576" from="41.773998pt,3.016536pt" to="46.105998pt,3.016536pt" stroked="true" strokeweight=".5pt" strokecolor="#000000">
            <v:stroke dashstyle="solid"/>
            <w10:wrap type="none"/>
          </v:line>
        </w:pict>
      </w:r>
      <w:r>
        <w:rPr/>
        <w:pict>
          <v:line style="position:absolute;mso-position-horizontal-relative:page;mso-position-vertical-relative:paragraph;z-index:16092160" from="200.106995pt,3.016536pt" to="204.438995pt,3.016536pt" stroked="true" strokeweight=".5pt" strokecolor="#000000">
            <v:stroke dashstyle="solid"/>
            <w10:wrap type="none"/>
          </v:line>
        </w:pict>
      </w:r>
      <w:r>
        <w:rPr>
          <w:w w:val="120"/>
          <w:sz w:val="12"/>
        </w:rPr>
        <w:t>10</w:t>
      </w:r>
    </w:p>
    <w:p>
      <w:pPr>
        <w:tabs>
          <w:tab w:pos="1213" w:val="left" w:leader="none"/>
          <w:tab w:pos="1808" w:val="left" w:leader="none"/>
          <w:tab w:pos="2411" w:val="left" w:leader="none"/>
          <w:tab w:pos="2946" w:val="left" w:leader="none"/>
        </w:tabs>
        <w:spacing w:line="114" w:lineRule="exact" w:before="0"/>
        <w:ind w:left="531" w:right="0" w:firstLine="0"/>
        <w:jc w:val="left"/>
        <w:rPr>
          <w:sz w:val="12"/>
        </w:rPr>
      </w:pPr>
      <w:r>
        <w:rPr>
          <w:w w:val="120"/>
          <w:sz w:val="12"/>
        </w:rPr>
        <w:t>1996</w:t>
        <w:tab/>
        <w:t>97</w:t>
        <w:tab/>
        <w:t>98</w:t>
        <w:tab/>
        <w:t>99</w:t>
        <w:tab/>
        <w:t>2000</w:t>
      </w:r>
    </w:p>
    <w:p>
      <w:pPr>
        <w:pStyle w:val="BodyText"/>
        <w:spacing w:before="9"/>
        <w:rPr>
          <w:sz w:val="11"/>
        </w:rPr>
      </w:pPr>
    </w:p>
    <w:p>
      <w:pPr>
        <w:spacing w:before="1"/>
        <w:ind w:left="183" w:right="0" w:firstLine="0"/>
        <w:jc w:val="left"/>
        <w:rPr>
          <w:sz w:val="12"/>
        </w:rPr>
      </w:pPr>
      <w:r>
        <w:rPr>
          <w:w w:val="105"/>
          <w:sz w:val="12"/>
        </w:rPr>
        <w:t>Sources:</w:t>
      </w:r>
      <w:r>
        <w:rPr>
          <w:spacing w:val="12"/>
          <w:w w:val="105"/>
          <w:sz w:val="12"/>
        </w:rPr>
        <w:t> </w:t>
      </w:r>
      <w:r>
        <w:rPr>
          <w:w w:val="105"/>
          <w:sz w:val="12"/>
        </w:rPr>
        <w:t>ONS</w:t>
      </w:r>
      <w:r>
        <w:rPr>
          <w:spacing w:val="-9"/>
          <w:w w:val="105"/>
          <w:sz w:val="12"/>
        </w:rPr>
        <w:t> </w:t>
      </w:r>
      <w:r>
        <w:rPr>
          <w:w w:val="105"/>
          <w:sz w:val="12"/>
        </w:rPr>
        <w:t>and</w:t>
      </w:r>
      <w:r>
        <w:rPr>
          <w:spacing w:val="-10"/>
          <w:w w:val="105"/>
          <w:sz w:val="12"/>
        </w:rPr>
        <w:t> </w:t>
      </w:r>
      <w:r>
        <w:rPr>
          <w:w w:val="105"/>
          <w:sz w:val="12"/>
        </w:rPr>
        <w:t>United</w:t>
      </w:r>
      <w:r>
        <w:rPr>
          <w:spacing w:val="-9"/>
          <w:w w:val="105"/>
          <w:sz w:val="12"/>
        </w:rPr>
        <w:t> </w:t>
      </w:r>
      <w:r>
        <w:rPr>
          <w:w w:val="105"/>
          <w:sz w:val="12"/>
        </w:rPr>
        <w:t>States</w:t>
      </w:r>
      <w:r>
        <w:rPr>
          <w:spacing w:val="-9"/>
          <w:w w:val="105"/>
          <w:sz w:val="12"/>
        </w:rPr>
        <w:t> </w:t>
      </w:r>
      <w:r>
        <w:rPr>
          <w:w w:val="105"/>
          <w:sz w:val="12"/>
        </w:rPr>
        <w:t>Bureau</w:t>
      </w:r>
      <w:r>
        <w:rPr>
          <w:spacing w:val="-10"/>
          <w:w w:val="105"/>
          <w:sz w:val="12"/>
        </w:rPr>
        <w:t> </w:t>
      </w:r>
      <w:r>
        <w:rPr>
          <w:w w:val="105"/>
          <w:sz w:val="12"/>
        </w:rPr>
        <w:t>of</w:t>
      </w:r>
      <w:r>
        <w:rPr>
          <w:spacing w:val="-9"/>
          <w:w w:val="105"/>
          <w:sz w:val="12"/>
        </w:rPr>
        <w:t> </w:t>
      </w:r>
      <w:r>
        <w:rPr>
          <w:w w:val="105"/>
          <w:sz w:val="12"/>
        </w:rPr>
        <w:t>Economic</w:t>
      </w:r>
      <w:r>
        <w:rPr>
          <w:spacing w:val="-10"/>
          <w:w w:val="105"/>
          <w:sz w:val="12"/>
        </w:rPr>
        <w:t> </w:t>
      </w:r>
      <w:r>
        <w:rPr>
          <w:w w:val="105"/>
          <w:sz w:val="12"/>
        </w:rPr>
        <w:t>Analysis.</w:t>
      </w:r>
    </w:p>
    <w:p>
      <w:pPr>
        <w:spacing w:line="129" w:lineRule="exact" w:before="102"/>
        <w:ind w:left="183" w:right="0" w:firstLine="0"/>
        <w:jc w:val="left"/>
        <w:rPr>
          <w:sz w:val="12"/>
        </w:rPr>
      </w:pPr>
      <w:r>
        <w:rPr>
          <w:w w:val="110"/>
          <w:sz w:val="12"/>
        </w:rPr>
        <w:t>(a)</w:t>
      </w:r>
      <w:r>
        <w:rPr>
          <w:spacing w:val="30"/>
          <w:w w:val="110"/>
          <w:sz w:val="12"/>
        </w:rPr>
        <w:t> </w:t>
      </w:r>
      <w:r>
        <w:rPr>
          <w:w w:val="110"/>
          <w:sz w:val="12"/>
        </w:rPr>
        <w:t>Defined</w:t>
      </w:r>
      <w:r>
        <w:rPr>
          <w:spacing w:val="-14"/>
          <w:w w:val="110"/>
          <w:sz w:val="12"/>
        </w:rPr>
        <w:t> </w:t>
      </w:r>
      <w:r>
        <w:rPr>
          <w:w w:val="110"/>
          <w:sz w:val="12"/>
        </w:rPr>
        <w:t>to</w:t>
      </w:r>
      <w:r>
        <w:rPr>
          <w:spacing w:val="-15"/>
          <w:w w:val="110"/>
          <w:sz w:val="12"/>
        </w:rPr>
        <w:t> </w:t>
      </w:r>
      <w:r>
        <w:rPr>
          <w:w w:val="110"/>
          <w:sz w:val="12"/>
        </w:rPr>
        <w:t>be</w:t>
      </w:r>
      <w:r>
        <w:rPr>
          <w:spacing w:val="-14"/>
          <w:w w:val="110"/>
          <w:sz w:val="12"/>
        </w:rPr>
        <w:t> </w:t>
      </w:r>
      <w:r>
        <w:rPr>
          <w:w w:val="110"/>
          <w:sz w:val="12"/>
        </w:rPr>
        <w:t>broadly</w:t>
      </w:r>
      <w:r>
        <w:rPr>
          <w:spacing w:val="-14"/>
          <w:w w:val="110"/>
          <w:sz w:val="12"/>
        </w:rPr>
        <w:t> </w:t>
      </w:r>
      <w:r>
        <w:rPr>
          <w:w w:val="110"/>
          <w:sz w:val="12"/>
        </w:rPr>
        <w:t>comparable</w:t>
      </w:r>
      <w:r>
        <w:rPr>
          <w:spacing w:val="-14"/>
          <w:w w:val="110"/>
          <w:sz w:val="12"/>
        </w:rPr>
        <w:t> </w:t>
      </w:r>
      <w:r>
        <w:rPr>
          <w:w w:val="110"/>
          <w:sz w:val="12"/>
        </w:rPr>
        <w:t>with</w:t>
      </w:r>
      <w:r>
        <w:rPr>
          <w:spacing w:val="-15"/>
          <w:w w:val="110"/>
          <w:sz w:val="12"/>
        </w:rPr>
        <w:t> </w:t>
      </w:r>
      <w:r>
        <w:rPr>
          <w:w w:val="110"/>
          <w:sz w:val="12"/>
        </w:rPr>
        <w:t>the</w:t>
      </w:r>
      <w:r>
        <w:rPr>
          <w:spacing w:val="-14"/>
          <w:w w:val="110"/>
          <w:sz w:val="12"/>
        </w:rPr>
        <w:t> </w:t>
      </w:r>
      <w:r>
        <w:rPr>
          <w:w w:val="110"/>
          <w:sz w:val="12"/>
        </w:rPr>
        <w:t>US</w:t>
      </w:r>
      <w:r>
        <w:rPr>
          <w:spacing w:val="-14"/>
          <w:w w:val="110"/>
          <w:sz w:val="12"/>
        </w:rPr>
        <w:t> </w:t>
      </w:r>
      <w:r>
        <w:rPr>
          <w:w w:val="110"/>
          <w:sz w:val="12"/>
        </w:rPr>
        <w:t>computers</w:t>
      </w:r>
    </w:p>
    <w:p>
      <w:pPr>
        <w:spacing w:line="208" w:lineRule="auto" w:before="5"/>
        <w:ind w:left="423" w:right="-8" w:firstLine="0"/>
        <w:jc w:val="left"/>
        <w:rPr>
          <w:sz w:val="12"/>
        </w:rPr>
      </w:pPr>
      <w:r>
        <w:rPr>
          <w:w w:val="110"/>
          <w:sz w:val="12"/>
        </w:rPr>
        <w:t>and communications sector. Includes manufacture of </w:t>
      </w:r>
      <w:r>
        <w:rPr>
          <w:spacing w:val="-4"/>
          <w:w w:val="110"/>
          <w:sz w:val="12"/>
        </w:rPr>
        <w:t>computer, </w:t>
      </w:r>
      <w:r>
        <w:rPr>
          <w:w w:val="110"/>
          <w:sz w:val="12"/>
        </w:rPr>
        <w:t>electronics and communications equipment, which together account for about 5% of UK manufacturing output.</w:t>
      </w:r>
    </w:p>
    <w:p>
      <w:pPr>
        <w:pStyle w:val="BodyText"/>
        <w:spacing w:line="166" w:lineRule="exact"/>
        <w:ind w:left="183"/>
      </w:pPr>
      <w:r>
        <w:rPr/>
        <w:br w:type="column"/>
      </w:r>
      <w:r>
        <w:rPr>
          <w:w w:val="105"/>
        </w:rPr>
        <w:t>global economic outlook has weakened and become more</w:t>
      </w:r>
    </w:p>
    <w:p>
      <w:pPr>
        <w:pStyle w:val="BodyText"/>
        <w:spacing w:line="292" w:lineRule="auto" w:before="50"/>
        <w:ind w:left="183" w:right="245"/>
      </w:pPr>
      <w:r>
        <w:rPr>
          <w:w w:val="110"/>
        </w:rPr>
        <w:t>uncertain, which </w:t>
      </w:r>
      <w:r>
        <w:rPr>
          <w:spacing w:val="-3"/>
          <w:w w:val="110"/>
        </w:rPr>
        <w:t>may </w:t>
      </w:r>
      <w:r>
        <w:rPr>
          <w:w w:val="110"/>
        </w:rPr>
        <w:t>lead firms </w:t>
      </w:r>
      <w:r>
        <w:rPr>
          <w:spacing w:val="-4"/>
          <w:w w:val="110"/>
        </w:rPr>
        <w:t>to </w:t>
      </w:r>
      <w:r>
        <w:rPr>
          <w:w w:val="110"/>
        </w:rPr>
        <w:t>delay their </w:t>
      </w:r>
      <w:r>
        <w:rPr>
          <w:spacing w:val="-3"/>
          <w:w w:val="110"/>
        </w:rPr>
        <w:t>investment </w:t>
      </w:r>
      <w:r>
        <w:rPr>
          <w:w w:val="110"/>
        </w:rPr>
        <w:t>further. The MPC has revised down its projection for </w:t>
      </w:r>
      <w:r>
        <w:rPr>
          <w:spacing w:val="-3"/>
          <w:w w:val="110"/>
        </w:rPr>
        <w:t>investment </w:t>
      </w:r>
      <w:r>
        <w:rPr>
          <w:w w:val="110"/>
        </w:rPr>
        <w:t>in the near term, although a </w:t>
      </w:r>
      <w:r>
        <w:rPr>
          <w:spacing w:val="-3"/>
          <w:w w:val="110"/>
        </w:rPr>
        <w:t>recovery </w:t>
      </w:r>
      <w:r>
        <w:rPr>
          <w:w w:val="110"/>
        </w:rPr>
        <w:t>in </w:t>
      </w:r>
      <w:r>
        <w:rPr>
          <w:spacing w:val="-7"/>
          <w:w w:val="110"/>
        </w:rPr>
        <w:t>2002 </w:t>
      </w:r>
      <w:r>
        <w:rPr>
          <w:w w:val="110"/>
        </w:rPr>
        <w:t>is still </w:t>
      </w:r>
      <w:r>
        <w:rPr>
          <w:spacing w:val="-3"/>
          <w:w w:val="110"/>
        </w:rPr>
        <w:t>expected. </w:t>
      </w:r>
      <w:r>
        <w:rPr>
          <w:w w:val="110"/>
        </w:rPr>
        <w:t>Overall, in the near term, growth in domestic demand is </w:t>
      </w:r>
      <w:r>
        <w:rPr>
          <w:spacing w:val="-3"/>
          <w:w w:val="110"/>
        </w:rPr>
        <w:t>projected </w:t>
      </w:r>
      <w:r>
        <w:rPr>
          <w:spacing w:val="-4"/>
          <w:w w:val="110"/>
        </w:rPr>
        <w:t>to </w:t>
      </w:r>
      <w:r>
        <w:rPr>
          <w:w w:val="110"/>
        </w:rPr>
        <w:t>be a little </w:t>
      </w:r>
      <w:r>
        <w:rPr>
          <w:spacing w:val="-3"/>
          <w:w w:val="110"/>
        </w:rPr>
        <w:t>weaker </w:t>
      </w:r>
      <w:r>
        <w:rPr>
          <w:w w:val="110"/>
        </w:rPr>
        <w:t>than in November before</w:t>
      </w:r>
      <w:r>
        <w:rPr>
          <w:spacing w:val="-16"/>
          <w:w w:val="110"/>
        </w:rPr>
        <w:t> </w:t>
      </w:r>
      <w:r>
        <w:rPr>
          <w:w w:val="110"/>
        </w:rPr>
        <w:t>recovering</w:t>
      </w:r>
      <w:r>
        <w:rPr>
          <w:spacing w:val="-16"/>
          <w:w w:val="110"/>
        </w:rPr>
        <w:t> </w:t>
      </w:r>
      <w:r>
        <w:rPr>
          <w:spacing w:val="-3"/>
          <w:w w:val="110"/>
        </w:rPr>
        <w:t>towards</w:t>
      </w:r>
      <w:r>
        <w:rPr>
          <w:spacing w:val="-15"/>
          <w:w w:val="110"/>
        </w:rPr>
        <w:t> </w:t>
      </w:r>
      <w:r>
        <w:rPr>
          <w:w w:val="110"/>
        </w:rPr>
        <w:t>the</w:t>
      </w:r>
      <w:r>
        <w:rPr>
          <w:spacing w:val="-16"/>
          <w:w w:val="110"/>
        </w:rPr>
        <w:t> </w:t>
      </w:r>
      <w:r>
        <w:rPr>
          <w:w w:val="110"/>
        </w:rPr>
        <w:t>end</w:t>
      </w:r>
      <w:r>
        <w:rPr>
          <w:spacing w:val="-15"/>
          <w:w w:val="110"/>
        </w:rPr>
        <w:t> </w:t>
      </w:r>
      <w:r>
        <w:rPr>
          <w:w w:val="110"/>
        </w:rPr>
        <w:t>of</w:t>
      </w:r>
      <w:r>
        <w:rPr>
          <w:spacing w:val="-16"/>
          <w:w w:val="110"/>
        </w:rPr>
        <w:t> </w:t>
      </w:r>
      <w:r>
        <w:rPr>
          <w:w w:val="110"/>
        </w:rPr>
        <w:t>the</w:t>
      </w:r>
      <w:r>
        <w:rPr>
          <w:spacing w:val="-15"/>
          <w:w w:val="110"/>
        </w:rPr>
        <w:t> </w:t>
      </w:r>
      <w:r>
        <w:rPr>
          <w:w w:val="110"/>
        </w:rPr>
        <w:t>forecast</w:t>
      </w:r>
      <w:r>
        <w:rPr>
          <w:spacing w:val="-16"/>
          <w:w w:val="110"/>
        </w:rPr>
        <w:t> </w:t>
      </w:r>
      <w:r>
        <w:rPr>
          <w:w w:val="110"/>
        </w:rPr>
        <w:t>period.</w:t>
      </w:r>
      <w:r>
        <w:rPr>
          <w:spacing w:val="25"/>
          <w:w w:val="110"/>
        </w:rPr>
        <w:t> </w:t>
      </w:r>
      <w:r>
        <w:rPr>
          <w:w w:val="110"/>
        </w:rPr>
        <w:t>But</w:t>
      </w:r>
    </w:p>
    <w:p>
      <w:pPr>
        <w:spacing w:after="0" w:line="292" w:lineRule="auto"/>
        <w:sectPr>
          <w:type w:val="continuous"/>
          <w:pgSz w:w="11900" w:h="16840"/>
          <w:pgMar w:top="1260" w:bottom="280" w:left="640" w:right="640"/>
          <w:cols w:num="2" w:equalWidth="0">
            <w:col w:w="3757" w:space="1172"/>
            <w:col w:w="5691"/>
          </w:cols>
        </w:sectPr>
      </w:pPr>
    </w:p>
    <w:p>
      <w:pPr>
        <w:pStyle w:val="BodyText"/>
      </w:pPr>
    </w:p>
    <w:p>
      <w:pPr>
        <w:spacing w:after="0"/>
        <w:sectPr>
          <w:pgSz w:w="11900" w:h="16840"/>
          <w:pgMar w:header="601" w:footer="575" w:top="800" w:bottom="760" w:left="640" w:right="640"/>
        </w:sectPr>
      </w:pPr>
    </w:p>
    <w:p>
      <w:pPr>
        <w:pStyle w:val="BodyText"/>
        <w:spacing w:before="10"/>
        <w:rPr>
          <w:sz w:val="22"/>
        </w:rPr>
      </w:pPr>
    </w:p>
    <w:p>
      <w:pPr>
        <w:pStyle w:val="Heading6"/>
        <w:ind w:left="176"/>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8"/>
        </w:rPr>
        <w:t>2.22</w:t>
      </w:r>
    </w:p>
    <w:p>
      <w:pPr>
        <w:spacing w:before="8"/>
        <w:ind w:left="176" w:right="0" w:firstLine="0"/>
        <w:jc w:val="left"/>
        <w:rPr>
          <w:sz w:val="12"/>
        </w:rPr>
      </w:pPr>
      <w:r>
        <w:rPr>
          <w:rFonts w:ascii="Trebuchet MS"/>
          <w:b/>
          <w:color w:val="89C6DC"/>
          <w:w w:val="95"/>
          <w:sz w:val="20"/>
        </w:rPr>
        <w:t>CIPS construction</w:t>
      </w:r>
      <w:r>
        <w:rPr>
          <w:rFonts w:ascii="Trebuchet MS"/>
          <w:b/>
          <w:color w:val="89C6DC"/>
          <w:spacing w:val="-47"/>
          <w:w w:val="95"/>
          <w:sz w:val="20"/>
        </w:rPr>
        <w:t> </w:t>
      </w:r>
      <w:r>
        <w:rPr>
          <w:rFonts w:ascii="Trebuchet MS"/>
          <w:b/>
          <w:color w:val="89C6DC"/>
          <w:w w:val="95"/>
          <w:sz w:val="20"/>
        </w:rPr>
        <w:t>survey</w:t>
      </w:r>
      <w:r>
        <w:rPr>
          <w:w w:val="95"/>
          <w:position w:val="4"/>
          <w:sz w:val="12"/>
        </w:rPr>
        <w:t>(a)</w:t>
      </w:r>
    </w:p>
    <w:p>
      <w:pPr>
        <w:pStyle w:val="BodyText"/>
        <w:spacing w:before="4" w:after="40"/>
        <w:rPr>
          <w:sz w:val="14"/>
        </w:rPr>
      </w:pPr>
    </w:p>
    <w:p>
      <w:pPr>
        <w:pStyle w:val="BodyText"/>
        <w:spacing w:line="20" w:lineRule="exact"/>
        <w:ind w:left="214"/>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4"/>
        <w:rPr>
          <w:sz w:val="26"/>
        </w:rPr>
      </w:pPr>
      <w:r>
        <w:rPr/>
        <w:pict>
          <v:shape style="position:absolute;margin-left:42.965pt;margin-top:17.375pt;width:4.350pt;height:.1pt;mso-position-horizontal-relative:page;mso-position-vertical-relative:paragraph;z-index:-15357952;mso-wrap-distance-left:0;mso-wrap-distance-right:0" coordorigin="859,348" coordsize="87,0" path="m859,348l946,348e" filled="false" stroked="true" strokeweight=".5pt" strokecolor="#000000">
            <v:path arrowok="t"/>
            <v:stroke dashstyle="solid"/>
            <w10:wrap type="topAndBottom"/>
          </v:shape>
        </w:pict>
      </w:r>
      <w:r>
        <w:rPr/>
        <w:pict>
          <v:shape style="position:absolute;margin-left:42.965pt;margin-top:35.5pt;width:4.350pt;height:.1pt;mso-position-horizontal-relative:page;mso-position-vertical-relative:paragraph;z-index:-15357440;mso-wrap-distance-left:0;mso-wrap-distance-right:0" coordorigin="859,710" coordsize="87,0" path="m859,710l946,710e" filled="false" stroked="true" strokeweight=".5pt" strokecolor="#000000">
            <v:path arrowok="t"/>
            <v:stroke dashstyle="solid"/>
            <w10:wrap type="topAndBottom"/>
          </v:shape>
        </w:pict>
      </w:r>
      <w:r>
        <w:rPr/>
        <w:pict>
          <v:shape style="position:absolute;margin-left:42.965pt;margin-top:53.625pt;width:4.350pt;height:.1pt;mso-position-horizontal-relative:page;mso-position-vertical-relative:paragraph;z-index:-15356928;mso-wrap-distance-left:0;mso-wrap-distance-right:0" coordorigin="859,1073" coordsize="87,0" path="m859,1073l946,1073e" filled="false" stroked="true" strokeweight=".5pt" strokecolor="#000000">
            <v:path arrowok="t"/>
            <v:stroke dashstyle="solid"/>
            <w10:wrap type="topAndBottom"/>
          </v:shape>
        </w:pict>
      </w:r>
      <w:r>
        <w:rPr/>
        <w:pict>
          <v:shape style="position:absolute;margin-left:42.965pt;margin-top:71.75pt;width:4.350pt;height:.1pt;mso-position-horizontal-relative:page;mso-position-vertical-relative:paragraph;z-index:-15356416;mso-wrap-distance-left:0;mso-wrap-distance-right:0" coordorigin="859,1435" coordsize="87,0" path="m859,1435l946,1435e" filled="false" stroked="true" strokeweight=".5pt" strokecolor="#000000">
            <v:path arrowok="t"/>
            <v:stroke dashstyle="solid"/>
            <w10:wrap type="topAndBottom"/>
          </v:shape>
        </w:pict>
      </w:r>
      <w:r>
        <w:rPr/>
        <w:pict>
          <v:shape style="position:absolute;margin-left:42.965pt;margin-top:89.875pt;width:4.350pt;height:.1pt;mso-position-horizontal-relative:page;mso-position-vertical-relative:paragraph;z-index:-15355904;mso-wrap-distance-left:0;mso-wrap-distance-right:0" coordorigin="859,1798" coordsize="87,0" path="m859,1798l946,1798e" filled="false" stroked="true" strokeweight=".5pt" strokecolor="#000000">
            <v:path arrowok="t"/>
            <v:stroke dashstyle="solid"/>
            <w10:wrap type="topAndBottom"/>
          </v:shape>
        </w:pict>
      </w:r>
      <w:r>
        <w:rPr/>
        <w:pict>
          <v:shape style="position:absolute;margin-left:42.965pt;margin-top:108pt;width:4.350pt;height:.1pt;mso-position-horizontal-relative:page;mso-position-vertical-relative:paragraph;z-index:-15355392;mso-wrap-distance-left:0;mso-wrap-distance-right:0" coordorigin="859,2160" coordsize="87,0" path="m859,2160l946,2160e" filled="false" stroked="true" strokeweight=".5pt" strokecolor="#000000">
            <v:path arrowok="t"/>
            <v:stroke dashstyle="solid"/>
            <w10:wrap type="topAndBottom"/>
          </v:shape>
        </w:pict>
      </w:r>
      <w:r>
        <w:rPr/>
        <w:pict>
          <v:shape style="position:absolute;margin-left:42.965pt;margin-top:126.125pt;width:4.350pt;height:.1pt;mso-position-horizontal-relative:page;mso-position-vertical-relative:paragraph;z-index:-15354880;mso-wrap-distance-left:0;mso-wrap-distance-right:0" coordorigin="859,2523" coordsize="87,0" path="m859,2523l946,2523e" filled="false" stroked="true" strokeweight=".5pt" strokecolor="#000000">
            <v:path arrowok="t"/>
            <v:stroke dashstyle="solid"/>
            <w10:wrap type="topAndBottom"/>
          </v:shape>
        </w:pict>
      </w:r>
    </w:p>
    <w:p>
      <w:pPr>
        <w:pStyle w:val="BodyText"/>
        <w:spacing w:before="8"/>
        <w:rPr>
          <w:sz w:val="24"/>
        </w:rPr>
      </w:pPr>
    </w:p>
    <w:p>
      <w:pPr>
        <w:pStyle w:val="BodyText"/>
        <w:spacing w:before="8"/>
        <w:rPr>
          <w:sz w:val="24"/>
        </w:rPr>
      </w:pPr>
    </w:p>
    <w:p>
      <w:pPr>
        <w:pStyle w:val="BodyText"/>
        <w:spacing w:before="8"/>
        <w:rPr>
          <w:sz w:val="24"/>
        </w:rPr>
      </w:pPr>
    </w:p>
    <w:p>
      <w:pPr>
        <w:pStyle w:val="BodyText"/>
        <w:spacing w:before="8"/>
        <w:rPr>
          <w:sz w:val="24"/>
        </w:rPr>
      </w:pPr>
    </w:p>
    <w:p>
      <w:pPr>
        <w:pStyle w:val="BodyText"/>
        <w:spacing w:before="8"/>
        <w:rPr>
          <w:sz w:val="24"/>
        </w:rPr>
      </w:pPr>
    </w:p>
    <w:p>
      <w:pPr>
        <w:pStyle w:val="BodyText"/>
        <w:spacing w:before="8"/>
        <w:rPr>
          <w:sz w:val="24"/>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5" w:lineRule="exact" w:before="97"/>
        <w:ind w:left="176" w:right="0" w:firstLine="0"/>
        <w:jc w:val="left"/>
        <w:rPr>
          <w:sz w:val="12"/>
        </w:rPr>
      </w:pPr>
      <w:r>
        <w:rPr>
          <w:w w:val="105"/>
          <w:sz w:val="12"/>
        </w:rPr>
        <w:t>Index</w:t>
      </w:r>
    </w:p>
    <w:p>
      <w:pPr>
        <w:spacing w:line="115" w:lineRule="exact" w:before="0"/>
        <w:ind w:left="500" w:right="0" w:firstLine="0"/>
        <w:jc w:val="left"/>
        <w:rPr>
          <w:sz w:val="12"/>
        </w:rPr>
      </w:pPr>
      <w:r>
        <w:rPr/>
        <w:pict>
          <v:group style="position:absolute;margin-left:51.299999pt;margin-top:10.349729pt;width:153.050pt;height:110.15pt;mso-position-horizontal-relative:page;mso-position-vertical-relative:paragraph;z-index:16104960" coordorigin="1026,207" coordsize="3061,2203">
            <v:line style="position:absolute" from="1030,2216" to="3917,2216" stroked="true" strokeweight=".5pt" strokecolor="#000000">
              <v:stroke dashstyle="dash"/>
            </v:line>
            <v:shape style="position:absolute;left:1036;top:1219;width:1085;height:1100" coordorigin="1036,1219" coordsize="1085,1100" path="m1036,2319l1158,2049m1158,2049l1281,1824m1281,1824l1401,1572m1401,1572l1523,1317m1523,1317l1633,1219m1633,1219l1756,1332m1756,1332l1876,1474m1876,1474l1998,1572m1998,1572l2121,1649e" filled="false" stroked="true" strokeweight="1pt" strokecolor="#de0035">
              <v:path arrowok="t"/>
              <v:stroke dashstyle="solid"/>
            </v:shape>
            <v:line style="position:absolute" from="2111,1651" to="2251,1651" stroked="true" strokeweight="1.125pt" strokecolor="#de0035">
              <v:stroke dashstyle="solid"/>
            </v:line>
            <v:shape style="position:absolute;left:2241;top:1269;width:1683;height:635" coordorigin="2241,1269" coordsize="1683,635" path="m2241,1649l2363,1619m2363,1619l2486,1492m2486,1492l2596,1299m2596,1299l2716,1269m2716,1269l2838,1364m2838,1364l2961,1397m2961,1397l3081,1474m3081,1474l3203,1587m3203,1587l3326,1634m3326,1634l3448,1572m3448,1572l3556,1809m3556,1809l3678,1904m3678,1904l3801,1729m3801,1729l3923,1667e" filled="false" stroked="true" strokeweight="1pt" strokecolor="#de0035">
              <v:path arrowok="t"/>
              <v:stroke dashstyle="solid"/>
            </v:shape>
            <v:shape style="position:absolute;left:1036;top:934;width:2888;height:1465" coordorigin="1036,934" coordsize="2888,1465" path="m1036,2399l1158,1809m1158,1809l1281,1444m1281,1444l1401,1204m1401,1204l1523,949m1523,949l1633,934m1633,934l1756,1029m1756,1029l1876,1077m1876,1077l1998,1252m1998,1252l2121,1347m2121,1347l2241,1252m2241,1252l2363,1347m2363,1347l2486,1459m2486,1459l2596,1252m2596,1252l2716,1014m2716,1014l2838,1077m2838,1077l2961,1252m2961,1252l3081,1492m3081,1492l3203,1699m3203,1699l3326,1842m3326,1842l3448,1824m3448,1824l3556,1969m3556,1969l3678,2207m3678,2207l3801,1874m3801,1874l3923,1649e" filled="false" stroked="true" strokeweight="1pt" strokecolor="#008360">
              <v:path arrowok="t"/>
              <v:stroke dashstyle="solid"/>
            </v:shape>
            <v:shape style="position:absolute;left:1036;top:217;width:2888;height:670" coordorigin="1036,217" coordsize="2888,670" path="m1036,759l1158,869m1158,869l1281,822m1281,822l1401,567m1401,567l1523,457m1523,457l1633,217m1633,217l1756,679m1756,679l1876,314m1876,314l2121,694m2121,694l2241,504m2241,504l2363,742m2363,742l2486,599m2486,599l2596,887m2596,887l2716,792m2716,792l2838,679m2838,679l2961,614m2961,614l3081,679m3081,679l3203,599m3203,599l3326,742m3326,742l3448,869m3448,869l3556,664m3556,664l3678,679m3678,679l3801,282m3801,282l3923,329e" filled="false" stroked="true" strokeweight="1pt" strokecolor="#0099d9">
              <v:path arrowok="t"/>
              <v:stroke dashstyle="solid"/>
            </v:shape>
            <v:shape style="position:absolute;left:3999;top:403;width:87;height:1450" coordorigin="4000,404" coordsize="87,1450" path="m4000,404l4087,404m4000,766l4087,766m4000,1129l4087,1129m4000,1491l4087,1491m4000,1854l4087,1854e" filled="false" stroked="true" strokeweight=".5pt" strokecolor="#000000">
              <v:path arrowok="t"/>
              <v:stroke dashstyle="solid"/>
            </v:shape>
            <v:shape style="position:absolute;left:1951;top:276;width:1417;height:121" type="#_x0000_t202" filled="false" stroked="false">
              <v:textbox inset="0,0,0,0">
                <w:txbxContent>
                  <w:p>
                    <w:pPr>
                      <w:spacing w:line="115" w:lineRule="exact" w:before="0"/>
                      <w:ind w:left="0" w:right="0" w:firstLine="0"/>
                      <w:jc w:val="left"/>
                      <w:rPr>
                        <w:sz w:val="12"/>
                      </w:rPr>
                    </w:pPr>
                    <w:r>
                      <w:rPr>
                        <w:w w:val="105"/>
                        <w:sz w:val="12"/>
                      </w:rPr>
                      <w:t>Future business activity (b)</w:t>
                    </w:r>
                  </w:p>
                </w:txbxContent>
              </v:textbox>
              <w10:wrap type="none"/>
            </v:shape>
            <v:shape style="position:absolute;left:2933;top:1069;width:455;height:121" type="#_x0000_t202" filled="false" stroked="false">
              <v:textbox inset="0,0,0,0">
                <w:txbxContent>
                  <w:p>
                    <w:pPr>
                      <w:spacing w:line="115" w:lineRule="exact" w:before="0"/>
                      <w:ind w:left="0" w:right="0" w:firstLine="0"/>
                      <w:jc w:val="left"/>
                      <w:rPr>
                        <w:sz w:val="12"/>
                      </w:rPr>
                    </w:pPr>
                    <w:r>
                      <w:rPr>
                        <w:w w:val="105"/>
                        <w:sz w:val="12"/>
                      </w:rPr>
                      <w:t>Housing</w:t>
                    </w:r>
                  </w:p>
                </w:txbxContent>
              </v:textbox>
              <w10:wrap type="none"/>
            </v:shape>
            <v:shape style="position:absolute;left:1029;top:1818;width:2908;height:470" type="#_x0000_t202" filled="false" stroked="false">
              <v:textbox inset="0,0,0,0">
                <w:txbxContent>
                  <w:p>
                    <w:pPr>
                      <w:spacing w:line="115" w:lineRule="exact" w:before="0"/>
                      <w:ind w:left="295" w:right="0" w:firstLine="0"/>
                      <w:jc w:val="left"/>
                      <w:rPr>
                        <w:sz w:val="12"/>
                      </w:rPr>
                    </w:pPr>
                    <w:r>
                      <w:rPr>
                        <w:w w:val="110"/>
                        <w:sz w:val="12"/>
                      </w:rPr>
                      <w:t>Total construction activity</w:t>
                    </w:r>
                  </w:p>
                  <w:p>
                    <w:pPr>
                      <w:spacing w:line="240" w:lineRule="auto" w:before="0"/>
                      <w:rPr>
                        <w:sz w:val="12"/>
                      </w:rPr>
                    </w:pPr>
                  </w:p>
                  <w:p>
                    <w:pPr>
                      <w:tabs>
                        <w:tab w:pos="2887" w:val="left" w:leader="none"/>
                      </w:tabs>
                      <w:spacing w:before="78"/>
                      <w:ind w:left="0" w:right="0" w:firstLine="0"/>
                      <w:jc w:val="left"/>
                      <w:rPr>
                        <w:sz w:val="12"/>
                      </w:rPr>
                    </w:pPr>
                    <w:r>
                      <w:rPr>
                        <w:sz w:val="12"/>
                      </w:rPr>
                      <w:t> </w:t>
                      <w:tab/>
                    </w:r>
                  </w:p>
                </w:txbxContent>
              </v:textbox>
              <w10:wrap type="none"/>
            </v:shape>
            <w10:wrap type="none"/>
          </v:group>
        </w:pict>
      </w:r>
      <w:r>
        <w:rPr/>
        <w:pict>
          <v:line style="position:absolute;mso-position-horizontal-relative:page;mso-position-vertical-relative:paragraph;z-index:16107008" from="199.998993pt,2.073729pt" to="204.330993pt,2.073729pt" stroked="true" strokeweight=".5pt" strokecolor="#000000">
            <v:stroke dashstyle="solid"/>
            <w10:wrap type="none"/>
          </v:line>
        </w:pict>
      </w:r>
      <w:r>
        <w:rPr>
          <w:w w:val="120"/>
          <w:sz w:val="12"/>
        </w:rPr>
        <w:t>80</w:t>
      </w:r>
    </w:p>
    <w:p>
      <w:pPr>
        <w:pStyle w:val="BodyText"/>
        <w:rPr>
          <w:sz w:val="12"/>
        </w:rPr>
      </w:pPr>
    </w:p>
    <w:p>
      <w:pPr>
        <w:spacing w:before="87"/>
        <w:ind w:left="0" w:right="38" w:firstLine="0"/>
        <w:jc w:val="right"/>
        <w:rPr>
          <w:sz w:val="12"/>
        </w:rPr>
      </w:pPr>
      <w:r>
        <w:rPr>
          <w:w w:val="120"/>
          <w:sz w:val="12"/>
        </w:rPr>
        <w:t>75</w:t>
      </w:r>
    </w:p>
    <w:p>
      <w:pPr>
        <w:pStyle w:val="BodyText"/>
        <w:rPr>
          <w:sz w:val="12"/>
        </w:rPr>
      </w:pPr>
    </w:p>
    <w:p>
      <w:pPr>
        <w:spacing w:before="86"/>
        <w:ind w:left="0" w:right="38" w:firstLine="0"/>
        <w:jc w:val="right"/>
        <w:rPr>
          <w:sz w:val="12"/>
        </w:rPr>
      </w:pPr>
      <w:r>
        <w:rPr>
          <w:w w:val="120"/>
          <w:sz w:val="12"/>
        </w:rPr>
        <w:t>70</w:t>
      </w:r>
    </w:p>
    <w:p>
      <w:pPr>
        <w:pStyle w:val="BodyText"/>
        <w:rPr>
          <w:sz w:val="12"/>
        </w:rPr>
      </w:pPr>
    </w:p>
    <w:p>
      <w:pPr>
        <w:spacing w:before="86"/>
        <w:ind w:left="0" w:right="38" w:firstLine="0"/>
        <w:jc w:val="right"/>
        <w:rPr>
          <w:sz w:val="12"/>
        </w:rPr>
      </w:pPr>
      <w:r>
        <w:rPr>
          <w:w w:val="120"/>
          <w:sz w:val="12"/>
        </w:rPr>
        <w:t>65</w:t>
      </w:r>
    </w:p>
    <w:p>
      <w:pPr>
        <w:pStyle w:val="BodyText"/>
        <w:rPr>
          <w:sz w:val="12"/>
        </w:rPr>
      </w:pPr>
    </w:p>
    <w:p>
      <w:pPr>
        <w:spacing w:before="86"/>
        <w:ind w:left="0" w:right="38" w:firstLine="0"/>
        <w:jc w:val="right"/>
        <w:rPr>
          <w:sz w:val="12"/>
        </w:rPr>
      </w:pPr>
      <w:r>
        <w:rPr>
          <w:w w:val="120"/>
          <w:sz w:val="12"/>
        </w:rPr>
        <w:t>60</w:t>
      </w:r>
    </w:p>
    <w:p>
      <w:pPr>
        <w:pStyle w:val="BodyText"/>
        <w:rPr>
          <w:sz w:val="12"/>
        </w:rPr>
      </w:pPr>
    </w:p>
    <w:p>
      <w:pPr>
        <w:spacing w:before="86"/>
        <w:ind w:left="0" w:right="38" w:firstLine="0"/>
        <w:jc w:val="right"/>
        <w:rPr>
          <w:sz w:val="12"/>
        </w:rPr>
      </w:pPr>
      <w:r>
        <w:rPr>
          <w:w w:val="120"/>
          <w:sz w:val="12"/>
        </w:rPr>
        <w:t>55</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6105472" from="199.998993pt,7.643944pt" to="204.330993pt,7.643944pt" stroked="true" strokeweight=".5pt" strokecolor="#000000">
            <v:stroke dashstyle="solid"/>
            <w10:wrap type="none"/>
          </v:line>
        </w:pict>
      </w:r>
      <w:r>
        <w:rPr>
          <w:w w:val="120"/>
          <w:sz w:val="12"/>
        </w:rPr>
        <w:t>50</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105984" from="199.998993pt,7.609752pt" to="204.330993pt,7.609752pt" stroked="true" strokeweight=".5pt" strokecolor="#000000">
            <v:stroke dashstyle="solid"/>
            <w10:wrap type="none"/>
          </v:line>
        </w:pict>
      </w:r>
      <w:r>
        <w:rPr>
          <w:w w:val="120"/>
          <w:sz w:val="12"/>
        </w:rPr>
        <w:t>45</w:t>
      </w:r>
    </w:p>
    <w:p>
      <w:pPr>
        <w:pStyle w:val="BodyText"/>
        <w:spacing w:before="6"/>
        <w:rPr>
          <w:sz w:val="19"/>
        </w:rPr>
      </w:pPr>
      <w:r>
        <w:rPr/>
        <w:br w:type="column"/>
      </w:r>
      <w:r>
        <w:rPr>
          <w:sz w:val="19"/>
        </w:rPr>
      </w:r>
    </w:p>
    <w:p>
      <w:pPr>
        <w:pStyle w:val="BodyText"/>
        <w:spacing w:line="292" w:lineRule="auto" w:before="1"/>
        <w:ind w:left="176" w:right="275"/>
      </w:pPr>
      <w:r>
        <w:rPr>
          <w:w w:val="110"/>
        </w:rPr>
        <w:t>the risks </w:t>
      </w:r>
      <w:r>
        <w:rPr>
          <w:spacing w:val="-4"/>
          <w:w w:val="110"/>
        </w:rPr>
        <w:t>to </w:t>
      </w:r>
      <w:r>
        <w:rPr>
          <w:w w:val="110"/>
        </w:rPr>
        <w:t>both consumption and </w:t>
      </w:r>
      <w:r>
        <w:rPr>
          <w:spacing w:val="-3"/>
          <w:w w:val="110"/>
        </w:rPr>
        <w:t>investment </w:t>
      </w:r>
      <w:r>
        <w:rPr>
          <w:w w:val="110"/>
        </w:rPr>
        <w:t>are seen as being on the downside.</w:t>
      </w:r>
    </w:p>
    <w:p>
      <w:pPr>
        <w:pStyle w:val="BodyText"/>
        <w:rPr>
          <w:sz w:val="19"/>
        </w:rPr>
      </w:pPr>
    </w:p>
    <w:p>
      <w:pPr>
        <w:pStyle w:val="BodyText"/>
        <w:spacing w:line="292" w:lineRule="auto"/>
        <w:ind w:left="176" w:right="275"/>
      </w:pPr>
      <w:r>
        <w:rPr>
          <w:spacing w:val="-4"/>
          <w:w w:val="105"/>
        </w:rPr>
        <w:t>World </w:t>
      </w:r>
      <w:r>
        <w:rPr>
          <w:w w:val="105"/>
        </w:rPr>
        <w:t>demand is </w:t>
      </w:r>
      <w:r>
        <w:rPr>
          <w:spacing w:val="-3"/>
          <w:w w:val="105"/>
        </w:rPr>
        <w:t>projected </w:t>
      </w:r>
      <w:r>
        <w:rPr>
          <w:spacing w:val="-4"/>
          <w:w w:val="105"/>
        </w:rPr>
        <w:t>to </w:t>
      </w:r>
      <w:r>
        <w:rPr>
          <w:w w:val="105"/>
        </w:rPr>
        <w:t>be </w:t>
      </w:r>
      <w:r>
        <w:rPr>
          <w:spacing w:val="-3"/>
          <w:w w:val="105"/>
        </w:rPr>
        <w:t>weaker </w:t>
      </w:r>
      <w:r>
        <w:rPr>
          <w:w w:val="105"/>
        </w:rPr>
        <w:t>than assumed in </w:t>
      </w:r>
      <w:r>
        <w:rPr>
          <w:spacing w:val="-3"/>
          <w:w w:val="105"/>
        </w:rPr>
        <w:t>November, </w:t>
      </w:r>
      <w:r>
        <w:rPr>
          <w:w w:val="105"/>
        </w:rPr>
        <w:t>principally reflecting developments in the United </w:t>
      </w:r>
      <w:r>
        <w:rPr>
          <w:spacing w:val="-3"/>
          <w:w w:val="105"/>
        </w:rPr>
        <w:t>States, </w:t>
      </w:r>
      <w:r>
        <w:rPr>
          <w:w w:val="105"/>
        </w:rPr>
        <w:t>so growth in UK export markets is likely </w:t>
      </w:r>
      <w:r>
        <w:rPr>
          <w:spacing w:val="-4"/>
          <w:w w:val="105"/>
        </w:rPr>
        <w:t>to </w:t>
      </w:r>
      <w:r>
        <w:rPr>
          <w:w w:val="105"/>
        </w:rPr>
        <w:t>be slower than expected in the November </w:t>
      </w:r>
      <w:r>
        <w:rPr>
          <w:i/>
          <w:w w:val="105"/>
        </w:rPr>
        <w:t>Report</w:t>
      </w:r>
      <w:r>
        <w:rPr>
          <w:w w:val="105"/>
        </w:rPr>
        <w:t>. The US economy is </w:t>
      </w:r>
      <w:r>
        <w:rPr>
          <w:spacing w:val="-3"/>
          <w:w w:val="105"/>
        </w:rPr>
        <w:t>expected </w:t>
      </w:r>
      <w:r>
        <w:rPr>
          <w:spacing w:val="-4"/>
          <w:w w:val="105"/>
        </w:rPr>
        <w:t>to </w:t>
      </w:r>
      <w:r>
        <w:rPr>
          <w:spacing w:val="-3"/>
          <w:w w:val="105"/>
        </w:rPr>
        <w:t>recover </w:t>
      </w:r>
      <w:r>
        <w:rPr>
          <w:w w:val="105"/>
        </w:rPr>
        <w:t>relatively </w:t>
      </w:r>
      <w:r>
        <w:rPr>
          <w:spacing w:val="-3"/>
          <w:w w:val="105"/>
        </w:rPr>
        <w:t>quickly, </w:t>
      </w:r>
      <w:r>
        <w:rPr>
          <w:w w:val="105"/>
        </w:rPr>
        <w:t>but the balance of risks </w:t>
      </w:r>
      <w:r>
        <w:rPr>
          <w:spacing w:val="-4"/>
          <w:w w:val="105"/>
        </w:rPr>
        <w:t>to </w:t>
      </w:r>
      <w:r>
        <w:rPr>
          <w:spacing w:val="-3"/>
          <w:w w:val="105"/>
        </w:rPr>
        <w:t>world </w:t>
      </w:r>
      <w:r>
        <w:rPr>
          <w:w w:val="105"/>
        </w:rPr>
        <w:t>activity lie firmly on the downside. So </w:t>
      </w:r>
      <w:r>
        <w:rPr>
          <w:spacing w:val="-5"/>
          <w:w w:val="105"/>
        </w:rPr>
        <w:t>near-term </w:t>
      </w:r>
      <w:r>
        <w:rPr>
          <w:w w:val="105"/>
        </w:rPr>
        <w:t>prospects for UK output have weakened since the November </w:t>
      </w:r>
      <w:r>
        <w:rPr>
          <w:i/>
          <w:w w:val="105"/>
        </w:rPr>
        <w:t>Report</w:t>
      </w:r>
      <w:r>
        <w:rPr>
          <w:w w:val="105"/>
        </w:rPr>
        <w:t>, and the MPC judges that the balance of risks is on the downside.</w:t>
      </w:r>
    </w:p>
    <w:p>
      <w:pPr>
        <w:spacing w:after="0" w:line="292" w:lineRule="auto"/>
        <w:sectPr>
          <w:type w:val="continuous"/>
          <w:pgSz w:w="11900" w:h="16840"/>
          <w:pgMar w:top="1260" w:bottom="280" w:left="640" w:right="640"/>
          <w:cols w:num="3" w:equalWidth="0">
            <w:col w:w="2482" w:space="502"/>
            <w:col w:w="687" w:space="1241"/>
            <w:col w:w="5708"/>
          </w:cols>
        </w:sectPr>
      </w:pPr>
    </w:p>
    <w:p>
      <w:pPr>
        <w:pStyle w:val="BodyText"/>
        <w:spacing w:before="9"/>
        <w:rPr>
          <w:sz w:val="12"/>
        </w:rPr>
      </w:pPr>
    </w:p>
    <w:p>
      <w:pPr>
        <w:spacing w:after="0"/>
        <w:rPr>
          <w:sz w:val="12"/>
        </w:rPr>
        <w:sectPr>
          <w:type w:val="continuous"/>
          <w:pgSz w:w="11900" w:h="16840"/>
          <w:pgMar w:top="1260" w:bottom="280" w:left="640" w:right="640"/>
        </w:sectPr>
      </w:pPr>
    </w:p>
    <w:p>
      <w:pPr>
        <w:pStyle w:val="BodyText"/>
        <w:spacing w:before="1"/>
        <w:rPr>
          <w:sz w:val="12"/>
        </w:rPr>
      </w:pPr>
    </w:p>
    <w:p>
      <w:pPr>
        <w:pStyle w:val="BodyText"/>
        <w:spacing w:line="20" w:lineRule="exact"/>
        <w:ind w:left="214"/>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p>
    <w:p>
      <w:pPr>
        <w:spacing w:before="91"/>
        <w:ind w:left="191" w:right="0" w:firstLine="0"/>
        <w:jc w:val="left"/>
        <w:rPr>
          <w:sz w:val="12"/>
        </w:rPr>
      </w:pPr>
      <w:r>
        <w:rPr>
          <w:sz w:val="12"/>
        </w:rPr>
        <w:t>Source: CIPS.</w:t>
      </w:r>
    </w:p>
    <w:p>
      <w:pPr>
        <w:spacing w:line="110" w:lineRule="exact" w:before="77"/>
        <w:ind w:left="2539" w:right="0" w:firstLine="0"/>
        <w:jc w:val="left"/>
        <w:rPr>
          <w:sz w:val="12"/>
        </w:rPr>
      </w:pPr>
      <w:r>
        <w:rPr/>
        <w:br w:type="column"/>
      </w:r>
      <w:r>
        <w:rPr>
          <w:w w:val="120"/>
          <w:sz w:val="12"/>
        </w:rPr>
        <w:t>40</w:t>
      </w:r>
    </w:p>
    <w:p>
      <w:pPr>
        <w:tabs>
          <w:tab w:pos="1483" w:val="left" w:leader="none"/>
          <w:tab w:pos="2258" w:val="left" w:leader="none"/>
        </w:tabs>
        <w:spacing w:line="110" w:lineRule="exact" w:before="0"/>
        <w:ind w:left="33" w:right="0" w:firstLine="0"/>
        <w:jc w:val="left"/>
        <w:rPr>
          <w:sz w:val="12"/>
        </w:rPr>
      </w:pPr>
      <w:r>
        <w:rPr/>
        <w:pict>
          <v:line style="position:absolute;mso-position-horizontal-relative:page;mso-position-vertical-relative:paragraph;z-index:16106496" from="199.998993pt,-2.178468pt" to="204.330993pt,-2.178468pt" stroked="true" strokeweight=".5pt" strokecolor="#000000">
            <v:stroke dashstyle="solid"/>
            <w10:wrap type="none"/>
          </v:line>
        </w:pict>
      </w:r>
      <w:r>
        <w:rPr/>
        <w:pict>
          <v:shape style="position:absolute;margin-left:51.814999pt;margin-top:-7.970468pt;width:144.450pt;height:5.8pt;mso-position-horizontal-relative:page;mso-position-vertical-relative:paragraph;z-index:16107520" coordorigin="1036,-159" coordsize="2889,116" path="m1036,-44l3924,-44m1038,-159l1038,-44m1278,-90l1278,-44m1519,-90l1519,-44m1639,-90l1639,-44m1759,-90l1759,-44m1879,-90l1879,-44m2120,-90l2120,-44m2000,-90l2000,-44m2240,-90l2240,-44m2360,-90l2360,-44m1158,-90l1158,-44m1398,-90l1398,-44m2481,-159l2481,-44m2721,-90l2721,-44m2961,-90l2961,-44m3082,-90l3082,-44m3202,-90l3202,-44m3322,-90l3322,-44m3563,-90l3563,-44m3442,-90l3442,-44m3683,-90l3683,-44m3803,-90l3803,-44m2601,-90l2601,-44m2841,-90l2841,-44m3923,-159l3923,-44e" filled="false" stroked="true" strokeweight=".5pt" strokecolor="#000000">
            <v:path arrowok="t"/>
            <v:stroke dashstyle="solid"/>
            <w10:wrap type="none"/>
          </v:shape>
        </w:pict>
      </w:r>
      <w:r>
        <w:rPr>
          <w:w w:val="120"/>
          <w:sz w:val="12"/>
        </w:rPr>
        <w:t>1999</w:t>
        <w:tab/>
        <w:t>2000</w:t>
        <w:tab/>
        <w:t>01</w:t>
      </w:r>
    </w:p>
    <w:p>
      <w:pPr>
        <w:spacing w:after="0" w:line="110" w:lineRule="exact"/>
        <w:jc w:val="left"/>
        <w:rPr>
          <w:sz w:val="12"/>
        </w:rPr>
        <w:sectPr>
          <w:type w:val="continuous"/>
          <w:pgSz w:w="11900" w:h="16840"/>
          <w:pgMar w:top="1260" w:bottom="280" w:left="640" w:right="640"/>
          <w:cols w:num="2" w:equalWidth="0">
            <w:col w:w="906" w:space="40"/>
            <w:col w:w="9674"/>
          </w:cols>
        </w:sectPr>
      </w:pPr>
    </w:p>
    <w:p>
      <w:pPr>
        <w:pStyle w:val="BodyText"/>
        <w:spacing w:before="2"/>
        <w:rPr>
          <w:sz w:val="10"/>
        </w:rPr>
      </w:pPr>
    </w:p>
    <w:p>
      <w:pPr>
        <w:pStyle w:val="ListParagraph"/>
        <w:numPr>
          <w:ilvl w:val="0"/>
          <w:numId w:val="18"/>
        </w:numPr>
        <w:tabs>
          <w:tab w:pos="432" w:val="left" w:leader="none"/>
        </w:tabs>
        <w:spacing w:line="208" w:lineRule="auto" w:before="0" w:after="0"/>
        <w:ind w:left="431" w:right="7327" w:hanging="240"/>
        <w:jc w:val="left"/>
        <w:rPr>
          <w:sz w:val="12"/>
        </w:rPr>
      </w:pPr>
      <w:r>
        <w:rPr>
          <w:w w:val="105"/>
          <w:sz w:val="12"/>
        </w:rPr>
        <w:t>A reading above </w:t>
      </w:r>
      <w:r>
        <w:rPr>
          <w:spacing w:val="-5"/>
          <w:w w:val="105"/>
          <w:sz w:val="12"/>
        </w:rPr>
        <w:t>50 </w:t>
      </w:r>
      <w:r>
        <w:rPr>
          <w:w w:val="105"/>
          <w:sz w:val="12"/>
        </w:rPr>
        <w:t>suggests expansion, a reading below </w:t>
      </w:r>
      <w:r>
        <w:rPr>
          <w:spacing w:val="-5"/>
          <w:w w:val="105"/>
          <w:sz w:val="12"/>
        </w:rPr>
        <w:t>50 </w:t>
      </w:r>
      <w:r>
        <w:rPr>
          <w:w w:val="105"/>
          <w:sz w:val="12"/>
        </w:rPr>
        <w:t>suggests</w:t>
      </w:r>
      <w:r>
        <w:rPr>
          <w:spacing w:val="3"/>
          <w:w w:val="105"/>
          <w:sz w:val="12"/>
        </w:rPr>
        <w:t> </w:t>
      </w:r>
      <w:r>
        <w:rPr>
          <w:w w:val="105"/>
          <w:sz w:val="12"/>
        </w:rPr>
        <w:t>contraction.</w:t>
      </w:r>
    </w:p>
    <w:p>
      <w:pPr>
        <w:pStyle w:val="ListParagraph"/>
        <w:numPr>
          <w:ilvl w:val="0"/>
          <w:numId w:val="18"/>
        </w:numPr>
        <w:tabs>
          <w:tab w:pos="432" w:val="left" w:leader="none"/>
        </w:tabs>
        <w:spacing w:line="123" w:lineRule="exact" w:before="0" w:after="0"/>
        <w:ind w:left="431" w:right="0" w:hanging="241"/>
        <w:jc w:val="left"/>
        <w:rPr>
          <w:sz w:val="12"/>
        </w:rPr>
      </w:pPr>
      <w:r>
        <w:rPr>
          <w:w w:val="110"/>
          <w:sz w:val="12"/>
        </w:rPr>
        <w:t>Not seasonally</w:t>
      </w:r>
      <w:r>
        <w:rPr>
          <w:spacing w:val="-7"/>
          <w:w w:val="110"/>
          <w:sz w:val="12"/>
        </w:rPr>
        <w:t> </w:t>
      </w:r>
      <w:r>
        <w:rPr>
          <w:w w:val="110"/>
          <w:sz w:val="12"/>
        </w:rPr>
        <w:t>adjusted.</w:t>
      </w:r>
    </w:p>
    <w:p>
      <w:pPr>
        <w:spacing w:after="0" w:line="123" w:lineRule="exact"/>
        <w:jc w:val="left"/>
        <w:rPr>
          <w:sz w:val="12"/>
        </w:rPr>
        <w:sectPr>
          <w:type w:val="continuous"/>
          <w:pgSz w:w="11900" w:h="16840"/>
          <w:pgMar w:top="1260" w:bottom="2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48736;mso-wrap-distance-left:0;mso-wrap-distance-right:0" type="#_x0000_t202" filled="true" fillcolor="#ebf4f7" stroked="false">
            <v:textbox inset="0,0,0,0">
              <w:txbxContent>
                <w:p>
                  <w:pPr>
                    <w:tabs>
                      <w:tab w:pos="10100" w:val="right" w:leader="none"/>
                    </w:tabs>
                    <w:spacing w:before="226"/>
                    <w:ind w:left="260" w:right="0" w:firstLine="0"/>
                    <w:jc w:val="left"/>
                    <w:rPr>
                      <w:rFonts w:ascii="Trebuchet MS"/>
                      <w:sz w:val="48"/>
                    </w:rPr>
                  </w:pPr>
                  <w:bookmarkStart w:name="The labour market" w:id="60"/>
                  <w:bookmarkEnd w:id="60"/>
                  <w:r>
                    <w:rPr/>
                  </w:r>
                  <w:bookmarkStart w:name="Employment and unemployment" w:id="61"/>
                  <w:bookmarkEnd w:id="61"/>
                  <w:r>
                    <w:rPr/>
                  </w:r>
                  <w:bookmarkStart w:name="_bookmark29" w:id="62"/>
                  <w:bookmarkEnd w:id="62"/>
                  <w:r>
                    <w:rPr/>
                  </w:r>
                  <w:bookmarkStart w:name="_bookmark30" w:id="63"/>
                  <w:bookmarkEnd w:id="63"/>
                  <w:r>
                    <w:rPr/>
                  </w:r>
                  <w:r>
                    <w:rPr>
                      <w:rFonts w:ascii="Trebuchet MS"/>
                      <w:color w:val="89C6DC"/>
                      <w:sz w:val="48"/>
                    </w:rPr>
                    <w:t>The</w:t>
                  </w:r>
                  <w:r>
                    <w:rPr>
                      <w:rFonts w:ascii="Trebuchet MS"/>
                      <w:color w:val="89C6DC"/>
                      <w:spacing w:val="8"/>
                      <w:sz w:val="48"/>
                    </w:rPr>
                    <w:t> </w:t>
                  </w:r>
                  <w:r>
                    <w:rPr>
                      <w:rFonts w:ascii="Trebuchet MS"/>
                      <w:color w:val="89C6DC"/>
                      <w:sz w:val="48"/>
                    </w:rPr>
                    <w:t>labour</w:t>
                  </w:r>
                  <w:r>
                    <w:rPr>
                      <w:rFonts w:ascii="Trebuchet MS"/>
                      <w:color w:val="89C6DC"/>
                      <w:spacing w:val="8"/>
                      <w:sz w:val="48"/>
                    </w:rPr>
                    <w:t> </w:t>
                  </w:r>
                  <w:r>
                    <w:rPr>
                      <w:rFonts w:ascii="Trebuchet MS"/>
                      <w:color w:val="89C6DC"/>
                      <w:sz w:val="48"/>
                    </w:rPr>
                    <w:t>market</w:t>
                    <w:tab/>
                    <w:t>3</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6"/>
        </w:rPr>
      </w:pPr>
    </w:p>
    <w:p>
      <w:pPr>
        <w:pStyle w:val="BodyText"/>
        <w:spacing w:line="292" w:lineRule="auto" w:before="62"/>
        <w:ind w:left="5091" w:right="397"/>
        <w:jc w:val="both"/>
      </w:pPr>
      <w:r>
        <w:rPr>
          <w:w w:val="110"/>
        </w:rPr>
        <w:t>Inflationary</w:t>
      </w:r>
      <w:r>
        <w:rPr>
          <w:spacing w:val="-23"/>
          <w:w w:val="110"/>
        </w:rPr>
        <w:t> </w:t>
      </w:r>
      <w:r>
        <w:rPr>
          <w:spacing w:val="-3"/>
          <w:w w:val="110"/>
        </w:rPr>
        <w:t>pressures</w:t>
      </w:r>
      <w:r>
        <w:rPr>
          <w:spacing w:val="-22"/>
          <w:w w:val="110"/>
        </w:rPr>
        <w:t> </w:t>
      </w:r>
      <w:r>
        <w:rPr>
          <w:w w:val="110"/>
        </w:rPr>
        <w:t>in</w:t>
      </w:r>
      <w:r>
        <w:rPr>
          <w:spacing w:val="-22"/>
          <w:w w:val="110"/>
        </w:rPr>
        <w:t> </w:t>
      </w:r>
      <w:r>
        <w:rPr>
          <w:w w:val="110"/>
        </w:rPr>
        <w:t>the</w:t>
      </w:r>
      <w:r>
        <w:rPr>
          <w:spacing w:val="-22"/>
          <w:w w:val="110"/>
        </w:rPr>
        <w:t> </w:t>
      </w:r>
      <w:r>
        <w:rPr>
          <w:w w:val="110"/>
        </w:rPr>
        <w:t>labour</w:t>
      </w:r>
      <w:r>
        <w:rPr>
          <w:spacing w:val="-22"/>
          <w:w w:val="110"/>
        </w:rPr>
        <w:t> </w:t>
      </w:r>
      <w:r>
        <w:rPr>
          <w:spacing w:val="-2"/>
          <w:w w:val="110"/>
        </w:rPr>
        <w:t>market</w:t>
      </w:r>
      <w:r>
        <w:rPr>
          <w:spacing w:val="-22"/>
          <w:w w:val="110"/>
        </w:rPr>
        <w:t> </w:t>
      </w:r>
      <w:r>
        <w:rPr>
          <w:w w:val="110"/>
        </w:rPr>
        <w:t>remain</w:t>
      </w:r>
      <w:r>
        <w:rPr>
          <w:spacing w:val="-23"/>
          <w:w w:val="110"/>
        </w:rPr>
        <w:t> </w:t>
      </w:r>
      <w:r>
        <w:rPr>
          <w:w w:val="110"/>
        </w:rPr>
        <w:t>relatively </w:t>
      </w:r>
      <w:r>
        <w:rPr>
          <w:spacing w:val="-3"/>
          <w:w w:val="110"/>
        </w:rPr>
        <w:t>muted</w:t>
      </w:r>
      <w:r>
        <w:rPr>
          <w:spacing w:val="-17"/>
          <w:w w:val="110"/>
        </w:rPr>
        <w:t> </w:t>
      </w:r>
      <w:r>
        <w:rPr>
          <w:w w:val="110"/>
        </w:rPr>
        <w:t>despite</w:t>
      </w:r>
      <w:r>
        <w:rPr>
          <w:spacing w:val="-16"/>
          <w:w w:val="110"/>
        </w:rPr>
        <w:t> </w:t>
      </w:r>
      <w:r>
        <w:rPr>
          <w:w w:val="110"/>
        </w:rPr>
        <w:t>high</w:t>
      </w:r>
      <w:r>
        <w:rPr>
          <w:spacing w:val="-16"/>
          <w:w w:val="110"/>
        </w:rPr>
        <w:t> </w:t>
      </w:r>
      <w:r>
        <w:rPr>
          <w:spacing w:val="-3"/>
          <w:w w:val="110"/>
        </w:rPr>
        <w:t>levels</w:t>
      </w:r>
      <w:r>
        <w:rPr>
          <w:spacing w:val="-16"/>
          <w:w w:val="110"/>
        </w:rPr>
        <w:t> </w:t>
      </w:r>
      <w:r>
        <w:rPr>
          <w:w w:val="110"/>
        </w:rPr>
        <w:t>of</w:t>
      </w:r>
      <w:r>
        <w:rPr>
          <w:spacing w:val="-16"/>
          <w:w w:val="110"/>
        </w:rPr>
        <w:t> </w:t>
      </w:r>
      <w:r>
        <w:rPr>
          <w:w w:val="110"/>
        </w:rPr>
        <w:t>labour</w:t>
      </w:r>
      <w:r>
        <w:rPr>
          <w:spacing w:val="-16"/>
          <w:w w:val="110"/>
        </w:rPr>
        <w:t> </w:t>
      </w:r>
      <w:r>
        <w:rPr>
          <w:w w:val="110"/>
        </w:rPr>
        <w:t>utilisation.</w:t>
      </w:r>
      <w:r>
        <w:rPr>
          <w:spacing w:val="23"/>
          <w:w w:val="110"/>
        </w:rPr>
        <w:t> </w:t>
      </w:r>
      <w:r>
        <w:rPr>
          <w:w w:val="110"/>
        </w:rPr>
        <w:t>Recent</w:t>
      </w:r>
      <w:r>
        <w:rPr>
          <w:spacing w:val="-16"/>
          <w:w w:val="110"/>
        </w:rPr>
        <w:t> </w:t>
      </w:r>
      <w:r>
        <w:rPr>
          <w:w w:val="110"/>
        </w:rPr>
        <w:t>data offer</w:t>
      </w:r>
      <w:r>
        <w:rPr>
          <w:spacing w:val="-19"/>
          <w:w w:val="110"/>
        </w:rPr>
        <w:t> </w:t>
      </w:r>
      <w:r>
        <w:rPr>
          <w:w w:val="110"/>
        </w:rPr>
        <w:t>somewhat</w:t>
      </w:r>
      <w:r>
        <w:rPr>
          <w:spacing w:val="-19"/>
          <w:w w:val="110"/>
        </w:rPr>
        <w:t> </w:t>
      </w:r>
      <w:r>
        <w:rPr>
          <w:w w:val="110"/>
        </w:rPr>
        <w:t>mixed</w:t>
      </w:r>
      <w:r>
        <w:rPr>
          <w:spacing w:val="-18"/>
          <w:w w:val="110"/>
        </w:rPr>
        <w:t> </w:t>
      </w:r>
      <w:r>
        <w:rPr>
          <w:w w:val="110"/>
        </w:rPr>
        <w:t>signals</w:t>
      </w:r>
      <w:r>
        <w:rPr>
          <w:spacing w:val="-19"/>
          <w:w w:val="110"/>
        </w:rPr>
        <w:t> </w:t>
      </w:r>
      <w:r>
        <w:rPr>
          <w:w w:val="110"/>
        </w:rPr>
        <w:t>about</w:t>
      </w:r>
      <w:r>
        <w:rPr>
          <w:spacing w:val="-18"/>
          <w:w w:val="110"/>
        </w:rPr>
        <w:t> </w:t>
      </w:r>
      <w:r>
        <w:rPr>
          <w:spacing w:val="-5"/>
          <w:w w:val="110"/>
        </w:rPr>
        <w:t>near-term</w:t>
      </w:r>
      <w:r>
        <w:rPr>
          <w:spacing w:val="-19"/>
          <w:w w:val="110"/>
        </w:rPr>
        <w:t> </w:t>
      </w:r>
      <w:r>
        <w:rPr>
          <w:w w:val="110"/>
        </w:rPr>
        <w:t>prospects.</w:t>
      </w:r>
    </w:p>
    <w:p>
      <w:pPr>
        <w:pStyle w:val="BodyText"/>
        <w:spacing w:line="292" w:lineRule="auto"/>
        <w:ind w:left="5091" w:right="234"/>
      </w:pPr>
      <w:r>
        <w:rPr>
          <w:spacing w:val="-3"/>
          <w:w w:val="105"/>
        </w:rPr>
        <w:t>Surveys </w:t>
      </w:r>
      <w:r>
        <w:rPr>
          <w:w w:val="105"/>
        </w:rPr>
        <w:t>suggest that labour demand remains firm. But employment and </w:t>
      </w:r>
      <w:r>
        <w:rPr>
          <w:spacing w:val="-3"/>
          <w:w w:val="105"/>
        </w:rPr>
        <w:t>total </w:t>
      </w:r>
      <w:r>
        <w:rPr>
          <w:w w:val="105"/>
        </w:rPr>
        <w:t>hours </w:t>
      </w:r>
      <w:r>
        <w:rPr>
          <w:spacing w:val="-3"/>
          <w:w w:val="105"/>
        </w:rPr>
        <w:t>worked </w:t>
      </w:r>
      <w:r>
        <w:rPr>
          <w:w w:val="105"/>
        </w:rPr>
        <w:t>fell in the three months </w:t>
      </w:r>
      <w:r>
        <w:rPr>
          <w:spacing w:val="-4"/>
          <w:w w:val="105"/>
        </w:rPr>
        <w:t>to </w:t>
      </w:r>
      <w:r>
        <w:rPr>
          <w:spacing w:val="-3"/>
          <w:w w:val="105"/>
        </w:rPr>
        <w:t>November, </w:t>
      </w:r>
      <w:r>
        <w:rPr>
          <w:w w:val="105"/>
        </w:rPr>
        <w:t>perhaps partly reflecting the temporary impact of fuel shortages, flooding and rail disruption. Unemployment rose marginally on the LFS measure, and the inactivity </w:t>
      </w:r>
      <w:r>
        <w:rPr>
          <w:spacing w:val="-4"/>
          <w:w w:val="105"/>
        </w:rPr>
        <w:t>rate </w:t>
      </w:r>
      <w:r>
        <w:rPr>
          <w:w w:val="105"/>
        </w:rPr>
        <w:t>increased, although claimant count  unemployment  fell </w:t>
      </w:r>
      <w:r>
        <w:rPr>
          <w:spacing w:val="-3"/>
          <w:w w:val="105"/>
        </w:rPr>
        <w:t>slightly. </w:t>
      </w:r>
      <w:r>
        <w:rPr>
          <w:w w:val="105"/>
        </w:rPr>
        <w:t>But </w:t>
      </w:r>
      <w:r>
        <w:rPr>
          <w:spacing w:val="-4"/>
          <w:w w:val="105"/>
        </w:rPr>
        <w:t>rates </w:t>
      </w:r>
      <w:r>
        <w:rPr>
          <w:w w:val="105"/>
        </w:rPr>
        <w:t>of unemployment remain near </w:t>
      </w:r>
      <w:r>
        <w:rPr>
          <w:spacing w:val="-7"/>
          <w:w w:val="105"/>
        </w:rPr>
        <w:t>25-year </w:t>
      </w:r>
      <w:r>
        <w:rPr>
          <w:w w:val="105"/>
        </w:rPr>
        <w:t>lows and skill shortages continue </w:t>
      </w:r>
      <w:r>
        <w:rPr>
          <w:spacing w:val="-4"/>
          <w:w w:val="105"/>
        </w:rPr>
        <w:t>to </w:t>
      </w:r>
      <w:r>
        <w:rPr>
          <w:w w:val="105"/>
        </w:rPr>
        <w:t>be widely</w:t>
      </w:r>
      <w:r>
        <w:rPr>
          <w:spacing w:val="5"/>
          <w:w w:val="105"/>
        </w:rPr>
        <w:t> </w:t>
      </w:r>
      <w:r>
        <w:rPr>
          <w:w w:val="105"/>
        </w:rPr>
        <w:t>reported.</w:t>
      </w:r>
    </w:p>
    <w:p>
      <w:pPr>
        <w:pStyle w:val="BodyText"/>
        <w:spacing w:line="292" w:lineRule="auto"/>
        <w:ind w:left="5091" w:right="618"/>
        <w:jc w:val="both"/>
      </w:pPr>
      <w:r>
        <w:rPr>
          <w:w w:val="110"/>
        </w:rPr>
        <w:t>Nevertheless,</w:t>
      </w:r>
      <w:r>
        <w:rPr>
          <w:spacing w:val="-26"/>
          <w:w w:val="110"/>
        </w:rPr>
        <w:t> </w:t>
      </w:r>
      <w:r>
        <w:rPr>
          <w:spacing w:val="-3"/>
          <w:w w:val="110"/>
        </w:rPr>
        <w:t>average</w:t>
      </w:r>
      <w:r>
        <w:rPr>
          <w:spacing w:val="-25"/>
          <w:w w:val="110"/>
        </w:rPr>
        <w:t> </w:t>
      </w:r>
      <w:r>
        <w:rPr>
          <w:w w:val="110"/>
        </w:rPr>
        <w:t>earnings</w:t>
      </w:r>
      <w:r>
        <w:rPr>
          <w:spacing w:val="-25"/>
          <w:w w:val="110"/>
        </w:rPr>
        <w:t> </w:t>
      </w:r>
      <w:r>
        <w:rPr>
          <w:w w:val="110"/>
        </w:rPr>
        <w:t>growth</w:t>
      </w:r>
      <w:r>
        <w:rPr>
          <w:spacing w:val="-25"/>
          <w:w w:val="110"/>
        </w:rPr>
        <w:t> </w:t>
      </w:r>
      <w:r>
        <w:rPr>
          <w:w w:val="110"/>
        </w:rPr>
        <w:t>has</w:t>
      </w:r>
      <w:r>
        <w:rPr>
          <w:spacing w:val="-25"/>
          <w:w w:val="110"/>
        </w:rPr>
        <w:t> </w:t>
      </w:r>
      <w:r>
        <w:rPr>
          <w:w w:val="110"/>
        </w:rPr>
        <w:t>edged</w:t>
      </w:r>
      <w:r>
        <w:rPr>
          <w:spacing w:val="-25"/>
          <w:w w:val="110"/>
        </w:rPr>
        <w:t> </w:t>
      </w:r>
      <w:r>
        <w:rPr>
          <w:w w:val="110"/>
        </w:rPr>
        <w:t>up</w:t>
      </w:r>
      <w:r>
        <w:rPr>
          <w:spacing w:val="-25"/>
          <w:w w:val="110"/>
        </w:rPr>
        <w:t> </w:t>
      </w:r>
      <w:r>
        <w:rPr>
          <w:w w:val="110"/>
        </w:rPr>
        <w:t>only slightly</w:t>
      </w:r>
      <w:r>
        <w:rPr>
          <w:spacing w:val="-27"/>
          <w:w w:val="110"/>
        </w:rPr>
        <w:t> </w:t>
      </w:r>
      <w:r>
        <w:rPr>
          <w:w w:val="110"/>
        </w:rPr>
        <w:t>since</w:t>
      </w:r>
      <w:r>
        <w:rPr>
          <w:spacing w:val="-26"/>
          <w:w w:val="110"/>
        </w:rPr>
        <w:t> </w:t>
      </w:r>
      <w:r>
        <w:rPr>
          <w:w w:val="110"/>
        </w:rPr>
        <w:t>the</w:t>
      </w:r>
      <w:r>
        <w:rPr>
          <w:spacing w:val="-26"/>
          <w:w w:val="110"/>
        </w:rPr>
        <w:t> </w:t>
      </w:r>
      <w:r>
        <w:rPr>
          <w:w w:val="110"/>
        </w:rPr>
        <w:t>previous</w:t>
      </w:r>
      <w:r>
        <w:rPr>
          <w:spacing w:val="-27"/>
          <w:w w:val="110"/>
        </w:rPr>
        <w:t> </w:t>
      </w:r>
      <w:r>
        <w:rPr>
          <w:i/>
          <w:w w:val="110"/>
        </w:rPr>
        <w:t>Report</w:t>
      </w:r>
      <w:r>
        <w:rPr>
          <w:w w:val="110"/>
        </w:rPr>
        <w:t>,</w:t>
      </w:r>
      <w:r>
        <w:rPr>
          <w:spacing w:val="-26"/>
          <w:w w:val="110"/>
        </w:rPr>
        <w:t> </w:t>
      </w:r>
      <w:r>
        <w:rPr>
          <w:w w:val="110"/>
        </w:rPr>
        <w:t>and</w:t>
      </w:r>
      <w:r>
        <w:rPr>
          <w:spacing w:val="-26"/>
          <w:w w:val="110"/>
        </w:rPr>
        <w:t> </w:t>
      </w:r>
      <w:r>
        <w:rPr>
          <w:w w:val="110"/>
        </w:rPr>
        <w:t>rising</w:t>
      </w:r>
      <w:r>
        <w:rPr>
          <w:spacing w:val="-26"/>
          <w:w w:val="110"/>
        </w:rPr>
        <w:t> </w:t>
      </w:r>
      <w:r>
        <w:rPr>
          <w:w w:val="110"/>
        </w:rPr>
        <w:t>productivity continues</w:t>
      </w:r>
      <w:r>
        <w:rPr>
          <w:spacing w:val="-8"/>
          <w:w w:val="110"/>
        </w:rPr>
        <w:t> </w:t>
      </w:r>
      <w:r>
        <w:rPr>
          <w:spacing w:val="-4"/>
          <w:w w:val="110"/>
        </w:rPr>
        <w:t>to</w:t>
      </w:r>
      <w:r>
        <w:rPr>
          <w:spacing w:val="-8"/>
          <w:w w:val="110"/>
        </w:rPr>
        <w:t> </w:t>
      </w:r>
      <w:r>
        <w:rPr>
          <w:w w:val="110"/>
        </w:rPr>
        <w:t>contain</w:t>
      </w:r>
      <w:r>
        <w:rPr>
          <w:spacing w:val="-8"/>
          <w:w w:val="110"/>
        </w:rPr>
        <w:t> </w:t>
      </w:r>
      <w:r>
        <w:rPr>
          <w:w w:val="110"/>
        </w:rPr>
        <w:t>unit</w:t>
      </w:r>
      <w:r>
        <w:rPr>
          <w:spacing w:val="-7"/>
          <w:w w:val="110"/>
        </w:rPr>
        <w:t> </w:t>
      </w:r>
      <w:r>
        <w:rPr>
          <w:w w:val="110"/>
        </w:rPr>
        <w:t>wage</w:t>
      </w:r>
      <w:r>
        <w:rPr>
          <w:spacing w:val="-8"/>
          <w:w w:val="110"/>
        </w:rPr>
        <w:t> </w:t>
      </w:r>
      <w:r>
        <w:rPr>
          <w:w w:val="110"/>
        </w:rPr>
        <w:t>cost</w:t>
      </w:r>
      <w:r>
        <w:rPr>
          <w:spacing w:val="-8"/>
          <w:w w:val="110"/>
        </w:rPr>
        <w:t> </w:t>
      </w:r>
      <w:r>
        <w:rPr>
          <w:w w:val="110"/>
        </w:rPr>
        <w:t>growth.</w:t>
      </w:r>
    </w:p>
    <w:p>
      <w:pPr>
        <w:pStyle w:val="BodyText"/>
        <w:rPr>
          <w:sz w:val="17"/>
        </w:rPr>
      </w:pPr>
    </w:p>
    <w:p>
      <w:pPr>
        <w:pStyle w:val="Heading3"/>
        <w:numPr>
          <w:ilvl w:val="1"/>
          <w:numId w:val="19"/>
        </w:numPr>
        <w:tabs>
          <w:tab w:pos="5571" w:val="left" w:leader="none"/>
          <w:tab w:pos="5572" w:val="left" w:leader="none"/>
          <w:tab w:pos="10459" w:val="left" w:leader="none"/>
        </w:tabs>
        <w:spacing w:line="240" w:lineRule="auto" w:before="0" w:after="0"/>
        <w:ind w:left="5571" w:right="0" w:hanging="601"/>
        <w:jc w:val="left"/>
        <w:rPr>
          <w:color w:val="89C6DC"/>
          <w:u w:val="none"/>
        </w:rPr>
      </w:pPr>
      <w:r>
        <w:rPr>
          <w:smallCaps w:val="0"/>
          <w:color w:val="89C6DC"/>
          <w:w w:val="90"/>
          <w:u w:val="single" w:color="006CB4"/>
        </w:rPr>
        <w:t>Employment and</w:t>
      </w:r>
      <w:r>
        <w:rPr>
          <w:smallCaps w:val="0"/>
          <w:color w:val="89C6DC"/>
          <w:spacing w:val="21"/>
          <w:w w:val="90"/>
          <w:u w:val="single" w:color="006CB4"/>
        </w:rPr>
        <w:t> </w:t>
      </w:r>
      <w:r>
        <w:rPr>
          <w:smallCaps w:val="0"/>
          <w:color w:val="89C6DC"/>
          <w:w w:val="90"/>
          <w:u w:val="single" w:color="006CB4"/>
        </w:rPr>
        <w:t>unemployment</w:t>
      </w:r>
      <w:r>
        <w:rPr>
          <w:smallCaps w:val="0"/>
          <w:color w:val="89C6DC"/>
          <w:u w:val="single" w:color="006CB4"/>
        </w:rPr>
        <w:tab/>
      </w:r>
    </w:p>
    <w:p>
      <w:pPr>
        <w:pStyle w:val="BodyText"/>
        <w:spacing w:before="7"/>
        <w:rPr>
          <w:rFonts w:ascii="Trebuchet MS"/>
          <w:b/>
          <w:sz w:val="16"/>
        </w:rPr>
      </w:pPr>
    </w:p>
    <w:p>
      <w:pPr>
        <w:spacing w:after="0"/>
        <w:rPr>
          <w:rFonts w:ascii="Trebuchet MS"/>
          <w:sz w:val="16"/>
        </w:rPr>
        <w:sectPr>
          <w:headerReference w:type="default" r:id="rId114"/>
          <w:footerReference w:type="default" r:id="rId115"/>
          <w:footerReference w:type="even" r:id="rId116"/>
          <w:pgSz w:w="11900" w:h="16840"/>
          <w:pgMar w:header="0" w:footer="575" w:top="800" w:bottom="760" w:left="640" w:right="640"/>
          <w:pgNumType w:start="29"/>
        </w:sect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spacing w:before="2"/>
        <w:rPr>
          <w:rFonts w:ascii="Trebuchet MS"/>
          <w:b/>
          <w:sz w:val="28"/>
        </w:rPr>
      </w:pPr>
    </w:p>
    <w:p>
      <w:pPr>
        <w:pStyle w:val="Heading6"/>
        <w:spacing w:before="1"/>
        <w:ind w:left="174"/>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3.1</w:t>
      </w:r>
    </w:p>
    <w:p>
      <w:pPr>
        <w:spacing w:line="247" w:lineRule="auto" w:before="7"/>
        <w:ind w:left="174" w:right="187" w:firstLine="0"/>
        <w:jc w:val="left"/>
        <w:rPr>
          <w:sz w:val="12"/>
        </w:rPr>
      </w:pPr>
      <w:r>
        <w:rPr>
          <w:rFonts w:ascii="Trebuchet MS"/>
          <w:b/>
          <w:color w:val="89C6DC"/>
          <w:w w:val="95"/>
          <w:sz w:val="20"/>
        </w:rPr>
        <w:t>Growth</w:t>
      </w:r>
      <w:r>
        <w:rPr>
          <w:rFonts w:ascii="Trebuchet MS"/>
          <w:b/>
          <w:color w:val="89C6DC"/>
          <w:spacing w:val="-25"/>
          <w:w w:val="95"/>
          <w:sz w:val="20"/>
        </w:rPr>
        <w:t> </w:t>
      </w:r>
      <w:r>
        <w:rPr>
          <w:rFonts w:ascii="Trebuchet MS"/>
          <w:b/>
          <w:color w:val="89C6DC"/>
          <w:w w:val="95"/>
          <w:sz w:val="20"/>
        </w:rPr>
        <w:t>in</w:t>
      </w:r>
      <w:r>
        <w:rPr>
          <w:rFonts w:ascii="Trebuchet MS"/>
          <w:b/>
          <w:color w:val="89C6DC"/>
          <w:spacing w:val="-25"/>
          <w:w w:val="95"/>
          <w:sz w:val="20"/>
        </w:rPr>
        <w:t> </w:t>
      </w:r>
      <w:r>
        <w:rPr>
          <w:rFonts w:ascii="Trebuchet MS"/>
          <w:b/>
          <w:color w:val="89C6DC"/>
          <w:w w:val="95"/>
          <w:sz w:val="20"/>
        </w:rPr>
        <w:t>LFS</w:t>
      </w:r>
      <w:r>
        <w:rPr>
          <w:rFonts w:ascii="Trebuchet MS"/>
          <w:b/>
          <w:color w:val="89C6DC"/>
          <w:spacing w:val="-25"/>
          <w:w w:val="95"/>
          <w:sz w:val="20"/>
        </w:rPr>
        <w:t> </w:t>
      </w:r>
      <w:r>
        <w:rPr>
          <w:rFonts w:ascii="Trebuchet MS"/>
          <w:b/>
          <w:color w:val="89C6DC"/>
          <w:w w:val="95"/>
          <w:sz w:val="20"/>
        </w:rPr>
        <w:t>employment</w:t>
      </w:r>
      <w:r>
        <w:rPr>
          <w:rFonts w:ascii="Trebuchet MS"/>
          <w:b/>
          <w:color w:val="89C6DC"/>
          <w:spacing w:val="-25"/>
          <w:w w:val="95"/>
          <w:sz w:val="20"/>
        </w:rPr>
        <w:t> </w:t>
      </w:r>
      <w:r>
        <w:rPr>
          <w:rFonts w:ascii="Trebuchet MS"/>
          <w:b/>
          <w:color w:val="89C6DC"/>
          <w:w w:val="95"/>
          <w:sz w:val="20"/>
        </w:rPr>
        <w:t>and</w:t>
      </w:r>
      <w:r>
        <w:rPr>
          <w:rFonts w:ascii="Trebuchet MS"/>
          <w:b/>
          <w:color w:val="89C6DC"/>
          <w:spacing w:val="-25"/>
          <w:w w:val="95"/>
          <w:sz w:val="20"/>
        </w:rPr>
        <w:t> </w:t>
      </w:r>
      <w:r>
        <w:rPr>
          <w:rFonts w:ascii="Trebuchet MS"/>
          <w:b/>
          <w:color w:val="89C6DC"/>
          <w:w w:val="95"/>
          <w:sz w:val="20"/>
        </w:rPr>
        <w:t>hours </w:t>
      </w:r>
      <w:r>
        <w:rPr>
          <w:rFonts w:ascii="Trebuchet MS"/>
          <w:b/>
          <w:color w:val="89C6DC"/>
          <w:sz w:val="20"/>
        </w:rPr>
        <w:t>worked</w:t>
      </w:r>
      <w:r>
        <w:rPr>
          <w:position w:val="4"/>
          <w:sz w:val="12"/>
        </w:rPr>
        <w:t>(a)</w:t>
      </w:r>
    </w:p>
    <w:p>
      <w:pPr>
        <w:spacing w:line="120" w:lineRule="exact" w:before="63"/>
        <w:ind w:left="1091" w:right="0" w:firstLine="0"/>
        <w:jc w:val="left"/>
        <w:rPr>
          <w:sz w:val="12"/>
        </w:rPr>
      </w:pPr>
      <w:r>
        <w:rPr>
          <w:w w:val="110"/>
          <w:sz w:val="12"/>
        </w:rPr>
        <w:t>Percentage changes on three months earlier</w:t>
      </w:r>
    </w:p>
    <w:p>
      <w:pPr>
        <w:spacing w:line="120" w:lineRule="exact" w:before="0"/>
        <w:ind w:left="3392" w:right="0" w:firstLine="0"/>
        <w:jc w:val="left"/>
        <w:rPr>
          <w:sz w:val="12"/>
        </w:rPr>
      </w:pPr>
      <w:r>
        <w:rPr/>
        <w:pict>
          <v:line style="position:absolute;mso-position-horizontal-relative:page;mso-position-vertical-relative:paragraph;z-index:16114688" from="42.355pt,2.587738pt" to="46.135pt,2.587738pt" stroked="true" strokeweight=".5pt" strokecolor="#000000">
            <v:stroke dashstyle="solid"/>
            <w10:wrap type="none"/>
          </v:line>
        </w:pict>
      </w:r>
      <w:r>
        <w:rPr/>
        <w:pict>
          <v:line style="position:absolute;mso-position-horizontal-relative:page;mso-position-vertical-relative:paragraph;z-index:16119296" from="195.647995pt,2.587738pt" to="199.427995pt,2.587738pt" stroked="true" strokeweight=".5pt" strokecolor="#000000">
            <v:stroke dashstyle="solid"/>
            <w10:wrap type="none"/>
          </v:line>
        </w:pict>
      </w:r>
      <w:r>
        <w:rPr>
          <w:w w:val="115"/>
          <w:sz w:val="12"/>
        </w:rPr>
        <w:t>1.0</w:t>
      </w:r>
    </w:p>
    <w:p>
      <w:pPr>
        <w:pStyle w:val="BodyText"/>
        <w:spacing w:line="292" w:lineRule="auto" w:before="62"/>
        <w:ind w:left="174" w:right="295"/>
      </w:pPr>
      <w:r>
        <w:rPr/>
        <w:br w:type="column"/>
      </w:r>
      <w:r>
        <w:rPr>
          <w:w w:val="105"/>
        </w:rPr>
        <w:t>Following several years of rapid growth, employment appears </w:t>
      </w:r>
      <w:r>
        <w:rPr>
          <w:w w:val="110"/>
        </w:rPr>
        <w:t>to have levelled off at a high rate in recent months. Indeed, LFS employment—a measure of the number of people in work—fell by 25,000 (-0.1%) in the three months to November 2000 (see Chart 3.1), the first decline on a comparable three-month basis since 1993. Within the</w:t>
      </w:r>
    </w:p>
    <w:p>
      <w:pPr>
        <w:pStyle w:val="BodyText"/>
        <w:spacing w:line="292" w:lineRule="auto"/>
        <w:ind w:left="174" w:right="499"/>
      </w:pPr>
      <w:r>
        <w:rPr>
          <w:w w:val="105"/>
        </w:rPr>
        <w:t>total, there was a rise in employment in jobs which workers viewed as permanent. But that was more than offset by</w:t>
      </w:r>
    </w:p>
    <w:p>
      <w:pPr>
        <w:spacing w:after="0" w:line="292" w:lineRule="auto"/>
        <w:sectPr>
          <w:type w:val="continuous"/>
          <w:pgSz w:w="11900" w:h="16840"/>
          <w:pgMar w:top="1260" w:bottom="280" w:left="640" w:right="640"/>
          <w:cols w:num="2" w:equalWidth="0">
            <w:col w:w="3605" w:space="1312"/>
            <w:col w:w="5703"/>
          </w:cols>
        </w:sectPr>
      </w:pPr>
    </w:p>
    <w:p>
      <w:pPr>
        <w:spacing w:line="78" w:lineRule="exact" w:before="0"/>
        <w:ind w:left="1889" w:right="0" w:firstLine="0"/>
        <w:jc w:val="left"/>
        <w:rPr>
          <w:sz w:val="12"/>
        </w:rPr>
      </w:pPr>
      <w:r>
        <w:rPr/>
        <w:pict>
          <v:line style="position:absolute;mso-position-horizontal-relative:page;mso-position-vertical-relative:paragraph;z-index:16114176" from="42.355pt,1.90876pt" to="46.135pt,1.90876pt" stroked="true" strokeweight=".5pt" strokecolor="#000000">
            <v:stroke dashstyle="solid"/>
            <w10:wrap type="none"/>
          </v:line>
        </w:pict>
      </w:r>
      <w:r>
        <w:rPr>
          <w:w w:val="110"/>
          <w:sz w:val="12"/>
        </w:rPr>
        <w:t>Total hours</w:t>
      </w:r>
    </w:p>
    <w:p>
      <w:pPr>
        <w:spacing w:line="129" w:lineRule="exact" w:before="0"/>
        <w:ind w:left="1950" w:right="0" w:firstLine="0"/>
        <w:jc w:val="left"/>
        <w:rPr>
          <w:sz w:val="12"/>
        </w:rPr>
      </w:pPr>
      <w:r>
        <w:rPr/>
        <w:pict>
          <v:group style="position:absolute;margin-left:42.355pt;margin-top:4.406158pt;width:157.1pt;height:123pt;mso-position-horizontal-relative:page;mso-position-vertical-relative:paragraph;z-index:-23216128" coordorigin="847,88" coordsize="3142,2460">
            <v:rect style="position:absolute;left:1214;top:1108;width:127;height:1295" filled="true" fillcolor="#9ed01a" stroked="false">
              <v:fill type="solid"/>
            </v:rect>
            <v:rect style="position:absolute;left:1214;top:1108;width:127;height:1295" filled="false" stroked="true" strokeweight=".5pt" strokecolor="#000000">
              <v:stroke dashstyle="solid"/>
            </v:rect>
            <v:rect style="position:absolute;left:1214;top:813;width:127;height:298" filled="true" fillcolor="#00a2a0" stroked="false">
              <v:fill type="solid"/>
            </v:rect>
            <v:rect style="position:absolute;left:1214;top:813;width:127;height:298" filled="false" stroked="true" strokeweight=".5pt" strokecolor="#000000">
              <v:stroke dashstyle="solid"/>
            </v:rect>
            <v:rect style="position:absolute;left:1790;top:813;width:138;height:298" filled="true" fillcolor="#9ed01a" stroked="false">
              <v:fill type="solid"/>
            </v:rect>
            <v:rect style="position:absolute;left:1790;top:813;width:138;height:298" filled="false" stroked="true" strokeweight=".5pt" strokecolor="#000000">
              <v:stroke dashstyle="solid"/>
            </v:rect>
            <v:rect style="position:absolute;left:1790;top:533;width:138;height:283" filled="true" fillcolor="#00a2a0" stroked="false">
              <v:fill type="solid"/>
            </v:rect>
            <v:rect style="position:absolute;left:1790;top:533;width:138;height:283" filled="false" stroked="true" strokeweight=".5pt" strokecolor="#000000">
              <v:stroke dashstyle="solid"/>
            </v:rect>
            <v:rect style="position:absolute;left:2377;top:1110;width:127;height:140" filled="true" fillcolor="#9ed01a" stroked="false">
              <v:fill type="solid"/>
            </v:rect>
            <v:rect style="position:absolute;left:2377;top:1108;width:127;height:143" filled="false" stroked="true" strokeweight=".5pt" strokecolor="#000000">
              <v:stroke dashstyle="solid"/>
            </v:rect>
            <v:rect style="position:absolute;left:2377;top:375;width:127;height:735" filled="true" fillcolor="#00a2a0" stroked="false">
              <v:fill type="solid"/>
            </v:rect>
            <v:rect style="position:absolute;left:2377;top:375;width:127;height:735" filled="false" stroked="true" strokeweight=".5pt" strokecolor="#000000">
              <v:stroke dashstyle="solid"/>
            </v:rect>
            <v:rect style="position:absolute;left:2953;top:673;width:138;height:438" filled="true" fillcolor="#9ed01a" stroked="false">
              <v:fill type="solid"/>
            </v:rect>
            <v:rect style="position:absolute;left:2953;top:673;width:138;height:438" filled="false" stroked="true" strokeweight=".5pt" strokecolor="#000000">
              <v:stroke dashstyle="solid"/>
            </v:rect>
            <v:rect style="position:absolute;left:2953;top:238;width:138;height:438" filled="true" fillcolor="#00a2a0" stroked="false">
              <v:fill type="solid"/>
            </v:rect>
            <v:rect style="position:absolute;left:2953;top:238;width:138;height:438" filled="false" stroked="true" strokeweight=".5pt" strokecolor="#000000">
              <v:stroke dashstyle="solid"/>
            </v:rect>
            <v:rect style="position:absolute;left:3537;top:1108;width:129;height:718" filled="true" fillcolor="#9ed01a" stroked="false">
              <v:fill type="solid"/>
            </v:rect>
            <v:rect style="position:absolute;left:3537;top:1108;width:129;height:718" filled="false" stroked="true" strokeweight=".5pt" strokecolor="#000000">
              <v:stroke dashstyle="solid"/>
            </v:rect>
            <v:rect style="position:absolute;left:3537;top:1823;width:129;height:143" filled="true" fillcolor="#00a2a0" stroked="false">
              <v:fill type="solid"/>
            </v:rect>
            <v:rect style="position:absolute;left:3537;top:1823;width:129;height:143" filled="false" stroked="true" strokeweight=".5pt" strokecolor="#000000">
              <v:stroke dashstyle="solid"/>
            </v:rect>
            <v:shape style="position:absolute;left:1281;top:98;width:2324;height:1865" coordorigin="1282,98" coordsize="2324,1865" path="m1282,1823l1867,673,2201,675,2372,675,2436,675,2445,674,2535,584,2733,386,2931,188,3021,98,3605,1963e" filled="false" stroked="true" strokeweight="1.0pt" strokecolor="#de0035">
              <v:path arrowok="t"/>
              <v:stroke dashstyle="solid"/>
            </v:shape>
            <v:shape style="position:absolute;left:847;top:1110;width:3142;height:2" coordorigin="847,1111" coordsize="3142,0" path="m847,1111l923,1111m3913,1111l3989,1111e" filled="false" stroked="true" strokeweight=".5pt" strokecolor="#000000">
              <v:path arrowok="t"/>
              <v:stroke dashstyle="solid"/>
            </v:shape>
            <v:line style="position:absolute" from="978,1111" to="3858,1111" stroked="true" strokeweight=".5pt" strokecolor="#000000">
              <v:stroke dashstyle="solid"/>
            </v:line>
            <v:shape style="position:absolute;left:847;top:2543;width:3142;height:2" coordorigin="847,2543" coordsize="3142,0" path="m847,2543l923,2543m3913,2543l3989,2543e" filled="false" stroked="true" strokeweight=".5pt" strokecolor="#000000">
              <v:path arrowok="t"/>
              <v:stroke dashstyle="solid"/>
            </v:shape>
            <v:line style="position:absolute" from="972,2543" to="3860,2543" stroked="true" strokeweight=".5pt" strokecolor="#000000">
              <v:stroke dashstyle="solid"/>
            </v:line>
            <v:shape style="position:absolute;left:976;top:2430;width:2879;height:118" coordorigin="977,2431" coordsize="2879,118" path="m977,2481l977,2548m1552,2431l1552,2548m2139,2481l2139,2548m2715,2481l2715,2548m3300,2481l3300,2548m3855,2481l3855,2548e" filled="false" stroked="true" strokeweight=".5pt" strokecolor="#000000">
              <v:path arrowok="t"/>
              <v:stroke dashstyle="solid"/>
            </v:shape>
            <v:shape style="position:absolute;left:1555;top:374;width:668;height:121" type="#_x0000_t202" filled="false" stroked="false">
              <v:textbox inset="0,0,0,0">
                <w:txbxContent>
                  <w:p>
                    <w:pPr>
                      <w:spacing w:line="115" w:lineRule="exact" w:before="0"/>
                      <w:ind w:left="0" w:right="0" w:firstLine="0"/>
                      <w:jc w:val="left"/>
                      <w:rPr>
                        <w:sz w:val="12"/>
                      </w:rPr>
                    </w:pPr>
                    <w:r>
                      <w:rPr>
                        <w:w w:val="105"/>
                        <w:sz w:val="12"/>
                      </w:rPr>
                      <w:t>Employment</w:t>
                    </w:r>
                  </w:p>
                </w:txbxContent>
              </v:textbox>
              <w10:wrap type="none"/>
            </v:shape>
            <v:shape style="position:absolute;left:1365;top:2094;width:1156;height:121" type="#_x0000_t202" filled="false" stroked="false">
              <v:textbox inset="0,0,0,0">
                <w:txbxContent>
                  <w:p>
                    <w:pPr>
                      <w:spacing w:line="115" w:lineRule="exact" w:before="0"/>
                      <w:ind w:left="0" w:right="0" w:firstLine="0"/>
                      <w:jc w:val="left"/>
                      <w:rPr>
                        <w:sz w:val="12"/>
                      </w:rPr>
                    </w:pPr>
                    <w:r>
                      <w:rPr>
                        <w:w w:val="105"/>
                        <w:sz w:val="12"/>
                      </w:rPr>
                      <w:t>Average hours worked</w:t>
                    </w:r>
                  </w:p>
                </w:txbxContent>
              </v:textbox>
              <w10:wrap type="none"/>
            </v:shape>
            <w10:wrap type="none"/>
          </v:group>
        </w:pict>
      </w:r>
      <w:r>
        <w:rPr>
          <w:w w:val="105"/>
          <w:sz w:val="12"/>
        </w:rPr>
        <w:t>worked</w:t>
      </w:r>
    </w:p>
    <w:p>
      <w:pPr>
        <w:pStyle w:val="BodyText"/>
        <w:spacing w:before="3"/>
        <w:rPr>
          <w:sz w:val="9"/>
        </w:rPr>
      </w:pPr>
    </w:p>
    <w:p>
      <w:pPr>
        <w:pStyle w:val="BodyText"/>
        <w:spacing w:line="20" w:lineRule="exact"/>
        <w:ind w:left="202"/>
        <w:rPr>
          <w:sz w:val="2"/>
        </w:rPr>
      </w:pPr>
      <w:r>
        <w:rPr>
          <w:sz w:val="2"/>
        </w:rPr>
        <w:pict>
          <v:group style="width:3.8pt;height:.5pt;mso-position-horizontal-relative:char;mso-position-vertical-relative:line" coordorigin="0,0" coordsize="76,10">
            <v:line style="position:absolute" from="0,5" to="76,5" stroked="true" strokeweight=".5pt" strokecolor="#000000">
              <v:stroke dashstyle="solid"/>
            </v:line>
          </v:group>
        </w:pict>
      </w:r>
      <w:r>
        <w:rPr>
          <w:sz w:val="2"/>
        </w:rPr>
      </w:r>
    </w:p>
    <w:p>
      <w:pPr>
        <w:pStyle w:val="BodyText"/>
        <w:spacing w:before="6"/>
      </w:pPr>
      <w:r>
        <w:rPr/>
        <w:pict>
          <v:shape style="position:absolute;margin-left:42.355pt;margin-top:14.007196pt;width:3.8pt;height:.1pt;mso-position-horizontal-relative:page;mso-position-vertical-relative:paragraph;z-index:-15347712;mso-wrap-distance-left:0;mso-wrap-distance-right:0" coordorigin="847,280" coordsize="76,0" path="m847,280l923,280e" filled="false" stroked="true" strokeweight=".5pt" strokecolor="#000000">
            <v:path arrowok="t"/>
            <v:stroke dashstyle="solid"/>
            <w10:wrap type="topAndBottom"/>
          </v:shape>
        </w:pict>
      </w:r>
      <w:r>
        <w:rPr/>
        <w:pict>
          <v:shape style="position:absolute;margin-left:42.355pt;margin-top:28.007196pt;width:3.8pt;height:.1pt;mso-position-horizontal-relative:page;mso-position-vertical-relative:paragraph;z-index:-15347200;mso-wrap-distance-left:0;mso-wrap-distance-right:0" coordorigin="847,560" coordsize="76,0" path="m847,560l923,560e" filled="false" stroked="true" strokeweight=".5pt" strokecolor="#000000">
            <v:path arrowok="t"/>
            <v:stroke dashstyle="solid"/>
            <w10:wrap type="topAndBottom"/>
          </v:shape>
        </w:pict>
      </w:r>
    </w:p>
    <w:p>
      <w:pPr>
        <w:pStyle w:val="BodyText"/>
        <w:spacing w:before="6"/>
        <w:rPr>
          <w:sz w:val="17"/>
        </w:rPr>
      </w:pPr>
    </w:p>
    <w:p>
      <w:pPr>
        <w:pStyle w:val="BodyText"/>
      </w:pPr>
    </w:p>
    <w:p>
      <w:pPr>
        <w:pStyle w:val="BodyText"/>
        <w:spacing w:before="2"/>
        <w:rPr>
          <w:sz w:val="23"/>
        </w:rPr>
      </w:pPr>
      <w:r>
        <w:rPr/>
        <w:pict>
          <v:shape style="position:absolute;margin-left:42.355pt;margin-top:15.550977pt;width:3.8pt;height:.1pt;mso-position-horizontal-relative:page;mso-position-vertical-relative:paragraph;z-index:-15346688;mso-wrap-distance-left:0;mso-wrap-distance-right:0" coordorigin="847,311" coordsize="76,0" path="m847,311l923,311e" filled="false" stroked="true" strokeweight=".5pt" strokecolor="#000000">
            <v:path arrowok="t"/>
            <v:stroke dashstyle="solid"/>
            <w10:wrap type="topAndBottom"/>
          </v:shape>
        </w:pict>
      </w:r>
      <w:r>
        <w:rPr/>
        <w:pict>
          <v:shape style="position:absolute;margin-left:42.355pt;margin-top:30.425976pt;width:3.8pt;height:.1pt;mso-position-horizontal-relative:page;mso-position-vertical-relative:paragraph;z-index:-15346176;mso-wrap-distance-left:0;mso-wrap-distance-right:0" coordorigin="847,609" coordsize="76,0" path="m847,609l923,609e" filled="false" stroked="true" strokeweight=".5pt" strokecolor="#000000">
            <v:path arrowok="t"/>
            <v:stroke dashstyle="solid"/>
            <w10:wrap type="topAndBottom"/>
          </v:shape>
        </w:pict>
      </w:r>
      <w:r>
        <w:rPr/>
        <w:pict>
          <v:shape style="position:absolute;margin-left:42.355pt;margin-top:44.300976pt;width:3.8pt;height:.1pt;mso-position-horizontal-relative:page;mso-position-vertical-relative:paragraph;z-index:-15345664;mso-wrap-distance-left:0;mso-wrap-distance-right:0" coordorigin="847,886" coordsize="76,0" path="m847,886l923,886e" filled="false" stroked="true" strokeweight=".5pt" strokecolor="#000000">
            <v:path arrowok="t"/>
            <v:stroke dashstyle="solid"/>
            <w10:wrap type="topAndBottom"/>
          </v:shape>
        </w:pict>
      </w:r>
      <w:r>
        <w:rPr/>
        <w:pict>
          <v:shape style="position:absolute;margin-left:42.355pt;margin-top:59.175976pt;width:3.8pt;height:.1pt;mso-position-horizontal-relative:page;mso-position-vertical-relative:paragraph;z-index:-15345152;mso-wrap-distance-left:0;mso-wrap-distance-right:0" coordorigin="847,1184" coordsize="76,0" path="m847,1184l923,1184e" filled="false" stroked="true" strokeweight=".5pt" strokecolor="#000000">
            <v:path arrowok="t"/>
            <v:stroke dashstyle="solid"/>
            <w10:wrap type="topAndBottom"/>
          </v:shape>
        </w:pict>
      </w:r>
    </w:p>
    <w:p>
      <w:pPr>
        <w:pStyle w:val="BodyText"/>
        <w:spacing w:before="1"/>
        <w:rPr>
          <w:sz w:val="19"/>
        </w:rPr>
      </w:pPr>
    </w:p>
    <w:p>
      <w:pPr>
        <w:pStyle w:val="BodyText"/>
        <w:spacing w:before="4"/>
        <w:rPr>
          <w:sz w:val="17"/>
        </w:rPr>
      </w:pPr>
    </w:p>
    <w:p>
      <w:pPr>
        <w:pStyle w:val="BodyText"/>
        <w:spacing w:before="1"/>
        <w:rPr>
          <w:sz w:val="19"/>
        </w:rPr>
      </w:pPr>
    </w:p>
    <w:p>
      <w:pPr>
        <w:pStyle w:val="BodyText"/>
        <w:rPr>
          <w:sz w:val="12"/>
        </w:rPr>
      </w:pPr>
    </w:p>
    <w:p>
      <w:pPr>
        <w:pStyle w:val="BodyText"/>
        <w:spacing w:before="11"/>
        <w:rPr>
          <w:sz w:val="11"/>
        </w:rPr>
      </w:pPr>
    </w:p>
    <w:p>
      <w:pPr>
        <w:tabs>
          <w:tab w:pos="2240" w:val="right" w:leader="none"/>
        </w:tabs>
        <w:spacing w:line="247" w:lineRule="auto" w:before="0"/>
        <w:ind w:left="489" w:right="0" w:hanging="98"/>
        <w:jc w:val="left"/>
        <w:rPr>
          <w:sz w:val="12"/>
        </w:rPr>
      </w:pPr>
      <w:r>
        <w:rPr>
          <w:w w:val="105"/>
          <w:sz w:val="12"/>
        </w:rPr>
        <w:t>Sept.-Nov. Dec.-Feb. Mar.-May June-Aug. Sept.-Nov. 1999</w:t>
        <w:tab/>
        <w:t>2000</w:t>
      </w:r>
    </w:p>
    <w:p>
      <w:pPr>
        <w:spacing w:line="107" w:lineRule="exact" w:before="0"/>
        <w:ind w:left="94" w:right="0" w:firstLine="0"/>
        <w:jc w:val="left"/>
        <w:rPr>
          <w:sz w:val="12"/>
        </w:rPr>
      </w:pPr>
      <w:r>
        <w:rPr/>
        <w:br w:type="column"/>
      </w:r>
      <w:r>
        <w:rPr>
          <w:w w:val="115"/>
          <w:sz w:val="12"/>
        </w:rPr>
        <w:t>0.8</w:t>
      </w:r>
    </w:p>
    <w:p>
      <w:pPr>
        <w:pStyle w:val="BodyText"/>
        <w:spacing w:before="4"/>
        <w:rPr>
          <w:sz w:val="12"/>
        </w:rPr>
      </w:pPr>
    </w:p>
    <w:p>
      <w:pPr>
        <w:spacing w:before="0"/>
        <w:ind w:left="94" w:right="0" w:firstLine="0"/>
        <w:jc w:val="left"/>
        <w:rPr>
          <w:sz w:val="12"/>
        </w:rPr>
      </w:pPr>
      <w:r>
        <w:rPr/>
        <w:pict>
          <v:line style="position:absolute;mso-position-horizontal-relative:page;mso-position-vertical-relative:paragraph;z-index:16115200" from="195.647995pt,-10.523254pt" to="199.427995pt,-10.523254pt" stroked="true" strokeweight=".5pt" strokecolor="#000000">
            <v:stroke dashstyle="solid"/>
            <w10:wrap type="none"/>
          </v:line>
        </w:pict>
      </w:r>
      <w:r>
        <w:rPr/>
        <w:pict>
          <v:line style="position:absolute;mso-position-horizontal-relative:page;mso-position-vertical-relative:paragraph;z-index:16115712" from="195.647995pt,3.476746pt" to="199.427995pt,3.476746pt" stroked="true" strokeweight=".5pt" strokecolor="#000000">
            <v:stroke dashstyle="solid"/>
            <w10:wrap type="none"/>
          </v:line>
        </w:pict>
      </w:r>
      <w:r>
        <w:rPr>
          <w:w w:val="115"/>
          <w:sz w:val="12"/>
        </w:rPr>
        <w:t>0.6</w:t>
      </w:r>
    </w:p>
    <w:p>
      <w:pPr>
        <w:pStyle w:val="BodyText"/>
        <w:spacing w:before="7"/>
        <w:rPr>
          <w:sz w:val="13"/>
        </w:rPr>
      </w:pPr>
    </w:p>
    <w:p>
      <w:pPr>
        <w:spacing w:before="0"/>
        <w:ind w:left="94" w:right="0" w:firstLine="0"/>
        <w:jc w:val="left"/>
        <w:rPr>
          <w:sz w:val="12"/>
        </w:rPr>
      </w:pPr>
      <w:r>
        <w:rPr/>
        <w:pict>
          <v:line style="position:absolute;mso-position-horizontal-relative:page;mso-position-vertical-relative:paragraph;z-index:16116224" from="195.647995pt,3.476929pt" to="199.427995pt,3.476929pt" stroked="true" strokeweight=".5pt" strokecolor="#000000">
            <v:stroke dashstyle="solid"/>
            <w10:wrap type="none"/>
          </v:line>
        </w:pict>
      </w:r>
      <w:r>
        <w:rPr>
          <w:w w:val="115"/>
          <w:sz w:val="12"/>
        </w:rPr>
        <w:t>0.4</w:t>
      </w:r>
    </w:p>
    <w:p>
      <w:pPr>
        <w:pStyle w:val="BodyText"/>
        <w:spacing w:before="4"/>
        <w:rPr>
          <w:sz w:val="12"/>
        </w:rPr>
      </w:pPr>
    </w:p>
    <w:p>
      <w:pPr>
        <w:spacing w:line="133" w:lineRule="exact" w:before="0"/>
        <w:ind w:left="94" w:right="0" w:firstLine="0"/>
        <w:jc w:val="left"/>
        <w:rPr>
          <w:sz w:val="12"/>
        </w:rPr>
      </w:pPr>
      <w:r>
        <w:rPr/>
        <w:pict>
          <v:line style="position:absolute;mso-position-horizontal-relative:page;mso-position-vertical-relative:paragraph;z-index:16116736" from="195.647995pt,3.477142pt" to="199.427995pt,3.477142pt" stroked="true" strokeweight=".5pt" strokecolor="#000000">
            <v:stroke dashstyle="solid"/>
            <w10:wrap type="none"/>
          </v:line>
        </w:pict>
      </w:r>
      <w:r>
        <w:rPr>
          <w:w w:val="115"/>
          <w:sz w:val="12"/>
        </w:rPr>
        <w:t>0.2</w:t>
      </w:r>
    </w:p>
    <w:p>
      <w:pPr>
        <w:spacing w:line="165" w:lineRule="exact" w:before="0"/>
        <w:ind w:left="32" w:right="0" w:firstLine="0"/>
        <w:jc w:val="left"/>
        <w:rPr>
          <w:sz w:val="16"/>
        </w:rPr>
      </w:pPr>
      <w:r>
        <w:rPr>
          <w:w w:val="107"/>
          <w:sz w:val="16"/>
        </w:rPr>
        <w:t>+</w:t>
      </w:r>
    </w:p>
    <w:p>
      <w:pPr>
        <w:spacing w:line="95" w:lineRule="exact" w:before="0"/>
        <w:ind w:left="94" w:right="0" w:firstLine="0"/>
        <w:jc w:val="left"/>
        <w:rPr>
          <w:sz w:val="12"/>
        </w:rPr>
      </w:pPr>
      <w:r>
        <w:rPr>
          <w:w w:val="115"/>
          <w:sz w:val="12"/>
        </w:rPr>
        <w:t>0.0</w:t>
      </w:r>
    </w:p>
    <w:p>
      <w:pPr>
        <w:spacing w:line="154" w:lineRule="exact" w:before="0"/>
        <w:ind w:left="44" w:right="0" w:firstLine="0"/>
        <w:jc w:val="left"/>
        <w:rPr>
          <w:sz w:val="16"/>
        </w:rPr>
      </w:pPr>
      <w:r>
        <w:rPr>
          <w:w w:val="87"/>
          <w:sz w:val="16"/>
        </w:rPr>
        <w:t>_</w:t>
      </w:r>
    </w:p>
    <w:p>
      <w:pPr>
        <w:spacing w:before="29"/>
        <w:ind w:left="94" w:right="0" w:firstLine="0"/>
        <w:jc w:val="left"/>
        <w:rPr>
          <w:sz w:val="12"/>
        </w:rPr>
      </w:pPr>
      <w:r>
        <w:rPr/>
        <w:pict>
          <v:line style="position:absolute;mso-position-horizontal-relative:page;mso-position-vertical-relative:paragraph;z-index:16117248" from="195.647995pt,4.926944pt" to="199.427995pt,4.926944pt" stroked="true" strokeweight=".5pt" strokecolor="#000000">
            <v:stroke dashstyle="solid"/>
            <w10:wrap type="none"/>
          </v:line>
        </w:pict>
      </w:r>
      <w:r>
        <w:rPr>
          <w:w w:val="115"/>
          <w:sz w:val="12"/>
        </w:rPr>
        <w:t>0.2</w:t>
      </w:r>
    </w:p>
    <w:p>
      <w:pPr>
        <w:pStyle w:val="BodyText"/>
        <w:spacing w:before="9"/>
        <w:rPr>
          <w:sz w:val="13"/>
        </w:rPr>
      </w:pPr>
    </w:p>
    <w:p>
      <w:pPr>
        <w:spacing w:before="1"/>
        <w:ind w:left="94" w:right="0" w:firstLine="0"/>
        <w:jc w:val="left"/>
        <w:rPr>
          <w:sz w:val="12"/>
        </w:rPr>
      </w:pPr>
      <w:r>
        <w:rPr/>
        <w:pict>
          <v:line style="position:absolute;mso-position-horizontal-relative:page;mso-position-vertical-relative:paragraph;z-index:16117760" from="195.647995pt,3.526746pt" to="199.427995pt,3.526746pt" stroked="true" strokeweight=".5pt" strokecolor="#000000">
            <v:stroke dashstyle="solid"/>
            <w10:wrap type="none"/>
          </v:line>
        </w:pict>
      </w:r>
      <w:r>
        <w:rPr>
          <w:w w:val="115"/>
          <w:sz w:val="12"/>
        </w:rPr>
        <w:t>0.4</w:t>
      </w:r>
    </w:p>
    <w:p>
      <w:pPr>
        <w:pStyle w:val="BodyText"/>
        <w:spacing w:before="1"/>
        <w:rPr>
          <w:sz w:val="12"/>
        </w:rPr>
      </w:pPr>
    </w:p>
    <w:p>
      <w:pPr>
        <w:spacing w:before="0"/>
        <w:ind w:left="94" w:right="0" w:firstLine="0"/>
        <w:jc w:val="left"/>
        <w:rPr>
          <w:sz w:val="12"/>
        </w:rPr>
      </w:pPr>
      <w:r>
        <w:rPr/>
        <w:pict>
          <v:line style="position:absolute;mso-position-horizontal-relative:page;mso-position-vertical-relative:paragraph;z-index:16118784" from="195.647995pt,3.476746pt" to="199.427995pt,3.476746pt" stroked="true" strokeweight=".5pt" strokecolor="#000000">
            <v:stroke dashstyle="solid"/>
            <w10:wrap type="none"/>
          </v:line>
        </w:pict>
      </w:r>
      <w:r>
        <w:rPr>
          <w:w w:val="115"/>
          <w:sz w:val="12"/>
        </w:rPr>
        <w:t>0.6</w:t>
      </w:r>
    </w:p>
    <w:p>
      <w:pPr>
        <w:pStyle w:val="BodyText"/>
        <w:spacing w:before="10"/>
        <w:rPr>
          <w:sz w:val="13"/>
        </w:rPr>
      </w:pPr>
    </w:p>
    <w:p>
      <w:pPr>
        <w:spacing w:before="0"/>
        <w:ind w:left="94" w:right="0" w:firstLine="0"/>
        <w:jc w:val="left"/>
        <w:rPr>
          <w:sz w:val="12"/>
        </w:rPr>
      </w:pPr>
      <w:r>
        <w:rPr/>
        <w:pict>
          <v:line style="position:absolute;mso-position-horizontal-relative:page;mso-position-vertical-relative:paragraph;z-index:16118272" from="195.647995pt,3.476532pt" to="199.427995pt,3.476532pt" stroked="true" strokeweight=".5pt" strokecolor="#000000">
            <v:stroke dashstyle="solid"/>
            <w10:wrap type="none"/>
          </v:line>
        </w:pict>
      </w:r>
      <w:r>
        <w:rPr>
          <w:w w:val="115"/>
          <w:sz w:val="12"/>
        </w:rPr>
        <w:t>0.8</w:t>
      </w:r>
    </w:p>
    <w:p>
      <w:pPr>
        <w:pStyle w:val="BodyText"/>
        <w:spacing w:before="4"/>
        <w:rPr>
          <w:sz w:val="12"/>
        </w:rPr>
      </w:pPr>
    </w:p>
    <w:p>
      <w:pPr>
        <w:spacing w:before="0"/>
        <w:ind w:left="94" w:right="0" w:firstLine="0"/>
        <w:jc w:val="left"/>
        <w:rPr>
          <w:sz w:val="12"/>
        </w:rPr>
      </w:pPr>
      <w:r>
        <w:rPr>
          <w:w w:val="115"/>
          <w:sz w:val="12"/>
        </w:rPr>
        <w:t>1.0</w:t>
      </w:r>
    </w:p>
    <w:p>
      <w:pPr>
        <w:pStyle w:val="BodyText"/>
        <w:spacing w:line="292" w:lineRule="auto"/>
        <w:ind w:left="392" w:right="183"/>
      </w:pPr>
      <w:r>
        <w:rPr/>
        <w:br w:type="column"/>
      </w:r>
      <w:r>
        <w:rPr>
          <w:w w:val="105"/>
        </w:rPr>
        <w:t>declines in other components of employment, such as temporary employees—which includes casual and agency workers and those on fixed-term contracts—and the</w:t>
      </w:r>
    </w:p>
    <w:p>
      <w:pPr>
        <w:pStyle w:val="BodyText"/>
        <w:spacing w:line="228" w:lineRule="exact"/>
        <w:ind w:left="392"/>
      </w:pPr>
      <w:r>
        <w:rPr>
          <w:w w:val="105"/>
        </w:rPr>
        <w:t>self-employed.</w:t>
      </w:r>
    </w:p>
    <w:p>
      <w:pPr>
        <w:pStyle w:val="BodyText"/>
      </w:pPr>
    </w:p>
    <w:p>
      <w:pPr>
        <w:pStyle w:val="BodyText"/>
        <w:spacing w:line="292" w:lineRule="auto" w:before="115"/>
        <w:ind w:left="392" w:right="183"/>
      </w:pPr>
      <w:r>
        <w:rPr>
          <w:spacing w:val="-5"/>
          <w:w w:val="110"/>
        </w:rPr>
        <w:t>Total </w:t>
      </w:r>
      <w:r>
        <w:rPr>
          <w:w w:val="110"/>
        </w:rPr>
        <w:t>hours </w:t>
      </w:r>
      <w:r>
        <w:rPr>
          <w:spacing w:val="-3"/>
          <w:w w:val="110"/>
        </w:rPr>
        <w:t>worked </w:t>
      </w:r>
      <w:r>
        <w:rPr>
          <w:w w:val="110"/>
        </w:rPr>
        <w:t>is potentially a </w:t>
      </w:r>
      <w:r>
        <w:rPr>
          <w:spacing w:val="-3"/>
          <w:w w:val="110"/>
        </w:rPr>
        <w:t>better </w:t>
      </w:r>
      <w:r>
        <w:rPr>
          <w:w w:val="110"/>
        </w:rPr>
        <w:t>measure of labour usage</w:t>
      </w:r>
      <w:r>
        <w:rPr>
          <w:spacing w:val="-19"/>
          <w:w w:val="110"/>
        </w:rPr>
        <w:t> </w:t>
      </w:r>
      <w:r>
        <w:rPr>
          <w:w w:val="110"/>
        </w:rPr>
        <w:t>than</w:t>
      </w:r>
      <w:r>
        <w:rPr>
          <w:spacing w:val="-18"/>
          <w:w w:val="110"/>
        </w:rPr>
        <w:t> </w:t>
      </w:r>
      <w:r>
        <w:rPr>
          <w:w w:val="110"/>
        </w:rPr>
        <w:t>numbers</w:t>
      </w:r>
      <w:r>
        <w:rPr>
          <w:spacing w:val="-18"/>
          <w:w w:val="110"/>
        </w:rPr>
        <w:t> </w:t>
      </w:r>
      <w:r>
        <w:rPr>
          <w:w w:val="110"/>
        </w:rPr>
        <w:t>in</w:t>
      </w:r>
      <w:r>
        <w:rPr>
          <w:spacing w:val="-19"/>
          <w:w w:val="110"/>
        </w:rPr>
        <w:t> </w:t>
      </w:r>
      <w:r>
        <w:rPr>
          <w:w w:val="110"/>
        </w:rPr>
        <w:t>employment,</w:t>
      </w:r>
      <w:r>
        <w:rPr>
          <w:spacing w:val="-18"/>
          <w:w w:val="110"/>
        </w:rPr>
        <w:t> </w:t>
      </w:r>
      <w:r>
        <w:rPr>
          <w:w w:val="110"/>
        </w:rPr>
        <w:t>as</w:t>
      </w:r>
      <w:r>
        <w:rPr>
          <w:spacing w:val="-18"/>
          <w:w w:val="110"/>
        </w:rPr>
        <w:t> </w:t>
      </w:r>
      <w:r>
        <w:rPr>
          <w:w w:val="110"/>
        </w:rPr>
        <w:t>it</w:t>
      </w:r>
      <w:r>
        <w:rPr>
          <w:spacing w:val="-18"/>
          <w:w w:val="110"/>
        </w:rPr>
        <w:t> </w:t>
      </w:r>
      <w:r>
        <w:rPr>
          <w:w w:val="110"/>
        </w:rPr>
        <w:t>includes</w:t>
      </w:r>
      <w:r>
        <w:rPr>
          <w:spacing w:val="-19"/>
          <w:w w:val="110"/>
        </w:rPr>
        <w:t> </w:t>
      </w:r>
      <w:r>
        <w:rPr>
          <w:w w:val="110"/>
        </w:rPr>
        <w:t>changes</w:t>
      </w:r>
      <w:r>
        <w:rPr>
          <w:spacing w:val="-18"/>
          <w:w w:val="110"/>
        </w:rPr>
        <w:t> </w:t>
      </w:r>
      <w:r>
        <w:rPr>
          <w:w w:val="110"/>
        </w:rPr>
        <w:t>in overtime, flexible hours arrangements and the balance </w:t>
      </w:r>
      <w:r>
        <w:rPr>
          <w:spacing w:val="-3"/>
          <w:w w:val="110"/>
        </w:rPr>
        <w:t>between</w:t>
      </w:r>
      <w:r>
        <w:rPr>
          <w:spacing w:val="-21"/>
          <w:w w:val="110"/>
        </w:rPr>
        <w:t> </w:t>
      </w:r>
      <w:r>
        <w:rPr>
          <w:spacing w:val="-3"/>
          <w:w w:val="110"/>
        </w:rPr>
        <w:t>part-time</w:t>
      </w:r>
      <w:r>
        <w:rPr>
          <w:spacing w:val="-20"/>
          <w:w w:val="110"/>
        </w:rPr>
        <w:t> </w:t>
      </w:r>
      <w:r>
        <w:rPr>
          <w:w w:val="110"/>
        </w:rPr>
        <w:t>and</w:t>
      </w:r>
      <w:r>
        <w:rPr>
          <w:spacing w:val="-20"/>
          <w:w w:val="110"/>
        </w:rPr>
        <w:t> </w:t>
      </w:r>
      <w:r>
        <w:rPr>
          <w:w w:val="110"/>
        </w:rPr>
        <w:t>full-time</w:t>
      </w:r>
      <w:r>
        <w:rPr>
          <w:spacing w:val="-20"/>
          <w:w w:val="110"/>
        </w:rPr>
        <w:t> </w:t>
      </w:r>
      <w:r>
        <w:rPr>
          <w:spacing w:val="-3"/>
          <w:w w:val="110"/>
        </w:rPr>
        <w:t>workers.</w:t>
      </w:r>
      <w:r>
        <w:rPr>
          <w:spacing w:val="15"/>
          <w:w w:val="110"/>
        </w:rPr>
        <w:t> </w:t>
      </w:r>
      <w:r>
        <w:rPr>
          <w:spacing w:val="-5"/>
          <w:w w:val="110"/>
        </w:rPr>
        <w:t>Total</w:t>
      </w:r>
      <w:r>
        <w:rPr>
          <w:spacing w:val="-20"/>
          <w:w w:val="110"/>
        </w:rPr>
        <w:t> </w:t>
      </w:r>
      <w:r>
        <w:rPr>
          <w:w w:val="110"/>
        </w:rPr>
        <w:t>hours</w:t>
      </w:r>
      <w:r>
        <w:rPr>
          <w:spacing w:val="-20"/>
          <w:w w:val="110"/>
        </w:rPr>
        <w:t> </w:t>
      </w:r>
      <w:r>
        <w:rPr>
          <w:spacing w:val="-3"/>
          <w:w w:val="110"/>
        </w:rPr>
        <w:t>worked </w:t>
      </w:r>
      <w:r>
        <w:rPr>
          <w:w w:val="110"/>
        </w:rPr>
        <w:t>fell more rapidly than numbers in employment in the three months</w:t>
      </w:r>
      <w:r>
        <w:rPr>
          <w:spacing w:val="-13"/>
          <w:w w:val="110"/>
        </w:rPr>
        <w:t> </w:t>
      </w:r>
      <w:r>
        <w:rPr>
          <w:spacing w:val="-4"/>
          <w:w w:val="110"/>
        </w:rPr>
        <w:t>to</w:t>
      </w:r>
      <w:r>
        <w:rPr>
          <w:spacing w:val="-13"/>
          <w:w w:val="110"/>
        </w:rPr>
        <w:t> </w:t>
      </w:r>
      <w:r>
        <w:rPr>
          <w:spacing w:val="-3"/>
          <w:w w:val="110"/>
        </w:rPr>
        <w:t>November,</w:t>
      </w:r>
      <w:r>
        <w:rPr>
          <w:spacing w:val="-12"/>
          <w:w w:val="110"/>
        </w:rPr>
        <w:t> </w:t>
      </w:r>
      <w:r>
        <w:rPr>
          <w:w w:val="110"/>
        </w:rPr>
        <w:t>reflecting</w:t>
      </w:r>
      <w:r>
        <w:rPr>
          <w:spacing w:val="-13"/>
          <w:w w:val="110"/>
        </w:rPr>
        <w:t> </w:t>
      </w:r>
      <w:r>
        <w:rPr>
          <w:w w:val="110"/>
        </w:rPr>
        <w:t>a</w:t>
      </w:r>
      <w:r>
        <w:rPr>
          <w:spacing w:val="-12"/>
          <w:w w:val="110"/>
        </w:rPr>
        <w:t> </w:t>
      </w:r>
      <w:r>
        <w:rPr>
          <w:w w:val="110"/>
        </w:rPr>
        <w:t>further</w:t>
      </w:r>
      <w:r>
        <w:rPr>
          <w:spacing w:val="-13"/>
          <w:w w:val="110"/>
        </w:rPr>
        <w:t> </w:t>
      </w:r>
      <w:r>
        <w:rPr>
          <w:w w:val="110"/>
        </w:rPr>
        <w:t>decline</w:t>
      </w:r>
      <w:r>
        <w:rPr>
          <w:spacing w:val="-13"/>
          <w:w w:val="110"/>
        </w:rPr>
        <w:t> </w:t>
      </w:r>
      <w:r>
        <w:rPr>
          <w:w w:val="110"/>
        </w:rPr>
        <w:t>in</w:t>
      </w:r>
      <w:r>
        <w:rPr>
          <w:spacing w:val="-12"/>
          <w:w w:val="110"/>
        </w:rPr>
        <w:t> </w:t>
      </w:r>
      <w:r>
        <w:rPr>
          <w:w w:val="110"/>
        </w:rPr>
        <w:t>LFS</w:t>
      </w:r>
    </w:p>
    <w:p>
      <w:pPr>
        <w:spacing w:after="0" w:line="292" w:lineRule="auto"/>
        <w:sectPr>
          <w:type w:val="continuous"/>
          <w:pgSz w:w="11900" w:h="16840"/>
          <w:pgMar w:top="1260" w:bottom="280" w:left="640" w:right="640"/>
          <w:cols w:num="3" w:equalWidth="0">
            <w:col w:w="3259" w:space="40"/>
            <w:col w:w="307" w:space="1093"/>
            <w:col w:w="5921"/>
          </w:cols>
        </w:sectPr>
      </w:pPr>
    </w:p>
    <w:p>
      <w:pPr>
        <w:spacing w:line="110" w:lineRule="exact" w:before="0"/>
        <w:ind w:left="169" w:right="0" w:firstLine="0"/>
        <w:jc w:val="left"/>
        <w:rPr>
          <w:sz w:val="12"/>
        </w:rPr>
      </w:pPr>
      <w:r>
        <w:rPr>
          <w:w w:val="105"/>
          <w:sz w:val="12"/>
        </w:rPr>
        <w:t>(a) Growth of employment plus growth of average hours worked</w:t>
      </w:r>
    </w:p>
    <w:p>
      <w:pPr>
        <w:spacing w:line="129" w:lineRule="exact" w:before="0"/>
        <w:ind w:left="409" w:right="0" w:firstLine="0"/>
        <w:jc w:val="left"/>
        <w:rPr>
          <w:sz w:val="12"/>
        </w:rPr>
      </w:pPr>
      <w:r>
        <w:rPr>
          <w:w w:val="110"/>
          <w:sz w:val="12"/>
        </w:rPr>
        <w:t>may</w:t>
      </w:r>
      <w:r>
        <w:rPr>
          <w:spacing w:val="-14"/>
          <w:w w:val="110"/>
          <w:sz w:val="12"/>
        </w:rPr>
        <w:t> </w:t>
      </w:r>
      <w:r>
        <w:rPr>
          <w:w w:val="110"/>
          <w:sz w:val="12"/>
        </w:rPr>
        <w:t>not</w:t>
      </w:r>
      <w:r>
        <w:rPr>
          <w:spacing w:val="-14"/>
          <w:w w:val="110"/>
          <w:sz w:val="12"/>
        </w:rPr>
        <w:t> </w:t>
      </w:r>
      <w:r>
        <w:rPr>
          <w:w w:val="110"/>
          <w:sz w:val="12"/>
        </w:rPr>
        <w:t>equal</w:t>
      </w:r>
      <w:r>
        <w:rPr>
          <w:spacing w:val="-14"/>
          <w:w w:val="110"/>
          <w:sz w:val="12"/>
        </w:rPr>
        <w:t> </w:t>
      </w:r>
      <w:r>
        <w:rPr>
          <w:w w:val="110"/>
          <w:sz w:val="12"/>
        </w:rPr>
        <w:t>growth</w:t>
      </w:r>
      <w:r>
        <w:rPr>
          <w:spacing w:val="-14"/>
          <w:w w:val="110"/>
          <w:sz w:val="12"/>
        </w:rPr>
        <w:t> </w:t>
      </w:r>
      <w:r>
        <w:rPr>
          <w:w w:val="110"/>
          <w:sz w:val="12"/>
        </w:rPr>
        <w:t>of</w:t>
      </w:r>
      <w:r>
        <w:rPr>
          <w:spacing w:val="-14"/>
          <w:w w:val="110"/>
          <w:sz w:val="12"/>
        </w:rPr>
        <w:t> </w:t>
      </w:r>
      <w:r>
        <w:rPr>
          <w:w w:val="110"/>
          <w:sz w:val="12"/>
        </w:rPr>
        <w:t>total</w:t>
      </w:r>
      <w:r>
        <w:rPr>
          <w:spacing w:val="-14"/>
          <w:w w:val="110"/>
          <w:sz w:val="12"/>
        </w:rPr>
        <w:t> </w:t>
      </w:r>
      <w:r>
        <w:rPr>
          <w:w w:val="110"/>
          <w:sz w:val="12"/>
        </w:rPr>
        <w:t>hours</w:t>
      </w:r>
      <w:r>
        <w:rPr>
          <w:spacing w:val="-14"/>
          <w:w w:val="110"/>
          <w:sz w:val="12"/>
        </w:rPr>
        <w:t> </w:t>
      </w:r>
      <w:r>
        <w:rPr>
          <w:w w:val="110"/>
          <w:sz w:val="12"/>
        </w:rPr>
        <w:t>worked</w:t>
      </w:r>
      <w:r>
        <w:rPr>
          <w:spacing w:val="-13"/>
          <w:w w:val="110"/>
          <w:sz w:val="12"/>
        </w:rPr>
        <w:t> </w:t>
      </w:r>
      <w:r>
        <w:rPr>
          <w:w w:val="110"/>
          <w:sz w:val="12"/>
        </w:rPr>
        <w:t>because</w:t>
      </w:r>
      <w:r>
        <w:rPr>
          <w:spacing w:val="-14"/>
          <w:w w:val="110"/>
          <w:sz w:val="12"/>
        </w:rPr>
        <w:t> </w:t>
      </w:r>
      <w:r>
        <w:rPr>
          <w:w w:val="110"/>
          <w:sz w:val="12"/>
        </w:rPr>
        <w:t>of</w:t>
      </w:r>
      <w:r>
        <w:rPr>
          <w:spacing w:val="-14"/>
          <w:w w:val="110"/>
          <w:sz w:val="12"/>
        </w:rPr>
        <w:t> </w:t>
      </w:r>
      <w:r>
        <w:rPr>
          <w:w w:val="110"/>
          <w:sz w:val="12"/>
        </w:rPr>
        <w:t>rounding.</w:t>
      </w:r>
    </w:p>
    <w:p>
      <w:pPr>
        <w:pStyle w:val="BodyText"/>
        <w:spacing w:line="292" w:lineRule="auto"/>
        <w:ind w:left="169" w:right="195"/>
      </w:pPr>
      <w:r>
        <w:rPr/>
        <w:br w:type="column"/>
      </w:r>
      <w:r>
        <w:rPr>
          <w:w w:val="105"/>
        </w:rPr>
        <w:t>estimates of </w:t>
      </w:r>
      <w:r>
        <w:rPr>
          <w:spacing w:val="-3"/>
          <w:w w:val="105"/>
        </w:rPr>
        <w:t>average </w:t>
      </w:r>
      <w:r>
        <w:rPr>
          <w:w w:val="105"/>
        </w:rPr>
        <w:t>hours </w:t>
      </w:r>
      <w:r>
        <w:rPr>
          <w:spacing w:val="-3"/>
          <w:w w:val="105"/>
        </w:rPr>
        <w:t>worked </w:t>
      </w:r>
      <w:r>
        <w:rPr>
          <w:w w:val="105"/>
        </w:rPr>
        <w:t>(see Chart 3.1). </w:t>
      </w:r>
      <w:r>
        <w:rPr>
          <w:spacing w:val="-4"/>
          <w:w w:val="105"/>
        </w:rPr>
        <w:t>Moreover, </w:t>
      </w:r>
      <w:r>
        <w:rPr>
          <w:w w:val="105"/>
        </w:rPr>
        <w:t>recent falls in both employment and </w:t>
      </w:r>
      <w:r>
        <w:rPr>
          <w:spacing w:val="-3"/>
          <w:w w:val="105"/>
        </w:rPr>
        <w:t>total </w:t>
      </w:r>
      <w:r>
        <w:rPr>
          <w:w w:val="105"/>
        </w:rPr>
        <w:t>hours </w:t>
      </w:r>
      <w:r>
        <w:rPr>
          <w:spacing w:val="-3"/>
          <w:w w:val="105"/>
        </w:rPr>
        <w:t>worked may have </w:t>
      </w:r>
      <w:r>
        <w:rPr>
          <w:w w:val="105"/>
        </w:rPr>
        <w:t>been </w:t>
      </w:r>
      <w:r>
        <w:rPr>
          <w:spacing w:val="-3"/>
          <w:w w:val="105"/>
        </w:rPr>
        <w:t>understated by </w:t>
      </w:r>
      <w:r>
        <w:rPr>
          <w:w w:val="105"/>
        </w:rPr>
        <w:t>official data due </w:t>
      </w:r>
      <w:r>
        <w:rPr>
          <w:spacing w:val="-4"/>
          <w:w w:val="105"/>
        </w:rPr>
        <w:t>to  </w:t>
      </w:r>
      <w:r>
        <w:rPr>
          <w:w w:val="105"/>
        </w:rPr>
        <w:t>the introduction of new population estimates in the calculation of LFS employment. For example, the ONS estimates that underlying LFS</w:t>
      </w:r>
      <w:r>
        <w:rPr>
          <w:spacing w:val="8"/>
          <w:w w:val="105"/>
        </w:rPr>
        <w:t> </w:t>
      </w:r>
      <w:r>
        <w:rPr>
          <w:w w:val="105"/>
        </w:rPr>
        <w:t>employment</w:t>
      </w:r>
      <w:r>
        <w:rPr>
          <w:spacing w:val="8"/>
          <w:w w:val="105"/>
        </w:rPr>
        <w:t> </w:t>
      </w:r>
      <w:r>
        <w:rPr>
          <w:w w:val="105"/>
        </w:rPr>
        <w:t>fell</w:t>
      </w:r>
      <w:r>
        <w:rPr>
          <w:spacing w:val="8"/>
          <w:w w:val="105"/>
        </w:rPr>
        <w:t> </w:t>
      </w:r>
      <w:r>
        <w:rPr>
          <w:spacing w:val="-3"/>
          <w:w w:val="105"/>
        </w:rPr>
        <w:t>by</w:t>
      </w:r>
      <w:r>
        <w:rPr>
          <w:spacing w:val="8"/>
          <w:w w:val="105"/>
        </w:rPr>
        <w:t> </w:t>
      </w:r>
      <w:r>
        <w:rPr>
          <w:spacing w:val="-4"/>
          <w:w w:val="105"/>
        </w:rPr>
        <w:t>49,000</w:t>
      </w:r>
      <w:r>
        <w:rPr>
          <w:spacing w:val="9"/>
          <w:w w:val="105"/>
        </w:rPr>
        <w:t> </w:t>
      </w:r>
      <w:r>
        <w:rPr>
          <w:w w:val="105"/>
        </w:rPr>
        <w:t>(-0.2%)</w:t>
      </w:r>
      <w:r>
        <w:rPr>
          <w:spacing w:val="8"/>
          <w:w w:val="105"/>
        </w:rPr>
        <w:t> </w:t>
      </w:r>
      <w:r>
        <w:rPr>
          <w:w w:val="105"/>
        </w:rPr>
        <w:t>in</w:t>
      </w:r>
      <w:r>
        <w:rPr>
          <w:spacing w:val="8"/>
          <w:w w:val="105"/>
        </w:rPr>
        <w:t> </w:t>
      </w:r>
      <w:r>
        <w:rPr>
          <w:w w:val="105"/>
        </w:rPr>
        <w:t>the</w:t>
      </w:r>
      <w:r>
        <w:rPr>
          <w:spacing w:val="8"/>
          <w:w w:val="105"/>
        </w:rPr>
        <w:t> </w:t>
      </w:r>
      <w:r>
        <w:rPr>
          <w:w w:val="105"/>
        </w:rPr>
        <w:t>three</w:t>
      </w:r>
      <w:r>
        <w:rPr>
          <w:spacing w:val="9"/>
          <w:w w:val="105"/>
        </w:rPr>
        <w:t> </w:t>
      </w:r>
      <w:r>
        <w:rPr>
          <w:w w:val="105"/>
        </w:rPr>
        <w:t>months</w:t>
      </w:r>
      <w:r>
        <w:rPr>
          <w:spacing w:val="8"/>
          <w:w w:val="105"/>
        </w:rPr>
        <w:t> </w:t>
      </w:r>
      <w:r>
        <w:rPr>
          <w:spacing w:val="-4"/>
          <w:w w:val="105"/>
        </w:rPr>
        <w:t>to</w:t>
      </w:r>
    </w:p>
    <w:p>
      <w:pPr>
        <w:spacing w:after="0" w:line="292" w:lineRule="auto"/>
        <w:sectPr>
          <w:type w:val="continuous"/>
          <w:pgSz w:w="11900" w:h="16840"/>
          <w:pgMar w:top="1260" w:bottom="280" w:left="640" w:right="640"/>
          <w:cols w:num="2" w:equalWidth="0">
            <w:col w:w="3780" w:space="1142"/>
            <w:col w:w="5698"/>
          </w:cols>
        </w:sectPr>
      </w:pPr>
    </w:p>
    <w:p>
      <w:pPr>
        <w:pStyle w:val="BodyText"/>
      </w:pPr>
    </w:p>
    <w:p>
      <w:pPr>
        <w:pStyle w:val="BodyText"/>
        <w:spacing w:before="1"/>
        <w:rPr>
          <w:sz w:val="16"/>
        </w:rPr>
      </w:pPr>
    </w:p>
    <w:p>
      <w:pPr>
        <w:pStyle w:val="BodyText"/>
        <w:spacing w:line="292" w:lineRule="auto" w:before="63"/>
        <w:ind w:left="5094"/>
      </w:pPr>
      <w:r>
        <w:rPr>
          <w:w w:val="105"/>
        </w:rPr>
        <w:t>November, 24,000 more than suggested by the official data.</w:t>
      </w:r>
      <w:r>
        <w:rPr>
          <w:w w:val="105"/>
          <w:position w:val="5"/>
          <w:sz w:val="14"/>
        </w:rPr>
        <w:t>(1) </w:t>
      </w:r>
      <w:r>
        <w:rPr>
          <w:w w:val="105"/>
        </w:rPr>
        <w:t>Weaker employment would reduce estimates of total hours worked correspondingly.</w:t>
      </w:r>
    </w:p>
    <w:p>
      <w:pPr>
        <w:pStyle w:val="BodyText"/>
        <w:spacing w:before="5"/>
        <w:rPr>
          <w:sz w:val="17"/>
        </w:rPr>
      </w:pPr>
    </w:p>
    <w:p>
      <w:pPr>
        <w:spacing w:after="0"/>
        <w:rPr>
          <w:sz w:val="17"/>
        </w:rPr>
        <w:sectPr>
          <w:headerReference w:type="default" r:id="rId117"/>
          <w:headerReference w:type="even" r:id="rId118"/>
          <w:pgSz w:w="11900" w:h="16840"/>
          <w:pgMar w:header="601" w:footer="575" w:top="800" w:bottom="760" w:left="640" w:right="640"/>
        </w:sectPr>
      </w:pPr>
    </w:p>
    <w:p>
      <w:pPr>
        <w:pStyle w:val="Heading6"/>
        <w:spacing w:before="98"/>
        <w:ind w:left="184"/>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7"/>
        </w:rPr>
        <w:t>3.2</w:t>
      </w:r>
    </w:p>
    <w:p>
      <w:pPr>
        <w:spacing w:before="7"/>
        <w:ind w:left="184" w:right="0" w:firstLine="0"/>
        <w:jc w:val="left"/>
        <w:rPr>
          <w:rFonts w:ascii="Trebuchet MS"/>
          <w:b/>
          <w:sz w:val="20"/>
        </w:rPr>
      </w:pPr>
      <w:r>
        <w:rPr/>
        <w:drawing>
          <wp:anchor distT="0" distB="0" distL="0" distR="0" allowOverlap="1" layoutInCell="1" locked="0" behindDoc="0" simplePos="0" relativeHeight="16129536">
            <wp:simplePos x="0" y="0"/>
            <wp:positionH relativeFrom="page">
              <wp:posOffset>1152944</wp:posOffset>
            </wp:positionH>
            <wp:positionV relativeFrom="paragraph">
              <wp:posOffset>228011</wp:posOffset>
            </wp:positionV>
            <wp:extent cx="103733" cy="201091"/>
            <wp:effectExtent l="0" t="0" r="0" b="0"/>
            <wp:wrapNone/>
            <wp:docPr id="461" name="image67.png"/>
            <wp:cNvGraphicFramePr>
              <a:graphicFrameLocks noChangeAspect="1"/>
            </wp:cNvGraphicFramePr>
            <a:graphic>
              <a:graphicData uri="http://schemas.openxmlformats.org/drawingml/2006/picture">
                <pic:pic>
                  <pic:nvPicPr>
                    <pic:cNvPr id="462" name="image67.png"/>
                    <pic:cNvPicPr/>
                  </pic:nvPicPr>
                  <pic:blipFill>
                    <a:blip r:embed="rId119" cstate="print"/>
                    <a:stretch>
                      <a:fillRect/>
                    </a:stretch>
                  </pic:blipFill>
                  <pic:spPr>
                    <a:xfrm>
                      <a:off x="0" y="0"/>
                      <a:ext cx="103733" cy="201091"/>
                    </a:xfrm>
                    <a:prstGeom prst="rect">
                      <a:avLst/>
                    </a:prstGeom>
                  </pic:spPr>
                </pic:pic>
              </a:graphicData>
            </a:graphic>
          </wp:anchor>
        </w:drawing>
      </w:r>
      <w:r>
        <w:rPr>
          <w:rFonts w:ascii="Trebuchet MS"/>
          <w:b/>
          <w:color w:val="89C6DC"/>
          <w:w w:val="90"/>
          <w:sz w:val="20"/>
        </w:rPr>
        <w:t>Quarterly changes in Workforce Jobs</w:t>
      </w:r>
    </w:p>
    <w:p>
      <w:pPr>
        <w:pStyle w:val="BodyText"/>
        <w:spacing w:line="292" w:lineRule="auto" w:before="98"/>
        <w:ind w:left="184" w:right="120"/>
      </w:pPr>
      <w:r>
        <w:rPr/>
        <w:br w:type="column"/>
      </w:r>
      <w:r>
        <w:rPr>
          <w:w w:val="105"/>
        </w:rPr>
        <w:t>The Workforce Jobs survey provides an alternative measure of employment. Unlike the LFS measure, which is based on a</w:t>
      </w:r>
    </w:p>
    <w:p>
      <w:pPr>
        <w:spacing w:after="0" w:line="292" w:lineRule="auto"/>
        <w:sectPr>
          <w:type w:val="continuous"/>
          <w:pgSz w:w="11900" w:h="16840"/>
          <w:pgMar w:top="1260" w:bottom="280" w:left="640" w:right="640"/>
          <w:cols w:num="2" w:equalWidth="0">
            <w:col w:w="3347" w:space="1563"/>
            <w:col w:w="5710"/>
          </w:cols>
        </w:sectPr>
      </w:pPr>
    </w:p>
    <w:p>
      <w:pPr>
        <w:spacing w:line="268" w:lineRule="auto" w:before="35"/>
        <w:ind w:left="404" w:right="0" w:firstLine="0"/>
        <w:jc w:val="left"/>
        <w:rPr>
          <w:sz w:val="12"/>
        </w:rPr>
      </w:pPr>
      <w:r>
        <w:rPr/>
        <w:pict>
          <v:group style="position:absolute;margin-left:42.418999pt;margin-top:1.517458pt;width:8.2pt;height:19.1pt;mso-position-horizontal-relative:page;mso-position-vertical-relative:paragraph;z-index:16129024" coordorigin="848,30" coordsize="164,382">
            <v:line style="position:absolute" from="848,407" to="935,407" stroked="true" strokeweight=".5pt" strokecolor="#000000">
              <v:stroke dashstyle="solid"/>
            </v:line>
            <v:shape style="position:absolute;left:848;top:30;width:164;height:317" type="#_x0000_t75" stroked="false">
              <v:imagedata r:id="rId120" o:title=""/>
            </v:shape>
            <w10:wrap type="none"/>
          </v:group>
        </w:pict>
      </w:r>
      <w:r>
        <w:rPr>
          <w:w w:val="105"/>
          <w:sz w:val="12"/>
        </w:rPr>
        <w:t>Services Construction</w:t>
      </w:r>
    </w:p>
    <w:p>
      <w:pPr>
        <w:pStyle w:val="BodyText"/>
      </w:pPr>
    </w:p>
    <w:p>
      <w:pPr>
        <w:pStyle w:val="BodyText"/>
        <w:spacing w:before="7"/>
        <w:rPr>
          <w:sz w:val="17"/>
        </w:rPr>
      </w:pPr>
      <w:r>
        <w:rPr/>
        <w:pict>
          <v:shape style="position:absolute;margin-left:42.418999pt;margin-top:12.326334pt;width:4.350pt;height:.1pt;mso-position-horizontal-relative:page;mso-position-vertical-relative:paragraph;z-index:-15337472;mso-wrap-distance-left:0;mso-wrap-distance-right:0" coordorigin="848,247" coordsize="87,0" path="m848,247l935,247e" filled="false" stroked="true" strokeweight=".5pt" strokecolor="#000000">
            <v:path arrowok="t"/>
            <v:stroke dashstyle="solid"/>
            <w10:wrap type="topAndBottom"/>
          </v:shape>
        </w:pict>
      </w:r>
      <w:r>
        <w:rPr/>
        <w:pict>
          <v:shape style="position:absolute;margin-left:42.418999pt;margin-top:32.978333pt;width:4.350pt;height:.1pt;mso-position-horizontal-relative:page;mso-position-vertical-relative:paragraph;z-index:-15336960;mso-wrap-distance-left:0;mso-wrap-distance-right:0" coordorigin="848,660" coordsize="87,0" path="m848,660l935,660e" filled="false" stroked="true" strokeweight=".5pt" strokecolor="#000000">
            <v:path arrowok="t"/>
            <v:stroke dashstyle="solid"/>
            <w10:wrap type="topAndBottom"/>
          </v:shape>
        </w:pict>
      </w:r>
      <w:r>
        <w:rPr/>
        <w:pict>
          <v:shape style="position:absolute;margin-left:42.418999pt;margin-top:53.631332pt;width:4.350pt;height:.1pt;mso-position-horizontal-relative:page;mso-position-vertical-relative:paragraph;z-index:-15336448;mso-wrap-distance-left:0;mso-wrap-distance-right:0" coordorigin="848,1073" coordsize="87,0" path="m848,1073l935,1073e" filled="false" stroked="true" strokeweight=".5pt" strokecolor="#000000">
            <v:path arrowok="t"/>
            <v:stroke dashstyle="solid"/>
            <w10:wrap type="topAndBottom"/>
          </v:shape>
        </w:pict>
      </w:r>
      <w:r>
        <w:rPr/>
        <w:pict>
          <v:shape style="position:absolute;margin-left:42.418999pt;margin-top:74.283333pt;width:4.350pt;height:.1pt;mso-position-horizontal-relative:page;mso-position-vertical-relative:paragraph;z-index:-15335936;mso-wrap-distance-left:0;mso-wrap-distance-right:0" coordorigin="848,1486" coordsize="87,0" path="m848,1486l935,1486e" filled="false" stroked="true" strokeweight=".5pt" strokecolor="#000000">
            <v:path arrowok="t"/>
            <v:stroke dashstyle="solid"/>
            <w10:wrap type="topAndBottom"/>
          </v:shape>
        </w:pict>
      </w:r>
      <w:r>
        <w:rPr/>
        <w:pict>
          <v:shape style="position:absolute;margin-left:42.418999pt;margin-top:94.935333pt;width:4.350pt;height:.1pt;mso-position-horizontal-relative:page;mso-position-vertical-relative:paragraph;z-index:-15335424;mso-wrap-distance-left:0;mso-wrap-distance-right:0" coordorigin="848,1899" coordsize="87,0" path="m848,1899l935,1899e" filled="false" stroked="true" strokeweight=".5pt" strokecolor="#000000">
            <v:path arrowok="t"/>
            <v:stroke dashstyle="solid"/>
            <w10:wrap type="topAndBottom"/>
          </v:shape>
        </w:pict>
      </w:r>
      <w:r>
        <w:rPr/>
        <w:pict>
          <v:shape style="position:absolute;margin-left:42.418999pt;margin-top:115.588333pt;width:4.350pt;height:.1pt;mso-position-horizontal-relative:page;mso-position-vertical-relative:paragraph;z-index:-15334912;mso-wrap-distance-left:0;mso-wrap-distance-right:0" coordorigin="848,2312" coordsize="87,0" path="m848,2312l935,2312e" filled="false" stroked="true" strokeweight=".5pt" strokecolor="#000000">
            <v:path arrowok="t"/>
            <v:stroke dashstyle="solid"/>
            <w10:wrap type="topAndBottom"/>
          </v:shape>
        </w:pict>
      </w:r>
      <w:r>
        <w:rPr/>
        <w:pict>
          <v:shape style="position:absolute;margin-left:42.418999pt;margin-top:136.239334pt;width:4.350pt;height:.1pt;mso-position-horizontal-relative:page;mso-position-vertical-relative:paragraph;z-index:-15334400;mso-wrap-distance-left:0;mso-wrap-distance-right:0" coordorigin="848,2725" coordsize="87,0" path="m848,2725l935,2725e" filled="false" stroked="true" strokeweight=".5pt" strokecolor="#000000">
            <v:path arrowok="t"/>
            <v:stroke dashstyle="solid"/>
            <w10:wrap type="topAndBottom"/>
          </v:shape>
        </w:pict>
      </w:r>
    </w:p>
    <w:p>
      <w:pPr>
        <w:pStyle w:val="BodyText"/>
        <w:spacing w:before="1"/>
        <w:rPr>
          <w:sz w:val="29"/>
        </w:rPr>
      </w:pPr>
    </w:p>
    <w:p>
      <w:pPr>
        <w:pStyle w:val="BodyText"/>
        <w:spacing w:before="1"/>
        <w:rPr>
          <w:sz w:val="29"/>
        </w:rPr>
      </w:pPr>
    </w:p>
    <w:p>
      <w:pPr>
        <w:pStyle w:val="BodyText"/>
        <w:spacing w:before="1"/>
        <w:rPr>
          <w:sz w:val="29"/>
        </w:rPr>
      </w:pPr>
    </w:p>
    <w:p>
      <w:pPr>
        <w:pStyle w:val="BodyText"/>
        <w:spacing w:before="1"/>
        <w:rPr>
          <w:sz w:val="29"/>
        </w:rPr>
      </w:pPr>
    </w:p>
    <w:p>
      <w:pPr>
        <w:pStyle w:val="BodyText"/>
        <w:spacing w:before="1"/>
        <w:rPr>
          <w:sz w:val="29"/>
        </w:rPr>
      </w:pPr>
    </w:p>
    <w:p>
      <w:pPr>
        <w:pStyle w:val="BodyText"/>
        <w:spacing w:before="1"/>
        <w:rPr>
          <w:sz w:val="29"/>
        </w:rPr>
      </w:pPr>
    </w:p>
    <w:p>
      <w:pPr>
        <w:spacing w:line="268" w:lineRule="auto" w:before="35"/>
        <w:ind w:left="252" w:right="-16" w:firstLine="0"/>
        <w:jc w:val="left"/>
        <w:rPr>
          <w:sz w:val="12"/>
        </w:rPr>
      </w:pPr>
      <w:r>
        <w:rPr/>
        <w:br w:type="column"/>
      </w:r>
      <w:r>
        <w:rPr>
          <w:w w:val="110"/>
          <w:sz w:val="12"/>
        </w:rPr>
        <w:t>Production </w:t>
      </w:r>
      <w:r>
        <w:rPr>
          <w:w w:val="105"/>
          <w:sz w:val="12"/>
        </w:rPr>
        <w:t>Agriculture</w:t>
      </w:r>
    </w:p>
    <w:p>
      <w:pPr>
        <w:spacing w:before="35"/>
        <w:ind w:left="315" w:right="0" w:firstLine="0"/>
        <w:jc w:val="left"/>
        <w:rPr>
          <w:sz w:val="12"/>
        </w:rPr>
      </w:pPr>
      <w:r>
        <w:rPr/>
        <w:br w:type="column"/>
      </w:r>
      <w:r>
        <w:rPr>
          <w:w w:val="105"/>
          <w:sz w:val="12"/>
        </w:rPr>
        <w:t>Whole-economy</w:t>
      </w:r>
    </w:p>
    <w:p>
      <w:pPr>
        <w:spacing w:before="94"/>
        <w:ind w:left="858" w:right="0" w:firstLine="0"/>
        <w:jc w:val="left"/>
        <w:rPr>
          <w:sz w:val="12"/>
        </w:rPr>
      </w:pPr>
      <w:r>
        <w:rPr/>
        <w:pict>
          <v:group style="position:absolute;margin-left:50.594002pt;margin-top:16.218pt;width:152.550pt;height:140.65pt;mso-position-horizontal-relative:page;mso-position-vertical-relative:paragraph;z-index:16128512" coordorigin="1012,324" coordsize="3051,2813">
            <v:rect style="position:absolute;left:1017;top:2269;width:75;height:33" filled="true" fillcolor="#006caa" stroked="false">
              <v:fill type="solid"/>
            </v:rect>
            <v:rect style="position:absolute;left:1017;top:2269;width:75;height:33" filled="false" stroked="true" strokeweight=".5pt" strokecolor="#000000">
              <v:stroke dashstyle="solid"/>
            </v:rect>
            <v:rect style="position:absolute;left:1017;top:2091;width:75;height:180" filled="true" fillcolor="#835335" stroked="false">
              <v:fill type="solid"/>
            </v:rect>
            <v:rect style="position:absolute;left:1017;top:2091;width:75;height:180" filled="false" stroked="true" strokeweight=".5pt" strokecolor="#000000">
              <v:stroke dashstyle="solid"/>
            </v:rect>
            <v:rect style="position:absolute;left:1017;top:874;width:75;height:1220" filled="true" fillcolor="#f6bd61" stroked="false">
              <v:fill type="solid"/>
            </v:rect>
            <v:rect style="position:absolute;left:1017;top:874;width:75;height:1220" filled="false" stroked="true" strokeweight=".5pt" strokecolor="#000000">
              <v:stroke dashstyle="solid"/>
            </v:rect>
            <v:rect style="position:absolute;left:1017;top:2299;width:75;height:213" filled="true" fillcolor="#b3dabb" stroked="false">
              <v:fill type="solid"/>
            </v:rect>
            <v:rect style="position:absolute;left:1017;top:2299;width:75;height:213" filled="false" stroked="true" strokeweight=".5pt" strokecolor="#000000">
              <v:stroke dashstyle="solid"/>
            </v:rect>
            <v:rect style="position:absolute;left:1217;top:2044;width:75;height:258" filled="true" fillcolor="#006caa" stroked="false">
              <v:fill type="solid"/>
            </v:rect>
            <v:rect style="position:absolute;left:1217;top:2044;width:75;height:258" filled="false" stroked="true" strokeweight=".5pt" strokecolor="#000000">
              <v:stroke dashstyle="solid"/>
            </v:rect>
            <v:rect style="position:absolute;left:1217;top:2299;width:75;height:35" filled="true" fillcolor="#835335" stroked="false">
              <v:fill type="solid"/>
            </v:rect>
            <v:rect style="position:absolute;left:1217;top:2299;width:75;height:35" filled="false" stroked="true" strokeweight=".5pt" strokecolor="#000000">
              <v:stroke dashstyle="solid"/>
            </v:rect>
            <v:rect style="position:absolute;left:1217;top:554;width:75;height:1493" filled="true" fillcolor="#f6bd61" stroked="false">
              <v:fill type="solid"/>
            </v:rect>
            <v:rect style="position:absolute;left:1217;top:554;width:75;height:1493" filled="false" stroked="true" strokeweight=".5pt" strokecolor="#000000">
              <v:stroke dashstyle="solid"/>
            </v:rect>
            <v:rect style="position:absolute;left:1217;top:329;width:75;height:228" filled="true" fillcolor="#b3dabb" stroked="false">
              <v:fill type="solid"/>
            </v:rect>
            <v:rect style="position:absolute;left:1217;top:329;width:75;height:228" filled="false" stroked="true" strokeweight=".5pt" strokecolor="#000000">
              <v:stroke dashstyle="solid"/>
            </v:rect>
            <v:rect style="position:absolute;left:1417;top:2299;width:75;height:228" filled="true" fillcolor="#006caa" stroked="false">
              <v:fill type="solid"/>
            </v:rect>
            <v:rect style="position:absolute;left:1417;top:2299;width:75;height:228" filled="false" stroked="true" strokeweight=".5pt" strokecolor="#000000">
              <v:stroke dashstyle="solid"/>
            </v:rect>
            <v:rect style="position:absolute;left:1417;top:2124;width:75;height:178" filled="true" fillcolor="#835335" stroked="false">
              <v:fill type="solid"/>
            </v:rect>
            <v:rect style="position:absolute;left:1417;top:2124;width:75;height:178" filled="false" stroked="true" strokeweight=".5pt" strokecolor="#000000">
              <v:stroke dashstyle="solid"/>
            </v:rect>
            <v:rect style="position:absolute;left:1417;top:1771;width:75;height:355" filled="true" fillcolor="#f6bd61" stroked="false">
              <v:fill type="solid"/>
            </v:rect>
            <v:rect style="position:absolute;left:1417;top:1771;width:75;height:355" filled="false" stroked="true" strokeweight=".5pt" strokecolor="#000000">
              <v:stroke dashstyle="solid"/>
            </v:rect>
            <v:rect style="position:absolute;left:1417;top:1754;width:75;height:20" filled="true" fillcolor="#b3dabb" stroked="false">
              <v:fill type="solid"/>
            </v:rect>
            <v:rect style="position:absolute;left:1417;top:1754;width:75;height:20" filled="false" stroked="true" strokeweight=".5pt" strokecolor="#000000">
              <v:stroke dashstyle="solid"/>
            </v:rect>
            <v:rect style="position:absolute;left:1617;top:2156;width:75;height:145" filled="true" fillcolor="#006caa" stroked="false">
              <v:fill type="solid"/>
            </v:rect>
            <v:rect style="position:absolute;left:1617;top:2156;width:75;height:145" filled="false" stroked="true" strokeweight=".5pt" strokecolor="#000000">
              <v:stroke dashstyle="solid"/>
            </v:rect>
            <v:rect style="position:absolute;left:1617;top:1851;width:75;height:308" filled="true" fillcolor="#835335" stroked="false">
              <v:fill type="solid"/>
            </v:rect>
            <v:rect style="position:absolute;left:1617;top:1851;width:75;height:308" filled="false" stroked="true" strokeweight=".5pt" strokecolor="#000000">
              <v:stroke dashstyle="solid"/>
            </v:rect>
            <v:rect style="position:absolute;left:1617;top:1001;width:75;height:853" filled="true" fillcolor="#f6bd61" stroked="false">
              <v:fill type="solid"/>
            </v:rect>
            <v:rect style="position:absolute;left:1617;top:1001;width:75;height:853" filled="false" stroked="true" strokeweight=".5pt" strokecolor="#000000">
              <v:stroke dashstyle="solid"/>
            </v:rect>
            <v:rect style="position:absolute;left:1617;top:2299;width:75;height:35" filled="true" fillcolor="#b3dabb" stroked="false">
              <v:fill type="solid"/>
            </v:rect>
            <v:rect style="position:absolute;left:1617;top:2299;width:75;height:35" filled="false" stroked="true" strokeweight=".5pt" strokecolor="#000000">
              <v:stroke dashstyle="solid"/>
            </v:rect>
            <v:rect style="position:absolute;left:1820;top:1884;width:73;height:418" filled="true" fillcolor="#006caa" stroked="false">
              <v:fill type="solid"/>
            </v:rect>
            <v:rect style="position:absolute;left:1820;top:1884;width:73;height:418" filled="false" stroked="true" strokeweight=".5pt" strokecolor="#000000">
              <v:stroke dashstyle="solid"/>
            </v:rect>
            <v:rect style="position:absolute;left:1820;top:1804;width:73;height:83" filled="true" fillcolor="#835335" stroked="false">
              <v:fill type="solid"/>
            </v:rect>
            <v:rect style="position:absolute;left:1820;top:1804;width:73;height:83" filled="false" stroked="true" strokeweight=".5pt" strokecolor="#000000">
              <v:stroke dashstyle="solid"/>
            </v:rect>
            <v:rect style="position:absolute;left:1820;top:569;width:73;height:1238" filled="true" fillcolor="#f6bd61" stroked="false">
              <v:fill type="solid"/>
            </v:rect>
            <v:rect style="position:absolute;left:1820;top:569;width:73;height:1238" filled="false" stroked="true" strokeweight=".5pt" strokecolor="#000000">
              <v:stroke dashstyle="solid"/>
            </v:rect>
            <v:rect style="position:absolute;left:1820;top:2299;width:73;height:68" filled="true" fillcolor="#b3dabb" stroked="false">
              <v:fill type="solid"/>
            </v:rect>
            <v:rect style="position:absolute;left:1820;top:2299;width:73;height:68" filled="false" stroked="true" strokeweight=".5pt" strokecolor="#000000">
              <v:stroke dashstyle="solid"/>
            </v:rect>
            <v:rect style="position:absolute;left:2020;top:2299;width:73;height:148" filled="true" fillcolor="#006caa" stroked="false">
              <v:fill type="solid"/>
            </v:rect>
            <v:rect style="position:absolute;left:2020;top:2299;width:73;height:148" filled="false" stroked="true" strokeweight=".5pt" strokecolor="#000000">
              <v:stroke dashstyle="solid"/>
            </v:rect>
            <v:rect style="position:absolute;left:2020;top:2444;width:73;height:115" filled="true" fillcolor="#835335" stroked="false">
              <v:fill type="solid"/>
            </v:rect>
            <v:rect style="position:absolute;left:2020;top:2444;width:73;height:115" filled="false" stroked="true" strokeweight=".5pt" strokecolor="#000000">
              <v:stroke dashstyle="solid"/>
            </v:rect>
            <v:rect style="position:absolute;left:2020;top:2556;width:73;height:290" filled="true" fillcolor="#f6bd61" stroked="false">
              <v:fill type="solid"/>
            </v:rect>
            <v:rect style="position:absolute;left:2020;top:2556;width:73;height:290" filled="false" stroked="true" strokeweight=".5pt" strokecolor="#000000">
              <v:stroke dashstyle="solid"/>
            </v:rect>
            <v:rect style="position:absolute;left:2020;top:2844;width:73;height:20" filled="true" fillcolor="#b3dabb" stroked="false">
              <v:fill type="solid"/>
            </v:rect>
            <v:rect style="position:absolute;left:2020;top:2844;width:73;height:20" filled="false" stroked="true" strokeweight=".5pt" strokecolor="#000000">
              <v:stroke dashstyle="solid"/>
            </v:rect>
            <v:rect style="position:absolute;left:2230;top:2299;width:63;height:180" filled="true" fillcolor="#006caa" stroked="false">
              <v:fill type="solid"/>
            </v:rect>
            <v:rect style="position:absolute;left:2230;top:2299;width:63;height:180" filled="false" stroked="true" strokeweight=".5pt" strokecolor="#000000">
              <v:stroke dashstyle="solid"/>
            </v:rect>
            <v:rect style="position:absolute;left:2230;top:2476;width:63;height:130" filled="true" fillcolor="#835335" stroked="false">
              <v:fill type="solid"/>
            </v:rect>
            <v:rect style="position:absolute;left:2230;top:2476;width:63;height:130" filled="false" stroked="true" strokeweight=".5pt" strokecolor="#000000">
              <v:stroke dashstyle="solid"/>
            </v:rect>
            <v:rect style="position:absolute;left:2230;top:761;width:63;height:1540" filled="true" fillcolor="#f6bd61" stroked="false">
              <v:fill type="solid"/>
            </v:rect>
            <v:rect style="position:absolute;left:2230;top:761;width:63;height:1540" filled="false" stroked="true" strokeweight=".5pt" strokecolor="#000000">
              <v:stroke dashstyle="solid"/>
            </v:rect>
            <v:rect style="position:absolute;left:2230;top:2604;width:63;height:180" filled="true" fillcolor="#b3dabb" stroked="false">
              <v:fill type="solid"/>
            </v:rect>
            <v:rect style="position:absolute;left:2230;top:2604;width:63;height:180" filled="false" stroked="true" strokeweight=".5pt" strokecolor="#000000">
              <v:stroke dashstyle="solid"/>
            </v:rect>
            <v:rect style="position:absolute;left:2430;top:2299;width:63;height:500" filled="true" fillcolor="#006caa" stroked="false">
              <v:fill type="solid"/>
            </v:rect>
            <v:rect style="position:absolute;left:2430;top:2299;width:63;height:500" filled="false" stroked="true" strokeweight=".5pt" strokecolor="#000000">
              <v:stroke dashstyle="solid"/>
            </v:rect>
            <v:rect style="position:absolute;left:2430;top:2156;width:63;height:145" filled="true" fillcolor="#835335" stroked="false">
              <v:fill type="solid"/>
            </v:rect>
            <v:rect style="position:absolute;left:2430;top:2156;width:63;height:145" filled="false" stroked="true" strokeweight=".5pt" strokecolor="#000000">
              <v:stroke dashstyle="solid"/>
            </v:rect>
            <v:rect style="position:absolute;left:2430;top:1354;width:63;height:805" filled="true" fillcolor="#f6bd61" stroked="false">
              <v:fill type="solid"/>
            </v:rect>
            <v:rect style="position:absolute;left:2430;top:1354;width:63;height:805" filled="false" stroked="true" strokeweight=".5pt" strokecolor="#000000">
              <v:stroke dashstyle="solid"/>
            </v:rect>
            <v:rect style="position:absolute;left:2430;top:2796;width:63;height:163" filled="true" fillcolor="#b3dabb" stroked="false">
              <v:fill type="solid"/>
            </v:rect>
            <v:rect style="position:absolute;left:2430;top:2796;width:63;height:163" filled="false" stroked="true" strokeweight=".5pt" strokecolor="#000000">
              <v:stroke dashstyle="solid"/>
            </v:rect>
            <v:rect style="position:absolute;left:2630;top:2299;width:63;height:453" filled="true" fillcolor="#006caa" stroked="false">
              <v:fill type="solid"/>
            </v:rect>
            <v:rect style="position:absolute;left:2630;top:2299;width:63;height:453" filled="false" stroked="true" strokeweight=".5pt" strokecolor="#000000">
              <v:stroke dashstyle="solid"/>
            </v:rect>
            <v:rect style="position:absolute;left:2630;top:2284;width:63;height:18" filled="true" fillcolor="#835335" stroked="false">
              <v:fill type="solid"/>
            </v:rect>
            <v:rect style="position:absolute;left:2630;top:2284;width:63;height:18" filled="false" stroked="true" strokeweight=".5pt" strokecolor="#000000">
              <v:stroke dashstyle="solid"/>
            </v:rect>
            <v:rect style="position:absolute;left:2630;top:1691;width:63;height:595" filled="true" fillcolor="#f6bd61" stroked="false">
              <v:fill type="solid"/>
            </v:rect>
            <v:rect style="position:absolute;left:2630;top:1691;width:63;height:595" filled="false" stroked="true" strokeweight=".5pt" strokecolor="#000000">
              <v:stroke dashstyle="solid"/>
            </v:rect>
            <v:rect style="position:absolute;left:2630;top:2749;width:63;height:18" filled="true" fillcolor="#b3dabb" stroked="false">
              <v:fill type="solid"/>
            </v:rect>
            <v:rect style="position:absolute;left:2630;top:2749;width:63;height:18" filled="false" stroked="true" strokeweight=".5pt" strokecolor="#000000">
              <v:stroke dashstyle="solid"/>
            </v:rect>
            <v:rect style="position:absolute;left:2830;top:2299;width:75;height:275" filled="true" fillcolor="#006caa" stroked="false">
              <v:fill type="solid"/>
            </v:rect>
            <v:rect style="position:absolute;left:2830;top:2299;width:75;height:275" filled="false" stroked="true" strokeweight=".5pt" strokecolor="#000000">
              <v:stroke dashstyle="solid"/>
            </v:rect>
            <v:rect style="position:absolute;left:2830;top:2186;width:75;height:115" filled="true" fillcolor="#835335" stroked="false">
              <v:fill type="solid"/>
            </v:rect>
            <v:rect style="position:absolute;left:2830;top:2186;width:75;height:115" filled="false" stroked="true" strokeweight=".5pt" strokecolor="#000000">
              <v:stroke dashstyle="solid"/>
            </v:rect>
            <v:rect style="position:absolute;left:2830;top:1049;width:75;height:1140" filled="true" fillcolor="#f6bd61" stroked="false">
              <v:fill type="solid"/>
            </v:rect>
            <v:rect style="position:absolute;left:2830;top:1049;width:75;height:1140" filled="false" stroked="true" strokeweight=".5pt" strokecolor="#000000">
              <v:stroke dashstyle="solid"/>
            </v:rect>
            <v:rect style="position:absolute;left:3030;top:2299;width:75;height:388" filled="true" fillcolor="#006caa" stroked="false">
              <v:fill type="solid"/>
            </v:rect>
            <v:rect style="position:absolute;left:3030;top:2299;width:75;height:388" filled="false" stroked="true" strokeweight=".5pt" strokecolor="#000000">
              <v:stroke dashstyle="solid"/>
            </v:rect>
            <v:rect style="position:absolute;left:3030;top:2684;width:75;height:20" filled="true" fillcolor="#835335" stroked="false">
              <v:fill type="solid"/>
            </v:rect>
            <v:rect style="position:absolute;left:3030;top:2684;width:75;height:20" filled="false" stroked="true" strokeweight=".5pt" strokecolor="#000000">
              <v:stroke dashstyle="solid"/>
            </v:rect>
            <v:rect style="position:absolute;left:3030;top:1659;width:75;height:643" filled="true" fillcolor="#f6bd61" stroked="false">
              <v:fill type="solid"/>
            </v:rect>
            <v:rect style="position:absolute;left:3030;top:1659;width:75;height:643" filled="false" stroked="true" strokeweight=".5pt" strokecolor="#000000">
              <v:stroke dashstyle="solid"/>
            </v:rect>
            <v:rect style="position:absolute;left:3030;top:2701;width:75;height:163" filled="true" fillcolor="#b3dabb" stroked="false">
              <v:fill type="solid"/>
            </v:rect>
            <v:rect style="position:absolute;left:3030;top:2701;width:75;height:163" filled="false" stroked="true" strokeweight=".5pt" strokecolor="#000000">
              <v:stroke dashstyle="solid"/>
            </v:rect>
            <v:rect style="position:absolute;left:3230;top:2299;width:75;height:133" filled="true" fillcolor="#006caa" stroked="false">
              <v:fill type="solid"/>
            </v:rect>
            <v:rect style="position:absolute;left:3230;top:2299;width:75;height:133" filled="false" stroked="true" strokeweight=".5pt" strokecolor="#000000">
              <v:stroke dashstyle="solid"/>
            </v:rect>
            <v:rect style="position:absolute;left:3230;top:2269;width:75;height:33" filled="true" fillcolor="#835335" stroked="false">
              <v:fill type="solid"/>
            </v:rect>
            <v:rect style="position:absolute;left:3230;top:2269;width:75;height:33" filled="false" stroked="true" strokeweight=".5pt" strokecolor="#000000">
              <v:stroke dashstyle="solid"/>
            </v:rect>
            <v:rect style="position:absolute;left:3230;top:1339;width:75;height:933" filled="true" fillcolor="#f6bd61" stroked="false">
              <v:fill type="solid"/>
            </v:rect>
            <v:rect style="position:absolute;left:3230;top:1339;width:75;height:933" filled="false" stroked="true" strokeweight=".5pt" strokecolor="#000000">
              <v:stroke dashstyle="solid"/>
            </v:rect>
            <v:rect style="position:absolute;left:3230;top:1241;width:75;height:100" filled="true" fillcolor="#b3dabb" stroked="false">
              <v:fill type="solid"/>
            </v:rect>
            <v:rect style="position:absolute;left:3230;top:1241;width:75;height:100" filled="false" stroked="true" strokeweight=".5pt" strokecolor="#000000">
              <v:stroke dashstyle="solid"/>
            </v:rect>
            <v:rect style="position:absolute;left:3430;top:2299;width:75;height:100" filled="true" fillcolor="#006caa" stroked="false">
              <v:fill type="solid"/>
            </v:rect>
            <v:rect style="position:absolute;left:3430;top:2299;width:75;height:100" filled="false" stroked="true" strokeweight=".5pt" strokecolor="#000000">
              <v:stroke dashstyle="solid"/>
            </v:rect>
            <v:rect style="position:absolute;left:3430;top:2219;width:75;height:83" filled="true" fillcolor="#835335" stroked="false">
              <v:fill type="solid"/>
            </v:rect>
            <v:rect style="position:absolute;left:3430;top:2219;width:75;height:83" filled="false" stroked="true" strokeweight=".5pt" strokecolor="#000000">
              <v:stroke dashstyle="solid"/>
            </v:rect>
            <v:rect style="position:absolute;left:3430;top:2396;width:75;height:290" filled="true" fillcolor="#f6bd61" stroked="false">
              <v:fill type="solid"/>
            </v:rect>
            <v:rect style="position:absolute;left:3430;top:2396;width:75;height:290" filled="false" stroked="true" strokeweight=".5pt" strokecolor="#000000">
              <v:stroke dashstyle="solid"/>
            </v:rect>
            <v:rect style="position:absolute;left:3430;top:2044;width:75;height:178" filled="true" fillcolor="#b3dabb" stroked="false">
              <v:fill type="solid"/>
            </v:rect>
            <v:rect style="position:absolute;left:3430;top:2044;width:75;height:178" filled="false" stroked="true" strokeweight=".5pt" strokecolor="#000000">
              <v:stroke dashstyle="solid"/>
            </v:rect>
            <v:rect style="position:absolute;left:3630;top:2299;width:75;height:325" filled="true" fillcolor="#006caa" stroked="false">
              <v:fill type="solid"/>
            </v:rect>
            <v:rect style="position:absolute;left:3630;top:2299;width:75;height:325" filled="false" stroked="true" strokeweight=".5pt" strokecolor="#000000">
              <v:stroke dashstyle="solid"/>
            </v:rect>
            <v:rect style="position:absolute;left:3630;top:1771;width:75;height:530" filled="true" fillcolor="#835335" stroked="false">
              <v:fill type="solid"/>
            </v:rect>
            <v:rect style="position:absolute;left:3630;top:1771;width:75;height:530" filled="false" stroked="true" strokeweight=".5pt" strokecolor="#000000">
              <v:stroke dashstyle="solid"/>
            </v:rect>
            <v:rect style="position:absolute;left:3630;top:1546;width:75;height:228" filled="true" fillcolor="#f6bd61" stroked="false">
              <v:fill type="solid"/>
            </v:rect>
            <v:rect style="position:absolute;left:3630;top:1546;width:75;height:228" filled="false" stroked="true" strokeweight=".5pt" strokecolor="#000000">
              <v:stroke dashstyle="solid"/>
            </v:rect>
            <v:rect style="position:absolute;left:3630;top:2621;width:75;height:18" filled="true" fillcolor="#b3dabb" stroked="false">
              <v:fill type="solid"/>
            </v:rect>
            <v:rect style="position:absolute;left:3630;top:2621;width:75;height:18" filled="false" stroked="true" strokeweight=".5pt" strokecolor="#000000">
              <v:stroke dashstyle="solid"/>
            </v:rect>
            <v:rect style="position:absolute;left:3830;top:2299;width:75;height:468" filled="true" fillcolor="#006caa" stroked="false">
              <v:fill type="solid"/>
            </v:rect>
            <v:rect style="position:absolute;left:3830;top:2299;width:75;height:468" filled="false" stroked="true" strokeweight=".5pt" strokecolor="#000000">
              <v:stroke dashstyle="solid"/>
            </v:rect>
            <v:rect style="position:absolute;left:3830;top:2764;width:75;height:195" filled="true" fillcolor="#835335" stroked="false">
              <v:fill type="solid"/>
            </v:rect>
            <v:rect style="position:absolute;left:3830;top:2764;width:75;height:195" filled="false" stroked="true" strokeweight=".5pt" strokecolor="#000000">
              <v:stroke dashstyle="solid"/>
            </v:rect>
            <v:rect style="position:absolute;left:3830;top:1804;width:75;height:498" filled="true" fillcolor="#f6bd61" stroked="false">
              <v:fill type="solid"/>
            </v:rect>
            <v:rect style="position:absolute;left:3830;top:1804;width:75;height:498" filled="false" stroked="true" strokeweight=".5pt" strokecolor="#000000">
              <v:stroke dashstyle="solid"/>
            </v:rect>
            <v:rect style="position:absolute;left:3830;top:2956;width:75;height:148" filled="true" fillcolor="#b3dabb" stroked="false">
              <v:fill type="solid"/>
            </v:rect>
            <v:shape style="position:absolute;left:1017;top:2299;width:2888;height:805" coordorigin="1018,2299" coordsize="2888,805" path="m3830,2957l3905,2957,3905,3104,3830,3104,3830,2957xm1018,2299l3903,2302e" filled="false" stroked="true" strokeweight=".5pt" strokecolor="#000000">
              <v:path arrowok="t"/>
              <v:stroke dashstyle="solid"/>
            </v:shape>
            <v:shape style="position:absolute;left:1018;top:2264;width:2813;height:90" coordorigin="1019,2264" coordsize="2813,90" path="m1219,2264l1219,2337m1419,2264l1419,2337m1619,2264l1619,2337m2231,2264l2231,2337m2431,2264l2431,2337m2831,2264l2831,2337m3031,2264l3031,2337m3231,2264l3231,2337m3631,2264l3631,2337m3831,2264l3831,2337m1019,2294l1019,2354m1821,2294l1821,2354m2631,2294l2631,2354m3431,2294l3431,2354e" filled="false" stroked="true" strokeweight=".625pt" strokecolor="#000000">
              <v:path arrowok="t"/>
              <v:stroke dashstyle="solid"/>
            </v:shape>
            <v:shape style="position:absolute;left:1055;top:376;width:2813;height:2500" coordorigin="1055,377" coordsize="2813,2500" path="m1055,1082l1255,377m1255,377l1455,1979m1455,1979l1655,1034m1655,1034l1855,617m1855,617l2055,2877m2055,2877l2255,1259m2255,1259l2465,2027m2465,2027l2665,2157m2665,2157l2865,1322m2865,1322l3065,2237m3065,2237l3265,1387m3265,1387l3468,2412m3468,2412l3668,1899m3668,1899l3868,2604e" filled="false" stroked="true" strokeweight="1pt" strokecolor="#de0035">
              <v:path arrowok="t"/>
              <v:stroke dashstyle="solid"/>
            </v:shape>
            <v:shape style="position:absolute;left:1016;top:653;width:3046;height:2479" coordorigin="1017,653" coordsize="3046,2479" path="m1019,3132l3919,3132m1017,3065l1017,3132m1821,3065l1821,3132m2626,3065l2626,3132m3430,3065l3430,3132m3976,653l4063,653m3976,1066l4063,1066m3976,1480l4063,1480m3976,1893l4063,1893m3976,2306l4063,2306m3976,2719l4063,2719m3976,3132l4063,3132e" filled="false" stroked="true" strokeweight=".5pt" strokecolor="#000000">
              <v:path arrowok="t"/>
              <v:stroke dashstyle="solid"/>
            </v:shape>
            <w10:wrap type="none"/>
          </v:group>
        </w:pict>
      </w:r>
      <w:r>
        <w:rPr/>
        <w:pict>
          <v:line style="position:absolute;mso-position-horizontal-relative:page;mso-position-vertical-relative:paragraph;z-index:16130048" from="135.225006pt,-4.532001pt" to="145.225006pt,-4.532001pt" stroked="true" strokeweight="1pt" strokecolor="#de0035">
            <v:stroke dashstyle="solid"/>
            <w10:wrap type="none"/>
          </v:line>
        </w:pict>
      </w:r>
      <w:r>
        <w:rPr>
          <w:w w:val="105"/>
          <w:sz w:val="12"/>
        </w:rPr>
        <w:t>Thousan</w:t>
      </w:r>
      <w:r>
        <w:rPr>
          <w:w w:val="105"/>
          <w:sz w:val="12"/>
          <w:u w:val="single"/>
        </w:rPr>
        <w:t>ds</w:t>
      </w:r>
    </w:p>
    <w:p>
      <w:pPr>
        <w:pStyle w:val="BodyText"/>
        <w:rPr>
          <w:sz w:val="12"/>
        </w:rPr>
      </w:pPr>
      <w:r>
        <w:rPr/>
        <w:br w:type="column"/>
      </w:r>
      <w:r>
        <w:rPr>
          <w:sz w:val="12"/>
        </w:rPr>
      </w:r>
    </w:p>
    <w:p>
      <w:pPr>
        <w:pStyle w:val="BodyText"/>
        <w:spacing w:before="8"/>
        <w:rPr>
          <w:sz w:val="16"/>
        </w:rPr>
      </w:pPr>
    </w:p>
    <w:p>
      <w:pPr>
        <w:spacing w:before="0"/>
        <w:ind w:left="11" w:right="0" w:firstLine="0"/>
        <w:jc w:val="left"/>
        <w:rPr>
          <w:sz w:val="12"/>
        </w:rPr>
      </w:pPr>
      <w:r>
        <w:rPr>
          <w:w w:val="120"/>
          <w:sz w:val="12"/>
        </w:rPr>
        <w:t>250</w:t>
      </w:r>
    </w:p>
    <w:p>
      <w:pPr>
        <w:pStyle w:val="BodyText"/>
        <w:rPr>
          <w:sz w:val="12"/>
        </w:rPr>
      </w:pPr>
    </w:p>
    <w:p>
      <w:pPr>
        <w:pStyle w:val="BodyText"/>
        <w:spacing w:before="9"/>
        <w:rPr>
          <w:sz w:val="11"/>
        </w:rPr>
      </w:pPr>
    </w:p>
    <w:p>
      <w:pPr>
        <w:spacing w:before="0"/>
        <w:ind w:left="11" w:right="0" w:firstLine="0"/>
        <w:jc w:val="left"/>
        <w:rPr>
          <w:sz w:val="12"/>
        </w:rPr>
      </w:pPr>
      <w:r>
        <w:rPr>
          <w:w w:val="120"/>
          <w:sz w:val="12"/>
        </w:rPr>
        <w:t>200</w:t>
      </w:r>
    </w:p>
    <w:p>
      <w:pPr>
        <w:pStyle w:val="BodyText"/>
        <w:rPr>
          <w:sz w:val="12"/>
        </w:rPr>
      </w:pPr>
    </w:p>
    <w:p>
      <w:pPr>
        <w:pStyle w:val="BodyText"/>
        <w:spacing w:before="10"/>
        <w:rPr>
          <w:sz w:val="11"/>
        </w:rPr>
      </w:pPr>
    </w:p>
    <w:p>
      <w:pPr>
        <w:spacing w:before="0"/>
        <w:ind w:left="11" w:right="0" w:firstLine="0"/>
        <w:jc w:val="left"/>
        <w:rPr>
          <w:sz w:val="12"/>
        </w:rPr>
      </w:pPr>
      <w:r>
        <w:rPr>
          <w:w w:val="120"/>
          <w:sz w:val="12"/>
        </w:rPr>
        <w:t>150</w:t>
      </w:r>
    </w:p>
    <w:p>
      <w:pPr>
        <w:pStyle w:val="BodyText"/>
        <w:rPr>
          <w:sz w:val="12"/>
        </w:rPr>
      </w:pPr>
    </w:p>
    <w:p>
      <w:pPr>
        <w:pStyle w:val="BodyText"/>
        <w:spacing w:before="9"/>
        <w:rPr>
          <w:sz w:val="11"/>
        </w:rPr>
      </w:pPr>
    </w:p>
    <w:p>
      <w:pPr>
        <w:spacing w:before="0"/>
        <w:ind w:left="11" w:right="0" w:firstLine="0"/>
        <w:jc w:val="left"/>
        <w:rPr>
          <w:sz w:val="12"/>
        </w:rPr>
      </w:pPr>
      <w:r>
        <w:rPr>
          <w:w w:val="120"/>
          <w:sz w:val="12"/>
        </w:rPr>
        <w:t>100</w:t>
      </w:r>
    </w:p>
    <w:p>
      <w:pPr>
        <w:pStyle w:val="BodyText"/>
        <w:rPr>
          <w:sz w:val="12"/>
        </w:rPr>
      </w:pPr>
    </w:p>
    <w:p>
      <w:pPr>
        <w:pStyle w:val="BodyText"/>
        <w:spacing w:before="9"/>
        <w:rPr>
          <w:sz w:val="11"/>
        </w:rPr>
      </w:pPr>
    </w:p>
    <w:p>
      <w:pPr>
        <w:spacing w:before="0"/>
        <w:ind w:left="83" w:right="0" w:firstLine="0"/>
        <w:jc w:val="left"/>
        <w:rPr>
          <w:sz w:val="12"/>
        </w:rPr>
      </w:pPr>
      <w:r>
        <w:rPr>
          <w:w w:val="120"/>
          <w:sz w:val="12"/>
        </w:rPr>
        <w:t>50</w:t>
      </w:r>
    </w:p>
    <w:p>
      <w:pPr>
        <w:pStyle w:val="BodyText"/>
        <w:spacing w:before="7"/>
        <w:rPr>
          <w:sz w:val="9"/>
        </w:rPr>
      </w:pPr>
    </w:p>
    <w:p>
      <w:pPr>
        <w:spacing w:line="174" w:lineRule="exact" w:before="0"/>
        <w:ind w:left="6" w:right="0" w:firstLine="0"/>
        <w:jc w:val="left"/>
        <w:rPr>
          <w:sz w:val="16"/>
        </w:rPr>
      </w:pPr>
      <w:r>
        <w:rPr>
          <w:w w:val="107"/>
          <w:sz w:val="16"/>
        </w:rPr>
        <w:t>+</w:t>
      </w:r>
    </w:p>
    <w:p>
      <w:pPr>
        <w:spacing w:line="105" w:lineRule="exact" w:before="0"/>
        <w:ind w:left="156" w:right="0" w:firstLine="0"/>
        <w:jc w:val="left"/>
        <w:rPr>
          <w:sz w:val="12"/>
        </w:rPr>
      </w:pPr>
      <w:r>
        <w:rPr>
          <w:w w:val="121"/>
          <w:sz w:val="12"/>
        </w:rPr>
        <w:t>0</w:t>
      </w:r>
    </w:p>
    <w:p>
      <w:pPr>
        <w:spacing w:line="161" w:lineRule="exact" w:before="0"/>
        <w:ind w:left="8" w:right="0" w:firstLine="0"/>
        <w:jc w:val="left"/>
        <w:rPr>
          <w:sz w:val="16"/>
        </w:rPr>
      </w:pPr>
      <w:r>
        <w:rPr>
          <w:w w:val="117"/>
          <w:sz w:val="16"/>
        </w:rPr>
        <w:t>–</w:t>
      </w:r>
    </w:p>
    <w:p>
      <w:pPr>
        <w:spacing w:before="136"/>
        <w:ind w:left="83" w:right="0" w:firstLine="0"/>
        <w:jc w:val="left"/>
        <w:rPr>
          <w:sz w:val="12"/>
        </w:rPr>
      </w:pPr>
      <w:r>
        <w:rPr>
          <w:w w:val="120"/>
          <w:sz w:val="12"/>
        </w:rPr>
        <w:t>50</w:t>
      </w:r>
    </w:p>
    <w:p>
      <w:pPr>
        <w:pStyle w:val="BodyText"/>
        <w:rPr>
          <w:sz w:val="12"/>
        </w:rPr>
      </w:pPr>
    </w:p>
    <w:p>
      <w:pPr>
        <w:pStyle w:val="BodyText"/>
        <w:spacing w:before="9"/>
        <w:rPr>
          <w:sz w:val="11"/>
        </w:rPr>
      </w:pPr>
    </w:p>
    <w:p>
      <w:pPr>
        <w:spacing w:before="0"/>
        <w:ind w:left="11" w:right="0" w:firstLine="0"/>
        <w:jc w:val="left"/>
        <w:rPr>
          <w:sz w:val="12"/>
        </w:rPr>
      </w:pPr>
      <w:r>
        <w:rPr>
          <w:w w:val="120"/>
          <w:sz w:val="12"/>
        </w:rPr>
        <w:t>100</w:t>
      </w:r>
    </w:p>
    <w:p>
      <w:pPr>
        <w:pStyle w:val="BodyText"/>
        <w:spacing w:line="292" w:lineRule="auto"/>
        <w:ind w:left="404" w:right="211"/>
      </w:pPr>
      <w:r>
        <w:rPr/>
        <w:br w:type="column"/>
      </w:r>
      <w:r>
        <w:rPr>
          <w:w w:val="110"/>
        </w:rPr>
        <w:t>rolling survey of household employment </w:t>
      </w:r>
      <w:r>
        <w:rPr>
          <w:spacing w:val="-3"/>
          <w:w w:val="110"/>
        </w:rPr>
        <w:t>over </w:t>
      </w:r>
      <w:r>
        <w:rPr>
          <w:w w:val="110"/>
        </w:rPr>
        <w:t>a three-month period, the </w:t>
      </w:r>
      <w:r>
        <w:rPr>
          <w:spacing w:val="-3"/>
          <w:w w:val="110"/>
        </w:rPr>
        <w:t>Workforce </w:t>
      </w:r>
      <w:r>
        <w:rPr>
          <w:w w:val="110"/>
        </w:rPr>
        <w:t>Jobs measure records the number of jobs</w:t>
      </w:r>
      <w:r>
        <w:rPr>
          <w:spacing w:val="-15"/>
          <w:w w:val="110"/>
        </w:rPr>
        <w:t> </w:t>
      </w:r>
      <w:r>
        <w:rPr>
          <w:w w:val="110"/>
        </w:rPr>
        <w:t>in</w:t>
      </w:r>
      <w:r>
        <w:rPr>
          <w:spacing w:val="-15"/>
          <w:w w:val="110"/>
        </w:rPr>
        <w:t> </w:t>
      </w:r>
      <w:r>
        <w:rPr>
          <w:w w:val="110"/>
        </w:rPr>
        <w:t>different</w:t>
      </w:r>
      <w:r>
        <w:rPr>
          <w:spacing w:val="-15"/>
          <w:w w:val="110"/>
        </w:rPr>
        <w:t> </w:t>
      </w:r>
      <w:r>
        <w:rPr>
          <w:w w:val="110"/>
        </w:rPr>
        <w:t>firms</w:t>
      </w:r>
      <w:r>
        <w:rPr>
          <w:spacing w:val="-15"/>
          <w:w w:val="110"/>
        </w:rPr>
        <w:t> </w:t>
      </w:r>
      <w:r>
        <w:rPr>
          <w:w w:val="110"/>
        </w:rPr>
        <w:t>on</w:t>
      </w:r>
      <w:r>
        <w:rPr>
          <w:spacing w:val="-15"/>
          <w:w w:val="110"/>
        </w:rPr>
        <w:t> </w:t>
      </w:r>
      <w:r>
        <w:rPr>
          <w:w w:val="110"/>
        </w:rPr>
        <w:t>a</w:t>
      </w:r>
      <w:r>
        <w:rPr>
          <w:spacing w:val="-15"/>
          <w:w w:val="110"/>
        </w:rPr>
        <w:t> </w:t>
      </w:r>
      <w:r>
        <w:rPr>
          <w:w w:val="110"/>
        </w:rPr>
        <w:t>single</w:t>
      </w:r>
      <w:r>
        <w:rPr>
          <w:spacing w:val="-15"/>
          <w:w w:val="110"/>
        </w:rPr>
        <w:t> </w:t>
      </w:r>
      <w:r>
        <w:rPr>
          <w:spacing w:val="-3"/>
          <w:w w:val="110"/>
        </w:rPr>
        <w:t>day</w:t>
      </w:r>
      <w:r>
        <w:rPr>
          <w:spacing w:val="-15"/>
          <w:w w:val="110"/>
        </w:rPr>
        <w:t> </w:t>
      </w:r>
      <w:r>
        <w:rPr>
          <w:spacing w:val="-4"/>
          <w:w w:val="110"/>
        </w:rPr>
        <w:t>towards</w:t>
      </w:r>
      <w:r>
        <w:rPr>
          <w:spacing w:val="-15"/>
          <w:w w:val="110"/>
        </w:rPr>
        <w:t> </w:t>
      </w:r>
      <w:r>
        <w:rPr>
          <w:w w:val="110"/>
        </w:rPr>
        <w:t>the</w:t>
      </w:r>
      <w:r>
        <w:rPr>
          <w:spacing w:val="-15"/>
          <w:w w:val="110"/>
        </w:rPr>
        <w:t> </w:t>
      </w:r>
      <w:r>
        <w:rPr>
          <w:w w:val="110"/>
        </w:rPr>
        <w:t>end</w:t>
      </w:r>
      <w:r>
        <w:rPr>
          <w:spacing w:val="-15"/>
          <w:w w:val="110"/>
        </w:rPr>
        <w:t> </w:t>
      </w:r>
      <w:r>
        <w:rPr>
          <w:w w:val="110"/>
        </w:rPr>
        <w:t>of</w:t>
      </w:r>
      <w:r>
        <w:rPr>
          <w:spacing w:val="-15"/>
          <w:w w:val="110"/>
        </w:rPr>
        <w:t> </w:t>
      </w:r>
      <w:r>
        <w:rPr>
          <w:w w:val="110"/>
        </w:rPr>
        <w:t>each </w:t>
      </w:r>
      <w:r>
        <w:rPr>
          <w:spacing w:val="-3"/>
          <w:w w:val="110"/>
        </w:rPr>
        <w:t>quarter.</w:t>
      </w:r>
      <w:r>
        <w:rPr>
          <w:spacing w:val="18"/>
          <w:w w:val="110"/>
        </w:rPr>
        <w:t> </w:t>
      </w:r>
      <w:r>
        <w:rPr>
          <w:w w:val="110"/>
        </w:rPr>
        <w:t>The</w:t>
      </w:r>
      <w:r>
        <w:rPr>
          <w:spacing w:val="-18"/>
          <w:w w:val="110"/>
        </w:rPr>
        <w:t> </w:t>
      </w:r>
      <w:r>
        <w:rPr>
          <w:w w:val="110"/>
        </w:rPr>
        <w:t>sampling</w:t>
      </w:r>
      <w:r>
        <w:rPr>
          <w:spacing w:val="-18"/>
          <w:w w:val="110"/>
        </w:rPr>
        <w:t> </w:t>
      </w:r>
      <w:r>
        <w:rPr>
          <w:w w:val="110"/>
        </w:rPr>
        <w:t>method</w:t>
      </w:r>
      <w:r>
        <w:rPr>
          <w:spacing w:val="-19"/>
          <w:w w:val="110"/>
        </w:rPr>
        <w:t> </w:t>
      </w:r>
      <w:r>
        <w:rPr>
          <w:w w:val="110"/>
        </w:rPr>
        <w:t>means</w:t>
      </w:r>
      <w:r>
        <w:rPr>
          <w:spacing w:val="-18"/>
          <w:w w:val="110"/>
        </w:rPr>
        <w:t> </w:t>
      </w:r>
      <w:r>
        <w:rPr>
          <w:w w:val="110"/>
        </w:rPr>
        <w:t>that</w:t>
      </w:r>
      <w:r>
        <w:rPr>
          <w:spacing w:val="-19"/>
          <w:w w:val="110"/>
        </w:rPr>
        <w:t> </w:t>
      </w:r>
      <w:r>
        <w:rPr>
          <w:w w:val="110"/>
        </w:rPr>
        <w:t>the</w:t>
      </w:r>
      <w:r>
        <w:rPr>
          <w:spacing w:val="-18"/>
          <w:w w:val="110"/>
        </w:rPr>
        <w:t> </w:t>
      </w:r>
      <w:r>
        <w:rPr>
          <w:spacing w:val="-3"/>
          <w:w w:val="110"/>
        </w:rPr>
        <w:t>Workforce</w:t>
      </w:r>
      <w:r>
        <w:rPr>
          <w:spacing w:val="-18"/>
          <w:w w:val="110"/>
        </w:rPr>
        <w:t> </w:t>
      </w:r>
      <w:r>
        <w:rPr>
          <w:w w:val="110"/>
        </w:rPr>
        <w:t>Jobs measure</w:t>
      </w:r>
      <w:r>
        <w:rPr>
          <w:spacing w:val="-16"/>
          <w:w w:val="110"/>
        </w:rPr>
        <w:t> </w:t>
      </w:r>
      <w:r>
        <w:rPr>
          <w:w w:val="110"/>
        </w:rPr>
        <w:t>tends</w:t>
      </w:r>
      <w:r>
        <w:rPr>
          <w:spacing w:val="-16"/>
          <w:w w:val="110"/>
        </w:rPr>
        <w:t> </w:t>
      </w:r>
      <w:r>
        <w:rPr>
          <w:spacing w:val="-4"/>
          <w:w w:val="110"/>
        </w:rPr>
        <w:t>to</w:t>
      </w:r>
      <w:r>
        <w:rPr>
          <w:spacing w:val="-16"/>
          <w:w w:val="110"/>
        </w:rPr>
        <w:t> </w:t>
      </w:r>
      <w:r>
        <w:rPr>
          <w:w w:val="110"/>
        </w:rPr>
        <w:t>be</w:t>
      </w:r>
      <w:r>
        <w:rPr>
          <w:spacing w:val="-16"/>
          <w:w w:val="110"/>
        </w:rPr>
        <w:t> </w:t>
      </w:r>
      <w:r>
        <w:rPr>
          <w:w w:val="110"/>
        </w:rPr>
        <w:t>more</w:t>
      </w:r>
      <w:r>
        <w:rPr>
          <w:spacing w:val="-16"/>
          <w:w w:val="110"/>
        </w:rPr>
        <w:t> </w:t>
      </w:r>
      <w:r>
        <w:rPr>
          <w:w w:val="110"/>
        </w:rPr>
        <w:t>variable</w:t>
      </w:r>
      <w:r>
        <w:rPr>
          <w:spacing w:val="-16"/>
          <w:w w:val="110"/>
        </w:rPr>
        <w:t> </w:t>
      </w:r>
      <w:r>
        <w:rPr>
          <w:w w:val="110"/>
        </w:rPr>
        <w:t>than</w:t>
      </w:r>
      <w:r>
        <w:rPr>
          <w:spacing w:val="-16"/>
          <w:w w:val="110"/>
        </w:rPr>
        <w:t> </w:t>
      </w:r>
      <w:r>
        <w:rPr>
          <w:w w:val="110"/>
        </w:rPr>
        <w:t>the</w:t>
      </w:r>
      <w:r>
        <w:rPr>
          <w:spacing w:val="-16"/>
          <w:w w:val="110"/>
        </w:rPr>
        <w:t> </w:t>
      </w:r>
      <w:r>
        <w:rPr>
          <w:w w:val="110"/>
        </w:rPr>
        <w:t>three-month</w:t>
      </w:r>
      <w:r>
        <w:rPr>
          <w:spacing w:val="-15"/>
          <w:w w:val="110"/>
        </w:rPr>
        <w:t> </w:t>
      </w:r>
      <w:r>
        <w:rPr>
          <w:w w:val="110"/>
        </w:rPr>
        <w:t>LFS employment</w:t>
      </w:r>
      <w:r>
        <w:rPr>
          <w:spacing w:val="-24"/>
          <w:w w:val="110"/>
        </w:rPr>
        <w:t> </w:t>
      </w:r>
      <w:r>
        <w:rPr>
          <w:w w:val="110"/>
        </w:rPr>
        <w:t>estimates</w:t>
      </w:r>
      <w:r>
        <w:rPr>
          <w:spacing w:val="-24"/>
          <w:w w:val="110"/>
        </w:rPr>
        <w:t> </w:t>
      </w:r>
      <w:r>
        <w:rPr>
          <w:w w:val="110"/>
        </w:rPr>
        <w:t>and</w:t>
      </w:r>
      <w:r>
        <w:rPr>
          <w:spacing w:val="-24"/>
          <w:w w:val="110"/>
        </w:rPr>
        <w:t> </w:t>
      </w:r>
      <w:r>
        <w:rPr>
          <w:w w:val="110"/>
        </w:rPr>
        <w:t>it</w:t>
      </w:r>
      <w:r>
        <w:rPr>
          <w:spacing w:val="-24"/>
          <w:w w:val="110"/>
        </w:rPr>
        <w:t> </w:t>
      </w:r>
      <w:r>
        <w:rPr>
          <w:w w:val="110"/>
        </w:rPr>
        <w:t>is</w:t>
      </w:r>
      <w:r>
        <w:rPr>
          <w:spacing w:val="-24"/>
          <w:w w:val="110"/>
        </w:rPr>
        <w:t> </w:t>
      </w:r>
      <w:r>
        <w:rPr>
          <w:w w:val="110"/>
        </w:rPr>
        <w:t>accordingly</w:t>
      </w:r>
      <w:r>
        <w:rPr>
          <w:spacing w:val="-23"/>
          <w:w w:val="110"/>
        </w:rPr>
        <w:t> </w:t>
      </w:r>
      <w:r>
        <w:rPr>
          <w:w w:val="110"/>
        </w:rPr>
        <w:t>assigned</w:t>
      </w:r>
      <w:r>
        <w:rPr>
          <w:spacing w:val="-24"/>
          <w:w w:val="110"/>
        </w:rPr>
        <w:t> </w:t>
      </w:r>
      <w:r>
        <w:rPr>
          <w:w w:val="110"/>
        </w:rPr>
        <w:t>slightly less</w:t>
      </w:r>
      <w:r>
        <w:rPr>
          <w:spacing w:val="-27"/>
          <w:w w:val="110"/>
        </w:rPr>
        <w:t> </w:t>
      </w:r>
      <w:r>
        <w:rPr>
          <w:w w:val="110"/>
        </w:rPr>
        <w:t>weight</w:t>
      </w:r>
      <w:r>
        <w:rPr>
          <w:spacing w:val="-27"/>
          <w:w w:val="110"/>
        </w:rPr>
        <w:t> </w:t>
      </w:r>
      <w:r>
        <w:rPr>
          <w:spacing w:val="-3"/>
          <w:w w:val="110"/>
        </w:rPr>
        <w:t>by</w:t>
      </w:r>
      <w:r>
        <w:rPr>
          <w:spacing w:val="-26"/>
          <w:w w:val="110"/>
        </w:rPr>
        <w:t> </w:t>
      </w:r>
      <w:r>
        <w:rPr>
          <w:w w:val="110"/>
        </w:rPr>
        <w:t>the</w:t>
      </w:r>
      <w:r>
        <w:rPr>
          <w:spacing w:val="-27"/>
          <w:w w:val="110"/>
        </w:rPr>
        <w:t> </w:t>
      </w:r>
      <w:r>
        <w:rPr>
          <w:w w:val="110"/>
        </w:rPr>
        <w:t>MPC.</w:t>
      </w:r>
      <w:r>
        <w:rPr>
          <w:spacing w:val="2"/>
          <w:w w:val="110"/>
        </w:rPr>
        <w:t> </w:t>
      </w:r>
      <w:r>
        <w:rPr>
          <w:w w:val="110"/>
        </w:rPr>
        <w:t>The</w:t>
      </w:r>
      <w:r>
        <w:rPr>
          <w:spacing w:val="-27"/>
          <w:w w:val="110"/>
        </w:rPr>
        <w:t> </w:t>
      </w:r>
      <w:r>
        <w:rPr>
          <w:w w:val="110"/>
        </w:rPr>
        <w:t>number</w:t>
      </w:r>
      <w:r>
        <w:rPr>
          <w:spacing w:val="-26"/>
          <w:w w:val="110"/>
        </w:rPr>
        <w:t> </w:t>
      </w:r>
      <w:r>
        <w:rPr>
          <w:w w:val="110"/>
        </w:rPr>
        <w:t>of</w:t>
      </w:r>
      <w:r>
        <w:rPr>
          <w:spacing w:val="-27"/>
          <w:w w:val="110"/>
        </w:rPr>
        <w:t> </w:t>
      </w:r>
      <w:r>
        <w:rPr>
          <w:spacing w:val="-3"/>
          <w:w w:val="110"/>
        </w:rPr>
        <w:t>Workforce</w:t>
      </w:r>
      <w:r>
        <w:rPr>
          <w:spacing w:val="-27"/>
          <w:w w:val="110"/>
        </w:rPr>
        <w:t> </w:t>
      </w:r>
      <w:r>
        <w:rPr>
          <w:w w:val="110"/>
        </w:rPr>
        <w:t>Jobs</w:t>
      </w:r>
      <w:r>
        <w:rPr>
          <w:spacing w:val="-26"/>
          <w:w w:val="110"/>
        </w:rPr>
        <w:t> </w:t>
      </w:r>
      <w:r>
        <w:rPr>
          <w:w w:val="110"/>
        </w:rPr>
        <w:t>fell</w:t>
      </w:r>
      <w:r>
        <w:rPr>
          <w:spacing w:val="-27"/>
          <w:w w:val="110"/>
        </w:rPr>
        <w:t> </w:t>
      </w:r>
      <w:r>
        <w:rPr>
          <w:spacing w:val="-3"/>
          <w:w w:val="110"/>
        </w:rPr>
        <w:t>by </w:t>
      </w:r>
      <w:r>
        <w:rPr>
          <w:spacing w:val="-6"/>
          <w:w w:val="110"/>
        </w:rPr>
        <w:t>38,000 </w:t>
      </w:r>
      <w:r>
        <w:rPr>
          <w:w w:val="110"/>
        </w:rPr>
        <w:t>(-0.1%) in </w:t>
      </w:r>
      <w:r>
        <w:rPr>
          <w:spacing w:val="-4"/>
          <w:w w:val="110"/>
        </w:rPr>
        <w:t>2000 </w:t>
      </w:r>
      <w:r>
        <w:rPr>
          <w:w w:val="110"/>
        </w:rPr>
        <w:t>Q3. In line with recent trends, the number of service sector jobs continued </w:t>
      </w:r>
      <w:r>
        <w:rPr>
          <w:spacing w:val="-4"/>
          <w:w w:val="110"/>
        </w:rPr>
        <w:t>to </w:t>
      </w:r>
      <w:r>
        <w:rPr>
          <w:w w:val="110"/>
        </w:rPr>
        <w:t>rise, but that </w:t>
      </w:r>
      <w:r>
        <w:rPr>
          <w:spacing w:val="-3"/>
          <w:w w:val="110"/>
        </w:rPr>
        <w:t>was </w:t>
      </w:r>
      <w:r>
        <w:rPr>
          <w:w w:val="110"/>
        </w:rPr>
        <w:t>more than outweighed </w:t>
      </w:r>
      <w:r>
        <w:rPr>
          <w:spacing w:val="-3"/>
          <w:w w:val="110"/>
        </w:rPr>
        <w:t>by </w:t>
      </w:r>
      <w:r>
        <w:rPr>
          <w:w w:val="110"/>
        </w:rPr>
        <w:t>fewer jobs in other sectors (see Chart 3.2). In particular, the number of construction jobs recorded</w:t>
      </w:r>
      <w:r>
        <w:rPr>
          <w:spacing w:val="-12"/>
          <w:w w:val="110"/>
        </w:rPr>
        <w:t> </w:t>
      </w:r>
      <w:r>
        <w:rPr>
          <w:w w:val="110"/>
        </w:rPr>
        <w:t>the</w:t>
      </w:r>
      <w:r>
        <w:rPr>
          <w:spacing w:val="-11"/>
          <w:w w:val="110"/>
        </w:rPr>
        <w:t> </w:t>
      </w:r>
      <w:r>
        <w:rPr>
          <w:w w:val="110"/>
        </w:rPr>
        <w:t>largest</w:t>
      </w:r>
      <w:r>
        <w:rPr>
          <w:spacing w:val="-11"/>
          <w:w w:val="110"/>
        </w:rPr>
        <w:t> </w:t>
      </w:r>
      <w:r>
        <w:rPr>
          <w:w w:val="110"/>
        </w:rPr>
        <w:t>decline</w:t>
      </w:r>
      <w:r>
        <w:rPr>
          <w:spacing w:val="-11"/>
          <w:w w:val="110"/>
        </w:rPr>
        <w:t> </w:t>
      </w:r>
      <w:r>
        <w:rPr>
          <w:w w:val="110"/>
        </w:rPr>
        <w:t>for</w:t>
      </w:r>
      <w:r>
        <w:rPr>
          <w:spacing w:val="-11"/>
          <w:w w:val="110"/>
        </w:rPr>
        <w:t> </w:t>
      </w:r>
      <w:r>
        <w:rPr>
          <w:w w:val="110"/>
        </w:rPr>
        <w:t>four</w:t>
      </w:r>
      <w:r>
        <w:rPr>
          <w:spacing w:val="-12"/>
          <w:w w:val="110"/>
        </w:rPr>
        <w:t> </w:t>
      </w:r>
      <w:r>
        <w:rPr>
          <w:w w:val="110"/>
        </w:rPr>
        <w:t>years,</w:t>
      </w:r>
      <w:r>
        <w:rPr>
          <w:spacing w:val="-11"/>
          <w:w w:val="110"/>
        </w:rPr>
        <w:t> </w:t>
      </w:r>
      <w:r>
        <w:rPr>
          <w:w w:val="110"/>
        </w:rPr>
        <w:t>although</w:t>
      </w:r>
      <w:r>
        <w:rPr>
          <w:spacing w:val="-11"/>
          <w:w w:val="110"/>
        </w:rPr>
        <w:t> </w:t>
      </w:r>
      <w:r>
        <w:rPr>
          <w:w w:val="110"/>
        </w:rPr>
        <w:t>reports</w:t>
      </w:r>
    </w:p>
    <w:p>
      <w:pPr>
        <w:spacing w:after="0" w:line="292" w:lineRule="auto"/>
        <w:sectPr>
          <w:type w:val="continuous"/>
          <w:pgSz w:w="11900" w:h="16840"/>
          <w:pgMar w:top="1260" w:bottom="280" w:left="640" w:right="640"/>
          <w:cols w:num="5" w:equalWidth="0">
            <w:col w:w="1090" w:space="40"/>
            <w:col w:w="837" w:space="39"/>
            <w:col w:w="1418" w:space="39"/>
            <w:col w:w="270" w:space="957"/>
            <w:col w:w="5930"/>
          </w:cols>
        </w:sectPr>
      </w:pPr>
    </w:p>
    <w:p>
      <w:pPr>
        <w:tabs>
          <w:tab w:pos="1495" w:val="left" w:leader="none"/>
          <w:tab w:pos="2341" w:val="left" w:leader="none"/>
          <w:tab w:pos="2940" w:val="left" w:leader="none"/>
        </w:tabs>
        <w:spacing w:line="125" w:lineRule="exact" w:before="0"/>
        <w:ind w:left="616" w:right="0" w:firstLine="0"/>
        <w:jc w:val="left"/>
        <w:rPr>
          <w:sz w:val="12"/>
        </w:rPr>
      </w:pPr>
      <w:r>
        <w:rPr>
          <w:w w:val="120"/>
          <w:sz w:val="12"/>
        </w:rPr>
        <w:t>1997</w:t>
        <w:tab/>
        <w:t>98</w:t>
        <w:tab/>
        <w:t>99</w:t>
        <w:tab/>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73"/>
        <w:ind w:left="175"/>
      </w:pPr>
      <w:r>
        <w:rPr>
          <w:color w:val="89C6DC"/>
          <w:w w:val="95"/>
        </w:rPr>
        <w:t>Chart 3.3</w:t>
      </w:r>
    </w:p>
    <w:p>
      <w:pPr>
        <w:spacing w:before="8"/>
        <w:ind w:left="175" w:right="0" w:firstLine="0"/>
        <w:jc w:val="left"/>
        <w:rPr>
          <w:rFonts w:ascii="Trebuchet MS"/>
          <w:b/>
          <w:sz w:val="20"/>
        </w:rPr>
      </w:pPr>
      <w:r>
        <w:rPr/>
        <w:pict>
          <v:group style="position:absolute;margin-left:41.403999pt;margin-top:16.637711pt;width:167.95pt;height:144.050pt;mso-position-horizontal-relative:page;mso-position-vertical-relative:paragraph;z-index:-23202304" coordorigin="828,333" coordsize="3359,2881">
            <v:shape style="position:absolute;left:1048;top:1633;width:2810;height:563" coordorigin="1049,1634" coordsize="2810,563" path="m1049,2196l1141,2051,1226,1981,1319,1894,1414,1806,1496,1691,1589,1634,1684,1664,1776,1764,1861,1909,1954,2066,2049,2096,2131,2039,2224,2009,2319,1981,2411,1936,2494,1909,2589,1836,2681,1779,2766,1836,2859,1894,2954,1924,3046,2024,3129,2081,3224,2124,3277,2125,3305,2126,3315,2126,3316,2125,3330,2104,3359,2059,3388,2014,3401,1994,3494,1894,3547,1895,3575,1896,3585,1896,3586,1895,3601,1885,3634,1865,3667,1845,3681,1836,3764,1924,3859,2024e" filled="false" stroked="true" strokeweight="1pt" strokecolor="#008360">
              <v:path arrowok="t"/>
              <v:stroke dashstyle="solid"/>
            </v:shape>
            <v:shape style="position:absolute;left:986;top:568;width:2840;height:2635" coordorigin="986,569" coordsize="2840,2635" path="m986,2556l1019,2499,1049,2181,1081,2081,1111,1749,1141,1389,1164,1231,1194,1116,1226,929,1256,1101,1289,871,1319,1074,1351,1116,1381,741,1414,901,1444,626,1464,814,1496,799,1526,986,1559,656,1589,599,1621,569,1651,771,1684,684,1714,971,1746,1101,1776,1159,1799,1116,1829,914,1861,1029,1891,1016,1924,1389,1954,1649,1986,1664,2016,1966,2049,2066,2079,1821,2099,1936,2131,1806,2161,2009,2194,2011,2194,2010,2194,2009,2224,2024,2256,1936,2286,1794,2319,1821,2349,1866,2381,1564,2411,1879,2434,1621,2464,1491,2494,1319,2526,1101,2556,1261,2589,1001,2619,1261,2651,1634,2681,1549,2714,1389,2744,1534,2766,1231,2796,1924,2829,2009,2859,2354,2891,2556,2921,2786,2954,3074,2984,3016,3016,2599,3046,2586,3066,2844,3099,2771,3129,2874,3161,2644,3191,2671,3224,2701,3254,2759,3286,2671,3316,2759,3349,2801,3379,3204,3401,3191,3431,3046,3464,3089,3494,2816,3524,2671,3556,2629,3586,2499,3619,2441,3649,2269,3681,2124,3701,1866,3734,1851,3764,2169,3796,2441,3826,2384e" filled="false" stroked="true" strokeweight="1pt" strokecolor="#be869b">
              <v:path arrowok="t"/>
              <v:stroke dashstyle="solid"/>
            </v:shape>
            <v:shape style="position:absolute;left:986;top:1951;width:2840;height:648" coordorigin="986,1951" coordsize="2840,648" path="m986,2586l1019,2571,1049,2541,1081,2556,1111,2599,1141,2571,1164,2529,1194,2571,1226,2556,1256,2514,1289,2529,1319,2499,1351,2501,1351,2500,1351,2499,1381,2484,1414,2456,1444,2411,1464,2414,1464,2412,1464,2411,1496,2414,1496,2412,1501,2405,1511,2390,1522,2375,1526,2369,1559,2354,1589,2399,1621,2384,1651,2341,1684,2344,1684,2342,1689,2337,1699,2326,1709,2316,1714,2311,1746,2284,1776,2286,1776,2285,1776,2284,1799,2269,1829,2271,1829,2270,1834,2264,1845,2254,1856,2243,1861,2239,1891,2254,1924,2169,1954,2139,1986,2154,2016,2124,2049,2051,2079,2039,2099,2051,2131,2096,2161,2124,2194,2109,2224,2154,2256,2196,2286,2254,2319,2239,2349,2211,2381,2214,2381,2212,2386,2216,2396,2225,2407,2234,2411,2239,2434,2241,2434,2240,2439,2230,2494,2139,2526,2109,2556,2124,2589,2081,2619,2066,2651,2039,2681,2009,2714,2039,2744,2051,2766,2066,2796,2051,2829,2096,2859,2081,2891,2066,2921,2039,2954,2041,2954,2040,2959,2028,2969,2003,2979,1977,2984,1966,3016,1951,3046,2009,3066,1981,3099,1984,3099,1982,3099,1981,3129,1994,3161,2009,3191,2011,3191,2010,3191,2009,3224,2024,3254,2051,3286,2066,3316,2081,3349,2139,3379,2141,3379,2140,3382,2130,3390,2110,3398,2090,3401,2081,3431,2096,3464,2124,3494,2126,3494,2125,3499,2129,3509,2139,3519,2149,3524,2154,3556,2169,3586,2154,3619,2124,3649,2126,3649,2125,3649,2124,3681,2126,3681,2125,3681,2124,3701,2154,3734,2169,3764,2181,3796,2169,3826,2181e" filled="false" stroked="true" strokeweight="1pt" strokecolor="#efa900">
              <v:path arrowok="t"/>
              <v:stroke dashstyle="solid"/>
            </v:shape>
            <v:shape style="position:absolute;left:3219;top:1503;width:350;height:350" type="#_x0000_t75" stroked="false">
              <v:imagedata r:id="rId121" o:title=""/>
            </v:shape>
            <v:shape style="position:absolute;left:828;top:483;width:3180;height:2565" coordorigin="828,484" coordsize="3180,2565" path="m3921,2401l4008,2401m3921,801l4008,801m3921,1119l4008,1119m3921,1449l4008,1449m3921,1766l4008,1766m3921,2084l4008,2084m3921,2731l4008,2731m3921,3049l4008,3049m3921,484l4008,484m828,2401l915,2401m828,801l915,801m828,1119l915,1119m828,1449l915,1449m828,1766l915,1766m828,2084l915,2084m828,2731l915,2731m828,3049l915,3049m828,484l915,484m985,2401l3858,2401e" filled="false" stroked="true" strokeweight=".5pt" strokecolor="#000000">
              <v:path arrowok="t"/>
              <v:stroke dashstyle="solid"/>
            </v:shape>
            <v:shape style="position:absolute;left:2588;top:332;width:1441;height:121" type="#_x0000_t202" filled="false" stroked="false">
              <v:textbox inset="0,0,0,0">
                <w:txbxContent>
                  <w:p>
                    <w:pPr>
                      <w:spacing w:line="115" w:lineRule="exact" w:before="0"/>
                      <w:ind w:left="0" w:right="0" w:firstLine="0"/>
                      <w:jc w:val="left"/>
                      <w:rPr>
                        <w:sz w:val="12"/>
                      </w:rPr>
                    </w:pPr>
                    <w:r>
                      <w:rPr>
                        <w:w w:val="110"/>
                        <w:sz w:val="12"/>
                      </w:rPr>
                      <w:t>Annual percentage</w:t>
                    </w:r>
                    <w:r>
                      <w:rPr>
                        <w:spacing w:val="-25"/>
                        <w:w w:val="110"/>
                        <w:sz w:val="12"/>
                      </w:rPr>
                      <w:t> </w:t>
                    </w:r>
                    <w:r>
                      <w:rPr>
                        <w:w w:val="110"/>
                        <w:sz w:val="12"/>
                      </w:rPr>
                      <w:t>changes</w:t>
                    </w:r>
                  </w:p>
                </w:txbxContent>
              </v:textbox>
              <w10:wrap type="none"/>
            </v:shape>
            <v:shape style="position:absolute;left:4021;top:439;width:166;height:121" type="#_x0000_t202" filled="false" stroked="false">
              <v:textbox inset="0,0,0,0">
                <w:txbxContent>
                  <w:p>
                    <w:pPr>
                      <w:spacing w:line="115" w:lineRule="exact" w:before="0"/>
                      <w:ind w:left="0" w:right="0" w:firstLine="0"/>
                      <w:jc w:val="left"/>
                      <w:rPr>
                        <w:sz w:val="12"/>
                      </w:rPr>
                    </w:pPr>
                    <w:r>
                      <w:rPr>
                        <w:w w:val="120"/>
                        <w:sz w:val="12"/>
                      </w:rPr>
                      <w:t>12</w:t>
                    </w:r>
                  </w:p>
                </w:txbxContent>
              </v:textbox>
              <w10:wrap type="none"/>
            </v:shape>
            <v:shape style="position:absolute;left:1743;top:582;width:859;height:241" type="#_x0000_t202" filled="false" stroked="false">
              <v:textbox inset="0,0,0,0">
                <w:txbxContent>
                  <w:p>
                    <w:pPr>
                      <w:spacing w:line="106" w:lineRule="exact" w:before="0"/>
                      <w:ind w:left="0" w:right="0" w:firstLine="0"/>
                      <w:jc w:val="left"/>
                      <w:rPr>
                        <w:sz w:val="12"/>
                      </w:rPr>
                    </w:pPr>
                    <w:r>
                      <w:rPr>
                        <w:w w:val="105"/>
                        <w:sz w:val="12"/>
                      </w:rPr>
                      <w:t>Employees in</w:t>
                    </w:r>
                  </w:p>
                  <w:p>
                    <w:pPr>
                      <w:spacing w:line="129" w:lineRule="exact" w:before="0"/>
                      <w:ind w:left="60" w:right="0" w:firstLine="0"/>
                      <w:jc w:val="left"/>
                      <w:rPr>
                        <w:sz w:val="12"/>
                      </w:rPr>
                    </w:pPr>
                    <w:r>
                      <w:rPr>
                        <w:w w:val="110"/>
                        <w:sz w:val="12"/>
                      </w:rPr>
                      <w:t>temporary jobs</w:t>
                    </w:r>
                  </w:p>
                </w:txbxContent>
              </v:textbox>
              <w10:wrap type="none"/>
            </v:shape>
            <v:shape style="position:absolute;left:4021;top:757;width:166;height:121" type="#_x0000_t202" filled="false" stroked="false">
              <v:textbox inset="0,0,0,0">
                <w:txbxContent>
                  <w:p>
                    <w:pPr>
                      <w:spacing w:line="115" w:lineRule="exact" w:before="0"/>
                      <w:ind w:left="0" w:right="0" w:firstLine="0"/>
                      <w:jc w:val="left"/>
                      <w:rPr>
                        <w:sz w:val="12"/>
                      </w:rPr>
                    </w:pPr>
                    <w:r>
                      <w:rPr>
                        <w:w w:val="120"/>
                        <w:sz w:val="12"/>
                      </w:rPr>
                      <w:t>10</w:t>
                    </w:r>
                  </w:p>
                </w:txbxContent>
              </v:textbox>
              <w10:wrap type="none"/>
            </v:shape>
            <v:shape style="position:absolute;left:2963;top:1253;width:815;height:245" type="#_x0000_t202" filled="false" stroked="false">
              <v:textbox inset="0,0,0,0">
                <w:txbxContent>
                  <w:p>
                    <w:pPr>
                      <w:spacing w:line="108" w:lineRule="exact" w:before="0"/>
                      <w:ind w:left="0" w:right="0" w:firstLine="0"/>
                      <w:jc w:val="left"/>
                      <w:rPr>
                        <w:sz w:val="12"/>
                      </w:rPr>
                    </w:pPr>
                    <w:r>
                      <w:rPr>
                        <w:w w:val="110"/>
                        <w:sz w:val="12"/>
                      </w:rPr>
                      <w:t>GDP at</w:t>
                    </w:r>
                  </w:p>
                  <w:p>
                    <w:pPr>
                      <w:spacing w:line="131" w:lineRule="exact" w:before="0"/>
                      <w:ind w:left="95" w:right="0" w:firstLine="0"/>
                      <w:jc w:val="left"/>
                      <w:rPr>
                        <w:sz w:val="12"/>
                      </w:rPr>
                    </w:pPr>
                    <w:r>
                      <w:rPr>
                        <w:w w:val="110"/>
                        <w:sz w:val="12"/>
                      </w:rPr>
                      <w:t>market prices</w:t>
                    </w:r>
                  </w:p>
                </w:txbxContent>
              </v:textbox>
              <w10:wrap type="none"/>
            </v:shape>
            <v:shape style="position:absolute;left:3988;top:2195;width:118;height:416" type="#_x0000_t202" filled="false" stroked="false">
              <v:textbox inset="0,0,0,0">
                <w:txbxContent>
                  <w:p>
                    <w:pPr>
                      <w:spacing w:line="153" w:lineRule="exact" w:before="0"/>
                      <w:ind w:left="0" w:right="0" w:firstLine="0"/>
                      <w:jc w:val="left"/>
                      <w:rPr>
                        <w:sz w:val="16"/>
                      </w:rPr>
                    </w:pPr>
                    <w:r>
                      <w:rPr>
                        <w:w w:val="107"/>
                        <w:sz w:val="16"/>
                      </w:rPr>
                      <w:t>+</w:t>
                    </w:r>
                  </w:p>
                  <w:p>
                    <w:pPr>
                      <w:spacing w:before="71"/>
                      <w:ind w:left="1" w:right="0" w:firstLine="0"/>
                      <w:jc w:val="left"/>
                      <w:rPr>
                        <w:sz w:val="16"/>
                      </w:rPr>
                    </w:pPr>
                    <w:r>
                      <w:rPr>
                        <w:w w:val="117"/>
                        <w:sz w:val="16"/>
                      </w:rPr>
                      <w:t>–</w:t>
                    </w:r>
                  </w:p>
                </w:txbxContent>
              </v:textbox>
              <w10:wrap type="none"/>
            </v:shape>
            <v:shape style="position:absolute;left:1281;top:2581;width:887;height:241" type="#_x0000_t202" filled="false" stroked="false">
              <v:textbox inset="0,0,0,0">
                <w:txbxContent>
                  <w:p>
                    <w:pPr>
                      <w:spacing w:line="106" w:lineRule="exact" w:before="0"/>
                      <w:ind w:left="0" w:right="0" w:firstLine="0"/>
                      <w:jc w:val="left"/>
                      <w:rPr>
                        <w:sz w:val="12"/>
                      </w:rPr>
                    </w:pPr>
                    <w:r>
                      <w:rPr>
                        <w:w w:val="105"/>
                        <w:sz w:val="12"/>
                      </w:rPr>
                      <w:t>Employees in</w:t>
                    </w:r>
                  </w:p>
                  <w:p>
                    <w:pPr>
                      <w:spacing w:line="129" w:lineRule="exact" w:before="0"/>
                      <w:ind w:left="60" w:right="0" w:firstLine="0"/>
                      <w:jc w:val="left"/>
                      <w:rPr>
                        <w:sz w:val="12"/>
                      </w:rPr>
                    </w:pPr>
                    <w:r>
                      <w:rPr>
                        <w:w w:val="110"/>
                        <w:sz w:val="12"/>
                      </w:rPr>
                      <w:t>permanent jobs</w:t>
                    </w:r>
                  </w:p>
                </w:txbxContent>
              </v:textbox>
              <w10:wrap type="none"/>
            </v:shape>
            <w10:wrap type="none"/>
          </v:group>
        </w:pict>
      </w:r>
      <w:r>
        <w:rPr>
          <w:rFonts w:ascii="Trebuchet MS"/>
          <w:b/>
          <w:color w:val="89C6DC"/>
          <w:sz w:val="20"/>
        </w:rPr>
        <w:t>Employees and GDP growth</w:t>
      </w:r>
    </w:p>
    <w:p>
      <w:pPr>
        <w:pStyle w:val="BodyText"/>
        <w:rPr>
          <w:rFonts w:ascii="Trebuchet MS"/>
          <w:b/>
          <w:sz w:val="22"/>
        </w:rPr>
      </w:pPr>
    </w:p>
    <w:p>
      <w:pPr>
        <w:pStyle w:val="BodyText"/>
        <w:rPr>
          <w:rFonts w:ascii="Trebuchet MS"/>
          <w:b/>
          <w:sz w:val="22"/>
        </w:rPr>
      </w:pPr>
    </w:p>
    <w:p>
      <w:pPr>
        <w:pStyle w:val="BodyText"/>
        <w:spacing w:before="10"/>
        <w:rPr>
          <w:rFonts w:ascii="Trebuchet MS"/>
          <w:b/>
          <w:sz w:val="25"/>
        </w:rPr>
      </w:pPr>
    </w:p>
    <w:p>
      <w:pPr>
        <w:spacing w:before="0"/>
        <w:ind w:left="0" w:right="38" w:firstLine="0"/>
        <w:jc w:val="right"/>
        <w:rPr>
          <w:sz w:val="12"/>
        </w:rPr>
      </w:pPr>
      <w:r>
        <w:rPr>
          <w:w w:val="121"/>
          <w:sz w:val="12"/>
        </w:rPr>
        <w:t>8</w:t>
      </w:r>
    </w:p>
    <w:p>
      <w:pPr>
        <w:pStyle w:val="BodyText"/>
        <w:spacing w:before="8"/>
        <w:rPr>
          <w:sz w:val="16"/>
        </w:rPr>
      </w:pPr>
    </w:p>
    <w:p>
      <w:pPr>
        <w:spacing w:before="0"/>
        <w:ind w:left="0" w:right="38" w:firstLine="0"/>
        <w:jc w:val="right"/>
        <w:rPr>
          <w:sz w:val="12"/>
        </w:rPr>
      </w:pPr>
      <w:r>
        <w:rPr>
          <w:w w:val="121"/>
          <w:sz w:val="12"/>
        </w:rPr>
        <w:t>6</w:t>
      </w:r>
    </w:p>
    <w:p>
      <w:pPr>
        <w:pStyle w:val="BodyText"/>
        <w:spacing w:before="7"/>
        <w:rPr>
          <w:sz w:val="15"/>
        </w:rPr>
      </w:pPr>
    </w:p>
    <w:p>
      <w:pPr>
        <w:spacing w:before="0"/>
        <w:ind w:left="0" w:right="38" w:firstLine="0"/>
        <w:jc w:val="right"/>
        <w:rPr>
          <w:sz w:val="12"/>
        </w:rPr>
      </w:pPr>
      <w:r>
        <w:rPr>
          <w:w w:val="121"/>
          <w:sz w:val="12"/>
        </w:rPr>
        <w:t>4</w:t>
      </w:r>
    </w:p>
    <w:p>
      <w:pPr>
        <w:pStyle w:val="BodyText"/>
        <w:spacing w:before="7"/>
        <w:rPr>
          <w:sz w:val="15"/>
        </w:rPr>
      </w:pPr>
    </w:p>
    <w:p>
      <w:pPr>
        <w:spacing w:before="0"/>
        <w:ind w:left="0" w:right="38" w:firstLine="0"/>
        <w:jc w:val="right"/>
        <w:rPr>
          <w:sz w:val="12"/>
        </w:rPr>
      </w:pPr>
      <w:r>
        <w:rPr>
          <w:w w:val="121"/>
          <w:sz w:val="12"/>
        </w:rPr>
        <w:t>2</w:t>
      </w:r>
    </w:p>
    <w:p>
      <w:pPr>
        <w:pStyle w:val="BodyText"/>
        <w:spacing w:before="4"/>
        <w:rPr>
          <w:sz w:val="15"/>
        </w:rPr>
      </w:pPr>
    </w:p>
    <w:p>
      <w:pPr>
        <w:spacing w:before="0"/>
        <w:ind w:left="0" w:right="38" w:firstLine="0"/>
        <w:jc w:val="right"/>
        <w:rPr>
          <w:sz w:val="12"/>
        </w:rPr>
      </w:pPr>
      <w:r>
        <w:rPr>
          <w:w w:val="121"/>
          <w:sz w:val="12"/>
        </w:rPr>
        <w:t>0</w:t>
      </w:r>
    </w:p>
    <w:p>
      <w:pPr>
        <w:pStyle w:val="BodyText"/>
        <w:spacing w:before="11"/>
        <w:rPr>
          <w:sz w:val="16"/>
        </w:rPr>
      </w:pPr>
    </w:p>
    <w:p>
      <w:pPr>
        <w:spacing w:before="0"/>
        <w:ind w:left="0" w:right="38" w:firstLine="0"/>
        <w:jc w:val="right"/>
        <w:rPr>
          <w:sz w:val="12"/>
        </w:rPr>
      </w:pPr>
      <w:r>
        <w:rPr>
          <w:w w:val="121"/>
          <w:sz w:val="12"/>
        </w:rPr>
        <w:t>2</w:t>
      </w:r>
    </w:p>
    <w:p>
      <w:pPr>
        <w:pStyle w:val="BodyText"/>
        <w:spacing w:before="7"/>
        <w:rPr>
          <w:sz w:val="15"/>
        </w:rPr>
      </w:pPr>
    </w:p>
    <w:p>
      <w:pPr>
        <w:spacing w:before="0"/>
        <w:ind w:left="0" w:right="38" w:firstLine="0"/>
        <w:jc w:val="right"/>
        <w:rPr>
          <w:sz w:val="12"/>
        </w:rPr>
      </w:pPr>
      <w:r>
        <w:rPr>
          <w:w w:val="121"/>
          <w:sz w:val="12"/>
        </w:rPr>
        <w:t>4</w:t>
      </w:r>
    </w:p>
    <w:p>
      <w:pPr>
        <w:pStyle w:val="BodyText"/>
        <w:spacing w:before="4"/>
        <w:rPr>
          <w:sz w:val="15"/>
        </w:rPr>
      </w:pPr>
    </w:p>
    <w:p>
      <w:pPr>
        <w:spacing w:line="130" w:lineRule="exact" w:before="1"/>
        <w:ind w:left="3454" w:right="0" w:firstLine="0"/>
        <w:jc w:val="left"/>
        <w:rPr>
          <w:sz w:val="12"/>
        </w:rPr>
      </w:pPr>
      <w:r>
        <w:rPr/>
        <w:pict>
          <v:shape style="position:absolute;margin-left:41.403999pt;margin-top:.42431pt;width:159pt;height:3.4pt;mso-position-horizontal-relative:page;mso-position-vertical-relative:paragraph;z-index:16128000" coordorigin="828,8" coordsize="3180,68" path="m3921,71l4008,71m985,71l3858,71m828,71l915,71m985,8l985,76m1350,8l1350,76m1714,8l1714,76m2078,8l2078,76m2434,8l2434,76m2806,8l2806,76m3161,8l3161,76m3524,8l3524,76e" filled="false" stroked="true" strokeweight=".5pt" strokecolor="#000000">
            <v:path arrowok="t"/>
            <v:stroke dashstyle="solid"/>
            <w10:wrap type="none"/>
          </v:shape>
        </w:pict>
      </w:r>
      <w:r>
        <w:rPr>
          <w:w w:val="121"/>
          <w:sz w:val="12"/>
        </w:rPr>
        <w:t>6</w:t>
      </w:r>
    </w:p>
    <w:p>
      <w:pPr>
        <w:tabs>
          <w:tab w:pos="1168" w:val="left" w:leader="none"/>
          <w:tab w:pos="1533" w:val="left" w:leader="none"/>
          <w:tab w:pos="1888" w:val="left" w:leader="none"/>
          <w:tab w:pos="2251" w:val="left" w:leader="none"/>
          <w:tab w:pos="2616" w:val="left" w:leader="none"/>
        </w:tabs>
        <w:spacing w:line="130" w:lineRule="exact" w:before="0"/>
        <w:ind w:left="358" w:right="0" w:firstLine="0"/>
        <w:jc w:val="left"/>
        <w:rPr>
          <w:sz w:val="12"/>
        </w:rPr>
      </w:pPr>
      <w:r>
        <w:rPr>
          <w:w w:val="120"/>
          <w:sz w:val="12"/>
        </w:rPr>
        <w:t>1993   </w:t>
      </w:r>
      <w:r>
        <w:rPr>
          <w:spacing w:val="15"/>
          <w:w w:val="120"/>
          <w:sz w:val="12"/>
        </w:rPr>
        <w:t> </w:t>
      </w:r>
      <w:r>
        <w:rPr>
          <w:w w:val="120"/>
          <w:sz w:val="12"/>
        </w:rPr>
        <w:t>94</w:t>
        <w:tab/>
        <w:t>95</w:t>
        <w:tab/>
        <w:t>96</w:t>
        <w:tab/>
        <w:t>97</w:t>
        <w:tab/>
        <w:t>98</w:t>
        <w:tab/>
        <w:t>99</w:t>
      </w:r>
      <w:r>
        <w:rPr>
          <w:spacing w:val="34"/>
          <w:w w:val="120"/>
          <w:sz w:val="12"/>
        </w:rPr>
        <w:t> </w:t>
      </w:r>
      <w:r>
        <w:rPr>
          <w:w w:val="120"/>
          <w:sz w:val="12"/>
        </w:rPr>
        <w:t>2000</w:t>
      </w:r>
    </w:p>
    <w:p>
      <w:pPr>
        <w:pStyle w:val="BodyText"/>
        <w:spacing w:line="292" w:lineRule="auto"/>
        <w:ind w:left="291" w:right="457"/>
      </w:pPr>
      <w:r>
        <w:rPr/>
        <w:br w:type="column"/>
      </w:r>
      <w:r>
        <w:rPr>
          <w:w w:val="110"/>
        </w:rPr>
        <w:t>from</w:t>
      </w:r>
      <w:r>
        <w:rPr>
          <w:spacing w:val="-28"/>
          <w:w w:val="110"/>
        </w:rPr>
        <w:t> </w:t>
      </w:r>
      <w:r>
        <w:rPr>
          <w:w w:val="110"/>
        </w:rPr>
        <w:t>the</w:t>
      </w:r>
      <w:r>
        <w:rPr>
          <w:spacing w:val="-28"/>
          <w:w w:val="110"/>
        </w:rPr>
        <w:t> </w:t>
      </w:r>
      <w:r>
        <w:rPr>
          <w:spacing w:val="-3"/>
          <w:w w:val="110"/>
        </w:rPr>
        <w:t>Bank’s</w:t>
      </w:r>
      <w:r>
        <w:rPr>
          <w:spacing w:val="-28"/>
          <w:w w:val="110"/>
        </w:rPr>
        <w:t> </w:t>
      </w:r>
      <w:r>
        <w:rPr>
          <w:w w:val="110"/>
        </w:rPr>
        <w:t>regional</w:t>
      </w:r>
      <w:r>
        <w:rPr>
          <w:spacing w:val="-27"/>
          <w:w w:val="110"/>
        </w:rPr>
        <w:t> </w:t>
      </w:r>
      <w:r>
        <w:rPr>
          <w:w w:val="110"/>
        </w:rPr>
        <w:t>Agents</w:t>
      </w:r>
      <w:r>
        <w:rPr>
          <w:spacing w:val="-28"/>
          <w:w w:val="110"/>
        </w:rPr>
        <w:t> </w:t>
      </w:r>
      <w:r>
        <w:rPr>
          <w:w w:val="110"/>
        </w:rPr>
        <w:t>suggest</w:t>
      </w:r>
      <w:r>
        <w:rPr>
          <w:spacing w:val="-28"/>
          <w:w w:val="110"/>
        </w:rPr>
        <w:t> </w:t>
      </w:r>
      <w:r>
        <w:rPr>
          <w:w w:val="110"/>
        </w:rPr>
        <w:t>that</w:t>
      </w:r>
      <w:r>
        <w:rPr>
          <w:spacing w:val="-28"/>
          <w:w w:val="110"/>
        </w:rPr>
        <w:t> </w:t>
      </w:r>
      <w:r>
        <w:rPr>
          <w:w w:val="110"/>
        </w:rPr>
        <w:t>this</w:t>
      </w:r>
      <w:r>
        <w:rPr>
          <w:spacing w:val="-27"/>
          <w:w w:val="110"/>
        </w:rPr>
        <w:t> </w:t>
      </w:r>
      <w:r>
        <w:rPr>
          <w:spacing w:val="-3"/>
          <w:w w:val="110"/>
        </w:rPr>
        <w:t>was</w:t>
      </w:r>
      <w:r>
        <w:rPr>
          <w:spacing w:val="-28"/>
          <w:w w:val="110"/>
        </w:rPr>
        <w:t> </w:t>
      </w:r>
      <w:r>
        <w:rPr>
          <w:w w:val="110"/>
        </w:rPr>
        <w:t>partly </w:t>
      </w:r>
      <w:r>
        <w:rPr>
          <w:spacing w:val="-4"/>
          <w:w w:val="110"/>
        </w:rPr>
        <w:t>weather-related.</w:t>
      </w:r>
    </w:p>
    <w:p>
      <w:pPr>
        <w:pStyle w:val="BodyText"/>
        <w:rPr>
          <w:sz w:val="27"/>
        </w:rPr>
      </w:pPr>
    </w:p>
    <w:p>
      <w:pPr>
        <w:pStyle w:val="BodyText"/>
        <w:spacing w:line="292" w:lineRule="auto"/>
        <w:ind w:left="291" w:right="54"/>
      </w:pPr>
      <w:r>
        <w:rPr>
          <w:spacing w:val="-3"/>
          <w:w w:val="110"/>
        </w:rPr>
        <w:t>Falls </w:t>
      </w:r>
      <w:r>
        <w:rPr>
          <w:w w:val="110"/>
        </w:rPr>
        <w:t>in labour usage mirror the recent </w:t>
      </w:r>
      <w:r>
        <w:rPr>
          <w:spacing w:val="-3"/>
          <w:w w:val="110"/>
        </w:rPr>
        <w:t>slowdown </w:t>
      </w:r>
      <w:r>
        <w:rPr>
          <w:w w:val="110"/>
        </w:rPr>
        <w:t>in GDP growth</w:t>
      </w:r>
      <w:r>
        <w:rPr>
          <w:spacing w:val="-22"/>
          <w:w w:val="110"/>
        </w:rPr>
        <w:t> </w:t>
      </w:r>
      <w:hyperlink w:history="true" w:anchor="_bookmark18">
        <w:r>
          <w:rPr>
            <w:w w:val="110"/>
          </w:rPr>
          <w:t>(see</w:t>
        </w:r>
        <w:r>
          <w:rPr>
            <w:spacing w:val="-22"/>
            <w:w w:val="110"/>
          </w:rPr>
          <w:t> </w:t>
        </w:r>
        <w:r>
          <w:rPr>
            <w:color w:val="FF0000"/>
            <w:w w:val="110"/>
          </w:rPr>
          <w:t>Section</w:t>
        </w:r>
        <w:r>
          <w:rPr>
            <w:color w:val="FF0000"/>
            <w:spacing w:val="-22"/>
            <w:w w:val="110"/>
          </w:rPr>
          <w:t> </w:t>
        </w:r>
        <w:r>
          <w:rPr>
            <w:color w:val="FF0000"/>
            <w:w w:val="110"/>
          </w:rPr>
          <w:t>2</w:t>
        </w:r>
        <w:r>
          <w:rPr>
            <w:w w:val="110"/>
          </w:rPr>
          <w:t>).</w:t>
        </w:r>
      </w:hyperlink>
      <w:r>
        <w:rPr>
          <w:spacing w:val="12"/>
          <w:w w:val="110"/>
        </w:rPr>
        <w:t> </w:t>
      </w:r>
      <w:r>
        <w:rPr>
          <w:spacing w:val="-3"/>
          <w:w w:val="110"/>
        </w:rPr>
        <w:t>Temporary</w:t>
      </w:r>
      <w:r>
        <w:rPr>
          <w:spacing w:val="-22"/>
          <w:w w:val="110"/>
        </w:rPr>
        <w:t> </w:t>
      </w:r>
      <w:r>
        <w:rPr>
          <w:w w:val="110"/>
        </w:rPr>
        <w:t>employment</w:t>
      </w:r>
      <w:r>
        <w:rPr>
          <w:spacing w:val="-22"/>
          <w:w w:val="110"/>
        </w:rPr>
        <w:t> </w:t>
      </w:r>
      <w:r>
        <w:rPr>
          <w:w w:val="110"/>
        </w:rPr>
        <w:t>accounts</w:t>
      </w:r>
      <w:r>
        <w:rPr>
          <w:spacing w:val="-21"/>
          <w:w w:val="110"/>
        </w:rPr>
        <w:t> </w:t>
      </w:r>
      <w:r>
        <w:rPr>
          <w:w w:val="110"/>
        </w:rPr>
        <w:t>for</w:t>
      </w:r>
      <w:r>
        <w:rPr>
          <w:spacing w:val="-22"/>
          <w:w w:val="110"/>
        </w:rPr>
        <w:t> </w:t>
      </w:r>
      <w:r>
        <w:rPr>
          <w:w w:val="110"/>
        </w:rPr>
        <w:t>a relatively</w:t>
      </w:r>
      <w:r>
        <w:rPr>
          <w:spacing w:val="-23"/>
          <w:w w:val="110"/>
        </w:rPr>
        <w:t> </w:t>
      </w:r>
      <w:r>
        <w:rPr>
          <w:w w:val="110"/>
        </w:rPr>
        <w:t>small</w:t>
      </w:r>
      <w:r>
        <w:rPr>
          <w:spacing w:val="-23"/>
          <w:w w:val="110"/>
        </w:rPr>
        <w:t> </w:t>
      </w:r>
      <w:r>
        <w:rPr>
          <w:w w:val="110"/>
        </w:rPr>
        <w:t>proportion</w:t>
      </w:r>
      <w:r>
        <w:rPr>
          <w:spacing w:val="-22"/>
          <w:w w:val="110"/>
        </w:rPr>
        <w:t> </w:t>
      </w:r>
      <w:r>
        <w:rPr>
          <w:w w:val="110"/>
        </w:rPr>
        <w:t>of</w:t>
      </w:r>
      <w:r>
        <w:rPr>
          <w:spacing w:val="-23"/>
          <w:w w:val="110"/>
        </w:rPr>
        <w:t> </w:t>
      </w:r>
      <w:r>
        <w:rPr>
          <w:spacing w:val="-3"/>
          <w:w w:val="110"/>
        </w:rPr>
        <w:t>overall</w:t>
      </w:r>
      <w:r>
        <w:rPr>
          <w:spacing w:val="-22"/>
          <w:w w:val="110"/>
        </w:rPr>
        <w:t> </w:t>
      </w:r>
      <w:r>
        <w:rPr>
          <w:w w:val="110"/>
        </w:rPr>
        <w:t>employment</w:t>
      </w:r>
      <w:r>
        <w:rPr>
          <w:spacing w:val="-23"/>
          <w:w w:val="110"/>
        </w:rPr>
        <w:t> </w:t>
      </w:r>
      <w:r>
        <w:rPr>
          <w:w w:val="110"/>
        </w:rPr>
        <w:t>but</w:t>
      </w:r>
      <w:r>
        <w:rPr>
          <w:spacing w:val="-22"/>
          <w:w w:val="110"/>
        </w:rPr>
        <w:t> </w:t>
      </w:r>
      <w:r>
        <w:rPr>
          <w:spacing w:val="-3"/>
          <w:w w:val="110"/>
        </w:rPr>
        <w:t>may</w:t>
      </w:r>
      <w:r>
        <w:rPr>
          <w:spacing w:val="-23"/>
          <w:w w:val="110"/>
        </w:rPr>
        <w:t> </w:t>
      </w:r>
      <w:r>
        <w:rPr>
          <w:w w:val="110"/>
        </w:rPr>
        <w:t>be particularly sensitive </w:t>
      </w:r>
      <w:r>
        <w:rPr>
          <w:spacing w:val="-4"/>
          <w:w w:val="110"/>
        </w:rPr>
        <w:t>to </w:t>
      </w:r>
      <w:r>
        <w:rPr>
          <w:w w:val="110"/>
        </w:rPr>
        <w:t>changes in GDP growth. One reason might be that when demand is rising but prospects are uncertain, </w:t>
      </w:r>
      <w:r>
        <w:rPr>
          <w:spacing w:val="-4"/>
          <w:w w:val="110"/>
        </w:rPr>
        <w:t>risk-averse </w:t>
      </w:r>
      <w:r>
        <w:rPr>
          <w:spacing w:val="-3"/>
          <w:w w:val="110"/>
        </w:rPr>
        <w:t>employers </w:t>
      </w:r>
      <w:r>
        <w:rPr>
          <w:w w:val="110"/>
        </w:rPr>
        <w:t>prefer initially </w:t>
      </w:r>
      <w:r>
        <w:rPr>
          <w:spacing w:val="-4"/>
          <w:w w:val="110"/>
        </w:rPr>
        <w:t>to </w:t>
      </w:r>
      <w:r>
        <w:rPr>
          <w:w w:val="110"/>
        </w:rPr>
        <w:t>employ </w:t>
      </w:r>
      <w:r>
        <w:rPr>
          <w:spacing w:val="-3"/>
          <w:w w:val="110"/>
        </w:rPr>
        <w:t>temporary workers </w:t>
      </w:r>
      <w:r>
        <w:rPr>
          <w:w w:val="110"/>
        </w:rPr>
        <w:t>rather than undertake more costly search </w:t>
      </w:r>
      <w:r>
        <w:rPr>
          <w:spacing w:val="-4"/>
          <w:w w:val="110"/>
        </w:rPr>
        <w:t>for, </w:t>
      </w:r>
      <w:r>
        <w:rPr>
          <w:w w:val="110"/>
        </w:rPr>
        <w:t>and </w:t>
      </w:r>
      <w:r>
        <w:rPr>
          <w:spacing w:val="-3"/>
          <w:w w:val="110"/>
        </w:rPr>
        <w:t>investment </w:t>
      </w:r>
      <w:r>
        <w:rPr>
          <w:w w:val="110"/>
        </w:rPr>
        <w:t>in, permanent staff. </w:t>
      </w:r>
      <w:r>
        <w:rPr>
          <w:spacing w:val="-3"/>
          <w:w w:val="110"/>
        </w:rPr>
        <w:t>Similarly, </w:t>
      </w:r>
      <w:r>
        <w:rPr>
          <w:w w:val="110"/>
        </w:rPr>
        <w:t>when demand is easing, firms </w:t>
      </w:r>
      <w:r>
        <w:rPr>
          <w:spacing w:val="-3"/>
          <w:w w:val="110"/>
        </w:rPr>
        <w:t>may </w:t>
      </w:r>
      <w:r>
        <w:rPr>
          <w:w w:val="110"/>
        </w:rPr>
        <w:t>recruit fewer new temporary employees, or release existing temporary </w:t>
      </w:r>
      <w:r>
        <w:rPr>
          <w:spacing w:val="-3"/>
          <w:w w:val="110"/>
        </w:rPr>
        <w:t>workers, </w:t>
      </w:r>
      <w:r>
        <w:rPr>
          <w:w w:val="110"/>
        </w:rPr>
        <w:t>before reducing demand for permanent staff. In addition, on the employee</w:t>
      </w:r>
      <w:r>
        <w:rPr>
          <w:spacing w:val="-21"/>
          <w:w w:val="110"/>
        </w:rPr>
        <w:t> </w:t>
      </w:r>
      <w:r>
        <w:rPr>
          <w:w w:val="110"/>
        </w:rPr>
        <w:t>side,</w:t>
      </w:r>
      <w:r>
        <w:rPr>
          <w:spacing w:val="-21"/>
          <w:w w:val="110"/>
        </w:rPr>
        <w:t> </w:t>
      </w:r>
      <w:r>
        <w:rPr>
          <w:w w:val="110"/>
        </w:rPr>
        <w:t>the</w:t>
      </w:r>
      <w:r>
        <w:rPr>
          <w:spacing w:val="-20"/>
          <w:w w:val="110"/>
        </w:rPr>
        <w:t> </w:t>
      </w:r>
      <w:r>
        <w:rPr>
          <w:w w:val="110"/>
        </w:rPr>
        <w:t>decision</w:t>
      </w:r>
      <w:r>
        <w:rPr>
          <w:spacing w:val="-21"/>
          <w:w w:val="110"/>
        </w:rPr>
        <w:t> </w:t>
      </w:r>
      <w:r>
        <w:rPr>
          <w:spacing w:val="-4"/>
          <w:w w:val="110"/>
        </w:rPr>
        <w:t>to</w:t>
      </w:r>
      <w:r>
        <w:rPr>
          <w:spacing w:val="-21"/>
          <w:w w:val="110"/>
        </w:rPr>
        <w:t> </w:t>
      </w:r>
      <w:r>
        <w:rPr>
          <w:w w:val="110"/>
        </w:rPr>
        <w:t>search</w:t>
      </w:r>
      <w:r>
        <w:rPr>
          <w:spacing w:val="-20"/>
          <w:w w:val="110"/>
        </w:rPr>
        <w:t> </w:t>
      </w:r>
      <w:r>
        <w:rPr>
          <w:w w:val="110"/>
        </w:rPr>
        <w:t>for</w:t>
      </w:r>
      <w:r>
        <w:rPr>
          <w:spacing w:val="-21"/>
          <w:w w:val="110"/>
        </w:rPr>
        <w:t> </w:t>
      </w:r>
      <w:r>
        <w:rPr>
          <w:w w:val="110"/>
        </w:rPr>
        <w:t>temporary</w:t>
      </w:r>
      <w:r>
        <w:rPr>
          <w:spacing w:val="-21"/>
          <w:w w:val="110"/>
        </w:rPr>
        <w:t> </w:t>
      </w:r>
      <w:r>
        <w:rPr>
          <w:w w:val="110"/>
        </w:rPr>
        <w:t>work</w:t>
      </w:r>
      <w:r>
        <w:rPr>
          <w:spacing w:val="-20"/>
          <w:w w:val="110"/>
        </w:rPr>
        <w:t> </w:t>
      </w:r>
      <w:r>
        <w:rPr>
          <w:spacing w:val="-3"/>
          <w:w w:val="110"/>
        </w:rPr>
        <w:t>may </w:t>
      </w:r>
      <w:r>
        <w:rPr>
          <w:w w:val="110"/>
        </w:rPr>
        <w:t>be</w:t>
      </w:r>
      <w:r>
        <w:rPr>
          <w:spacing w:val="-27"/>
          <w:w w:val="110"/>
        </w:rPr>
        <w:t> </w:t>
      </w:r>
      <w:r>
        <w:rPr>
          <w:w w:val="110"/>
        </w:rPr>
        <w:t>particularly</w:t>
      </w:r>
      <w:r>
        <w:rPr>
          <w:spacing w:val="-27"/>
          <w:w w:val="110"/>
        </w:rPr>
        <w:t> </w:t>
      </w:r>
      <w:r>
        <w:rPr>
          <w:w w:val="110"/>
        </w:rPr>
        <w:t>responsive</w:t>
      </w:r>
      <w:r>
        <w:rPr>
          <w:spacing w:val="-26"/>
          <w:w w:val="110"/>
        </w:rPr>
        <w:t> </w:t>
      </w:r>
      <w:r>
        <w:rPr>
          <w:spacing w:val="-4"/>
          <w:w w:val="110"/>
        </w:rPr>
        <w:t>to</w:t>
      </w:r>
      <w:r>
        <w:rPr>
          <w:spacing w:val="-27"/>
          <w:w w:val="110"/>
        </w:rPr>
        <w:t> </w:t>
      </w:r>
      <w:r>
        <w:rPr>
          <w:w w:val="110"/>
        </w:rPr>
        <w:t>changing</w:t>
      </w:r>
      <w:r>
        <w:rPr>
          <w:spacing w:val="-27"/>
          <w:w w:val="110"/>
        </w:rPr>
        <w:t> </w:t>
      </w:r>
      <w:r>
        <w:rPr>
          <w:w w:val="110"/>
        </w:rPr>
        <w:t>economic</w:t>
      </w:r>
      <w:r>
        <w:rPr>
          <w:spacing w:val="-26"/>
          <w:w w:val="110"/>
        </w:rPr>
        <w:t> </w:t>
      </w:r>
      <w:r>
        <w:rPr>
          <w:w w:val="110"/>
        </w:rPr>
        <w:t>prospects.</w:t>
      </w:r>
      <w:r>
        <w:rPr>
          <w:spacing w:val="2"/>
          <w:w w:val="110"/>
        </w:rPr>
        <w:t> </w:t>
      </w:r>
      <w:r>
        <w:rPr>
          <w:w w:val="110"/>
        </w:rPr>
        <w:t>As Chart 3.3 shows, growth in the number of </w:t>
      </w:r>
      <w:r>
        <w:rPr>
          <w:spacing w:val="-3"/>
          <w:w w:val="110"/>
        </w:rPr>
        <w:t>temporary </w:t>
      </w:r>
      <w:r>
        <w:rPr>
          <w:w w:val="110"/>
        </w:rPr>
        <w:t>employees</w:t>
      </w:r>
      <w:r>
        <w:rPr>
          <w:spacing w:val="-21"/>
          <w:w w:val="110"/>
        </w:rPr>
        <w:t> </w:t>
      </w:r>
      <w:r>
        <w:rPr>
          <w:w w:val="110"/>
        </w:rPr>
        <w:t>has</w:t>
      </w:r>
      <w:r>
        <w:rPr>
          <w:spacing w:val="-21"/>
          <w:w w:val="110"/>
        </w:rPr>
        <w:t> </w:t>
      </w:r>
      <w:r>
        <w:rPr>
          <w:w w:val="110"/>
        </w:rPr>
        <w:t>often</w:t>
      </w:r>
      <w:r>
        <w:rPr>
          <w:spacing w:val="-20"/>
          <w:w w:val="110"/>
        </w:rPr>
        <w:t> </w:t>
      </w:r>
      <w:r>
        <w:rPr>
          <w:w w:val="110"/>
        </w:rPr>
        <w:t>varied</w:t>
      </w:r>
      <w:r>
        <w:rPr>
          <w:spacing w:val="-21"/>
          <w:w w:val="110"/>
        </w:rPr>
        <w:t> </w:t>
      </w:r>
      <w:r>
        <w:rPr>
          <w:w w:val="110"/>
        </w:rPr>
        <w:t>with</w:t>
      </w:r>
      <w:r>
        <w:rPr>
          <w:spacing w:val="-20"/>
          <w:w w:val="110"/>
        </w:rPr>
        <w:t> </w:t>
      </w:r>
      <w:r>
        <w:rPr>
          <w:w w:val="110"/>
        </w:rPr>
        <w:t>changes</w:t>
      </w:r>
      <w:r>
        <w:rPr>
          <w:spacing w:val="-21"/>
          <w:w w:val="110"/>
        </w:rPr>
        <w:t> </w:t>
      </w:r>
      <w:r>
        <w:rPr>
          <w:w w:val="110"/>
        </w:rPr>
        <w:t>in</w:t>
      </w:r>
      <w:r>
        <w:rPr>
          <w:spacing w:val="-20"/>
          <w:w w:val="110"/>
        </w:rPr>
        <w:t> </w:t>
      </w:r>
      <w:r>
        <w:rPr>
          <w:w w:val="110"/>
        </w:rPr>
        <w:t>GDP</w:t>
      </w:r>
      <w:r>
        <w:rPr>
          <w:spacing w:val="-21"/>
          <w:w w:val="110"/>
        </w:rPr>
        <w:t> </w:t>
      </w:r>
      <w:r>
        <w:rPr>
          <w:w w:val="110"/>
        </w:rPr>
        <w:t>growth</w:t>
      </w:r>
      <w:r>
        <w:rPr>
          <w:spacing w:val="-20"/>
          <w:w w:val="110"/>
        </w:rPr>
        <w:t> </w:t>
      </w:r>
      <w:r>
        <w:rPr>
          <w:w w:val="110"/>
        </w:rPr>
        <w:t>and has</w:t>
      </w:r>
      <w:r>
        <w:rPr>
          <w:spacing w:val="-11"/>
          <w:w w:val="110"/>
        </w:rPr>
        <w:t> </w:t>
      </w:r>
      <w:r>
        <w:rPr>
          <w:w w:val="110"/>
        </w:rPr>
        <w:t>indeed</w:t>
      </w:r>
      <w:r>
        <w:rPr>
          <w:spacing w:val="-10"/>
          <w:w w:val="110"/>
        </w:rPr>
        <w:t> </w:t>
      </w:r>
      <w:r>
        <w:rPr>
          <w:spacing w:val="-3"/>
          <w:w w:val="110"/>
        </w:rPr>
        <w:t>slowed</w:t>
      </w:r>
      <w:r>
        <w:rPr>
          <w:spacing w:val="-11"/>
          <w:w w:val="110"/>
        </w:rPr>
        <w:t> </w:t>
      </w:r>
      <w:r>
        <w:rPr>
          <w:w w:val="110"/>
        </w:rPr>
        <w:t>recently</w:t>
      </w:r>
      <w:r>
        <w:rPr>
          <w:spacing w:val="-10"/>
          <w:w w:val="110"/>
        </w:rPr>
        <w:t> </w:t>
      </w:r>
      <w:r>
        <w:rPr>
          <w:w w:val="110"/>
        </w:rPr>
        <w:t>in</w:t>
      </w:r>
      <w:r>
        <w:rPr>
          <w:spacing w:val="-11"/>
          <w:w w:val="110"/>
        </w:rPr>
        <w:t> </w:t>
      </w:r>
      <w:r>
        <w:rPr>
          <w:w w:val="110"/>
        </w:rPr>
        <w:t>line</w:t>
      </w:r>
      <w:r>
        <w:rPr>
          <w:spacing w:val="-10"/>
          <w:w w:val="110"/>
        </w:rPr>
        <w:t> </w:t>
      </w:r>
      <w:r>
        <w:rPr>
          <w:w w:val="110"/>
        </w:rPr>
        <w:t>with</w:t>
      </w:r>
      <w:r>
        <w:rPr>
          <w:spacing w:val="-11"/>
          <w:w w:val="110"/>
        </w:rPr>
        <w:t> </w:t>
      </w:r>
      <w:r>
        <w:rPr>
          <w:w w:val="110"/>
        </w:rPr>
        <w:t>output</w:t>
      </w:r>
      <w:r>
        <w:rPr>
          <w:spacing w:val="-10"/>
          <w:w w:val="110"/>
        </w:rPr>
        <w:t> </w:t>
      </w:r>
      <w:r>
        <w:rPr>
          <w:w w:val="110"/>
        </w:rPr>
        <w:t>growth.</w:t>
      </w:r>
    </w:p>
    <w:p>
      <w:pPr>
        <w:pStyle w:val="BodyText"/>
        <w:spacing w:line="292" w:lineRule="auto"/>
        <w:ind w:left="291"/>
      </w:pPr>
      <w:r>
        <w:rPr>
          <w:spacing w:val="-4"/>
          <w:w w:val="110"/>
        </w:rPr>
        <w:t>However, </w:t>
      </w:r>
      <w:r>
        <w:rPr>
          <w:w w:val="110"/>
        </w:rPr>
        <w:t>structural </w:t>
      </w:r>
      <w:r>
        <w:rPr>
          <w:spacing w:val="-3"/>
          <w:w w:val="110"/>
        </w:rPr>
        <w:t>factors, </w:t>
      </w:r>
      <w:r>
        <w:rPr>
          <w:w w:val="110"/>
        </w:rPr>
        <w:t>such as rising labour market participation</w:t>
      </w:r>
      <w:r>
        <w:rPr>
          <w:spacing w:val="-23"/>
          <w:w w:val="110"/>
        </w:rPr>
        <w:t> </w:t>
      </w:r>
      <w:r>
        <w:rPr>
          <w:spacing w:val="-3"/>
          <w:w w:val="110"/>
        </w:rPr>
        <w:t>by</w:t>
      </w:r>
      <w:r>
        <w:rPr>
          <w:spacing w:val="-22"/>
          <w:w w:val="110"/>
        </w:rPr>
        <w:t> </w:t>
      </w:r>
      <w:r>
        <w:rPr>
          <w:w w:val="110"/>
        </w:rPr>
        <w:t>female</w:t>
      </w:r>
      <w:r>
        <w:rPr>
          <w:spacing w:val="-23"/>
          <w:w w:val="110"/>
        </w:rPr>
        <w:t> </w:t>
      </w:r>
      <w:r>
        <w:rPr>
          <w:spacing w:val="-3"/>
          <w:w w:val="110"/>
        </w:rPr>
        <w:t>workers,</w:t>
      </w:r>
      <w:r>
        <w:rPr>
          <w:spacing w:val="-22"/>
          <w:w w:val="110"/>
        </w:rPr>
        <w:t> </w:t>
      </w:r>
      <w:r>
        <w:rPr>
          <w:spacing w:val="-3"/>
          <w:w w:val="110"/>
        </w:rPr>
        <w:t>have</w:t>
      </w:r>
      <w:r>
        <w:rPr>
          <w:spacing w:val="-22"/>
          <w:w w:val="110"/>
        </w:rPr>
        <w:t> </w:t>
      </w:r>
      <w:r>
        <w:rPr>
          <w:w w:val="110"/>
        </w:rPr>
        <w:t>also</w:t>
      </w:r>
      <w:r>
        <w:rPr>
          <w:spacing w:val="-23"/>
          <w:w w:val="110"/>
        </w:rPr>
        <w:t> </w:t>
      </w:r>
      <w:r>
        <w:rPr>
          <w:spacing w:val="-3"/>
          <w:w w:val="110"/>
        </w:rPr>
        <w:t>played</w:t>
      </w:r>
      <w:r>
        <w:rPr>
          <w:spacing w:val="-22"/>
          <w:w w:val="110"/>
        </w:rPr>
        <w:t> </w:t>
      </w:r>
      <w:r>
        <w:rPr>
          <w:w w:val="110"/>
        </w:rPr>
        <w:t>an</w:t>
      </w:r>
      <w:r>
        <w:rPr>
          <w:spacing w:val="-23"/>
          <w:w w:val="110"/>
        </w:rPr>
        <w:t> </w:t>
      </w:r>
      <w:r>
        <w:rPr>
          <w:w w:val="110"/>
        </w:rPr>
        <w:t>important role</w:t>
      </w:r>
      <w:r>
        <w:rPr>
          <w:spacing w:val="-9"/>
          <w:w w:val="110"/>
        </w:rPr>
        <w:t> </w:t>
      </w:r>
      <w:r>
        <w:rPr>
          <w:w w:val="110"/>
        </w:rPr>
        <w:t>in</w:t>
      </w:r>
      <w:r>
        <w:rPr>
          <w:spacing w:val="-9"/>
          <w:w w:val="110"/>
        </w:rPr>
        <w:t> </w:t>
      </w:r>
      <w:r>
        <w:rPr>
          <w:w w:val="110"/>
        </w:rPr>
        <w:t>the</w:t>
      </w:r>
      <w:r>
        <w:rPr>
          <w:spacing w:val="-8"/>
          <w:w w:val="110"/>
        </w:rPr>
        <w:t> </w:t>
      </w:r>
      <w:r>
        <w:rPr>
          <w:w w:val="110"/>
        </w:rPr>
        <w:t>growth</w:t>
      </w:r>
      <w:r>
        <w:rPr>
          <w:spacing w:val="-9"/>
          <w:w w:val="110"/>
        </w:rPr>
        <w:t> </w:t>
      </w:r>
      <w:r>
        <w:rPr>
          <w:w w:val="110"/>
        </w:rPr>
        <w:t>of</w:t>
      </w:r>
      <w:r>
        <w:rPr>
          <w:spacing w:val="-8"/>
          <w:w w:val="110"/>
        </w:rPr>
        <w:t> </w:t>
      </w:r>
      <w:r>
        <w:rPr>
          <w:w w:val="110"/>
        </w:rPr>
        <w:t>temporary</w:t>
      </w:r>
      <w:r>
        <w:rPr>
          <w:spacing w:val="-9"/>
          <w:w w:val="110"/>
        </w:rPr>
        <w:t> </w:t>
      </w:r>
      <w:r>
        <w:rPr>
          <w:w w:val="110"/>
        </w:rPr>
        <w:t>employees.</w:t>
      </w:r>
    </w:p>
    <w:p>
      <w:pPr>
        <w:pStyle w:val="BodyText"/>
        <w:spacing w:before="2"/>
        <w:rPr>
          <w:sz w:val="25"/>
        </w:rPr>
      </w:pPr>
    </w:p>
    <w:p>
      <w:pPr>
        <w:pStyle w:val="BodyText"/>
        <w:spacing w:line="292" w:lineRule="auto"/>
        <w:ind w:left="291" w:right="250"/>
      </w:pPr>
      <w:r>
        <w:rPr>
          <w:w w:val="110"/>
        </w:rPr>
        <w:t>Equally</w:t>
      </w:r>
      <w:r>
        <w:rPr>
          <w:spacing w:val="-12"/>
          <w:w w:val="110"/>
        </w:rPr>
        <w:t> </w:t>
      </w:r>
      <w:r>
        <w:rPr>
          <w:w w:val="110"/>
        </w:rPr>
        <w:t>there</w:t>
      </w:r>
      <w:r>
        <w:rPr>
          <w:spacing w:val="-12"/>
          <w:w w:val="110"/>
        </w:rPr>
        <w:t> </w:t>
      </w:r>
      <w:r>
        <w:rPr>
          <w:w w:val="110"/>
        </w:rPr>
        <w:t>are</w:t>
      </w:r>
      <w:r>
        <w:rPr>
          <w:spacing w:val="-12"/>
          <w:w w:val="110"/>
        </w:rPr>
        <w:t> </w:t>
      </w:r>
      <w:r>
        <w:rPr>
          <w:w w:val="110"/>
        </w:rPr>
        <w:t>signs</w:t>
      </w:r>
      <w:r>
        <w:rPr>
          <w:spacing w:val="-12"/>
          <w:w w:val="110"/>
        </w:rPr>
        <w:t> </w:t>
      </w:r>
      <w:r>
        <w:rPr>
          <w:w w:val="110"/>
        </w:rPr>
        <w:t>that</w:t>
      </w:r>
      <w:r>
        <w:rPr>
          <w:spacing w:val="-12"/>
          <w:w w:val="110"/>
        </w:rPr>
        <w:t> </w:t>
      </w:r>
      <w:r>
        <w:rPr>
          <w:w w:val="110"/>
        </w:rPr>
        <w:t>erratic</w:t>
      </w:r>
      <w:r>
        <w:rPr>
          <w:spacing w:val="-12"/>
          <w:w w:val="110"/>
        </w:rPr>
        <w:t> </w:t>
      </w:r>
      <w:r>
        <w:rPr>
          <w:spacing w:val="-3"/>
          <w:w w:val="110"/>
        </w:rPr>
        <w:t>factors,</w:t>
      </w:r>
      <w:r>
        <w:rPr>
          <w:spacing w:val="-12"/>
          <w:w w:val="110"/>
        </w:rPr>
        <w:t> </w:t>
      </w:r>
      <w:r>
        <w:rPr>
          <w:w w:val="110"/>
        </w:rPr>
        <w:t>rather</w:t>
      </w:r>
      <w:r>
        <w:rPr>
          <w:spacing w:val="-12"/>
          <w:w w:val="110"/>
        </w:rPr>
        <w:t> </w:t>
      </w:r>
      <w:r>
        <w:rPr>
          <w:w w:val="110"/>
        </w:rPr>
        <w:t>than</w:t>
      </w:r>
      <w:r>
        <w:rPr>
          <w:spacing w:val="-12"/>
          <w:w w:val="110"/>
        </w:rPr>
        <w:t> </w:t>
      </w:r>
      <w:r>
        <w:rPr>
          <w:w w:val="110"/>
        </w:rPr>
        <w:t>more sustained cyclical influences, </w:t>
      </w:r>
      <w:r>
        <w:rPr>
          <w:spacing w:val="-3"/>
          <w:w w:val="110"/>
        </w:rPr>
        <w:t>may </w:t>
      </w:r>
      <w:r>
        <w:rPr>
          <w:w w:val="110"/>
        </w:rPr>
        <w:t>partly explain recent declines in labour usage. The </w:t>
      </w:r>
      <w:r>
        <w:rPr>
          <w:spacing w:val="-3"/>
          <w:w w:val="110"/>
        </w:rPr>
        <w:t>latest </w:t>
      </w:r>
      <w:r>
        <w:rPr>
          <w:w w:val="110"/>
        </w:rPr>
        <w:t>LFS employment data </w:t>
      </w:r>
      <w:r>
        <w:rPr>
          <w:spacing w:val="-3"/>
          <w:w w:val="110"/>
        </w:rPr>
        <w:t>cover </w:t>
      </w:r>
      <w:r>
        <w:rPr>
          <w:w w:val="110"/>
        </w:rPr>
        <w:t>the period of autumn </w:t>
      </w:r>
      <w:r>
        <w:rPr>
          <w:spacing w:val="-4"/>
          <w:w w:val="110"/>
        </w:rPr>
        <w:t>2000 </w:t>
      </w:r>
      <w:r>
        <w:rPr>
          <w:w w:val="110"/>
        </w:rPr>
        <w:t>most likely </w:t>
      </w:r>
      <w:r>
        <w:rPr>
          <w:spacing w:val="-4"/>
          <w:w w:val="110"/>
        </w:rPr>
        <w:t>to </w:t>
      </w:r>
      <w:r>
        <w:rPr>
          <w:spacing w:val="-3"/>
          <w:w w:val="110"/>
        </w:rPr>
        <w:t>have </w:t>
      </w:r>
      <w:r>
        <w:rPr>
          <w:w w:val="110"/>
        </w:rPr>
        <w:t>been affected </w:t>
      </w:r>
      <w:r>
        <w:rPr>
          <w:spacing w:val="-3"/>
          <w:w w:val="110"/>
        </w:rPr>
        <w:t>by </w:t>
      </w:r>
      <w:r>
        <w:rPr>
          <w:w w:val="110"/>
        </w:rPr>
        <w:t>fuel supply interruptions, </w:t>
      </w:r>
      <w:r>
        <w:rPr>
          <w:spacing w:val="-3"/>
          <w:w w:val="110"/>
        </w:rPr>
        <w:t>rail </w:t>
      </w:r>
      <w:r>
        <w:rPr>
          <w:w w:val="110"/>
        </w:rPr>
        <w:t>disruption and </w:t>
      </w:r>
      <w:r>
        <w:rPr>
          <w:spacing w:val="-3"/>
          <w:w w:val="110"/>
        </w:rPr>
        <w:t>severe </w:t>
      </w:r>
      <w:r>
        <w:rPr>
          <w:w w:val="110"/>
        </w:rPr>
        <w:t>flooding. These disruptions </w:t>
      </w:r>
      <w:r>
        <w:rPr>
          <w:spacing w:val="-3"/>
          <w:w w:val="110"/>
        </w:rPr>
        <w:t>may have </w:t>
      </w:r>
      <w:r>
        <w:rPr>
          <w:w w:val="110"/>
        </w:rPr>
        <w:t>made it more difficult</w:t>
      </w:r>
      <w:r>
        <w:rPr>
          <w:spacing w:val="-23"/>
          <w:w w:val="110"/>
        </w:rPr>
        <w:t> </w:t>
      </w:r>
      <w:r>
        <w:rPr>
          <w:w w:val="110"/>
        </w:rPr>
        <w:t>for</w:t>
      </w:r>
      <w:r>
        <w:rPr>
          <w:spacing w:val="-22"/>
          <w:w w:val="110"/>
        </w:rPr>
        <w:t> </w:t>
      </w:r>
      <w:r>
        <w:rPr>
          <w:w w:val="110"/>
        </w:rPr>
        <w:t>firms</w:t>
      </w:r>
      <w:r>
        <w:rPr>
          <w:spacing w:val="-22"/>
          <w:w w:val="110"/>
        </w:rPr>
        <w:t> </w:t>
      </w:r>
      <w:r>
        <w:rPr>
          <w:spacing w:val="-4"/>
          <w:w w:val="110"/>
        </w:rPr>
        <w:t>to</w:t>
      </w:r>
      <w:r>
        <w:rPr>
          <w:spacing w:val="-22"/>
          <w:w w:val="110"/>
        </w:rPr>
        <w:t> </w:t>
      </w:r>
      <w:r>
        <w:rPr>
          <w:w w:val="110"/>
        </w:rPr>
        <w:t>recruit</w:t>
      </w:r>
      <w:r>
        <w:rPr>
          <w:spacing w:val="-23"/>
          <w:w w:val="110"/>
        </w:rPr>
        <w:t> </w:t>
      </w:r>
      <w:r>
        <w:rPr>
          <w:spacing w:val="-3"/>
          <w:w w:val="110"/>
        </w:rPr>
        <w:t>temporary</w:t>
      </w:r>
      <w:r>
        <w:rPr>
          <w:spacing w:val="-22"/>
          <w:w w:val="110"/>
        </w:rPr>
        <w:t> </w:t>
      </w:r>
      <w:r>
        <w:rPr>
          <w:w w:val="110"/>
        </w:rPr>
        <w:t>(or</w:t>
      </w:r>
      <w:r>
        <w:rPr>
          <w:spacing w:val="-22"/>
          <w:w w:val="110"/>
        </w:rPr>
        <w:t> </w:t>
      </w:r>
      <w:r>
        <w:rPr>
          <w:w w:val="110"/>
        </w:rPr>
        <w:t>casual)</w:t>
      </w:r>
      <w:r>
        <w:rPr>
          <w:spacing w:val="-22"/>
          <w:w w:val="110"/>
        </w:rPr>
        <w:t> </w:t>
      </w:r>
      <w:r>
        <w:rPr>
          <w:spacing w:val="-3"/>
          <w:w w:val="110"/>
        </w:rPr>
        <w:t>workers,</w:t>
      </w:r>
      <w:r>
        <w:rPr>
          <w:spacing w:val="-23"/>
          <w:w w:val="110"/>
        </w:rPr>
        <w:t> </w:t>
      </w:r>
      <w:r>
        <w:rPr>
          <w:w w:val="110"/>
        </w:rPr>
        <w:t>or</w:t>
      </w:r>
    </w:p>
    <w:p>
      <w:pPr>
        <w:pStyle w:val="BodyText"/>
        <w:spacing w:before="9"/>
        <w:rPr>
          <w:sz w:val="8"/>
        </w:rPr>
      </w:pPr>
      <w:r>
        <w:rPr/>
        <w:pict>
          <v:shape style="position:absolute;margin-left:279.940002pt;margin-top:7.14124pt;width:277pt;height:.1pt;mso-position-horizontal-relative:page;mso-position-vertical-relative:paragraph;z-index:-15333888;mso-wrap-distance-left:0;mso-wrap-distance-right:0" coordorigin="5599,143" coordsize="5540,0" path="m5599,143l11139,143e" filled="false" stroked="true" strokeweight=".125pt" strokecolor="#006cb4">
            <v:path arrowok="t"/>
            <v:stroke dashstyle="solid"/>
            <w10:wrap type="topAndBottom"/>
          </v:shape>
        </w:pict>
      </w:r>
    </w:p>
    <w:p>
      <w:pPr>
        <w:pStyle w:val="ListParagraph"/>
        <w:numPr>
          <w:ilvl w:val="0"/>
          <w:numId w:val="20"/>
        </w:numPr>
        <w:tabs>
          <w:tab w:pos="416" w:val="left" w:leader="none"/>
        </w:tabs>
        <w:spacing w:line="240" w:lineRule="auto" w:before="18" w:after="0"/>
        <w:ind w:left="415" w:right="657" w:hanging="240"/>
        <w:jc w:val="left"/>
        <w:rPr>
          <w:sz w:val="14"/>
        </w:rPr>
      </w:pPr>
      <w:r>
        <w:rPr>
          <w:w w:val="105"/>
          <w:sz w:val="14"/>
        </w:rPr>
        <w:t>The impact of new population estimates on LFS data is described in more detail in the National Statistics </w:t>
      </w:r>
      <w:r>
        <w:rPr>
          <w:i/>
          <w:w w:val="105"/>
          <w:sz w:val="14"/>
        </w:rPr>
        <w:t>Labour Market Statistics, First Release</w:t>
      </w:r>
      <w:r>
        <w:rPr>
          <w:w w:val="105"/>
          <w:sz w:val="14"/>
        </w:rPr>
        <w:t>, January </w:t>
      </w:r>
      <w:r>
        <w:rPr>
          <w:spacing w:val="-7"/>
          <w:w w:val="105"/>
          <w:sz w:val="14"/>
        </w:rPr>
        <w:t>2001. </w:t>
      </w:r>
      <w:r>
        <w:rPr>
          <w:w w:val="105"/>
          <w:sz w:val="14"/>
        </w:rPr>
        <w:t>LFS data in this </w:t>
      </w:r>
      <w:r>
        <w:rPr>
          <w:i/>
          <w:w w:val="105"/>
          <w:sz w:val="14"/>
        </w:rPr>
        <w:t>Report </w:t>
      </w:r>
      <w:r>
        <w:rPr>
          <w:w w:val="105"/>
          <w:sz w:val="14"/>
        </w:rPr>
        <w:t>are based on official published estimates unless otherwise</w:t>
      </w:r>
      <w:r>
        <w:rPr>
          <w:spacing w:val="-2"/>
          <w:w w:val="105"/>
          <w:sz w:val="14"/>
        </w:rPr>
        <w:t> </w:t>
      </w:r>
      <w:r>
        <w:rPr>
          <w:w w:val="105"/>
          <w:sz w:val="14"/>
        </w:rPr>
        <w:t>stated.</w:t>
      </w:r>
    </w:p>
    <w:p>
      <w:pPr>
        <w:spacing w:after="0" w:line="240" w:lineRule="auto"/>
        <w:jc w:val="left"/>
        <w:rPr>
          <w:sz w:val="14"/>
        </w:rPr>
        <w:sectPr>
          <w:type w:val="continuous"/>
          <w:pgSz w:w="11900" w:h="16840"/>
          <w:pgMar w:top="1260" w:bottom="280" w:left="640" w:right="640"/>
          <w:cols w:num="2" w:equalWidth="0">
            <w:col w:w="3568" w:space="1236"/>
            <w:col w:w="5816"/>
          </w:cols>
        </w:sectPr>
      </w:pPr>
    </w:p>
    <w:p>
      <w:pPr>
        <w:pStyle w:val="BodyText"/>
      </w:pPr>
    </w:p>
    <w:p>
      <w:pPr>
        <w:spacing w:after="0"/>
        <w:sectPr>
          <w:footerReference w:type="default" r:id="rId122"/>
          <w:footerReference w:type="even" r:id="rId123"/>
          <w:pgSz w:w="11900" w:h="16840"/>
          <w:pgMar w:footer="575" w:header="601" w:top="800" w:bottom="760" w:left="640" w:right="640"/>
          <w:pgNumType w:start="31"/>
        </w:sectPr>
      </w:pPr>
    </w:p>
    <w:p>
      <w:pPr>
        <w:pStyle w:val="BodyText"/>
        <w:spacing w:before="5"/>
        <w:rPr>
          <w:sz w:val="22"/>
        </w:rPr>
      </w:pPr>
    </w:p>
    <w:p>
      <w:pPr>
        <w:pStyle w:val="Heading6"/>
        <w:ind w:left="185"/>
      </w:pPr>
      <w:r>
        <w:rPr>
          <w:color w:val="89C6DC"/>
          <w:w w:val="95"/>
        </w:rPr>
        <w:t>Chart 3.4</w:t>
      </w:r>
    </w:p>
    <w:p>
      <w:pPr>
        <w:spacing w:before="8"/>
        <w:ind w:left="185" w:right="0" w:firstLine="0"/>
        <w:jc w:val="left"/>
        <w:rPr>
          <w:sz w:val="12"/>
        </w:rPr>
      </w:pPr>
      <w:r>
        <w:rPr>
          <w:rFonts w:ascii="Trebuchet MS"/>
          <w:b/>
          <w:color w:val="89C6DC"/>
          <w:w w:val="95"/>
          <w:sz w:val="20"/>
        </w:rPr>
        <w:t>CIPS</w:t>
      </w:r>
      <w:r>
        <w:rPr>
          <w:rFonts w:ascii="Trebuchet MS"/>
          <w:b/>
          <w:color w:val="89C6DC"/>
          <w:spacing w:val="-23"/>
          <w:w w:val="95"/>
          <w:sz w:val="20"/>
        </w:rPr>
        <w:t> </w:t>
      </w:r>
      <w:r>
        <w:rPr>
          <w:rFonts w:ascii="Trebuchet MS"/>
          <w:b/>
          <w:color w:val="89C6DC"/>
          <w:w w:val="95"/>
          <w:sz w:val="20"/>
        </w:rPr>
        <w:t>survey</w:t>
      </w:r>
      <w:r>
        <w:rPr>
          <w:rFonts w:ascii="Trebuchet MS"/>
          <w:b/>
          <w:color w:val="89C6DC"/>
          <w:spacing w:val="-22"/>
          <w:w w:val="95"/>
          <w:sz w:val="20"/>
        </w:rPr>
        <w:t> </w:t>
      </w:r>
      <w:r>
        <w:rPr>
          <w:rFonts w:ascii="Trebuchet MS"/>
          <w:b/>
          <w:color w:val="89C6DC"/>
          <w:w w:val="95"/>
          <w:sz w:val="20"/>
        </w:rPr>
        <w:t>employment</w:t>
      </w:r>
      <w:r>
        <w:rPr>
          <w:rFonts w:ascii="Trebuchet MS"/>
          <w:b/>
          <w:color w:val="89C6DC"/>
          <w:spacing w:val="-22"/>
          <w:w w:val="95"/>
          <w:sz w:val="20"/>
        </w:rPr>
        <w:t> </w:t>
      </w:r>
      <w:r>
        <w:rPr>
          <w:rFonts w:ascii="Trebuchet MS"/>
          <w:b/>
          <w:color w:val="89C6DC"/>
          <w:w w:val="95"/>
          <w:sz w:val="20"/>
        </w:rPr>
        <w:t>index</w:t>
      </w:r>
      <w:r>
        <w:rPr>
          <w:w w:val="95"/>
          <w:position w:val="4"/>
          <w:sz w:val="12"/>
        </w:rPr>
        <w:t>(a)</w:t>
      </w:r>
    </w:p>
    <w:p>
      <w:pPr>
        <w:pStyle w:val="BodyText"/>
        <w:spacing w:before="5"/>
        <w:rPr>
          <w:sz w:val="13"/>
        </w:rPr>
      </w:pPr>
      <w:r>
        <w:rPr/>
        <w:pict>
          <v:shape style="position:absolute;margin-left:42.956001pt;margin-top:9.946895pt;width:4.350pt;height:.1pt;mso-position-horizontal-relative:page;mso-position-vertical-relative:paragraph;z-index:-15326720;mso-wrap-distance-left:0;mso-wrap-distance-right:0" coordorigin="859,199" coordsize="87,0" path="m859,199l946,199e" filled="false" stroked="true" strokeweight=".5pt" strokecolor="#000000">
            <v:path arrowok="t"/>
            <v:stroke dashstyle="solid"/>
            <w10:wrap type="topAndBottom"/>
          </v:shape>
        </w:pict>
      </w:r>
    </w:p>
    <w:p>
      <w:pPr>
        <w:pStyle w:val="BodyText"/>
        <w:spacing w:before="3"/>
        <w:rPr>
          <w:sz w:val="23"/>
        </w:rPr>
      </w:pPr>
    </w:p>
    <w:p>
      <w:pPr>
        <w:spacing w:before="0"/>
        <w:ind w:left="0" w:right="183" w:firstLine="0"/>
        <w:jc w:val="right"/>
        <w:rPr>
          <w:sz w:val="12"/>
        </w:rPr>
      </w:pPr>
      <w:r>
        <w:rPr/>
        <w:pict>
          <v:group style="position:absolute;margin-left:51.154999pt;margin-top:6.797945pt;width:145.75pt;height:109pt;mso-position-horizontal-relative:page;mso-position-vertical-relative:paragraph;z-index:16137728" coordorigin="1023,136" coordsize="2915,2180">
            <v:line style="position:absolute" from="3918,1436" to="1038,1436" stroked="true" strokeweight=".5pt" strokecolor="#000000">
              <v:stroke dashstyle="dash"/>
            </v:line>
            <v:shape style="position:absolute;left:1033;top:1308;width:1448;height:998" coordorigin="1033,1308" coordsize="1448,998" path="m1033,1308l1111,1448m1111,1448l1191,1628m1191,1628l1268,1601m1268,1601l1358,1641m1358,1641l1436,1933m1436,1933l1516,2151m1516,2151l1596,2023m1596,2023l1673,2088m1673,2088l1753,2306m1753,2306l1831,2278m1831,2278l1921,2163m1921,2163l1998,2191m1998,2191l2078,1921m2078,1921l2156,2036m2156,2036l2236,1883m2236,1883l2313,2036m2313,2036l2393,1831m2393,1831l2481,1768e" filled="false" stroked="true" strokeweight="1pt" strokecolor="#006caa">
              <v:path arrowok="t"/>
              <v:stroke dashstyle="solid"/>
            </v:shape>
            <v:line style="position:absolute" from="2471,1770" to="2571,1770" stroked="true" strokeweight="1.125pt" strokecolor="#006caa">
              <v:stroke dashstyle="solid"/>
            </v:line>
            <v:shape style="position:absolute;left:2560;top:1423;width:1360;height:435" coordorigin="2561,1423" coordsize="1360,435" path="m2561,1768l2638,1716m2638,1716l2718,1423m2718,1423l2796,1448m2796,1448l2876,1576m2876,1576l2953,1703m2953,1703l3033,1576m3033,1576l3121,1628m3121,1628l3201,1858m3201,1858l3278,1678m3278,1678l3358,1768m3358,1768l3436,1641m3436,1641l3516,1501m3516,1501l3596,1641m3596,1641l3683,1628m3683,1628l3763,1513m3763,1513l3841,1628m3841,1628l3921,1501e" filled="false" stroked="true" strokeweight="1pt" strokecolor="#006caa">
              <v:path arrowok="t"/>
              <v:stroke dashstyle="solid"/>
            </v:shape>
            <v:line style="position:absolute" from="1033,783" to="1111,746" stroked="true" strokeweight="1pt" strokecolor="#f6bd61">
              <v:stroke dashstyle="solid"/>
            </v:line>
            <v:line style="position:absolute" from="1101,747" to="1201,747" stroked="true" strokeweight="1.125pt" strokecolor="#f6bd61">
              <v:stroke dashstyle="solid"/>
            </v:line>
            <v:shape style="position:absolute;left:1190;top:745;width:1605;height:830" coordorigin="1191,746" coordsize="1605,830" path="m1191,746l1268,783m1268,783l1358,758m1358,758l1436,771m1436,771l1516,836m1516,836l1596,1001m1596,1001l1673,1168m1673,1168l1753,1296m1753,1296l1831,1333m1831,1333l1921,1448m1921,1448l1998,1551m1998,1551l2078,1576m2078,1576l2156,1346m2156,1346l2236,1128m2236,1128l2313,1333m2313,1333l2393,1193m2393,1193l2481,1181m2481,1181l2561,1256m2561,1256l2638,1156m2638,1156l2718,1256m2718,1256l2796,1206e" filled="false" stroked="true" strokeweight="1pt" strokecolor="#f6bd61">
              <v:path arrowok="t"/>
              <v:stroke dashstyle="solid"/>
            </v:shape>
            <v:line style="position:absolute" from="2786,1207" to="2886,1207" stroked="true" strokeweight="1.125pt" strokecolor="#f6bd61">
              <v:stroke dashstyle="solid"/>
            </v:line>
            <v:shape style="position:absolute;left:2875;top:938;width:1045;height:280" coordorigin="2876,938" coordsize="1045,280" path="m2876,1206l2953,1218m2953,1218l3033,1206m3033,1206l3121,1156m3121,1156l3201,1041m3201,1041l3278,1078m3278,1078l3358,1206m3358,1206l3436,1116m3436,1116l3516,1103m3516,1103l3596,1013m3596,1013l3683,938m3683,938l3763,951m3763,951l3841,976m3841,976l3921,1001e" filled="false" stroked="true" strokeweight="1pt" strokecolor="#f6bd61">
              <v:path arrowok="t"/>
              <v:stroke dashstyle="solid"/>
            </v:shape>
            <v:shape style="position:absolute;left:1033;top:145;width:2888;height:1775" coordorigin="1033,146" coordsize="2888,1775" path="m1033,721l1111,478m1111,478l1191,363m1191,363l1268,388m1268,388l1358,566m1358,566l1436,733m1436,733l1516,1041m1516,1041l1596,1308m1596,1308l1673,1411m1673,1411l1753,1486m1753,1486l1831,1806m1831,1806l1921,1921m1921,1921l1998,1896m1998,1896l2078,1743m2078,1743l2156,1448m2156,1448l2236,1116m2236,1116l2313,848m2313,848l2393,668m2393,668l2481,733m2481,733l2561,976m2561,976l2638,963m2638,963l2718,873m2718,873l2796,898m2796,898l2876,836m2876,836l2953,541m2953,541l3033,298m3033,298l3121,221m3121,221l3201,233m3201,233l3278,261m3278,261l3358,158m3358,158l3436,146m3436,146l3516,438m3516,438l3596,836m3596,836l3683,811m3683,811l3763,836m3763,836l3841,733m3841,733l3921,681e" filled="false" stroked="true" strokeweight="1pt" strokecolor="#835335">
              <v:path arrowok="t"/>
              <v:stroke dashstyle="solid"/>
            </v:shape>
            <v:shape style="position:absolute;left:1033;top:885;width:235;height:53" coordorigin="1033,886" coordsize="235,53" path="m1033,898l1111,886m1111,886l1191,911m1191,911l1268,938e" filled="false" stroked="true" strokeweight="1pt" strokecolor="#de0035">
              <v:path arrowok="t"/>
              <v:stroke dashstyle="solid"/>
            </v:shape>
            <v:line style="position:absolute" from="1258,940" to="1368,940" stroked="true" strokeweight="1.125pt" strokecolor="#de0035">
              <v:stroke dashstyle="solid"/>
            </v:line>
            <v:shape style="position:absolute;left:1358;top:938;width:1360;height:778" coordorigin="1358,938" coordsize="1360,778" path="m1358,938l1436,1026m1436,1026l1516,1156m1516,1156l1596,1256m1596,1256l1673,1398m1673,1398l1753,1526m1753,1526l1831,1588m1831,1588l1921,1653m1921,1653l1998,1716m1998,1716l2078,1678m2078,1678l2156,1513m2156,1513l2236,1296m2236,1296l2313,1461m2313,1461l2393,1296m2393,1296l2481,1283m2481,1283l2561,1358m2561,1358l2638,1271m2638,1271l2718,1256e" filled="false" stroked="true" strokeweight="1pt" strokecolor="#de0035">
              <v:path arrowok="t"/>
              <v:stroke dashstyle="solid"/>
            </v:shape>
            <v:line style="position:absolute" from="2708,1257" to="2806,1257" stroked="true" strokeweight="1.125pt" strokecolor="#de0035">
              <v:stroke dashstyle="solid"/>
            </v:line>
            <v:shape style="position:absolute;left:2795;top:1065;width:1125;height:230" coordorigin="2796,1066" coordsize="1125,230" path="m2796,1256l2876,1271m2876,1271l2953,1296m2953,1296l3033,1231m3033,1231l3121,1193m3121,1193l3201,1168m3201,1168l3278,1156m3278,1156l3358,1256m3358,1256l3436,1168m3436,1168l3516,1156m3516,1156l3596,1141m3596,1141l3683,1078m3683,1078l3763,1066m3763,1066l3841,1103m3841,1103l3921,1091e" filled="false" stroked="true" strokeweight="1pt" strokecolor="#de0035">
              <v:path arrowok="t"/>
              <v:stroke dashstyle="solid"/>
            </v:shape>
            <v:line style="position:absolute" from="1696,433" to="1366,863" stroked="true" strokeweight=".5pt" strokecolor="#000000">
              <v:stroke dashstyle="solid"/>
            </v:line>
            <v:shape style="position:absolute;left:1324;top:833;width:72;height:83" coordorigin="1324,834" coordsize="72,83" path="m1356,834l1333,899,1324,917,1331,910,1396,865,1356,834xe" filled="true" fillcolor="#000000" stroked="false">
              <v:path arrowok="t"/>
              <v:fill type="solid"/>
            </v:shape>
            <v:shape style="position:absolute;left:1507;top:318;width:1036;height:121" type="#_x0000_t202" filled="false" stroked="false">
              <v:textbox inset="0,0,0,0">
                <w:txbxContent>
                  <w:p>
                    <w:pPr>
                      <w:spacing w:line="115" w:lineRule="exact" w:before="0"/>
                      <w:ind w:left="0" w:right="0" w:firstLine="0"/>
                      <w:jc w:val="left"/>
                      <w:rPr>
                        <w:sz w:val="12"/>
                      </w:rPr>
                    </w:pPr>
                    <w:r>
                      <w:rPr>
                        <w:w w:val="105"/>
                        <w:sz w:val="12"/>
                      </w:rPr>
                      <w:t>Whole-economy (b)</w:t>
                    </w:r>
                  </w:p>
                </w:txbxContent>
              </v:textbox>
              <w10:wrap type="none"/>
            </v:shape>
            <v:shape style="position:absolute;left:1038;top:913;width:2900;height:591" type="#_x0000_t202" filled="false" stroked="false">
              <v:textbox inset="0,0,0,0">
                <w:txbxContent>
                  <w:p>
                    <w:pPr>
                      <w:spacing w:line="115" w:lineRule="exact" w:before="0"/>
                      <w:ind w:left="0" w:right="348" w:firstLine="0"/>
                      <w:jc w:val="right"/>
                      <w:rPr>
                        <w:sz w:val="12"/>
                      </w:rPr>
                    </w:pPr>
                    <w:r>
                      <w:rPr>
                        <w:sz w:val="12"/>
                      </w:rPr>
                      <w:t>Services</w:t>
                    </w:r>
                  </w:p>
                  <w:p>
                    <w:pPr>
                      <w:spacing w:line="240" w:lineRule="auto" w:before="0"/>
                      <w:rPr>
                        <w:sz w:val="12"/>
                      </w:rPr>
                    </w:pPr>
                  </w:p>
                  <w:p>
                    <w:pPr>
                      <w:spacing w:line="240" w:lineRule="auto" w:before="4"/>
                      <w:rPr>
                        <w:sz w:val="17"/>
                      </w:rPr>
                    </w:pPr>
                  </w:p>
                  <w:p>
                    <w:pPr>
                      <w:tabs>
                        <w:tab w:pos="2879" w:val="left" w:leader="none"/>
                      </w:tabs>
                      <w:spacing w:before="0"/>
                      <w:ind w:left="0" w:right="0" w:firstLine="0"/>
                      <w:jc w:val="left"/>
                      <w:rPr>
                        <w:sz w:val="12"/>
                      </w:rPr>
                    </w:pPr>
                    <w:r>
                      <w:rPr>
                        <w:sz w:val="12"/>
                      </w:rPr>
                      <w:t> </w:t>
                      <w:tab/>
                    </w:r>
                  </w:p>
                </w:txbxContent>
              </v:textbox>
              <w10:wrap type="none"/>
            </v:shape>
            <v:shape style="position:absolute;left:2341;top:1988;width:786;height:121" type="#_x0000_t202" filled="false" stroked="false">
              <v:textbox inset="0,0,0,0">
                <w:txbxContent>
                  <w:p>
                    <w:pPr>
                      <w:spacing w:line="115" w:lineRule="exact" w:before="0"/>
                      <w:ind w:left="0" w:right="0" w:firstLine="0"/>
                      <w:jc w:val="left"/>
                      <w:rPr>
                        <w:sz w:val="12"/>
                      </w:rPr>
                    </w:pPr>
                    <w:r>
                      <w:rPr>
                        <w:w w:val="105"/>
                        <w:sz w:val="12"/>
                      </w:rPr>
                      <w:t>Manufacturing</w:t>
                    </w:r>
                  </w:p>
                </w:txbxContent>
              </v:textbox>
              <w10:wrap type="none"/>
            </v:shape>
            <w10:wrap type="none"/>
          </v:group>
        </w:pict>
      </w:r>
      <w:r>
        <w:rPr>
          <w:w w:val="110"/>
          <w:sz w:val="12"/>
        </w:rPr>
        <w:t>Construction</w:t>
      </w:r>
    </w:p>
    <w:p>
      <w:pPr>
        <w:pStyle w:val="BodyText"/>
        <w:spacing w:before="7"/>
        <w:rPr>
          <w:sz w:val="11"/>
        </w:rPr>
      </w:pPr>
    </w:p>
    <w:p>
      <w:pPr>
        <w:pStyle w:val="BodyText"/>
        <w:spacing w:line="20" w:lineRule="exact"/>
        <w:ind w:left="214"/>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1"/>
        <w:rPr>
          <w:sz w:val="25"/>
        </w:rPr>
      </w:pPr>
      <w:r>
        <w:rPr/>
        <w:pict>
          <v:shape style="position:absolute;margin-left:42.956001pt;margin-top:16.653223pt;width:4.350pt;height:.1pt;mso-position-horizontal-relative:page;mso-position-vertical-relative:paragraph;z-index:-15325696;mso-wrap-distance-left:0;mso-wrap-distance-right:0" coordorigin="859,333" coordsize="87,0" path="m859,333l946,333e" filled="false" stroked="true" strokeweight=".5pt" strokecolor="#000000">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2" w:lineRule="exact" w:before="89"/>
        <w:ind w:left="131" w:right="0" w:firstLine="0"/>
        <w:jc w:val="left"/>
        <w:rPr>
          <w:sz w:val="12"/>
        </w:rPr>
      </w:pPr>
      <w:r>
        <w:rPr>
          <w:w w:val="105"/>
          <w:sz w:val="12"/>
        </w:rPr>
        <w:t>Ind</w:t>
      </w:r>
      <w:r>
        <w:rPr>
          <w:w w:val="105"/>
          <w:sz w:val="12"/>
          <w:u w:val="single"/>
        </w:rPr>
        <w:t>ex</w:t>
      </w:r>
    </w:p>
    <w:p>
      <w:pPr>
        <w:spacing w:line="112" w:lineRule="exact" w:before="0"/>
        <w:ind w:left="473" w:right="0" w:firstLine="0"/>
        <w:jc w:val="left"/>
        <w:rPr>
          <w:sz w:val="12"/>
        </w:rPr>
      </w:pPr>
      <w:r>
        <w:rPr>
          <w:w w:val="120"/>
          <w:sz w:val="12"/>
        </w:rPr>
        <w:t>65</w:t>
      </w:r>
    </w:p>
    <w:p>
      <w:pPr>
        <w:pStyle w:val="BodyText"/>
        <w:rPr>
          <w:sz w:val="12"/>
        </w:rPr>
      </w:pPr>
    </w:p>
    <w:p>
      <w:pPr>
        <w:pStyle w:val="BodyText"/>
        <w:rPr>
          <w:sz w:val="12"/>
        </w:rPr>
      </w:pPr>
    </w:p>
    <w:p>
      <w:pPr>
        <w:pStyle w:val="BodyText"/>
        <w:spacing w:before="3"/>
        <w:rPr>
          <w:sz w:val="14"/>
        </w:rPr>
      </w:pPr>
    </w:p>
    <w:p>
      <w:pPr>
        <w:spacing w:before="0"/>
        <w:ind w:left="473" w:right="0" w:firstLine="0"/>
        <w:jc w:val="left"/>
        <w:rPr>
          <w:sz w:val="12"/>
        </w:rPr>
      </w:pPr>
      <w:r>
        <w:rPr/>
        <w:pict>
          <v:line style="position:absolute;mso-position-horizontal-relative:page;mso-position-vertical-relative:paragraph;z-index:16140288" from="200.199997pt,3.214533pt" to="204.531997pt,3.214533pt" stroked="true" strokeweight=".5pt" strokecolor="#000000">
            <v:stroke dashstyle="solid"/>
            <w10:wrap type="none"/>
          </v:line>
        </w:pict>
      </w:r>
      <w:r>
        <w:rPr>
          <w:w w:val="120"/>
          <w:sz w:val="12"/>
        </w:rPr>
        <w:t>60</w:t>
      </w:r>
    </w:p>
    <w:p>
      <w:pPr>
        <w:pStyle w:val="BodyText"/>
        <w:rPr>
          <w:sz w:val="12"/>
        </w:rPr>
      </w:pPr>
    </w:p>
    <w:p>
      <w:pPr>
        <w:pStyle w:val="BodyText"/>
        <w:rPr>
          <w:sz w:val="12"/>
        </w:rPr>
      </w:pPr>
    </w:p>
    <w:p>
      <w:pPr>
        <w:pStyle w:val="BodyText"/>
        <w:spacing w:before="2"/>
        <w:rPr>
          <w:sz w:val="14"/>
        </w:rPr>
      </w:pPr>
    </w:p>
    <w:p>
      <w:pPr>
        <w:spacing w:before="0"/>
        <w:ind w:left="473" w:right="0" w:firstLine="0"/>
        <w:jc w:val="left"/>
        <w:rPr>
          <w:sz w:val="12"/>
        </w:rPr>
      </w:pPr>
      <w:r>
        <w:rPr/>
        <w:pict>
          <v:line style="position:absolute;mso-position-horizontal-relative:page;mso-position-vertical-relative:paragraph;z-index:16140800" from="200.199997pt,3.239533pt" to="204.531997pt,3.239533pt" stroked="true" strokeweight=".5pt" strokecolor="#000000">
            <v:stroke dashstyle="solid"/>
            <w10:wrap type="none"/>
          </v:line>
        </w:pict>
      </w:r>
      <w:r>
        <w:rPr>
          <w:w w:val="120"/>
          <w:sz w:val="12"/>
        </w:rPr>
        <w:t>55</w:t>
      </w:r>
    </w:p>
    <w:p>
      <w:pPr>
        <w:pStyle w:val="BodyText"/>
        <w:spacing w:before="3"/>
        <w:rPr>
          <w:sz w:val="21"/>
        </w:rPr>
      </w:pPr>
      <w:r>
        <w:rPr/>
        <w:br w:type="column"/>
      </w:r>
      <w:r>
        <w:rPr>
          <w:sz w:val="21"/>
        </w:rPr>
      </w:r>
    </w:p>
    <w:p>
      <w:pPr>
        <w:pStyle w:val="BodyText"/>
        <w:spacing w:line="292" w:lineRule="auto"/>
        <w:ind w:left="185" w:right="232"/>
      </w:pPr>
      <w:r>
        <w:rPr>
          <w:w w:val="110"/>
        </w:rPr>
        <w:t>encouraged firms </w:t>
      </w:r>
      <w:r>
        <w:rPr>
          <w:spacing w:val="-4"/>
          <w:w w:val="110"/>
        </w:rPr>
        <w:t>to </w:t>
      </w:r>
      <w:r>
        <w:rPr>
          <w:w w:val="110"/>
        </w:rPr>
        <w:t>release existing temporary staff. The disruptions </w:t>
      </w:r>
      <w:r>
        <w:rPr>
          <w:spacing w:val="-3"/>
          <w:w w:val="110"/>
        </w:rPr>
        <w:t>may </w:t>
      </w:r>
      <w:r>
        <w:rPr>
          <w:w w:val="110"/>
        </w:rPr>
        <w:t>also </w:t>
      </w:r>
      <w:r>
        <w:rPr>
          <w:spacing w:val="-3"/>
          <w:w w:val="110"/>
        </w:rPr>
        <w:t>have </w:t>
      </w:r>
      <w:r>
        <w:rPr>
          <w:w w:val="110"/>
        </w:rPr>
        <w:t>had a </w:t>
      </w:r>
      <w:r>
        <w:rPr>
          <w:spacing w:val="-2"/>
          <w:w w:val="110"/>
        </w:rPr>
        <w:t>marked </w:t>
      </w:r>
      <w:r>
        <w:rPr>
          <w:w w:val="110"/>
        </w:rPr>
        <w:t>impact on </w:t>
      </w:r>
      <w:r>
        <w:rPr>
          <w:spacing w:val="-3"/>
          <w:w w:val="110"/>
        </w:rPr>
        <w:t>total </w:t>
      </w:r>
      <w:r>
        <w:rPr>
          <w:w w:val="110"/>
        </w:rPr>
        <w:t>hours </w:t>
      </w:r>
      <w:r>
        <w:rPr>
          <w:spacing w:val="-3"/>
          <w:w w:val="110"/>
        </w:rPr>
        <w:t>worked </w:t>
      </w:r>
      <w:r>
        <w:rPr>
          <w:w w:val="110"/>
        </w:rPr>
        <w:t>if employees spent less time in the workplace because of longer journey times </w:t>
      </w:r>
      <w:r>
        <w:rPr>
          <w:spacing w:val="-4"/>
          <w:w w:val="110"/>
        </w:rPr>
        <w:t>to </w:t>
      </w:r>
      <w:r>
        <w:rPr>
          <w:w w:val="110"/>
        </w:rPr>
        <w:t>and from work. Fuel shortages</w:t>
      </w:r>
      <w:r>
        <w:rPr>
          <w:spacing w:val="-16"/>
          <w:w w:val="110"/>
        </w:rPr>
        <w:t> </w:t>
      </w:r>
      <w:r>
        <w:rPr>
          <w:spacing w:val="-3"/>
          <w:w w:val="110"/>
        </w:rPr>
        <w:t>may</w:t>
      </w:r>
      <w:r>
        <w:rPr>
          <w:spacing w:val="-16"/>
          <w:w w:val="110"/>
        </w:rPr>
        <w:t> </w:t>
      </w:r>
      <w:r>
        <w:rPr>
          <w:spacing w:val="-3"/>
          <w:w w:val="110"/>
        </w:rPr>
        <w:t>have</w:t>
      </w:r>
      <w:r>
        <w:rPr>
          <w:spacing w:val="-16"/>
          <w:w w:val="110"/>
        </w:rPr>
        <w:t> </w:t>
      </w:r>
      <w:r>
        <w:rPr>
          <w:w w:val="110"/>
        </w:rPr>
        <w:t>had</w:t>
      </w:r>
      <w:r>
        <w:rPr>
          <w:spacing w:val="-16"/>
          <w:w w:val="110"/>
        </w:rPr>
        <w:t> </w:t>
      </w:r>
      <w:r>
        <w:rPr>
          <w:w w:val="110"/>
        </w:rPr>
        <w:t>a</w:t>
      </w:r>
      <w:r>
        <w:rPr>
          <w:spacing w:val="-16"/>
          <w:w w:val="110"/>
        </w:rPr>
        <w:t> </w:t>
      </w:r>
      <w:r>
        <w:rPr>
          <w:w w:val="110"/>
        </w:rPr>
        <w:t>particularly</w:t>
      </w:r>
      <w:r>
        <w:rPr>
          <w:spacing w:val="-15"/>
          <w:w w:val="110"/>
        </w:rPr>
        <w:t> </w:t>
      </w:r>
      <w:r>
        <w:rPr>
          <w:w w:val="110"/>
        </w:rPr>
        <w:t>important</w:t>
      </w:r>
      <w:r>
        <w:rPr>
          <w:spacing w:val="-16"/>
          <w:w w:val="110"/>
        </w:rPr>
        <w:t> </w:t>
      </w:r>
      <w:r>
        <w:rPr>
          <w:w w:val="110"/>
        </w:rPr>
        <w:t>effect</w:t>
      </w:r>
      <w:r>
        <w:rPr>
          <w:spacing w:val="-16"/>
          <w:w w:val="110"/>
        </w:rPr>
        <w:t> </w:t>
      </w:r>
      <w:r>
        <w:rPr>
          <w:w w:val="110"/>
        </w:rPr>
        <w:t>on</w:t>
      </w:r>
      <w:r>
        <w:rPr>
          <w:spacing w:val="-16"/>
          <w:w w:val="110"/>
        </w:rPr>
        <w:t> </w:t>
      </w:r>
      <w:r>
        <w:rPr>
          <w:w w:val="110"/>
        </w:rPr>
        <w:t>the </w:t>
      </w:r>
      <w:r>
        <w:rPr>
          <w:spacing w:val="-3"/>
          <w:w w:val="110"/>
        </w:rPr>
        <w:t>Workforce </w:t>
      </w:r>
      <w:r>
        <w:rPr>
          <w:w w:val="110"/>
        </w:rPr>
        <w:t>Jobs measure of employment: the ONS has indicated that this </w:t>
      </w:r>
      <w:r>
        <w:rPr>
          <w:spacing w:val="-3"/>
          <w:w w:val="110"/>
        </w:rPr>
        <w:t>survey took </w:t>
      </w:r>
      <w:r>
        <w:rPr>
          <w:w w:val="110"/>
        </w:rPr>
        <w:t>place during the fuel supply disruptions last</w:t>
      </w:r>
      <w:r>
        <w:rPr>
          <w:spacing w:val="-12"/>
          <w:w w:val="110"/>
        </w:rPr>
        <w:t> </w:t>
      </w:r>
      <w:r>
        <w:rPr>
          <w:spacing w:val="-3"/>
          <w:w w:val="110"/>
        </w:rPr>
        <w:t>September.</w:t>
      </w:r>
    </w:p>
    <w:p>
      <w:pPr>
        <w:spacing w:after="0" w:line="292" w:lineRule="auto"/>
        <w:sectPr>
          <w:type w:val="continuous"/>
          <w:pgSz w:w="11900" w:h="16840"/>
          <w:pgMar w:top="1260" w:bottom="280" w:left="640" w:right="640"/>
          <w:cols w:num="3" w:equalWidth="0">
            <w:col w:w="2994" w:space="40"/>
            <w:col w:w="660" w:space="1227"/>
            <w:col w:w="5699"/>
          </w:cols>
        </w:sectPr>
      </w:pPr>
    </w:p>
    <w:p>
      <w:pPr>
        <w:pStyle w:val="BodyText"/>
        <w:spacing w:before="4"/>
        <w:rPr>
          <w:sz w:val="9"/>
        </w:rPr>
      </w:pPr>
    </w:p>
    <w:p>
      <w:pPr>
        <w:spacing w:before="0"/>
        <w:ind w:left="3506" w:right="0" w:firstLine="0"/>
        <w:jc w:val="left"/>
        <w:rPr>
          <w:sz w:val="12"/>
        </w:rPr>
      </w:pPr>
      <w:r>
        <w:rPr/>
        <w:pict>
          <v:line style="position:absolute;mso-position-horizontal-relative:page;mso-position-vertical-relative:paragraph;z-index:16138752" from="42.956001pt,3.301533pt" to="47.289001pt,3.301533pt" stroked="true" strokeweight=".5pt" strokecolor="#000000">
            <v:stroke dashstyle="solid"/>
            <w10:wrap type="none"/>
          </v:line>
        </w:pict>
      </w:r>
      <w:r>
        <w:rPr/>
        <w:pict>
          <v:line style="position:absolute;mso-position-horizontal-relative:page;mso-position-vertical-relative:paragraph;z-index:16141312" from="200.199997pt,3.264533pt" to="204.531997pt,3.264533pt" stroked="true" strokeweight=".5pt" strokecolor="#000000">
            <v:stroke dashstyle="solid"/>
            <w10:wrap type="none"/>
          </v:line>
        </w:pict>
      </w:r>
      <w:r>
        <w:rPr>
          <w:w w:val="120"/>
          <w:sz w:val="12"/>
        </w:rPr>
        <w:t>50</w:t>
      </w:r>
    </w:p>
    <w:p>
      <w:pPr>
        <w:pStyle w:val="BodyText"/>
        <w:rPr>
          <w:sz w:val="12"/>
        </w:rPr>
      </w:pPr>
    </w:p>
    <w:p>
      <w:pPr>
        <w:pStyle w:val="BodyText"/>
        <w:rPr>
          <w:sz w:val="12"/>
        </w:rPr>
      </w:pPr>
    </w:p>
    <w:p>
      <w:pPr>
        <w:pStyle w:val="BodyText"/>
        <w:spacing w:before="3"/>
        <w:rPr>
          <w:sz w:val="14"/>
        </w:rPr>
      </w:pPr>
    </w:p>
    <w:p>
      <w:pPr>
        <w:spacing w:before="0"/>
        <w:ind w:left="3506" w:right="0" w:firstLine="0"/>
        <w:jc w:val="left"/>
        <w:rPr>
          <w:sz w:val="12"/>
        </w:rPr>
      </w:pPr>
      <w:r>
        <w:rPr/>
        <w:pict>
          <v:line style="position:absolute;mso-position-horizontal-relative:page;mso-position-vertical-relative:paragraph;z-index:16139264" from="42.956001pt,3.326533pt" to="47.289001pt,3.326533pt" stroked="true" strokeweight=".5pt" strokecolor="#000000">
            <v:stroke dashstyle="solid"/>
            <w10:wrap type="none"/>
          </v:line>
        </w:pict>
      </w:r>
      <w:r>
        <w:rPr/>
        <w:pict>
          <v:line style="position:absolute;mso-position-horizontal-relative:page;mso-position-vertical-relative:paragraph;z-index:16141824" from="200.199997pt,3.289533pt" to="204.531997pt,3.289533pt" stroked="true" strokeweight=".5pt" strokecolor="#000000">
            <v:stroke dashstyle="solid"/>
            <w10:wrap type="none"/>
          </v:line>
        </w:pict>
      </w:r>
      <w:r>
        <w:rPr>
          <w:w w:val="120"/>
          <w:sz w:val="12"/>
        </w:rPr>
        <w:t>45</w:t>
      </w:r>
    </w:p>
    <w:p>
      <w:pPr>
        <w:pStyle w:val="BodyText"/>
        <w:rPr>
          <w:sz w:val="12"/>
        </w:rPr>
      </w:pPr>
    </w:p>
    <w:p>
      <w:pPr>
        <w:pStyle w:val="BodyText"/>
        <w:rPr>
          <w:sz w:val="12"/>
        </w:rPr>
      </w:pPr>
    </w:p>
    <w:p>
      <w:pPr>
        <w:pStyle w:val="BodyText"/>
        <w:spacing w:before="2"/>
        <w:rPr>
          <w:sz w:val="14"/>
        </w:rPr>
      </w:pPr>
    </w:p>
    <w:p>
      <w:pPr>
        <w:spacing w:line="114" w:lineRule="exact" w:before="1"/>
        <w:ind w:left="3506" w:right="0" w:firstLine="0"/>
        <w:jc w:val="left"/>
        <w:rPr>
          <w:sz w:val="12"/>
        </w:rPr>
      </w:pPr>
      <w:r>
        <w:rPr/>
        <w:pict>
          <v:shape style="position:absolute;margin-left:51.629002pt;margin-top:.008533pt;width:144.85pt;height:3.4pt;mso-position-horizontal-relative:page;mso-position-vertical-relative:paragraph;z-index:16138240" coordorigin="1033,0" coordsize="2897,68" path="m1035,67l3929,67m1033,0l1033,67m1996,0l1996,67m2960,0l2960,67m3923,0l3923,67e" filled="false" stroked="true" strokeweight=".5pt" strokecolor="#000000">
            <v:path arrowok="t"/>
            <v:stroke dashstyle="solid"/>
            <w10:wrap type="none"/>
          </v:shape>
        </w:pict>
      </w:r>
      <w:r>
        <w:rPr/>
        <w:pict>
          <v:line style="position:absolute;mso-position-horizontal-relative:page;mso-position-vertical-relative:paragraph;z-index:16139776" from="42.956001pt,3.401533pt" to="47.289001pt,3.401533pt" stroked="true" strokeweight=".5pt" strokecolor="#000000">
            <v:stroke dashstyle="solid"/>
            <w10:wrap type="none"/>
          </v:line>
        </w:pict>
      </w:r>
      <w:r>
        <w:rPr/>
        <w:pict>
          <v:line style="position:absolute;mso-position-horizontal-relative:page;mso-position-vertical-relative:paragraph;z-index:16142336" from="200.199997pt,3.364533pt" to="204.531997pt,3.364533pt" stroked="true" strokeweight=".5pt" strokecolor="#000000">
            <v:stroke dashstyle="solid"/>
            <w10:wrap type="none"/>
          </v:line>
        </w:pict>
      </w:r>
      <w:r>
        <w:rPr>
          <w:w w:val="120"/>
          <w:sz w:val="12"/>
        </w:rPr>
        <w:t>40</w:t>
      </w:r>
    </w:p>
    <w:p>
      <w:pPr>
        <w:tabs>
          <w:tab w:pos="1769" w:val="left" w:leader="none"/>
          <w:tab w:pos="2654" w:val="left" w:leader="none"/>
          <w:tab w:pos="3207" w:val="left" w:leader="none"/>
        </w:tabs>
        <w:spacing w:line="114" w:lineRule="exact" w:before="0"/>
        <w:ind w:left="714" w:right="0" w:firstLine="0"/>
        <w:jc w:val="left"/>
        <w:rPr>
          <w:sz w:val="12"/>
        </w:rPr>
      </w:pPr>
      <w:r>
        <w:rPr>
          <w:w w:val="120"/>
          <w:sz w:val="12"/>
        </w:rPr>
        <w:t>1998</w:t>
        <w:tab/>
        <w:t>99</w:t>
        <w:tab/>
        <w:t>2000</w:t>
        <w:tab/>
        <w:t>01</w:t>
      </w:r>
    </w:p>
    <w:p>
      <w:pPr>
        <w:pStyle w:val="BodyText"/>
        <w:spacing w:before="1"/>
        <w:rPr>
          <w:sz w:val="14"/>
        </w:rPr>
      </w:pPr>
    </w:p>
    <w:p>
      <w:pPr>
        <w:spacing w:before="0"/>
        <w:ind w:left="190" w:right="0" w:firstLine="0"/>
        <w:jc w:val="left"/>
        <w:rPr>
          <w:sz w:val="12"/>
        </w:rPr>
      </w:pPr>
      <w:r>
        <w:rPr>
          <w:w w:val="105"/>
          <w:sz w:val="12"/>
        </w:rPr>
        <w:t>Source: Chartered Institute of Purchasing and Supply.</w:t>
      </w:r>
    </w:p>
    <w:p>
      <w:pPr>
        <w:pStyle w:val="BodyText"/>
        <w:spacing w:before="1"/>
        <w:rPr>
          <w:sz w:val="10"/>
        </w:rPr>
      </w:pPr>
    </w:p>
    <w:p>
      <w:pPr>
        <w:pStyle w:val="ListParagraph"/>
        <w:numPr>
          <w:ilvl w:val="1"/>
          <w:numId w:val="20"/>
        </w:numPr>
        <w:tabs>
          <w:tab w:pos="431" w:val="left" w:leader="none"/>
        </w:tabs>
        <w:spacing w:line="208" w:lineRule="auto" w:before="0" w:after="0"/>
        <w:ind w:left="430" w:right="242" w:hanging="240"/>
        <w:jc w:val="left"/>
        <w:rPr>
          <w:sz w:val="12"/>
        </w:rPr>
      </w:pPr>
      <w:r>
        <w:rPr>
          <w:w w:val="105"/>
          <w:sz w:val="12"/>
        </w:rPr>
        <w:t>A reading above </w:t>
      </w:r>
      <w:r>
        <w:rPr>
          <w:spacing w:val="-5"/>
          <w:w w:val="105"/>
          <w:sz w:val="12"/>
        </w:rPr>
        <w:t>50 </w:t>
      </w:r>
      <w:r>
        <w:rPr>
          <w:w w:val="105"/>
          <w:sz w:val="12"/>
        </w:rPr>
        <w:t>suggests expansion of employment, a reading below </w:t>
      </w:r>
      <w:r>
        <w:rPr>
          <w:spacing w:val="-5"/>
          <w:w w:val="105"/>
          <w:sz w:val="12"/>
        </w:rPr>
        <w:t>50 </w:t>
      </w:r>
      <w:r>
        <w:rPr>
          <w:w w:val="105"/>
          <w:sz w:val="12"/>
        </w:rPr>
        <w:t>suggests</w:t>
      </w:r>
      <w:r>
        <w:rPr>
          <w:spacing w:val="1"/>
          <w:w w:val="105"/>
          <w:sz w:val="12"/>
        </w:rPr>
        <w:t> </w:t>
      </w:r>
      <w:r>
        <w:rPr>
          <w:w w:val="105"/>
          <w:sz w:val="12"/>
        </w:rPr>
        <w:t>contraction.</w:t>
      </w:r>
    </w:p>
    <w:p>
      <w:pPr>
        <w:pStyle w:val="ListParagraph"/>
        <w:numPr>
          <w:ilvl w:val="1"/>
          <w:numId w:val="20"/>
        </w:numPr>
        <w:tabs>
          <w:tab w:pos="431" w:val="left" w:leader="none"/>
        </w:tabs>
        <w:spacing w:line="123" w:lineRule="exact" w:before="0" w:after="0"/>
        <w:ind w:left="430" w:right="0" w:hanging="241"/>
        <w:jc w:val="left"/>
        <w:rPr>
          <w:sz w:val="12"/>
        </w:rPr>
      </w:pPr>
      <w:r>
        <w:rPr>
          <w:spacing w:val="-3"/>
          <w:w w:val="110"/>
          <w:sz w:val="12"/>
        </w:rPr>
        <w:t>Weighted</w:t>
      </w:r>
      <w:r>
        <w:rPr>
          <w:spacing w:val="-13"/>
          <w:w w:val="110"/>
          <w:sz w:val="12"/>
        </w:rPr>
        <w:t> </w:t>
      </w:r>
      <w:r>
        <w:rPr>
          <w:w w:val="110"/>
          <w:sz w:val="12"/>
        </w:rPr>
        <w:t>index</w:t>
      </w:r>
      <w:r>
        <w:rPr>
          <w:spacing w:val="-13"/>
          <w:w w:val="110"/>
          <w:sz w:val="12"/>
        </w:rPr>
        <w:t> </w:t>
      </w:r>
      <w:r>
        <w:rPr>
          <w:w w:val="110"/>
          <w:sz w:val="12"/>
        </w:rPr>
        <w:t>of</w:t>
      </w:r>
      <w:r>
        <w:rPr>
          <w:spacing w:val="-13"/>
          <w:w w:val="110"/>
          <w:sz w:val="12"/>
        </w:rPr>
        <w:t> </w:t>
      </w:r>
      <w:r>
        <w:rPr>
          <w:w w:val="110"/>
          <w:sz w:val="12"/>
        </w:rPr>
        <w:t>data</w:t>
      </w:r>
      <w:r>
        <w:rPr>
          <w:spacing w:val="-13"/>
          <w:w w:val="110"/>
          <w:sz w:val="12"/>
        </w:rPr>
        <w:t> </w:t>
      </w:r>
      <w:r>
        <w:rPr>
          <w:w w:val="110"/>
          <w:sz w:val="12"/>
        </w:rPr>
        <w:t>on</w:t>
      </w:r>
      <w:r>
        <w:rPr>
          <w:spacing w:val="-13"/>
          <w:w w:val="110"/>
          <w:sz w:val="12"/>
        </w:rPr>
        <w:t> </w:t>
      </w:r>
      <w:r>
        <w:rPr>
          <w:w w:val="110"/>
          <w:sz w:val="12"/>
        </w:rPr>
        <w:t>manufacturing,</w:t>
      </w:r>
      <w:r>
        <w:rPr>
          <w:spacing w:val="-13"/>
          <w:w w:val="110"/>
          <w:sz w:val="12"/>
        </w:rPr>
        <w:t> </w:t>
      </w:r>
      <w:r>
        <w:rPr>
          <w:w w:val="110"/>
          <w:sz w:val="12"/>
        </w:rPr>
        <w:t>services</w:t>
      </w:r>
      <w:r>
        <w:rPr>
          <w:spacing w:val="-13"/>
          <w:w w:val="110"/>
          <w:sz w:val="12"/>
        </w:rPr>
        <w:t> </w:t>
      </w:r>
      <w:r>
        <w:rPr>
          <w:w w:val="110"/>
          <w:sz w:val="12"/>
        </w:rPr>
        <w:t>and</w:t>
      </w:r>
      <w:r>
        <w:rPr>
          <w:spacing w:val="-13"/>
          <w:w w:val="110"/>
          <w:sz w:val="12"/>
        </w:rPr>
        <w:t> </w:t>
      </w:r>
      <w:r>
        <w:rPr>
          <w:w w:val="110"/>
          <w:sz w:val="12"/>
        </w:rPr>
        <w:t>construction.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6"/>
        </w:rPr>
      </w:pPr>
    </w:p>
    <w:p>
      <w:pPr>
        <w:pStyle w:val="Heading6"/>
        <w:ind w:left="174"/>
      </w:pPr>
      <w:r>
        <w:rPr>
          <w:color w:val="89C6DC"/>
        </w:rPr>
        <w:t>Table 3.A</w:t>
      </w:r>
    </w:p>
    <w:p>
      <w:pPr>
        <w:spacing w:before="8"/>
        <w:ind w:left="174" w:right="0" w:firstLine="0"/>
        <w:jc w:val="left"/>
        <w:rPr>
          <w:sz w:val="12"/>
        </w:rPr>
      </w:pPr>
      <w:r>
        <w:rPr>
          <w:rFonts w:ascii="Trebuchet MS"/>
          <w:b/>
          <w:color w:val="89C6DC"/>
          <w:sz w:val="20"/>
        </w:rPr>
        <w:t>Surveys of employment intentions</w:t>
      </w:r>
      <w:r>
        <w:rPr>
          <w:position w:val="4"/>
          <w:sz w:val="12"/>
        </w:rPr>
        <w:t>(a)</w:t>
      </w:r>
    </w:p>
    <w:p>
      <w:pPr>
        <w:spacing w:line="208" w:lineRule="auto" w:before="121"/>
        <w:ind w:left="174" w:right="214" w:firstLine="0"/>
        <w:jc w:val="left"/>
        <w:rPr>
          <w:sz w:val="12"/>
        </w:rPr>
      </w:pPr>
      <w:r>
        <w:rPr>
          <w:w w:val="110"/>
          <w:sz w:val="14"/>
        </w:rPr>
        <w:t>Percentage balance of employers planning to recruit in the next period </w:t>
      </w:r>
      <w:r>
        <w:rPr>
          <w:w w:val="110"/>
          <w:sz w:val="12"/>
        </w:rPr>
        <w:t>(b)</w:t>
      </w:r>
    </w:p>
    <w:p>
      <w:pPr>
        <w:pStyle w:val="BodyText"/>
        <w:spacing w:before="5"/>
        <w:rPr>
          <w:sz w:val="27"/>
        </w:rPr>
      </w:pPr>
      <w:r>
        <w:rPr/>
        <w:br w:type="column"/>
      </w:r>
      <w:r>
        <w:rPr>
          <w:sz w:val="27"/>
        </w:rPr>
      </w:r>
    </w:p>
    <w:p>
      <w:pPr>
        <w:pStyle w:val="BodyText"/>
        <w:spacing w:line="292" w:lineRule="auto"/>
        <w:ind w:left="174" w:right="248"/>
      </w:pPr>
      <w:r>
        <w:rPr>
          <w:w w:val="110"/>
        </w:rPr>
        <w:t>Other indicators provide little evidence of a fall in employment. For example, the CIPS employment index remains</w:t>
      </w:r>
      <w:r>
        <w:rPr>
          <w:spacing w:val="-20"/>
          <w:w w:val="110"/>
        </w:rPr>
        <w:t> </w:t>
      </w:r>
      <w:r>
        <w:rPr>
          <w:w w:val="110"/>
        </w:rPr>
        <w:t>well</w:t>
      </w:r>
      <w:r>
        <w:rPr>
          <w:spacing w:val="-20"/>
          <w:w w:val="110"/>
        </w:rPr>
        <w:t> </w:t>
      </w:r>
      <w:r>
        <w:rPr>
          <w:spacing w:val="-3"/>
          <w:w w:val="110"/>
        </w:rPr>
        <w:t>above</w:t>
      </w:r>
      <w:r>
        <w:rPr>
          <w:spacing w:val="-20"/>
          <w:w w:val="110"/>
        </w:rPr>
        <w:t> </w:t>
      </w:r>
      <w:r>
        <w:rPr>
          <w:w w:val="110"/>
        </w:rPr>
        <w:t>the</w:t>
      </w:r>
      <w:r>
        <w:rPr>
          <w:spacing w:val="-20"/>
          <w:w w:val="110"/>
        </w:rPr>
        <w:t> </w:t>
      </w:r>
      <w:r>
        <w:rPr>
          <w:w w:val="110"/>
        </w:rPr>
        <w:t>no-change</w:t>
      </w:r>
      <w:r>
        <w:rPr>
          <w:spacing w:val="-20"/>
          <w:w w:val="110"/>
        </w:rPr>
        <w:t> </w:t>
      </w:r>
      <w:r>
        <w:rPr>
          <w:w w:val="110"/>
        </w:rPr>
        <w:t>level</w:t>
      </w:r>
      <w:r>
        <w:rPr>
          <w:spacing w:val="-19"/>
          <w:w w:val="110"/>
        </w:rPr>
        <w:t> </w:t>
      </w:r>
      <w:r>
        <w:rPr>
          <w:w w:val="110"/>
        </w:rPr>
        <w:t>of</w:t>
      </w:r>
      <w:r>
        <w:rPr>
          <w:spacing w:val="-20"/>
          <w:w w:val="110"/>
        </w:rPr>
        <w:t> </w:t>
      </w:r>
      <w:r>
        <w:rPr>
          <w:spacing w:val="-8"/>
          <w:w w:val="110"/>
        </w:rPr>
        <w:t>50</w:t>
      </w:r>
      <w:r>
        <w:rPr>
          <w:spacing w:val="-20"/>
          <w:w w:val="110"/>
        </w:rPr>
        <w:t> </w:t>
      </w:r>
      <w:r>
        <w:rPr>
          <w:w w:val="110"/>
        </w:rPr>
        <w:t>(see</w:t>
      </w:r>
      <w:r>
        <w:rPr>
          <w:spacing w:val="-20"/>
          <w:w w:val="110"/>
        </w:rPr>
        <w:t> </w:t>
      </w:r>
      <w:r>
        <w:rPr>
          <w:w w:val="110"/>
        </w:rPr>
        <w:t>Chart</w:t>
      </w:r>
      <w:r>
        <w:rPr>
          <w:spacing w:val="-20"/>
          <w:w w:val="110"/>
        </w:rPr>
        <w:t> </w:t>
      </w:r>
      <w:r>
        <w:rPr>
          <w:w w:val="110"/>
        </w:rPr>
        <w:t>3.4). </w:t>
      </w:r>
      <w:r>
        <w:rPr>
          <w:spacing w:val="-3"/>
          <w:w w:val="110"/>
        </w:rPr>
        <w:t>Sectoral </w:t>
      </w:r>
      <w:r>
        <w:rPr>
          <w:w w:val="110"/>
        </w:rPr>
        <w:t>CIPS indices suggest that strong employment growth</w:t>
      </w:r>
      <w:r>
        <w:rPr>
          <w:spacing w:val="-28"/>
          <w:w w:val="110"/>
        </w:rPr>
        <w:t> </w:t>
      </w:r>
      <w:r>
        <w:rPr>
          <w:w w:val="110"/>
        </w:rPr>
        <w:t>in</w:t>
      </w:r>
      <w:r>
        <w:rPr>
          <w:spacing w:val="-27"/>
          <w:w w:val="110"/>
        </w:rPr>
        <w:t> </w:t>
      </w:r>
      <w:r>
        <w:rPr>
          <w:w w:val="110"/>
        </w:rPr>
        <w:t>services</w:t>
      </w:r>
      <w:r>
        <w:rPr>
          <w:spacing w:val="-28"/>
          <w:w w:val="110"/>
        </w:rPr>
        <w:t> </w:t>
      </w:r>
      <w:r>
        <w:rPr>
          <w:w w:val="110"/>
        </w:rPr>
        <w:t>continues</w:t>
      </w:r>
      <w:r>
        <w:rPr>
          <w:spacing w:val="-27"/>
          <w:w w:val="110"/>
        </w:rPr>
        <w:t> </w:t>
      </w:r>
      <w:r>
        <w:rPr>
          <w:spacing w:val="-4"/>
          <w:w w:val="110"/>
        </w:rPr>
        <w:t>to</w:t>
      </w:r>
      <w:r>
        <w:rPr>
          <w:spacing w:val="-27"/>
          <w:w w:val="110"/>
        </w:rPr>
        <w:t> </w:t>
      </w:r>
      <w:r>
        <w:rPr>
          <w:spacing w:val="-3"/>
          <w:w w:val="110"/>
        </w:rPr>
        <w:t>outweigh</w:t>
      </w:r>
      <w:r>
        <w:rPr>
          <w:spacing w:val="-28"/>
          <w:w w:val="110"/>
        </w:rPr>
        <w:t> </w:t>
      </w:r>
      <w:r>
        <w:rPr>
          <w:w w:val="110"/>
        </w:rPr>
        <w:t>falling</w:t>
      </w:r>
      <w:r>
        <w:rPr>
          <w:spacing w:val="-27"/>
          <w:w w:val="110"/>
        </w:rPr>
        <w:t> </w:t>
      </w:r>
      <w:r>
        <w:rPr>
          <w:w w:val="110"/>
        </w:rPr>
        <w:t>employment in manufacturing. In addition, the construction index has picked</w:t>
      </w:r>
      <w:r>
        <w:rPr>
          <w:spacing w:val="-13"/>
          <w:w w:val="110"/>
        </w:rPr>
        <w:t> </w:t>
      </w:r>
      <w:r>
        <w:rPr>
          <w:w w:val="110"/>
        </w:rPr>
        <w:t>up</w:t>
      </w:r>
      <w:r>
        <w:rPr>
          <w:spacing w:val="-13"/>
          <w:w w:val="110"/>
        </w:rPr>
        <w:t> </w:t>
      </w:r>
      <w:r>
        <w:rPr>
          <w:w w:val="110"/>
        </w:rPr>
        <w:t>in</w:t>
      </w:r>
      <w:r>
        <w:rPr>
          <w:spacing w:val="-12"/>
          <w:w w:val="110"/>
        </w:rPr>
        <w:t> </w:t>
      </w:r>
      <w:r>
        <w:rPr>
          <w:w w:val="110"/>
        </w:rPr>
        <w:t>recent</w:t>
      </w:r>
      <w:r>
        <w:rPr>
          <w:spacing w:val="-13"/>
          <w:w w:val="110"/>
        </w:rPr>
        <w:t> </w:t>
      </w:r>
      <w:r>
        <w:rPr>
          <w:w w:val="110"/>
        </w:rPr>
        <w:t>months,</w:t>
      </w:r>
      <w:r>
        <w:rPr>
          <w:spacing w:val="-13"/>
          <w:w w:val="110"/>
        </w:rPr>
        <w:t> </w:t>
      </w:r>
      <w:r>
        <w:rPr>
          <w:w w:val="110"/>
        </w:rPr>
        <w:t>perhaps</w:t>
      </w:r>
      <w:r>
        <w:rPr>
          <w:spacing w:val="-12"/>
          <w:w w:val="110"/>
        </w:rPr>
        <w:t> </w:t>
      </w:r>
      <w:r>
        <w:rPr>
          <w:w w:val="110"/>
        </w:rPr>
        <w:t>suggesting</w:t>
      </w:r>
      <w:r>
        <w:rPr>
          <w:spacing w:val="-13"/>
          <w:w w:val="110"/>
        </w:rPr>
        <w:t> </w:t>
      </w:r>
      <w:r>
        <w:rPr>
          <w:w w:val="110"/>
        </w:rPr>
        <w:t>that</w:t>
      </w:r>
      <w:r>
        <w:rPr>
          <w:spacing w:val="-12"/>
          <w:w w:val="110"/>
        </w:rPr>
        <w:t> </w:t>
      </w:r>
      <w:r>
        <w:rPr>
          <w:w w:val="110"/>
        </w:rPr>
        <w:t>the</w:t>
      </w:r>
      <w:r>
        <w:rPr>
          <w:spacing w:val="-13"/>
          <w:w w:val="110"/>
        </w:rPr>
        <w:t> </w:t>
      </w:r>
      <w:r>
        <w:rPr>
          <w:w w:val="110"/>
        </w:rPr>
        <w:t>fall in Q3 in the </w:t>
      </w:r>
      <w:r>
        <w:rPr>
          <w:spacing w:val="-3"/>
          <w:w w:val="110"/>
        </w:rPr>
        <w:t>Workforce </w:t>
      </w:r>
      <w:r>
        <w:rPr>
          <w:w w:val="110"/>
        </w:rPr>
        <w:t>Jobs measure of construction jobs </w:t>
      </w:r>
      <w:r>
        <w:rPr>
          <w:spacing w:val="-3"/>
          <w:w w:val="110"/>
        </w:rPr>
        <w:t>was </w:t>
      </w:r>
      <w:r>
        <w:rPr>
          <w:spacing w:val="-4"/>
          <w:w w:val="110"/>
        </w:rPr>
        <w:t>temporary. </w:t>
      </w:r>
      <w:r>
        <w:rPr>
          <w:w w:val="110"/>
        </w:rPr>
        <w:t>The </w:t>
      </w:r>
      <w:r>
        <w:rPr>
          <w:spacing w:val="-3"/>
          <w:w w:val="110"/>
        </w:rPr>
        <w:t>latest </w:t>
      </w:r>
      <w:r>
        <w:rPr>
          <w:w w:val="110"/>
        </w:rPr>
        <w:t>BCC </w:t>
      </w:r>
      <w:r>
        <w:rPr>
          <w:spacing w:val="-3"/>
          <w:w w:val="110"/>
        </w:rPr>
        <w:t>survey </w:t>
      </w:r>
      <w:r>
        <w:rPr>
          <w:w w:val="110"/>
        </w:rPr>
        <w:t>indicated strong growth in service sector employment in the fourth quarter. In the manufacturing </w:t>
      </w:r>
      <w:r>
        <w:rPr>
          <w:spacing w:val="-4"/>
          <w:w w:val="110"/>
        </w:rPr>
        <w:t>sector, </w:t>
      </w:r>
      <w:r>
        <w:rPr>
          <w:w w:val="110"/>
        </w:rPr>
        <w:t>although the BCC </w:t>
      </w:r>
      <w:r>
        <w:rPr>
          <w:spacing w:val="-3"/>
          <w:w w:val="110"/>
        </w:rPr>
        <w:t>survey </w:t>
      </w:r>
      <w:r>
        <w:rPr>
          <w:w w:val="110"/>
        </w:rPr>
        <w:t>reported</w:t>
      </w:r>
      <w:r>
        <w:rPr>
          <w:spacing w:val="-9"/>
          <w:w w:val="110"/>
        </w:rPr>
        <w:t> </w:t>
      </w:r>
      <w:r>
        <w:rPr>
          <w:w w:val="110"/>
        </w:rPr>
        <w:t>a</w:t>
      </w:r>
      <w:r>
        <w:rPr>
          <w:spacing w:val="-9"/>
          <w:w w:val="110"/>
        </w:rPr>
        <w:t> </w:t>
      </w:r>
      <w:r>
        <w:rPr>
          <w:w w:val="110"/>
        </w:rPr>
        <w:t>positive</w:t>
      </w:r>
      <w:r>
        <w:rPr>
          <w:spacing w:val="-9"/>
          <w:w w:val="110"/>
        </w:rPr>
        <w:t> </w:t>
      </w:r>
      <w:r>
        <w:rPr>
          <w:w w:val="110"/>
        </w:rPr>
        <w:t>balance</w:t>
      </w:r>
      <w:r>
        <w:rPr>
          <w:spacing w:val="-9"/>
          <w:w w:val="110"/>
        </w:rPr>
        <w:t> </w:t>
      </w:r>
      <w:r>
        <w:rPr>
          <w:w w:val="110"/>
        </w:rPr>
        <w:t>of</w:t>
      </w:r>
      <w:r>
        <w:rPr>
          <w:spacing w:val="-9"/>
          <w:w w:val="110"/>
        </w:rPr>
        <w:t> </w:t>
      </w:r>
      <w:r>
        <w:rPr>
          <w:w w:val="110"/>
        </w:rPr>
        <w:t>firms</w:t>
      </w:r>
      <w:r>
        <w:rPr>
          <w:spacing w:val="-9"/>
          <w:w w:val="110"/>
        </w:rPr>
        <w:t> </w:t>
      </w:r>
      <w:r>
        <w:rPr>
          <w:w w:val="110"/>
        </w:rPr>
        <w:t>increasing</w:t>
      </w:r>
    </w:p>
    <w:p>
      <w:pPr>
        <w:pStyle w:val="BodyText"/>
        <w:spacing w:line="223" w:lineRule="exact"/>
        <w:ind w:left="174"/>
      </w:pPr>
      <w:r>
        <w:rPr>
          <w:w w:val="110"/>
        </w:rPr>
        <w:t>employment, the CBI survey continues to indicate falling</w:t>
      </w:r>
    </w:p>
    <w:p>
      <w:pPr>
        <w:pStyle w:val="BodyText"/>
        <w:spacing w:line="192" w:lineRule="exact" w:before="50"/>
        <w:ind w:left="174"/>
      </w:pPr>
      <w:r>
        <w:rPr>
          <w:w w:val="105"/>
        </w:rPr>
        <w:t>employment.</w:t>
      </w:r>
    </w:p>
    <w:p>
      <w:pPr>
        <w:spacing w:after="0" w:line="192" w:lineRule="exact"/>
        <w:sectPr>
          <w:type w:val="continuous"/>
          <w:pgSz w:w="11900" w:h="16840"/>
          <w:pgMar w:top="1260" w:bottom="280" w:left="640" w:right="640"/>
          <w:cols w:num="2" w:equalWidth="0">
            <w:col w:w="4000" w:space="931"/>
            <w:col w:w="5689"/>
          </w:cols>
        </w:sectPr>
      </w:pPr>
    </w:p>
    <w:p>
      <w:pPr>
        <w:pStyle w:val="BodyText"/>
        <w:rPr>
          <w:sz w:val="14"/>
        </w:rPr>
      </w:pPr>
    </w:p>
    <w:p>
      <w:pPr>
        <w:pStyle w:val="BodyText"/>
        <w:rPr>
          <w:sz w:val="14"/>
        </w:rPr>
      </w:pPr>
    </w:p>
    <w:p>
      <w:pPr>
        <w:spacing w:before="95"/>
        <w:ind w:left="174" w:right="0" w:firstLine="0"/>
        <w:jc w:val="left"/>
        <w:rPr>
          <w:rFonts w:ascii="Georgia"/>
          <w:sz w:val="14"/>
        </w:rPr>
      </w:pPr>
      <w:r>
        <w:rPr>
          <w:rFonts w:ascii="Georgia"/>
          <w:sz w:val="14"/>
        </w:rPr>
        <w:t>Whole-economy</w:t>
      </w:r>
    </w:p>
    <w:p>
      <w:pPr>
        <w:tabs>
          <w:tab w:pos="894" w:val="left" w:leader="none"/>
          <w:tab w:pos="1479" w:val="left" w:leader="none"/>
          <w:tab w:pos="2699" w:val="left" w:leader="none"/>
        </w:tabs>
        <w:spacing w:line="208" w:lineRule="auto" w:before="11"/>
        <w:ind w:left="174" w:right="38" w:firstLine="0"/>
        <w:jc w:val="left"/>
        <w:rPr>
          <w:sz w:val="14"/>
        </w:rPr>
      </w:pPr>
      <w:r>
        <w:rPr/>
        <w:br w:type="column"/>
      </w:r>
      <w:r>
        <w:rPr>
          <w:w w:val="110"/>
          <w:sz w:val="14"/>
        </w:rPr>
        <w:t>Series</w:t>
        <w:tab/>
      </w:r>
      <w:r>
        <w:rPr>
          <w:spacing w:val="-11"/>
          <w:w w:val="110"/>
          <w:sz w:val="14"/>
          <w:u w:val="single"/>
        </w:rPr>
        <w:t>1999</w:t>
        <w:tab/>
        <w:t> </w:t>
      </w:r>
      <w:r>
        <w:rPr>
          <w:spacing w:val="-3"/>
          <w:w w:val="110"/>
          <w:sz w:val="14"/>
          <w:u w:val="single"/>
        </w:rPr>
        <w:t>2000</w:t>
        <w:tab/>
      </w:r>
      <w:r>
        <w:rPr>
          <w:w w:val="110"/>
          <w:sz w:val="14"/>
        </w:rPr>
        <w:t> average </w:t>
      </w:r>
      <w:r>
        <w:rPr>
          <w:w w:val="110"/>
          <w:sz w:val="12"/>
        </w:rPr>
        <w:t>(c)   </w:t>
      </w:r>
      <w:r>
        <w:rPr>
          <w:w w:val="110"/>
          <w:sz w:val="14"/>
        </w:rPr>
        <w:t>Q3    Q4    Q1 </w:t>
      </w:r>
      <w:r>
        <w:rPr>
          <w:spacing w:val="38"/>
          <w:w w:val="110"/>
          <w:sz w:val="14"/>
        </w:rPr>
        <w:t> </w:t>
      </w:r>
      <w:r>
        <w:rPr>
          <w:w w:val="110"/>
          <w:sz w:val="14"/>
        </w:rPr>
        <w:t>Q2   Q3</w:t>
      </w:r>
      <w:r>
        <w:rPr>
          <w:spacing w:val="29"/>
          <w:w w:val="110"/>
          <w:sz w:val="14"/>
        </w:rPr>
        <w:t> </w:t>
      </w:r>
      <w:r>
        <w:rPr>
          <w:w w:val="110"/>
          <w:sz w:val="14"/>
        </w:rPr>
        <w:t>Q4</w:t>
      </w:r>
    </w:p>
    <w:p>
      <w:pPr>
        <w:pStyle w:val="BodyText"/>
        <w:spacing w:before="5"/>
        <w:rPr>
          <w:sz w:val="2"/>
        </w:rPr>
      </w:pPr>
    </w:p>
    <w:p>
      <w:pPr>
        <w:pStyle w:val="BodyText"/>
        <w:spacing w:line="20" w:lineRule="exact"/>
        <w:ind w:left="163" w:right="-44"/>
        <w:rPr>
          <w:sz w:val="2"/>
        </w:rPr>
      </w:pPr>
      <w:r>
        <w:rPr>
          <w:sz w:val="2"/>
        </w:rPr>
        <w:pict>
          <v:group style="width:32.25pt;height:.15pt;mso-position-horizontal-relative:char;mso-position-vertical-relative:line" coordorigin="0,0" coordsize="645,3">
            <v:line style="position:absolute" from="0,1" to="644,1" stroked="true" strokeweight=".125pt" strokecolor="#000000">
              <v:stroke dashstyle="solid"/>
            </v:line>
          </v:group>
        </w:pict>
      </w:r>
      <w:r>
        <w:rPr>
          <w:sz w:val="2"/>
        </w:rPr>
      </w:r>
      <w:r>
        <w:rPr>
          <w:spacing w:val="66"/>
          <w:sz w:val="2"/>
        </w:rPr>
        <w:t> </w:t>
      </w:r>
      <w:r>
        <w:rPr>
          <w:spacing w:val="66"/>
          <w:sz w:val="2"/>
        </w:rPr>
        <w:pict>
          <v:group style="width:10pt;height:.15pt;mso-position-horizontal-relative:char;mso-position-vertical-relative:line" coordorigin="0,0" coordsize="200,3">
            <v:line style="position:absolute" from="0,1" to="200,1" stroked="true" strokeweight=".125pt" strokecolor="#000000">
              <v:stroke dashstyle="solid"/>
            </v:line>
          </v:group>
        </w:pict>
      </w:r>
      <w:r>
        <w:rPr>
          <w:spacing w:val="66"/>
          <w:sz w:val="2"/>
        </w:rPr>
      </w:r>
      <w:r>
        <w:rPr>
          <w:spacing w:val="132"/>
          <w:sz w:val="2"/>
        </w:rPr>
        <w:t> </w:t>
      </w:r>
      <w:r>
        <w:rPr>
          <w:spacing w:val="132"/>
          <w:sz w:val="2"/>
        </w:rPr>
        <w:pict>
          <v:group style="width:10pt;height:.15pt;mso-position-horizontal-relative:char;mso-position-vertical-relative:line" coordorigin="0,0" coordsize="200,3">
            <v:line style="position:absolute" from="0,1" to="200,1" stroked="true" strokeweight=".125pt" strokecolor="#000000">
              <v:stroke dashstyle="solid"/>
            </v:line>
          </v:group>
        </w:pict>
      </w:r>
      <w:r>
        <w:rPr>
          <w:spacing w:val="132"/>
          <w:sz w:val="2"/>
        </w:rPr>
      </w:r>
      <w:r>
        <w:rPr>
          <w:spacing w:val="92"/>
          <w:sz w:val="2"/>
        </w:rPr>
        <w:t> </w:t>
      </w:r>
      <w:r>
        <w:rPr>
          <w:spacing w:val="92"/>
          <w:sz w:val="2"/>
        </w:rPr>
        <w:pict>
          <v:group style="width:10pt;height:.15pt;mso-position-horizontal-relative:char;mso-position-vertical-relative:line" coordorigin="0,0" coordsize="200,3">
            <v:line style="position:absolute" from="0,1" to="200,1" stroked="true" strokeweight=".125pt" strokecolor="#000000">
              <v:stroke dashstyle="solid"/>
            </v:line>
          </v:group>
        </w:pict>
      </w:r>
      <w:r>
        <w:rPr>
          <w:spacing w:val="92"/>
          <w:sz w:val="2"/>
        </w:rPr>
      </w:r>
      <w:r>
        <w:rPr>
          <w:spacing w:val="112"/>
          <w:sz w:val="2"/>
        </w:rPr>
        <w:t> </w:t>
      </w:r>
      <w:r>
        <w:rPr>
          <w:spacing w:val="112"/>
          <w:sz w:val="2"/>
        </w:rPr>
        <w:pict>
          <v:group style="width:10pt;height:.15pt;mso-position-horizontal-relative:char;mso-position-vertical-relative:line" coordorigin="0,0" coordsize="200,3">
            <v:line style="position:absolute" from="0,1" to="200,1" stroked="true" strokeweight=".125pt" strokecolor="#000000">
              <v:stroke dashstyle="solid"/>
            </v:line>
          </v:group>
        </w:pict>
      </w:r>
      <w:r>
        <w:rPr>
          <w:spacing w:val="112"/>
          <w:sz w:val="2"/>
        </w:rPr>
      </w:r>
      <w:r>
        <w:rPr>
          <w:spacing w:val="72"/>
          <w:sz w:val="2"/>
        </w:rPr>
        <w:t> </w:t>
      </w:r>
      <w:r>
        <w:rPr>
          <w:spacing w:val="72"/>
          <w:sz w:val="2"/>
        </w:rPr>
        <w:pict>
          <v:group style="width:10pt;height:.15pt;mso-position-horizontal-relative:char;mso-position-vertical-relative:line" coordorigin="0,0" coordsize="200,3">
            <v:line style="position:absolute" from="0,1" to="200,1" stroked="true" strokeweight=".125pt" strokecolor="#000000">
              <v:stroke dashstyle="solid"/>
            </v:line>
          </v:group>
        </w:pict>
      </w:r>
      <w:r>
        <w:rPr>
          <w:spacing w:val="72"/>
          <w:sz w:val="2"/>
        </w:rPr>
      </w:r>
      <w:r>
        <w:rPr>
          <w:spacing w:val="52"/>
          <w:sz w:val="2"/>
        </w:rPr>
        <w:t> </w:t>
      </w:r>
      <w:r>
        <w:rPr>
          <w:spacing w:val="52"/>
          <w:sz w:val="2"/>
        </w:rPr>
        <w:pict>
          <v:group style="width:10pt;height:.15pt;mso-position-horizontal-relative:char;mso-position-vertical-relative:line" coordorigin="0,0" coordsize="200,3">
            <v:line style="position:absolute" from="0,1" to="200,1" stroked="true" strokeweight=".125pt" strokecolor="#000000">
              <v:stroke dashstyle="solid"/>
            </v:line>
          </v:group>
        </w:pict>
      </w:r>
      <w:r>
        <w:rPr>
          <w:spacing w:val="52"/>
          <w:sz w:val="2"/>
        </w:rPr>
      </w:r>
    </w:p>
    <w:p>
      <w:pPr>
        <w:pStyle w:val="BodyText"/>
      </w:pPr>
      <w:r>
        <w:rPr/>
        <w:br w:type="column"/>
      </w:r>
      <w:r>
        <w:rPr/>
      </w:r>
    </w:p>
    <w:p>
      <w:pPr>
        <w:pStyle w:val="BodyText"/>
        <w:spacing w:line="174" w:lineRule="exact" w:before="178"/>
        <w:ind w:left="174"/>
      </w:pPr>
      <w:r>
        <w:rPr>
          <w:w w:val="105"/>
        </w:rPr>
        <w:t>Forward-looking surveys of employment intentions suggest</w:t>
      </w:r>
    </w:p>
    <w:p>
      <w:pPr>
        <w:spacing w:after="0" w:line="174" w:lineRule="exact"/>
        <w:sectPr>
          <w:type w:val="continuous"/>
          <w:pgSz w:w="11900" w:h="16840"/>
          <w:pgMar w:top="1260" w:bottom="280" w:left="640" w:right="640"/>
          <w:cols w:num="3" w:equalWidth="0">
            <w:col w:w="1236" w:space="424"/>
            <w:col w:w="2740" w:space="531"/>
            <w:col w:w="5689"/>
          </w:cols>
        </w:sectPr>
      </w:pPr>
    </w:p>
    <w:p>
      <w:pPr>
        <w:tabs>
          <w:tab w:pos="1976" w:val="left" w:leader="none"/>
          <w:tab w:pos="2580" w:val="left" w:leader="none"/>
          <w:tab w:pos="2926" w:val="left" w:leader="none"/>
          <w:tab w:pos="3282" w:val="left" w:leader="none"/>
        </w:tabs>
        <w:spacing w:line="125" w:lineRule="exact" w:before="0"/>
        <w:ind w:left="174" w:right="0" w:firstLine="0"/>
        <w:jc w:val="left"/>
        <w:rPr>
          <w:sz w:val="14"/>
        </w:rPr>
      </w:pPr>
      <w:r>
        <w:rPr>
          <w:w w:val="110"/>
          <w:sz w:val="14"/>
        </w:rPr>
        <w:t>Manpower</w:t>
        <w:tab/>
      </w:r>
      <w:r>
        <w:rPr>
          <w:spacing w:val="-9"/>
          <w:w w:val="120"/>
          <w:sz w:val="14"/>
        </w:rPr>
        <w:t>10</w:t>
        <w:tab/>
      </w:r>
      <w:r>
        <w:rPr>
          <w:spacing w:val="-13"/>
          <w:w w:val="120"/>
          <w:sz w:val="14"/>
        </w:rPr>
        <w:t>15</w:t>
        <w:tab/>
      </w:r>
      <w:r>
        <w:rPr>
          <w:spacing w:val="-12"/>
          <w:w w:val="120"/>
          <w:sz w:val="14"/>
        </w:rPr>
        <w:t>14</w:t>
        <w:tab/>
        <w:t>14 14 18</w:t>
      </w:r>
      <w:r>
        <w:rPr>
          <w:spacing w:val="15"/>
          <w:w w:val="120"/>
          <w:sz w:val="14"/>
        </w:rPr>
        <w:t> </w:t>
      </w:r>
      <w:r>
        <w:rPr>
          <w:spacing w:val="-12"/>
          <w:w w:val="120"/>
          <w:sz w:val="14"/>
        </w:rPr>
        <w:t>21</w:t>
      </w:r>
    </w:p>
    <w:p>
      <w:pPr>
        <w:spacing w:line="139" w:lineRule="exact" w:before="0"/>
        <w:ind w:left="174" w:right="0" w:firstLine="0"/>
        <w:jc w:val="left"/>
        <w:rPr>
          <w:rFonts w:ascii="Georgia"/>
          <w:sz w:val="14"/>
        </w:rPr>
      </w:pPr>
      <w:r>
        <w:rPr>
          <w:rFonts w:ascii="Georgia"/>
          <w:sz w:val="14"/>
        </w:rPr>
        <w:t>Services</w:t>
      </w:r>
    </w:p>
    <w:p>
      <w:pPr>
        <w:tabs>
          <w:tab w:pos="1977" w:val="left" w:leader="none"/>
          <w:tab w:pos="2580" w:val="left" w:leader="none"/>
          <w:tab w:pos="2930" w:val="left" w:leader="none"/>
          <w:tab w:pos="3282" w:val="left" w:leader="none"/>
        </w:tabs>
        <w:spacing w:line="140" w:lineRule="exact" w:before="0"/>
        <w:ind w:left="174" w:right="0" w:firstLine="0"/>
        <w:jc w:val="left"/>
        <w:rPr>
          <w:sz w:val="14"/>
        </w:rPr>
      </w:pPr>
      <w:r>
        <w:rPr>
          <w:w w:val="110"/>
          <w:sz w:val="14"/>
        </w:rPr>
        <w:t>Manpower</w:t>
        <w:tab/>
      </w:r>
      <w:r>
        <w:rPr>
          <w:spacing w:val="-9"/>
          <w:w w:val="120"/>
          <w:sz w:val="14"/>
        </w:rPr>
        <w:t>12</w:t>
        <w:tab/>
      </w:r>
      <w:r>
        <w:rPr>
          <w:spacing w:val="-13"/>
          <w:w w:val="120"/>
          <w:sz w:val="14"/>
        </w:rPr>
        <w:t>15</w:t>
        <w:tab/>
      </w:r>
      <w:r>
        <w:rPr>
          <w:spacing w:val="-14"/>
          <w:w w:val="120"/>
          <w:sz w:val="14"/>
        </w:rPr>
        <w:t>13</w:t>
        <w:tab/>
      </w:r>
      <w:r>
        <w:rPr>
          <w:spacing w:val="-12"/>
          <w:w w:val="120"/>
          <w:sz w:val="14"/>
        </w:rPr>
        <w:t>19      16      21  </w:t>
      </w:r>
      <w:r>
        <w:rPr>
          <w:spacing w:val="10"/>
          <w:w w:val="120"/>
          <w:sz w:val="14"/>
        </w:rPr>
        <w:t> </w:t>
      </w:r>
      <w:r>
        <w:rPr>
          <w:spacing w:val="-9"/>
          <w:w w:val="120"/>
          <w:sz w:val="14"/>
        </w:rPr>
        <w:t>27</w:t>
      </w:r>
    </w:p>
    <w:p>
      <w:pPr>
        <w:tabs>
          <w:tab w:pos="1986" w:val="left" w:leader="none"/>
          <w:tab w:pos="2577" w:val="left" w:leader="none"/>
          <w:tab w:pos="2926" w:val="left" w:leader="none"/>
          <w:tab w:pos="3275" w:val="left" w:leader="none"/>
        </w:tabs>
        <w:spacing w:line="140" w:lineRule="exact" w:before="0"/>
        <w:ind w:left="174" w:right="0" w:firstLine="0"/>
        <w:jc w:val="left"/>
        <w:rPr>
          <w:sz w:val="14"/>
        </w:rPr>
      </w:pPr>
      <w:r>
        <w:rPr>
          <w:w w:val="110"/>
          <w:sz w:val="14"/>
        </w:rPr>
        <w:t>BCC</w:t>
        <w:tab/>
      </w:r>
      <w:r>
        <w:rPr>
          <w:spacing w:val="-14"/>
          <w:w w:val="115"/>
          <w:sz w:val="14"/>
        </w:rPr>
        <w:t>13</w:t>
        <w:tab/>
      </w:r>
      <w:r>
        <w:rPr>
          <w:spacing w:val="-12"/>
          <w:w w:val="115"/>
          <w:sz w:val="14"/>
        </w:rPr>
        <w:t>21</w:t>
        <w:tab/>
        <w:t>21</w:t>
        <w:tab/>
      </w:r>
      <w:r>
        <w:rPr>
          <w:spacing w:val="-8"/>
          <w:w w:val="115"/>
          <w:sz w:val="14"/>
        </w:rPr>
        <w:t>25     </w:t>
      </w:r>
      <w:r>
        <w:rPr>
          <w:spacing w:val="-7"/>
          <w:w w:val="115"/>
          <w:sz w:val="14"/>
        </w:rPr>
        <w:t>28     28   </w:t>
      </w:r>
      <w:r>
        <w:rPr>
          <w:spacing w:val="6"/>
          <w:w w:val="115"/>
          <w:sz w:val="14"/>
        </w:rPr>
        <w:t> </w:t>
      </w:r>
      <w:r>
        <w:rPr>
          <w:spacing w:val="-6"/>
          <w:w w:val="115"/>
          <w:sz w:val="14"/>
        </w:rPr>
        <w:t>29</w:t>
      </w:r>
    </w:p>
    <w:p>
      <w:pPr>
        <w:tabs>
          <w:tab w:pos="1971" w:val="left" w:leader="none"/>
          <w:tab w:pos="2572" w:val="left" w:leader="none"/>
        </w:tabs>
        <w:spacing w:line="141" w:lineRule="exact" w:before="0"/>
        <w:ind w:left="174" w:right="0" w:firstLine="0"/>
        <w:jc w:val="left"/>
        <w:rPr>
          <w:sz w:val="14"/>
        </w:rPr>
      </w:pPr>
      <w:r>
        <w:rPr>
          <w:w w:val="110"/>
          <w:sz w:val="14"/>
        </w:rPr>
        <w:t>CBI/Deloitte</w:t>
      </w:r>
      <w:r>
        <w:rPr>
          <w:spacing w:val="-18"/>
          <w:w w:val="110"/>
          <w:sz w:val="14"/>
        </w:rPr>
        <w:t> </w:t>
      </w:r>
      <w:r>
        <w:rPr>
          <w:w w:val="110"/>
          <w:sz w:val="14"/>
        </w:rPr>
        <w:t>&amp;</w:t>
      </w:r>
      <w:r>
        <w:rPr>
          <w:spacing w:val="-18"/>
          <w:w w:val="110"/>
          <w:sz w:val="14"/>
        </w:rPr>
        <w:t> </w:t>
      </w:r>
      <w:r>
        <w:rPr>
          <w:spacing w:val="-3"/>
          <w:w w:val="110"/>
          <w:sz w:val="14"/>
        </w:rPr>
        <w:t>Touche</w:t>
      </w:r>
      <w:r>
        <w:rPr>
          <w:spacing w:val="-18"/>
          <w:w w:val="110"/>
          <w:sz w:val="14"/>
        </w:rPr>
        <w:t> </w:t>
      </w:r>
      <w:r>
        <w:rPr>
          <w:w w:val="110"/>
          <w:sz w:val="12"/>
        </w:rPr>
        <w:t>(d)</w:t>
        <w:tab/>
      </w:r>
      <w:r>
        <w:rPr>
          <w:spacing w:val="-6"/>
          <w:w w:val="115"/>
          <w:sz w:val="14"/>
        </w:rPr>
        <w:t>23</w:t>
        <w:tab/>
      </w:r>
      <w:r>
        <w:rPr>
          <w:spacing w:val="-9"/>
          <w:w w:val="115"/>
          <w:sz w:val="14"/>
        </w:rPr>
        <w:t>12       </w:t>
      </w:r>
      <w:r>
        <w:rPr>
          <w:spacing w:val="-8"/>
          <w:w w:val="115"/>
          <w:sz w:val="14"/>
        </w:rPr>
        <w:t>43       </w:t>
      </w:r>
      <w:r>
        <w:rPr>
          <w:spacing w:val="-6"/>
          <w:w w:val="115"/>
          <w:sz w:val="14"/>
        </w:rPr>
        <w:t>29     </w:t>
      </w:r>
      <w:r>
        <w:rPr>
          <w:spacing w:val="-12"/>
          <w:w w:val="115"/>
          <w:sz w:val="14"/>
        </w:rPr>
        <w:t>31      </w:t>
      </w:r>
      <w:r>
        <w:rPr>
          <w:spacing w:val="-8"/>
          <w:w w:val="115"/>
          <w:sz w:val="14"/>
        </w:rPr>
        <w:t>32  </w:t>
      </w:r>
      <w:r>
        <w:rPr>
          <w:spacing w:val="4"/>
          <w:w w:val="115"/>
          <w:sz w:val="14"/>
        </w:rPr>
        <w:t> </w:t>
      </w:r>
      <w:r>
        <w:rPr>
          <w:spacing w:val="-12"/>
          <w:w w:val="115"/>
          <w:sz w:val="14"/>
        </w:rPr>
        <w:t>24</w:t>
      </w:r>
    </w:p>
    <w:p>
      <w:pPr>
        <w:spacing w:line="139" w:lineRule="exact" w:before="0"/>
        <w:ind w:left="174" w:right="0" w:firstLine="0"/>
        <w:jc w:val="left"/>
        <w:rPr>
          <w:rFonts w:ascii="Georgia"/>
          <w:sz w:val="14"/>
        </w:rPr>
      </w:pPr>
      <w:r>
        <w:rPr>
          <w:rFonts w:ascii="Georgia"/>
          <w:w w:val="105"/>
          <w:sz w:val="14"/>
        </w:rPr>
        <w:t>Manufacturing</w:t>
      </w:r>
    </w:p>
    <w:p>
      <w:pPr>
        <w:tabs>
          <w:tab w:pos="1982" w:val="left" w:leader="none"/>
          <w:tab w:pos="2577" w:val="left" w:leader="none"/>
          <w:tab w:pos="3286" w:val="left" w:leader="none"/>
        </w:tabs>
        <w:spacing w:line="140" w:lineRule="exact" w:before="0"/>
        <w:ind w:left="174" w:right="0" w:firstLine="0"/>
        <w:jc w:val="left"/>
        <w:rPr>
          <w:sz w:val="14"/>
        </w:rPr>
      </w:pPr>
      <w:r>
        <w:rPr>
          <w:w w:val="110"/>
          <w:sz w:val="14"/>
        </w:rPr>
        <w:t>Manpower</w:t>
        <w:tab/>
      </w:r>
      <w:r>
        <w:rPr>
          <w:spacing w:val="-12"/>
          <w:w w:val="120"/>
          <w:sz w:val="14"/>
        </w:rPr>
        <w:t>14</w:t>
        <w:tab/>
        <w:t>14     </w:t>
      </w:r>
      <w:r>
        <w:rPr>
          <w:spacing w:val="7"/>
          <w:w w:val="120"/>
          <w:sz w:val="14"/>
        </w:rPr>
        <w:t> </w:t>
      </w:r>
      <w:r>
        <w:rPr>
          <w:spacing w:val="-9"/>
          <w:w w:val="120"/>
          <w:sz w:val="14"/>
        </w:rPr>
        <w:t>12</w:t>
        <w:tab/>
      </w:r>
      <w:r>
        <w:rPr>
          <w:spacing w:val="-14"/>
          <w:w w:val="120"/>
          <w:sz w:val="14"/>
        </w:rPr>
        <w:t>13       </w:t>
      </w:r>
      <w:r>
        <w:rPr>
          <w:spacing w:val="-17"/>
          <w:w w:val="120"/>
          <w:sz w:val="14"/>
        </w:rPr>
        <w:t>11       </w:t>
      </w:r>
      <w:r>
        <w:rPr>
          <w:spacing w:val="-12"/>
          <w:w w:val="120"/>
          <w:sz w:val="14"/>
        </w:rPr>
        <w:t>14   </w:t>
      </w:r>
      <w:r>
        <w:rPr>
          <w:spacing w:val="-9"/>
          <w:w w:val="120"/>
          <w:sz w:val="14"/>
        </w:rPr>
        <w:t> </w:t>
      </w:r>
      <w:r>
        <w:rPr>
          <w:spacing w:val="-14"/>
          <w:w w:val="120"/>
          <w:sz w:val="14"/>
        </w:rPr>
        <w:t>13</w:t>
      </w:r>
    </w:p>
    <w:p>
      <w:pPr>
        <w:tabs>
          <w:tab w:pos="2045" w:val="left" w:leader="none"/>
          <w:tab w:pos="2640" w:val="left" w:leader="none"/>
          <w:tab w:pos="3345" w:val="left" w:leader="none"/>
          <w:tab w:pos="3972" w:val="left" w:leader="none"/>
        </w:tabs>
        <w:spacing w:line="140" w:lineRule="exact" w:before="0"/>
        <w:ind w:left="174" w:right="0" w:firstLine="0"/>
        <w:jc w:val="left"/>
        <w:rPr>
          <w:sz w:val="14"/>
        </w:rPr>
      </w:pPr>
      <w:r>
        <w:rPr>
          <w:w w:val="110"/>
          <w:sz w:val="14"/>
        </w:rPr>
        <w:t>BCC</w:t>
        <w:tab/>
      </w:r>
      <w:r>
        <w:rPr>
          <w:w w:val="115"/>
          <w:sz w:val="14"/>
        </w:rPr>
        <w:t>3</w:t>
        <w:tab/>
        <w:t>6    </w:t>
      </w:r>
      <w:r>
        <w:rPr>
          <w:spacing w:val="3"/>
          <w:w w:val="115"/>
          <w:sz w:val="14"/>
        </w:rPr>
        <w:t> </w:t>
      </w:r>
      <w:r>
        <w:rPr>
          <w:spacing w:val="-9"/>
          <w:w w:val="115"/>
          <w:sz w:val="14"/>
        </w:rPr>
        <w:t>12</w:t>
        <w:tab/>
      </w:r>
      <w:r>
        <w:rPr>
          <w:w w:val="115"/>
          <w:sz w:val="14"/>
        </w:rPr>
        <w:t>4   </w:t>
      </w:r>
      <w:r>
        <w:rPr>
          <w:spacing w:val="27"/>
          <w:w w:val="115"/>
          <w:sz w:val="14"/>
        </w:rPr>
        <w:t> </w:t>
      </w:r>
      <w:r>
        <w:rPr>
          <w:spacing w:val="-17"/>
          <w:w w:val="115"/>
          <w:sz w:val="14"/>
        </w:rPr>
        <w:t>11</w:t>
        <w:tab/>
      </w:r>
      <w:r>
        <w:rPr>
          <w:w w:val="115"/>
          <w:sz w:val="14"/>
        </w:rPr>
        <w:t>9    </w:t>
      </w:r>
      <w:r>
        <w:rPr>
          <w:spacing w:val="6"/>
          <w:w w:val="115"/>
          <w:sz w:val="14"/>
        </w:rPr>
        <w:t> </w:t>
      </w:r>
      <w:r>
        <w:rPr>
          <w:w w:val="115"/>
          <w:sz w:val="14"/>
        </w:rPr>
        <w:t>8</w:t>
      </w:r>
    </w:p>
    <w:p>
      <w:pPr>
        <w:tabs>
          <w:tab w:pos="1933" w:val="left" w:leader="none"/>
          <w:tab w:pos="2531" w:val="left" w:leader="none"/>
        </w:tabs>
        <w:spacing w:line="150" w:lineRule="exact" w:before="0"/>
        <w:ind w:left="174" w:right="0" w:firstLine="0"/>
        <w:jc w:val="left"/>
        <w:rPr>
          <w:sz w:val="14"/>
        </w:rPr>
      </w:pPr>
      <w:r>
        <w:rPr>
          <w:w w:val="115"/>
          <w:sz w:val="14"/>
        </w:rPr>
        <w:t>CBI</w:t>
        <w:tab/>
      </w:r>
      <w:r>
        <w:rPr>
          <w:spacing w:val="-8"/>
          <w:w w:val="115"/>
          <w:sz w:val="14"/>
        </w:rPr>
        <w:t>-16</w:t>
        <w:tab/>
      </w:r>
      <w:r>
        <w:rPr>
          <w:spacing w:val="-9"/>
          <w:w w:val="115"/>
          <w:sz w:val="14"/>
        </w:rPr>
        <w:t>-15     </w:t>
      </w:r>
      <w:r>
        <w:rPr>
          <w:spacing w:val="-6"/>
          <w:w w:val="115"/>
          <w:sz w:val="14"/>
        </w:rPr>
        <w:t>-10     </w:t>
      </w:r>
      <w:r>
        <w:rPr>
          <w:spacing w:val="-9"/>
          <w:w w:val="115"/>
          <w:sz w:val="14"/>
        </w:rPr>
        <w:t>-15  </w:t>
      </w:r>
      <w:r>
        <w:rPr>
          <w:spacing w:val="22"/>
          <w:w w:val="115"/>
          <w:sz w:val="14"/>
        </w:rPr>
        <w:t> </w:t>
      </w:r>
      <w:r>
        <w:rPr>
          <w:spacing w:val="-10"/>
          <w:w w:val="115"/>
          <w:sz w:val="14"/>
        </w:rPr>
        <w:t>-13      </w:t>
      </w:r>
      <w:r>
        <w:rPr>
          <w:w w:val="115"/>
          <w:sz w:val="14"/>
        </w:rPr>
        <w:t>-7</w:t>
      </w:r>
      <w:r>
        <w:rPr>
          <w:spacing w:val="37"/>
          <w:w w:val="115"/>
          <w:sz w:val="14"/>
        </w:rPr>
        <w:t> </w:t>
      </w:r>
      <w:r>
        <w:rPr>
          <w:spacing w:val="-6"/>
          <w:w w:val="115"/>
          <w:sz w:val="14"/>
        </w:rPr>
        <w:t>-10</w:t>
      </w:r>
    </w:p>
    <w:p>
      <w:pPr>
        <w:pStyle w:val="ListParagraph"/>
        <w:numPr>
          <w:ilvl w:val="0"/>
          <w:numId w:val="21"/>
        </w:numPr>
        <w:tabs>
          <w:tab w:pos="415" w:val="left" w:leader="none"/>
        </w:tabs>
        <w:spacing w:line="129" w:lineRule="exact" w:before="117" w:after="0"/>
        <w:ind w:left="414" w:right="0" w:hanging="241"/>
        <w:jc w:val="left"/>
        <w:rPr>
          <w:sz w:val="12"/>
        </w:rPr>
      </w:pPr>
      <w:r>
        <w:rPr>
          <w:w w:val="105"/>
          <w:sz w:val="12"/>
        </w:rPr>
        <w:t>Seasonally adjusted by the</w:t>
      </w:r>
      <w:r>
        <w:rPr>
          <w:spacing w:val="-7"/>
          <w:w w:val="105"/>
          <w:sz w:val="12"/>
        </w:rPr>
        <w:t> </w:t>
      </w:r>
      <w:r>
        <w:rPr>
          <w:w w:val="105"/>
          <w:sz w:val="12"/>
        </w:rPr>
        <w:t>Bank.</w:t>
      </w:r>
    </w:p>
    <w:p>
      <w:pPr>
        <w:pStyle w:val="ListParagraph"/>
        <w:numPr>
          <w:ilvl w:val="0"/>
          <w:numId w:val="21"/>
        </w:numPr>
        <w:tabs>
          <w:tab w:pos="415" w:val="left" w:leader="none"/>
        </w:tabs>
        <w:spacing w:line="120" w:lineRule="exact" w:before="0" w:after="0"/>
        <w:ind w:left="414" w:right="0" w:hanging="241"/>
        <w:jc w:val="left"/>
        <w:rPr>
          <w:sz w:val="12"/>
        </w:rPr>
      </w:pPr>
      <w:r>
        <w:rPr>
          <w:w w:val="110"/>
          <w:sz w:val="12"/>
        </w:rPr>
        <w:t>Next</w:t>
      </w:r>
      <w:r>
        <w:rPr>
          <w:spacing w:val="-11"/>
          <w:w w:val="110"/>
          <w:sz w:val="12"/>
        </w:rPr>
        <w:t> </w:t>
      </w:r>
      <w:r>
        <w:rPr>
          <w:w w:val="110"/>
          <w:sz w:val="12"/>
        </w:rPr>
        <w:t>three</w:t>
      </w:r>
      <w:r>
        <w:rPr>
          <w:spacing w:val="-11"/>
          <w:w w:val="110"/>
          <w:sz w:val="12"/>
        </w:rPr>
        <w:t> </w:t>
      </w:r>
      <w:r>
        <w:rPr>
          <w:w w:val="110"/>
          <w:sz w:val="12"/>
        </w:rPr>
        <w:t>months</w:t>
      </w:r>
      <w:r>
        <w:rPr>
          <w:spacing w:val="-11"/>
          <w:w w:val="110"/>
          <w:sz w:val="12"/>
        </w:rPr>
        <w:t> </w:t>
      </w:r>
      <w:r>
        <w:rPr>
          <w:w w:val="110"/>
          <w:sz w:val="12"/>
        </w:rPr>
        <w:t>for</w:t>
      </w:r>
      <w:r>
        <w:rPr>
          <w:spacing w:val="-10"/>
          <w:w w:val="110"/>
          <w:sz w:val="12"/>
        </w:rPr>
        <w:t> </w:t>
      </w:r>
      <w:r>
        <w:rPr>
          <w:w w:val="110"/>
          <w:sz w:val="12"/>
        </w:rPr>
        <w:t>all</w:t>
      </w:r>
      <w:r>
        <w:rPr>
          <w:spacing w:val="-11"/>
          <w:w w:val="110"/>
          <w:sz w:val="12"/>
        </w:rPr>
        <w:t> </w:t>
      </w:r>
      <w:r>
        <w:rPr>
          <w:w w:val="110"/>
          <w:sz w:val="12"/>
        </w:rPr>
        <w:t>series</w:t>
      </w:r>
      <w:r>
        <w:rPr>
          <w:spacing w:val="-11"/>
          <w:w w:val="110"/>
          <w:sz w:val="12"/>
        </w:rPr>
        <w:t> </w:t>
      </w:r>
      <w:r>
        <w:rPr>
          <w:w w:val="110"/>
          <w:sz w:val="12"/>
        </w:rPr>
        <w:t>except</w:t>
      </w:r>
      <w:r>
        <w:rPr>
          <w:spacing w:val="-10"/>
          <w:w w:val="110"/>
          <w:sz w:val="12"/>
        </w:rPr>
        <w:t> </w:t>
      </w:r>
      <w:r>
        <w:rPr>
          <w:w w:val="110"/>
          <w:sz w:val="12"/>
        </w:rPr>
        <w:t>for</w:t>
      </w:r>
      <w:r>
        <w:rPr>
          <w:spacing w:val="-11"/>
          <w:w w:val="110"/>
          <w:sz w:val="12"/>
        </w:rPr>
        <w:t> </w:t>
      </w:r>
      <w:r>
        <w:rPr>
          <w:w w:val="110"/>
          <w:sz w:val="12"/>
        </w:rPr>
        <w:t>CBI;</w:t>
      </w:r>
      <w:r>
        <w:rPr>
          <w:spacing w:val="12"/>
          <w:w w:val="110"/>
          <w:sz w:val="12"/>
        </w:rPr>
        <w:t> </w:t>
      </w:r>
      <w:r>
        <w:rPr>
          <w:w w:val="110"/>
          <w:sz w:val="12"/>
        </w:rPr>
        <w:t>next</w:t>
      </w:r>
      <w:r>
        <w:rPr>
          <w:spacing w:val="-11"/>
          <w:w w:val="110"/>
          <w:sz w:val="12"/>
        </w:rPr>
        <w:t> </w:t>
      </w:r>
      <w:r>
        <w:rPr>
          <w:w w:val="110"/>
          <w:sz w:val="12"/>
        </w:rPr>
        <w:t>four</w:t>
      </w:r>
      <w:r>
        <w:rPr>
          <w:spacing w:val="-11"/>
          <w:w w:val="110"/>
          <w:sz w:val="12"/>
        </w:rPr>
        <w:t> </w:t>
      </w:r>
      <w:r>
        <w:rPr>
          <w:w w:val="110"/>
          <w:sz w:val="12"/>
        </w:rPr>
        <w:t>months</w:t>
      </w:r>
      <w:r>
        <w:rPr>
          <w:spacing w:val="-10"/>
          <w:w w:val="110"/>
          <w:sz w:val="12"/>
        </w:rPr>
        <w:t> </w:t>
      </w:r>
      <w:r>
        <w:rPr>
          <w:w w:val="110"/>
          <w:sz w:val="12"/>
        </w:rPr>
        <w:t>for</w:t>
      </w:r>
      <w:r>
        <w:rPr>
          <w:spacing w:val="-11"/>
          <w:w w:val="110"/>
          <w:sz w:val="12"/>
        </w:rPr>
        <w:t> </w:t>
      </w:r>
      <w:r>
        <w:rPr>
          <w:w w:val="110"/>
          <w:sz w:val="12"/>
        </w:rPr>
        <w:t>CBI.</w:t>
      </w:r>
    </w:p>
    <w:p>
      <w:pPr>
        <w:pStyle w:val="ListParagraph"/>
        <w:numPr>
          <w:ilvl w:val="0"/>
          <w:numId w:val="21"/>
        </w:numPr>
        <w:tabs>
          <w:tab w:pos="415" w:val="left" w:leader="none"/>
        </w:tabs>
        <w:spacing w:line="208" w:lineRule="auto" w:before="6" w:after="0"/>
        <w:ind w:left="414" w:right="186" w:hanging="240"/>
        <w:jc w:val="left"/>
        <w:rPr>
          <w:sz w:val="12"/>
        </w:rPr>
      </w:pPr>
      <w:r>
        <w:rPr>
          <w:w w:val="105"/>
          <w:sz w:val="12"/>
        </w:rPr>
        <w:t>CBI from </w:t>
      </w:r>
      <w:r>
        <w:rPr>
          <w:spacing w:val="-9"/>
          <w:w w:val="105"/>
          <w:sz w:val="12"/>
        </w:rPr>
        <w:t>1972; </w:t>
      </w:r>
      <w:r>
        <w:rPr>
          <w:w w:val="105"/>
          <w:sz w:val="12"/>
        </w:rPr>
        <w:t>Manpower from </w:t>
      </w:r>
      <w:r>
        <w:rPr>
          <w:spacing w:val="-13"/>
          <w:w w:val="105"/>
          <w:sz w:val="12"/>
        </w:rPr>
        <w:t>1981 </w:t>
      </w:r>
      <w:r>
        <w:rPr>
          <w:w w:val="105"/>
          <w:sz w:val="12"/>
        </w:rPr>
        <w:t>(whole-economy) or </w:t>
      </w:r>
      <w:r>
        <w:rPr>
          <w:spacing w:val="-12"/>
          <w:w w:val="105"/>
          <w:sz w:val="12"/>
        </w:rPr>
        <w:t>1988 </w:t>
      </w:r>
      <w:r>
        <w:rPr>
          <w:w w:val="105"/>
          <w:sz w:val="12"/>
        </w:rPr>
        <w:t>(sectoral); BCC from </w:t>
      </w:r>
      <w:r>
        <w:rPr>
          <w:spacing w:val="-9"/>
          <w:w w:val="105"/>
          <w:sz w:val="12"/>
        </w:rPr>
        <w:t>1989; </w:t>
      </w:r>
      <w:r>
        <w:rPr>
          <w:w w:val="105"/>
          <w:sz w:val="12"/>
        </w:rPr>
        <w:t>CBI/Deloitte &amp; Touche from </w:t>
      </w:r>
      <w:r>
        <w:rPr>
          <w:spacing w:val="-11"/>
          <w:w w:val="105"/>
          <w:sz w:val="12"/>
        </w:rPr>
        <w:t>1998 </w:t>
      </w:r>
      <w:r>
        <w:rPr>
          <w:w w:val="105"/>
          <w:sz w:val="12"/>
        </w:rPr>
        <w:t>Q4.</w:t>
      </w:r>
    </w:p>
    <w:p>
      <w:pPr>
        <w:pStyle w:val="ListParagraph"/>
        <w:numPr>
          <w:ilvl w:val="0"/>
          <w:numId w:val="21"/>
        </w:numPr>
        <w:tabs>
          <w:tab w:pos="415" w:val="left" w:leader="none"/>
        </w:tabs>
        <w:spacing w:line="208" w:lineRule="auto" w:before="0" w:after="0"/>
        <w:ind w:left="414" w:right="245" w:hanging="240"/>
        <w:jc w:val="left"/>
        <w:rPr>
          <w:sz w:val="12"/>
        </w:rPr>
      </w:pPr>
      <w:r>
        <w:rPr>
          <w:w w:val="105"/>
          <w:sz w:val="12"/>
        </w:rPr>
        <w:t>Unweighted average of consumer services, and business and professional services.</w:t>
      </w:r>
    </w:p>
    <w:p>
      <w:pPr>
        <w:pStyle w:val="BodyText"/>
        <w:spacing w:line="292" w:lineRule="auto" w:before="106"/>
        <w:ind w:left="174" w:right="90"/>
      </w:pPr>
      <w:r>
        <w:rPr/>
        <w:br w:type="column"/>
      </w:r>
      <w:r>
        <w:rPr>
          <w:w w:val="110"/>
        </w:rPr>
        <w:t>that the demand for labour in the service sector remains robust (see </w:t>
      </w:r>
      <w:r>
        <w:rPr>
          <w:spacing w:val="-5"/>
          <w:w w:val="110"/>
        </w:rPr>
        <w:t>Table </w:t>
      </w:r>
      <w:r>
        <w:rPr>
          <w:w w:val="110"/>
        </w:rPr>
        <w:t>3.A). Indeed, the Manpower and BCC </w:t>
      </w:r>
      <w:r>
        <w:rPr>
          <w:spacing w:val="-3"/>
          <w:w w:val="110"/>
        </w:rPr>
        <w:t>surveys </w:t>
      </w:r>
      <w:r>
        <w:rPr>
          <w:w w:val="110"/>
        </w:rPr>
        <w:t>of service sector recruitment intentions are at their highest </w:t>
      </w:r>
      <w:r>
        <w:rPr>
          <w:spacing w:val="-3"/>
          <w:w w:val="110"/>
        </w:rPr>
        <w:t>levels </w:t>
      </w:r>
      <w:r>
        <w:rPr>
          <w:w w:val="110"/>
        </w:rPr>
        <w:t>since the </w:t>
      </w:r>
      <w:r>
        <w:rPr>
          <w:spacing w:val="-3"/>
          <w:w w:val="110"/>
        </w:rPr>
        <w:t>late </w:t>
      </w:r>
      <w:r>
        <w:rPr>
          <w:spacing w:val="-12"/>
          <w:w w:val="110"/>
        </w:rPr>
        <w:t>1980s, </w:t>
      </w:r>
      <w:r>
        <w:rPr>
          <w:w w:val="110"/>
        </w:rPr>
        <w:t>although the </w:t>
      </w:r>
      <w:r>
        <w:rPr>
          <w:spacing w:val="-3"/>
          <w:w w:val="110"/>
        </w:rPr>
        <w:t>latest </w:t>
      </w:r>
      <w:r>
        <w:rPr>
          <w:w w:val="110"/>
        </w:rPr>
        <w:t>CBI/Deloitte &amp; </w:t>
      </w:r>
      <w:r>
        <w:rPr>
          <w:spacing w:val="-4"/>
          <w:w w:val="110"/>
        </w:rPr>
        <w:t>Touche </w:t>
      </w:r>
      <w:r>
        <w:rPr>
          <w:spacing w:val="-3"/>
          <w:w w:val="110"/>
        </w:rPr>
        <w:t>survey </w:t>
      </w:r>
      <w:r>
        <w:rPr>
          <w:w w:val="110"/>
        </w:rPr>
        <w:t>noted some easing in employment</w:t>
      </w:r>
      <w:r>
        <w:rPr>
          <w:spacing w:val="-24"/>
          <w:w w:val="110"/>
        </w:rPr>
        <w:t> </w:t>
      </w:r>
      <w:r>
        <w:rPr>
          <w:w w:val="110"/>
        </w:rPr>
        <w:t>plans</w:t>
      </w:r>
      <w:r>
        <w:rPr>
          <w:spacing w:val="-24"/>
          <w:w w:val="110"/>
        </w:rPr>
        <w:t> </w:t>
      </w:r>
      <w:r>
        <w:rPr>
          <w:w w:val="110"/>
        </w:rPr>
        <w:t>particularly</w:t>
      </w:r>
      <w:r>
        <w:rPr>
          <w:spacing w:val="-24"/>
          <w:w w:val="110"/>
        </w:rPr>
        <w:t> </w:t>
      </w:r>
      <w:r>
        <w:rPr>
          <w:w w:val="110"/>
        </w:rPr>
        <w:t>in</w:t>
      </w:r>
      <w:r>
        <w:rPr>
          <w:spacing w:val="-24"/>
          <w:w w:val="110"/>
        </w:rPr>
        <w:t> </w:t>
      </w:r>
      <w:r>
        <w:rPr>
          <w:w w:val="110"/>
        </w:rPr>
        <w:t>the</w:t>
      </w:r>
      <w:r>
        <w:rPr>
          <w:spacing w:val="-24"/>
          <w:w w:val="110"/>
        </w:rPr>
        <w:t> </w:t>
      </w:r>
      <w:r>
        <w:rPr>
          <w:w w:val="110"/>
        </w:rPr>
        <w:t>consumer</w:t>
      </w:r>
      <w:r>
        <w:rPr>
          <w:spacing w:val="-24"/>
          <w:w w:val="110"/>
        </w:rPr>
        <w:t> </w:t>
      </w:r>
      <w:r>
        <w:rPr>
          <w:w w:val="110"/>
        </w:rPr>
        <w:t>services</w:t>
      </w:r>
      <w:r>
        <w:rPr>
          <w:spacing w:val="-24"/>
          <w:w w:val="110"/>
        </w:rPr>
        <w:t> </w:t>
      </w:r>
      <w:r>
        <w:rPr>
          <w:spacing w:val="-4"/>
          <w:w w:val="110"/>
        </w:rPr>
        <w:t>sector. However, </w:t>
      </w:r>
      <w:r>
        <w:rPr>
          <w:w w:val="110"/>
        </w:rPr>
        <w:t>as </w:t>
      </w:r>
      <w:r>
        <w:rPr>
          <w:spacing w:val="-5"/>
          <w:w w:val="110"/>
        </w:rPr>
        <w:t>Table </w:t>
      </w:r>
      <w:r>
        <w:rPr>
          <w:w w:val="110"/>
        </w:rPr>
        <w:t>3.A shows, recent </w:t>
      </w:r>
      <w:r>
        <w:rPr>
          <w:spacing w:val="-3"/>
          <w:w w:val="110"/>
        </w:rPr>
        <w:t>surveys have </w:t>
      </w:r>
      <w:r>
        <w:rPr>
          <w:w w:val="110"/>
        </w:rPr>
        <w:t>generally reported</w:t>
      </w:r>
      <w:r>
        <w:rPr>
          <w:spacing w:val="-20"/>
          <w:w w:val="110"/>
        </w:rPr>
        <w:t> </w:t>
      </w:r>
      <w:r>
        <w:rPr>
          <w:w w:val="110"/>
        </w:rPr>
        <w:t>a</w:t>
      </w:r>
      <w:r>
        <w:rPr>
          <w:spacing w:val="-19"/>
          <w:w w:val="110"/>
        </w:rPr>
        <w:t> </w:t>
      </w:r>
      <w:r>
        <w:rPr>
          <w:w w:val="110"/>
        </w:rPr>
        <w:t>slight</w:t>
      </w:r>
      <w:r>
        <w:rPr>
          <w:spacing w:val="-20"/>
          <w:w w:val="110"/>
        </w:rPr>
        <w:t> </w:t>
      </w:r>
      <w:r>
        <w:rPr>
          <w:w w:val="110"/>
        </w:rPr>
        <w:t>weakening</w:t>
      </w:r>
      <w:r>
        <w:rPr>
          <w:spacing w:val="-19"/>
          <w:w w:val="110"/>
        </w:rPr>
        <w:t> </w:t>
      </w:r>
      <w:r>
        <w:rPr>
          <w:w w:val="110"/>
        </w:rPr>
        <w:t>in</w:t>
      </w:r>
      <w:r>
        <w:rPr>
          <w:spacing w:val="-20"/>
          <w:w w:val="110"/>
        </w:rPr>
        <w:t> </w:t>
      </w:r>
      <w:r>
        <w:rPr>
          <w:w w:val="110"/>
        </w:rPr>
        <w:t>employment</w:t>
      </w:r>
      <w:r>
        <w:rPr>
          <w:spacing w:val="-19"/>
          <w:w w:val="110"/>
        </w:rPr>
        <w:t> </w:t>
      </w:r>
      <w:r>
        <w:rPr>
          <w:w w:val="110"/>
        </w:rPr>
        <w:t>intentions</w:t>
      </w:r>
      <w:r>
        <w:rPr>
          <w:spacing w:val="-20"/>
          <w:w w:val="110"/>
        </w:rPr>
        <w:t> </w:t>
      </w:r>
      <w:r>
        <w:rPr>
          <w:w w:val="110"/>
        </w:rPr>
        <w:t>among manufacturing</w:t>
      </w:r>
      <w:r>
        <w:rPr>
          <w:spacing w:val="-7"/>
          <w:w w:val="110"/>
        </w:rPr>
        <w:t> </w:t>
      </w:r>
      <w:r>
        <w:rPr>
          <w:w w:val="110"/>
        </w:rPr>
        <w:t>firms.</w:t>
      </w:r>
    </w:p>
    <w:p>
      <w:pPr>
        <w:spacing w:after="0" w:line="292" w:lineRule="auto"/>
        <w:sectPr>
          <w:type w:val="continuous"/>
          <w:pgSz w:w="11900" w:h="16840"/>
          <w:pgMar w:top="1260" w:bottom="280" w:left="640" w:right="640"/>
          <w:cols w:num="2" w:equalWidth="0">
            <w:col w:w="4382" w:space="550"/>
            <w:col w:w="5688"/>
          </w:cols>
        </w:sectPr>
      </w:pPr>
    </w:p>
    <w:p>
      <w:pPr>
        <w:pStyle w:val="BodyText"/>
        <w:spacing w:before="9"/>
        <w:rPr>
          <w:sz w:val="23"/>
        </w:rPr>
      </w:pPr>
    </w:p>
    <w:p>
      <w:pPr>
        <w:spacing w:after="0"/>
        <w:rPr>
          <w:sz w:val="23"/>
        </w:rPr>
        <w:sectPr>
          <w:type w:val="continuous"/>
          <w:pgSz w:w="11900" w:h="16840"/>
          <w:pgMar w:top="1260" w:bottom="280" w:left="640" w:right="640"/>
        </w:sectPr>
      </w:pPr>
    </w:p>
    <w:p>
      <w:pPr>
        <w:pStyle w:val="Heading6"/>
        <w:spacing w:line="247" w:lineRule="auto" w:before="148"/>
        <w:ind w:left="189" w:right="19"/>
      </w:pPr>
      <w:r>
        <w:rPr>
          <w:color w:val="89C6DC"/>
        </w:rPr>
        <w:t>Chart 3.5 </w:t>
      </w:r>
      <w:r>
        <w:rPr>
          <w:color w:val="89C6DC"/>
          <w:w w:val="90"/>
        </w:rPr>
        <w:t>Unemployment rates</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3"/>
        <w:rPr>
          <w:rFonts w:ascii="Trebuchet MS"/>
          <w:b/>
        </w:rPr>
      </w:pPr>
      <w:r>
        <w:rPr/>
        <w:pict>
          <v:shape style="position:absolute;margin-left:42.937pt;margin-top:14.005001pt;width:4.350pt;height:.1pt;mso-position-horizontal-relative:page;mso-position-vertical-relative:paragraph;z-index:-15321600;mso-wrap-distance-left:0;mso-wrap-distance-right:0" coordorigin="859,280" coordsize="87,0" path="m859,280l945,280e" filled="false" stroked="true" strokeweight=".5pt" strokecolor="#000000">
            <v:path arrowok="t"/>
            <v:stroke dashstyle="solid"/>
            <w10:wrap type="topAndBottom"/>
          </v:shape>
        </w:pic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10"/>
        <w:rPr>
          <w:rFonts w:ascii="Trebuchet MS"/>
          <w:b/>
          <w:sz w:val="11"/>
        </w:rPr>
      </w:pPr>
    </w:p>
    <w:p>
      <w:pPr>
        <w:spacing w:line="116" w:lineRule="exact" w:before="1"/>
        <w:ind w:left="189" w:right="0" w:firstLine="0"/>
        <w:jc w:val="left"/>
        <w:rPr>
          <w:sz w:val="12"/>
        </w:rPr>
      </w:pPr>
      <w:r>
        <w:rPr>
          <w:w w:val="110"/>
          <w:sz w:val="12"/>
        </w:rPr>
        <w:t>Per cent</w:t>
      </w:r>
    </w:p>
    <w:p>
      <w:pPr>
        <w:spacing w:line="116" w:lineRule="exact" w:before="0"/>
        <w:ind w:left="654" w:right="0" w:firstLine="0"/>
        <w:jc w:val="left"/>
        <w:rPr>
          <w:sz w:val="12"/>
        </w:rPr>
      </w:pPr>
      <w:r>
        <w:rPr/>
        <w:pict>
          <v:group style="position:absolute;margin-left:42.937pt;margin-top:2.481644pt;width:151.6pt;height:121.75pt;mso-position-horizontal-relative:page;mso-position-vertical-relative:paragraph;z-index:16143872" coordorigin="859,50" coordsize="3032,2435">
            <v:shape style="position:absolute;left:1058;top:82;width:2810;height:1913" coordorigin="1058,82" coordsize="2810,1913" path="m1058,82l1231,252,1329,253,1379,254,1398,254,1401,253,1428,274,1487,322,1546,370,1573,392,1746,982,1918,1402,2081,1525,2253,1092,2426,657,2436,687,2458,657,2468,625,2478,627,2478,626,2478,625,2501,595,2511,547,2523,517,2543,455,2556,425,2566,455,2588,457,2588,456,2588,455,2598,487,2608,517,2631,520,2631,518,2631,517,2641,547,2651,550,2651,548,2651,547,2673,550,2673,548,2673,547,2683,550,2683,548,2683,547,2696,550,2696,548,2696,547,2716,550,2716,548,2718,555,2722,571,2726,587,2728,595,2738,625,2748,687,2771,690,2771,688,2771,687,2781,720,2791,750,2813,752,2813,751,2815,758,2818,773,2822,790,2823,797,2836,827,2856,890,2868,920,2878,952,2898,955,2898,953,2898,952,2911,955,2911,953,2911,952,2921,955,2921,953,2921,952,2943,982,2953,997,2963,1000,2963,998,2963,997,2986,1000,2986,998,2986,997,2996,1000,2996,998,2996,997,3008,1030,3028,1032,3028,1031,3030,1040,3034,1061,3039,1082,3041,1092,3051,1095,3051,1093,3051,1092,3071,1095,3071,1093,3071,1092,3083,1122,3093,1125,3093,1123,3093,1122,3116,1125,3116,1123,3116,1122,3126,1125,3126,1123,3126,1122,3136,1152,3158,1185,3168,1187,3168,1186,3168,1185,3181,1187,3181,1186,3181,1185,3201,1200,3211,1232,3223,1292,3233,1355,3256,1402,3266,1432,3276,1435,3276,1433,3276,1432,3298,1435,3298,1433,3298,1432,3308,1402,3321,1465,3341,1557,3351,1587,3363,1605,3383,1607,3383,1606,3385,1614,3389,1635,3394,1655,3396,1665,3406,1667,3406,1666,3406,1665,3428,1667,3428,1666,3428,1665,3438,1697,3448,1700,3448,1698,3448,1697,3471,1700,3471,1698,3471,1697,3481,1700,3481,1698,3481,1697,3493,1700,3493,1698,3493,1697,3513,1700,3513,1698,3513,1697,3523,1700,3523,1698,3523,1697,3536,1727,3556,1730,3556,1728,3556,1727,3568,1697,3578,1700,3578,1698,3578,1697,3588,1727,3611,1730,3611,1728,3611,1727,3621,1760,3633,1790,3653,1805,3663,1807,3663,1806,3663,1805,3676,1807,3676,1806,3676,1805,3696,1807,3696,1806,3696,1805,3708,1807,3708,1806,3708,1805,3718,1807,3718,1806,3718,1805,3741,1807,3741,1806,3741,1805,3751,1837,3761,1840,3761,1838,3761,1837,3783,1867,3793,1897,3803,1930,3826,1992,3836,1995,3836,1993,3836,1992,3838,1960,3837,1960,3836,1960,3848,1930,3868,1992e" filled="false" stroked="true" strokeweight="1pt" strokecolor="#0099d9">
              <v:path arrowok="t"/>
              <v:stroke dashstyle="solid"/>
            </v:shape>
            <v:shape style="position:absolute;left:1003;top:347;width:2878;height:2128" coordorigin="1003,347" coordsize="2878,2128" path="m3881,2475l3868,2472,3868,2473,3868,2475,3848,2472,3848,2473,3848,2475,3836,2472,3838,2475,3837,2473,3836,2472,3826,2442,3803,2427,3803,2428,3803,2430,3793,2427,3793,2428,3793,2430,3783,2427,3761,2395,3751,2365,3751,2366,3751,2367,3741,2365,3741,2366,3741,2367,3718,2365,3708,2332,3708,2333,3708,2335,3696,2332,3676,2302,3676,2303,3676,2305,3663,2302,3663,2303,3663,2305,3653,2302,3633,2270,3621,2240,3621,2241,3621,2242,3611,2240,3588,2225,3588,2226,3588,2227,3578,2225,3578,2226,3578,2227,3568,2225,3556,2192,3556,2193,3556,2195,3536,2192,3536,2193,3536,2195,3523,2192,3523,2193,3523,2195,3513,2192,3513,2193,3513,2195,3493,2192,3493,2193,3493,2195,3481,2192,3471,2162,3471,2163,3471,2165,3448,2162,3448,2163,3448,2165,3438,2162,3438,2163,3438,2165,3428,2162,3406,2132,3396,2100,3396,2101,3396,2102,3383,2100,3363,2070,3351,2037,3341,2007,3321,1992,3308,1960,3298,1930,3276,1897,3266,1837,3256,1805,3233,1760,3223,1697,3211,1635,3201,1605,3181,1525,3168,1465,3158,1432,3136,1402,3126,1387,3116,1355,3116,1356,3116,1357,3093,1355,3083,1325,3071,1292,3051,1325,3041,1292,3028,1262,3028,1263,3028,1265,3008,1262,3008,1263,3008,1265,2996,1262,2986,1232,2986,1233,2986,1235,2963,1232,2953,1200,2953,1201,2953,1202,2943,1200,2921,1185,2921,1186,2921,1187,2911,1185,2898,1152,2878,1122,2868,1030,2856,997,2836,982,2823,920,2813,890,2791,860,2781,827,2771,797,2748,780,2742,745,2739,727,2738,721,2738,721,2738,722,2728,720,2716,687,2716,688,2716,690,2696,687,2683,657,2673,625,2651,595,2641,565,2641,566,2641,567,2631,565,2608,547,2608,548,2608,550,2598,547,2598,548,2598,550,2588,547,2588,548,2588,550,2566,547,2556,517,2556,518,2556,520,2543,517,2543,518,2543,520,2523,517,2511,595,2501,625,2478,657,2468,687,2458,750,2436,780,2436,781,2436,782,2426,780,2416,797,2393,827,2383,860,2371,920,2361,952,2338,982,2328,1030,2318,1060,2296,1092,2286,1152,2276,1200,2253,1292,2243,1355,2231,1402,2211,1525,2198,1635,2188,1665,2166,1727,2156,1790,2146,1837,2123,1867,2113,1897,2103,1930,2081,1960,2071,1930,2071,1931,2071,1932,2058,1930,2038,1897,2038,1898,2038,1900,2026,1897,2016,1867,2016,1868,2016,1870,1996,1867,1983,1837,1973,1805,1973,1806,1973,1807,1963,1805,1950,1779,1943,1765,1941,1761,1941,1761,1941,1762,1931,1760,1918,1727,1898,1697,1886,1635,1876,1587,1853,1525,1843,1495,1833,1402,1811,1387,1805,1351,1802,1333,1801,1326,1801,1326,1801,1327,1791,1325,1768,1262,1758,1200,1746,1185,1726,1122,1713,1092,1703,1030,1683,997,1671,920,1661,890,1638,827,1628,780,1618,750,1596,687,1586,625,1573,595,1553,547,1543,517,1531,487,1521,425,1498,392,1488,362,1488,363,1488,365,1478,362,1456,347,1456,348,1456,350,1446,347,1446,348,1446,350,1433,347,1433,348,1433,350,1413,347,1413,348,1413,350,1401,347,1401,348,1401,350,1391,347,1391,348,1391,350,1371,347,1358,362,1358,363,1358,365,1348,362,1348,363,1348,365,1326,362,1316,392,1316,393,1316,395,1306,392,1306,393,1306,395,1283,392,1273,425,1273,426,1273,427,1261,425,1261,426,1261,427,1241,425,1231,392,1218,425,1218,426,1218,427,1198,425,1198,426,1198,427,1186,425,1176,455,1166,392,1153,411,1146,421,1143,425,1143,426,1143,427,1133,425,1133,426,1133,427,1121,425,1109,461,1103,479,1101,487,1101,488,1101,490,1091,487,1078,517,1078,518,1078,520,1058,517,1058,518,1058,520,1046,517,1046,518,1046,520,1036,517,1036,518,1036,520,1013,517,1003,547e" filled="false" stroked="true" strokeweight="1pt" strokecolor="#972140">
              <v:path arrowok="t"/>
              <v:stroke dashstyle="solid"/>
            </v:shape>
            <v:shape style="position:absolute;left:858;top:54;width:87;height:2307" coordorigin="859,55" coordsize="87,2307" path="m859,343l945,343m859,631l945,631m859,920l945,920m859,1208l945,1208m859,1496l945,1496m859,1784l945,1784m859,2073l945,2073m859,2361l945,2361m859,55l945,55e" filled="false" stroked="true" strokeweight=".5pt" strokecolor="#000000">
              <v:path arrowok="t"/>
              <v:stroke dashstyle="solid"/>
            </v:shape>
            <v:shape style="position:absolute;left:1613;top:276;width:370;height:121" type="#_x0000_t202" filled="false" stroked="false">
              <v:textbox inset="0,0,0,0">
                <w:txbxContent>
                  <w:p>
                    <w:pPr>
                      <w:spacing w:line="115" w:lineRule="exact" w:before="0"/>
                      <w:ind w:left="0" w:right="0" w:firstLine="0"/>
                      <w:jc w:val="left"/>
                      <w:rPr>
                        <w:sz w:val="12"/>
                      </w:rPr>
                    </w:pPr>
                    <w:r>
                      <w:rPr>
                        <w:sz w:val="12"/>
                      </w:rPr>
                      <w:t>LFS (a)</w:t>
                    </w:r>
                  </w:p>
                </w:txbxContent>
              </v:textbox>
              <w10:wrap type="none"/>
            </v:shape>
            <v:shape style="position:absolute;left:1751;top:2010;width:818;height:121" type="#_x0000_t202" filled="false" stroked="false">
              <v:textbox inset="0,0,0,0">
                <w:txbxContent>
                  <w:p>
                    <w:pPr>
                      <w:spacing w:line="115" w:lineRule="exact" w:before="0"/>
                      <w:ind w:left="0" w:right="0" w:firstLine="0"/>
                      <w:jc w:val="left"/>
                      <w:rPr>
                        <w:sz w:val="12"/>
                      </w:rPr>
                    </w:pPr>
                    <w:r>
                      <w:rPr>
                        <w:w w:val="110"/>
                        <w:sz w:val="12"/>
                      </w:rPr>
                      <w:t>Claimant count</w:t>
                    </w:r>
                  </w:p>
                </w:txbxContent>
              </v:textbox>
              <w10:wrap type="none"/>
            </v:shape>
            <w10:wrap type="none"/>
          </v:group>
        </w:pict>
      </w:r>
      <w:r>
        <w:rPr/>
        <w:pict>
          <v:line style="position:absolute;mso-position-horizontal-relative:page;mso-position-vertical-relative:paragraph;z-index:16149504" from="198.311005pt,2.731644pt" to="202.644005pt,2.731644pt" stroked="true" strokeweight=".5pt" strokecolor="#000000">
            <v:stroke dashstyle="solid"/>
            <w10:wrap type="none"/>
          </v:line>
        </w:pict>
      </w:r>
      <w:r>
        <w:rPr>
          <w:w w:val="120"/>
          <w:sz w:val="12"/>
        </w:rPr>
        <w:t>12</w:t>
      </w:r>
    </w:p>
    <w:p>
      <w:pPr>
        <w:pStyle w:val="BodyText"/>
        <w:spacing w:before="7"/>
        <w:rPr>
          <w:sz w:val="13"/>
        </w:rPr>
      </w:pPr>
    </w:p>
    <w:p>
      <w:pPr>
        <w:spacing w:before="0"/>
        <w:ind w:left="654" w:right="0" w:firstLine="0"/>
        <w:jc w:val="left"/>
        <w:rPr>
          <w:sz w:val="12"/>
        </w:rPr>
      </w:pPr>
      <w:r>
        <w:rPr/>
        <w:pict>
          <v:line style="position:absolute;mso-position-horizontal-relative:page;mso-position-vertical-relative:paragraph;z-index:16144896" from="198.311005pt,3.519333pt" to="202.644005pt,3.519333pt" stroked="true" strokeweight=".5pt" strokecolor="#000000">
            <v:stroke dashstyle="solid"/>
            <w10:wrap type="none"/>
          </v:line>
        </w:pict>
      </w:r>
      <w:r>
        <w:rPr>
          <w:w w:val="120"/>
          <w:sz w:val="12"/>
        </w:rPr>
        <w:t>11</w:t>
      </w:r>
    </w:p>
    <w:p>
      <w:pPr>
        <w:pStyle w:val="BodyText"/>
        <w:spacing w:before="4"/>
        <w:rPr>
          <w:sz w:val="12"/>
        </w:rPr>
      </w:pPr>
    </w:p>
    <w:p>
      <w:pPr>
        <w:spacing w:before="0"/>
        <w:ind w:left="654" w:right="0" w:firstLine="0"/>
        <w:jc w:val="left"/>
        <w:rPr>
          <w:sz w:val="12"/>
        </w:rPr>
      </w:pPr>
      <w:r>
        <w:rPr/>
        <w:pict>
          <v:line style="position:absolute;mso-position-horizontal-relative:page;mso-position-vertical-relative:paragraph;z-index:16145408" from="198.311005pt,3.934531pt" to="202.644005pt,3.934531pt" stroked="true" strokeweight=".5pt" strokecolor="#000000">
            <v:stroke dashstyle="solid"/>
            <w10:wrap type="none"/>
          </v:line>
        </w:pict>
      </w:r>
      <w:r>
        <w:rPr>
          <w:w w:val="120"/>
          <w:sz w:val="12"/>
        </w:rPr>
        <w:t>10</w:t>
      </w:r>
    </w:p>
    <w:p>
      <w:pPr>
        <w:pStyle w:val="BodyText"/>
        <w:spacing w:before="7"/>
        <w:rPr>
          <w:sz w:val="13"/>
        </w:rPr>
      </w:pPr>
    </w:p>
    <w:p>
      <w:pPr>
        <w:spacing w:before="1"/>
        <w:ind w:left="727" w:right="0" w:firstLine="0"/>
        <w:jc w:val="left"/>
        <w:rPr>
          <w:sz w:val="12"/>
        </w:rPr>
      </w:pPr>
      <w:r>
        <w:rPr/>
        <w:pict>
          <v:line style="position:absolute;mso-position-horizontal-relative:page;mso-position-vertical-relative:paragraph;z-index:16145920" from="198.311005pt,3.650256pt" to="202.644005pt,3.650256pt" stroked="true" strokeweight=".5pt" strokecolor="#000000">
            <v:stroke dashstyle="solid"/>
            <w10:wrap type="none"/>
          </v:line>
        </w:pict>
      </w:r>
      <w:r>
        <w:rPr>
          <w:w w:val="121"/>
          <w:sz w:val="12"/>
        </w:rPr>
        <w:t>9</w:t>
      </w:r>
    </w:p>
    <w:p>
      <w:pPr>
        <w:pStyle w:val="BodyText"/>
        <w:spacing w:before="4"/>
        <w:rPr>
          <w:sz w:val="12"/>
        </w:rPr>
      </w:pPr>
    </w:p>
    <w:p>
      <w:pPr>
        <w:spacing w:before="0"/>
        <w:ind w:left="727" w:right="0" w:firstLine="0"/>
        <w:jc w:val="left"/>
        <w:rPr>
          <w:sz w:val="12"/>
        </w:rPr>
      </w:pPr>
      <w:r>
        <w:rPr/>
        <w:pict>
          <v:line style="position:absolute;mso-position-horizontal-relative:page;mso-position-vertical-relative:paragraph;z-index:16146432" from="198.311005pt,4.01647pt" to="202.644005pt,4.01647pt" stroked="true" strokeweight=".5pt" strokecolor="#000000">
            <v:stroke dashstyle="solid"/>
            <w10:wrap type="none"/>
          </v:line>
        </w:pict>
      </w:r>
      <w:r>
        <w:rPr>
          <w:w w:val="121"/>
          <w:sz w:val="12"/>
        </w:rPr>
        <w:t>8</w:t>
      </w:r>
    </w:p>
    <w:p>
      <w:pPr>
        <w:pStyle w:val="BodyText"/>
        <w:spacing w:before="7"/>
        <w:rPr>
          <w:sz w:val="13"/>
        </w:rPr>
      </w:pPr>
    </w:p>
    <w:p>
      <w:pPr>
        <w:spacing w:before="0"/>
        <w:ind w:left="727" w:right="0" w:firstLine="0"/>
        <w:jc w:val="left"/>
        <w:rPr>
          <w:sz w:val="12"/>
        </w:rPr>
      </w:pPr>
      <w:r>
        <w:rPr/>
        <w:pict>
          <v:line style="position:absolute;mso-position-horizontal-relative:page;mso-position-vertical-relative:paragraph;z-index:16146944" from="198.311005pt,3.681668pt" to="202.644005pt,3.681668pt" stroked="true" strokeweight=".5pt" strokecolor="#000000">
            <v:stroke dashstyle="solid"/>
            <w10:wrap type="none"/>
          </v:line>
        </w:pict>
      </w:r>
      <w:r>
        <w:rPr>
          <w:w w:val="121"/>
          <w:sz w:val="12"/>
        </w:rPr>
        <w:t>7</w:t>
      </w:r>
    </w:p>
    <w:p>
      <w:pPr>
        <w:pStyle w:val="BodyText"/>
        <w:spacing w:before="8"/>
        <w:rPr>
          <w:sz w:val="13"/>
        </w:rPr>
      </w:pPr>
    </w:p>
    <w:p>
      <w:pPr>
        <w:spacing w:before="0"/>
        <w:ind w:left="727" w:right="0" w:firstLine="0"/>
        <w:jc w:val="left"/>
        <w:rPr>
          <w:sz w:val="12"/>
        </w:rPr>
      </w:pPr>
      <w:r>
        <w:rPr/>
        <w:pict>
          <v:line style="position:absolute;mso-position-horizontal-relative:page;mso-position-vertical-relative:paragraph;z-index:16147456" from="198.311005pt,3.346867pt" to="202.644005pt,3.346867pt" stroked="true" strokeweight=".5pt" strokecolor="#000000">
            <v:stroke dashstyle="solid"/>
            <w10:wrap type="none"/>
          </v:line>
        </w:pict>
      </w:r>
      <w:r>
        <w:rPr>
          <w:w w:val="121"/>
          <w:sz w:val="12"/>
        </w:rPr>
        <w:t>6</w:t>
      </w:r>
    </w:p>
    <w:p>
      <w:pPr>
        <w:pStyle w:val="BodyText"/>
        <w:spacing w:before="1"/>
        <w:rPr>
          <w:sz w:val="12"/>
        </w:rPr>
      </w:pPr>
    </w:p>
    <w:p>
      <w:pPr>
        <w:spacing w:before="0"/>
        <w:ind w:left="727" w:right="0" w:firstLine="0"/>
        <w:jc w:val="left"/>
        <w:rPr>
          <w:sz w:val="12"/>
        </w:rPr>
      </w:pPr>
      <w:r>
        <w:rPr/>
        <w:pict>
          <v:line style="position:absolute;mso-position-horizontal-relative:page;mso-position-vertical-relative:paragraph;z-index:16147968" from="198.311005pt,3.887867pt" to="202.644005pt,3.887867pt" stroked="true" strokeweight=".5pt" strokecolor="#000000">
            <v:stroke dashstyle="solid"/>
            <w10:wrap type="none"/>
          </v:line>
        </w:pict>
      </w:r>
      <w:r>
        <w:rPr>
          <w:w w:val="121"/>
          <w:sz w:val="12"/>
        </w:rPr>
        <w:t>5</w:t>
      </w:r>
    </w:p>
    <w:p>
      <w:pPr>
        <w:pStyle w:val="BodyText"/>
        <w:spacing w:before="8"/>
        <w:rPr>
          <w:sz w:val="13"/>
        </w:rPr>
      </w:pPr>
    </w:p>
    <w:p>
      <w:pPr>
        <w:spacing w:before="0"/>
        <w:ind w:left="727" w:right="0" w:firstLine="0"/>
        <w:jc w:val="left"/>
        <w:rPr>
          <w:sz w:val="12"/>
        </w:rPr>
      </w:pPr>
      <w:r>
        <w:rPr/>
        <w:pict>
          <v:line style="position:absolute;mso-position-horizontal-relative:page;mso-position-vertical-relative:paragraph;z-index:16148992" from="198.311005pt,3.554065pt" to="202.644005pt,3.554065pt" stroked="true" strokeweight=".5pt" strokecolor="#000000">
            <v:stroke dashstyle="solid"/>
            <w10:wrap type="none"/>
          </v:line>
        </w:pict>
      </w:r>
      <w:r>
        <w:rPr>
          <w:w w:val="121"/>
          <w:sz w:val="12"/>
        </w:rPr>
        <w:t>4</w:t>
      </w:r>
    </w:p>
    <w:p>
      <w:pPr>
        <w:pStyle w:val="BodyText"/>
        <w:spacing w:before="4"/>
        <w:rPr>
          <w:sz w:val="12"/>
        </w:rPr>
      </w:pPr>
    </w:p>
    <w:p>
      <w:pPr>
        <w:spacing w:before="0"/>
        <w:ind w:left="727" w:right="0" w:firstLine="0"/>
        <w:jc w:val="left"/>
        <w:rPr>
          <w:sz w:val="12"/>
        </w:rPr>
      </w:pPr>
      <w:r>
        <w:rPr/>
        <w:pict>
          <v:line style="position:absolute;mso-position-horizontal-relative:page;mso-position-vertical-relative:paragraph;z-index:16148480" from="198.311005pt,3.969263pt" to="202.644005pt,3.969263pt" stroked="true" strokeweight=".5pt" strokecolor="#000000">
            <v:stroke dashstyle="solid"/>
            <w10:wrap type="none"/>
          </v:line>
        </w:pict>
      </w:r>
      <w:r>
        <w:rPr>
          <w:w w:val="121"/>
          <w:sz w:val="12"/>
        </w:rPr>
        <w:t>3</w:t>
      </w:r>
    </w:p>
    <w:p>
      <w:pPr>
        <w:pStyle w:val="BodyText"/>
        <w:spacing w:before="7"/>
        <w:rPr>
          <w:sz w:val="13"/>
        </w:rPr>
      </w:pPr>
    </w:p>
    <w:p>
      <w:pPr>
        <w:spacing w:before="0"/>
        <w:ind w:left="727" w:right="0" w:firstLine="0"/>
        <w:jc w:val="left"/>
        <w:rPr>
          <w:sz w:val="12"/>
        </w:rPr>
      </w:pPr>
      <w:r>
        <w:rPr/>
        <w:pict>
          <v:shape style="position:absolute;margin-left:42.937pt;margin-top:3.376462pt;width:160.9pt;height:7.55pt;mso-position-horizontal-relative:page;mso-position-vertical-relative:paragraph;z-index:16144384" coordorigin="859,68" coordsize="3218,151" path="m859,73l945,73m3966,73l4053,73m861,213l4052,213m4056,68l4056,94,4036,110,4076,124,4036,144,4076,161,4052,171,4052,215m950,68l950,95,930,111,970,125,930,145,970,162,947,172,946,207m1004,151l1004,218m1347,151l1347,218m1683,151l1683,218m2035,151l2035,218m2378,151l2378,218m2722,151l2722,218m3051,151l3051,218m3741,151l3741,218m3396,151l3396,218e" filled="false" stroked="true" strokeweight=".5pt" strokecolor="#000000">
            <v:path arrowok="t"/>
            <v:stroke dashstyle="solid"/>
            <w10:wrap type="none"/>
          </v:shape>
        </w:pict>
      </w:r>
      <w:r>
        <w:rPr>
          <w:w w:val="121"/>
          <w:sz w:val="12"/>
        </w:rPr>
        <w:t>2</w:t>
      </w:r>
    </w:p>
    <w:p>
      <w:pPr>
        <w:spacing w:line="121" w:lineRule="exact" w:before="2"/>
        <w:ind w:left="727" w:right="0" w:firstLine="0"/>
        <w:jc w:val="left"/>
        <w:rPr>
          <w:sz w:val="12"/>
        </w:rPr>
      </w:pPr>
      <w:r>
        <w:rPr>
          <w:w w:val="121"/>
          <w:sz w:val="12"/>
        </w:rPr>
        <w:t>0</w:t>
      </w:r>
    </w:p>
    <w:p>
      <w:pPr>
        <w:pStyle w:val="BodyText"/>
        <w:spacing w:line="292" w:lineRule="auto" w:before="62"/>
        <w:ind w:left="189" w:right="228"/>
      </w:pPr>
      <w:r>
        <w:rPr/>
        <w:br w:type="column"/>
      </w:r>
      <w:r>
        <w:rPr>
          <w:w w:val="110"/>
        </w:rPr>
        <w:t>Unemployment is an important indicator of the balance of labour</w:t>
      </w:r>
      <w:r>
        <w:rPr>
          <w:spacing w:val="-29"/>
          <w:w w:val="110"/>
        </w:rPr>
        <w:t> </w:t>
      </w:r>
      <w:r>
        <w:rPr>
          <w:w w:val="110"/>
        </w:rPr>
        <w:t>demand</w:t>
      </w:r>
      <w:r>
        <w:rPr>
          <w:spacing w:val="-29"/>
          <w:w w:val="110"/>
        </w:rPr>
        <w:t> </w:t>
      </w:r>
      <w:r>
        <w:rPr>
          <w:w w:val="110"/>
        </w:rPr>
        <w:t>relative</w:t>
      </w:r>
      <w:r>
        <w:rPr>
          <w:spacing w:val="-29"/>
          <w:w w:val="110"/>
        </w:rPr>
        <w:t> </w:t>
      </w:r>
      <w:r>
        <w:rPr>
          <w:spacing w:val="-4"/>
          <w:w w:val="110"/>
        </w:rPr>
        <w:t>to</w:t>
      </w:r>
      <w:r>
        <w:rPr>
          <w:spacing w:val="-28"/>
          <w:w w:val="110"/>
        </w:rPr>
        <w:t> </w:t>
      </w:r>
      <w:r>
        <w:rPr>
          <w:w w:val="110"/>
        </w:rPr>
        <w:t>its</w:t>
      </w:r>
      <w:r>
        <w:rPr>
          <w:spacing w:val="-29"/>
          <w:w w:val="110"/>
        </w:rPr>
        <w:t> </w:t>
      </w:r>
      <w:r>
        <w:rPr>
          <w:w w:val="110"/>
        </w:rPr>
        <w:t>effective</w:t>
      </w:r>
      <w:r>
        <w:rPr>
          <w:spacing w:val="-29"/>
          <w:w w:val="110"/>
        </w:rPr>
        <w:t> </w:t>
      </w:r>
      <w:r>
        <w:rPr>
          <w:spacing w:val="-4"/>
          <w:w w:val="110"/>
        </w:rPr>
        <w:t>supply.</w:t>
      </w:r>
      <w:r>
        <w:rPr>
          <w:spacing w:val="-2"/>
          <w:w w:val="110"/>
        </w:rPr>
        <w:t> </w:t>
      </w:r>
      <w:r>
        <w:rPr>
          <w:w w:val="110"/>
        </w:rPr>
        <w:t>Unemployment has</w:t>
      </w:r>
      <w:r>
        <w:rPr>
          <w:spacing w:val="-13"/>
          <w:w w:val="110"/>
        </w:rPr>
        <w:t> </w:t>
      </w:r>
      <w:r>
        <w:rPr>
          <w:w w:val="110"/>
        </w:rPr>
        <w:t>declined</w:t>
      </w:r>
      <w:r>
        <w:rPr>
          <w:spacing w:val="-12"/>
          <w:w w:val="110"/>
        </w:rPr>
        <w:t> </w:t>
      </w:r>
      <w:r>
        <w:rPr>
          <w:w w:val="110"/>
        </w:rPr>
        <w:t>markedly</w:t>
      </w:r>
      <w:r>
        <w:rPr>
          <w:spacing w:val="-12"/>
          <w:w w:val="110"/>
        </w:rPr>
        <w:t> </w:t>
      </w:r>
      <w:r>
        <w:rPr>
          <w:w w:val="110"/>
        </w:rPr>
        <w:t>since</w:t>
      </w:r>
      <w:r>
        <w:rPr>
          <w:spacing w:val="-12"/>
          <w:w w:val="110"/>
        </w:rPr>
        <w:t> </w:t>
      </w:r>
      <w:r>
        <w:rPr>
          <w:spacing w:val="-18"/>
          <w:w w:val="110"/>
        </w:rPr>
        <w:t>1993</w:t>
      </w:r>
      <w:r>
        <w:rPr>
          <w:spacing w:val="-12"/>
          <w:w w:val="110"/>
        </w:rPr>
        <w:t> </w:t>
      </w:r>
      <w:r>
        <w:rPr>
          <w:w w:val="110"/>
        </w:rPr>
        <w:t>but</w:t>
      </w:r>
      <w:r>
        <w:rPr>
          <w:spacing w:val="-12"/>
          <w:w w:val="110"/>
        </w:rPr>
        <w:t> </w:t>
      </w:r>
      <w:r>
        <w:rPr>
          <w:w w:val="110"/>
        </w:rPr>
        <w:t>has</w:t>
      </w:r>
      <w:r>
        <w:rPr>
          <w:spacing w:val="-12"/>
          <w:w w:val="110"/>
        </w:rPr>
        <w:t> </w:t>
      </w:r>
      <w:r>
        <w:rPr>
          <w:w w:val="110"/>
        </w:rPr>
        <w:t>changed</w:t>
      </w:r>
      <w:r>
        <w:rPr>
          <w:spacing w:val="-12"/>
          <w:w w:val="110"/>
        </w:rPr>
        <w:t> </w:t>
      </w:r>
      <w:r>
        <w:rPr>
          <w:w w:val="110"/>
        </w:rPr>
        <w:t>little</w:t>
      </w:r>
      <w:r>
        <w:rPr>
          <w:spacing w:val="-12"/>
          <w:w w:val="110"/>
        </w:rPr>
        <w:t> </w:t>
      </w:r>
      <w:r>
        <w:rPr>
          <w:w w:val="110"/>
        </w:rPr>
        <w:t>since the November </w:t>
      </w:r>
      <w:r>
        <w:rPr>
          <w:i/>
          <w:w w:val="110"/>
        </w:rPr>
        <w:t>Report</w:t>
      </w:r>
      <w:r>
        <w:rPr>
          <w:w w:val="110"/>
        </w:rPr>
        <w:t>. Claimant count unemployment—a measure based on the number of people receiving unemployment benefits—fell </w:t>
      </w:r>
      <w:r>
        <w:rPr>
          <w:spacing w:val="-3"/>
          <w:w w:val="110"/>
        </w:rPr>
        <w:t>by </w:t>
      </w:r>
      <w:r>
        <w:rPr>
          <w:spacing w:val="-6"/>
          <w:w w:val="110"/>
        </w:rPr>
        <w:t>25,900 </w:t>
      </w:r>
      <w:r>
        <w:rPr>
          <w:w w:val="110"/>
        </w:rPr>
        <w:t>in the three months </w:t>
      </w:r>
      <w:r>
        <w:rPr>
          <w:spacing w:val="-4"/>
          <w:w w:val="110"/>
        </w:rPr>
        <w:t>to </w:t>
      </w:r>
      <w:r>
        <w:rPr>
          <w:w w:val="110"/>
        </w:rPr>
        <w:t>November </w:t>
      </w:r>
      <w:r>
        <w:rPr>
          <w:spacing w:val="-4"/>
          <w:w w:val="110"/>
        </w:rPr>
        <w:t>2000, </w:t>
      </w:r>
      <w:r>
        <w:rPr>
          <w:w w:val="110"/>
        </w:rPr>
        <w:t>and </w:t>
      </w:r>
      <w:r>
        <w:rPr>
          <w:spacing w:val="-3"/>
          <w:w w:val="110"/>
        </w:rPr>
        <w:t>by </w:t>
      </w:r>
      <w:r>
        <w:rPr>
          <w:w w:val="110"/>
        </w:rPr>
        <w:t>a further </w:t>
      </w:r>
      <w:r>
        <w:rPr>
          <w:spacing w:val="-3"/>
          <w:w w:val="110"/>
        </w:rPr>
        <w:t>2,600 </w:t>
      </w:r>
      <w:r>
        <w:rPr>
          <w:w w:val="110"/>
        </w:rPr>
        <w:t>in </w:t>
      </w:r>
      <w:r>
        <w:rPr>
          <w:spacing w:val="-2"/>
          <w:w w:val="110"/>
        </w:rPr>
        <w:t>December. </w:t>
      </w:r>
      <w:r>
        <w:rPr>
          <w:w w:val="110"/>
        </w:rPr>
        <w:t>In recent</w:t>
      </w:r>
      <w:r>
        <w:rPr>
          <w:spacing w:val="-20"/>
          <w:w w:val="110"/>
        </w:rPr>
        <w:t> </w:t>
      </w:r>
      <w:r>
        <w:rPr>
          <w:w w:val="110"/>
        </w:rPr>
        <w:t>months,</w:t>
      </w:r>
      <w:r>
        <w:rPr>
          <w:spacing w:val="-20"/>
          <w:w w:val="110"/>
        </w:rPr>
        <w:t> </w:t>
      </w:r>
      <w:r>
        <w:rPr>
          <w:w w:val="110"/>
        </w:rPr>
        <w:t>claimant</w:t>
      </w:r>
      <w:r>
        <w:rPr>
          <w:spacing w:val="-19"/>
          <w:w w:val="110"/>
        </w:rPr>
        <w:t> </w:t>
      </w:r>
      <w:r>
        <w:rPr>
          <w:w w:val="110"/>
        </w:rPr>
        <w:t>count</w:t>
      </w:r>
      <w:r>
        <w:rPr>
          <w:spacing w:val="-20"/>
          <w:w w:val="110"/>
        </w:rPr>
        <w:t> </w:t>
      </w:r>
      <w:r>
        <w:rPr>
          <w:w w:val="110"/>
        </w:rPr>
        <w:t>unemployment</w:t>
      </w:r>
      <w:r>
        <w:rPr>
          <w:spacing w:val="-19"/>
          <w:w w:val="110"/>
        </w:rPr>
        <w:t> </w:t>
      </w:r>
      <w:r>
        <w:rPr>
          <w:w w:val="110"/>
        </w:rPr>
        <w:t>has</w:t>
      </w:r>
      <w:r>
        <w:rPr>
          <w:spacing w:val="-20"/>
          <w:w w:val="110"/>
        </w:rPr>
        <w:t> </w:t>
      </w:r>
      <w:r>
        <w:rPr>
          <w:w w:val="110"/>
        </w:rPr>
        <w:t>fallen</w:t>
      </w:r>
      <w:r>
        <w:rPr>
          <w:spacing w:val="-19"/>
          <w:w w:val="110"/>
        </w:rPr>
        <w:t> </w:t>
      </w:r>
      <w:r>
        <w:rPr>
          <w:w w:val="110"/>
        </w:rPr>
        <w:t>less rapidly than earlier in </w:t>
      </w:r>
      <w:r>
        <w:rPr>
          <w:spacing w:val="-4"/>
          <w:w w:val="110"/>
        </w:rPr>
        <w:t>2000, </w:t>
      </w:r>
      <w:r>
        <w:rPr>
          <w:w w:val="110"/>
        </w:rPr>
        <w:t>mainly due </w:t>
      </w:r>
      <w:r>
        <w:rPr>
          <w:spacing w:val="-4"/>
          <w:w w:val="110"/>
        </w:rPr>
        <w:t>to </w:t>
      </w:r>
      <w:r>
        <w:rPr>
          <w:w w:val="110"/>
        </w:rPr>
        <w:t>a decline in the number of people leaving the claimant count, rather than </w:t>
      </w:r>
      <w:r>
        <w:rPr>
          <w:spacing w:val="-3"/>
          <w:w w:val="110"/>
        </w:rPr>
        <w:t>by </w:t>
      </w:r>
      <w:r>
        <w:rPr>
          <w:w w:val="110"/>
        </w:rPr>
        <w:t>an increase in the number of people joining it. In the past, it has often been higher numbers flowing into unemployment, rather than a fall in those leaving it, that </w:t>
      </w:r>
      <w:r>
        <w:rPr>
          <w:spacing w:val="-3"/>
          <w:w w:val="110"/>
        </w:rPr>
        <w:t>have </w:t>
      </w:r>
      <w:r>
        <w:rPr>
          <w:w w:val="110"/>
        </w:rPr>
        <w:t>accompanied sustained rises in unemployment. The claimant</w:t>
      </w:r>
      <w:r>
        <w:rPr>
          <w:spacing w:val="-21"/>
          <w:w w:val="110"/>
        </w:rPr>
        <w:t> </w:t>
      </w:r>
      <w:r>
        <w:rPr>
          <w:w w:val="110"/>
        </w:rPr>
        <w:t>count</w:t>
      </w:r>
    </w:p>
    <w:p>
      <w:pPr>
        <w:spacing w:after="0" w:line="292" w:lineRule="auto"/>
        <w:sectPr>
          <w:type w:val="continuous"/>
          <w:pgSz w:w="11900" w:h="16840"/>
          <w:pgMar w:top="1260" w:bottom="280" w:left="640" w:right="640"/>
          <w:cols w:num="3" w:equalWidth="0">
            <w:col w:w="1986" w:space="805"/>
            <w:col w:w="841" w:space="1284"/>
            <w:col w:w="5704"/>
          </w:cols>
        </w:sectPr>
      </w:pPr>
    </w:p>
    <w:p>
      <w:pPr>
        <w:spacing w:line="63" w:lineRule="exact" w:before="0"/>
        <w:ind w:left="226" w:right="0" w:firstLine="0"/>
        <w:jc w:val="left"/>
        <w:rPr>
          <w:sz w:val="12"/>
        </w:rPr>
      </w:pPr>
      <w:r>
        <w:rPr>
          <w:w w:val="120"/>
          <w:sz w:val="12"/>
        </w:rPr>
        <w:t>1984 86 88 90 92 94 96 98 2000</w:t>
      </w:r>
    </w:p>
    <w:p>
      <w:pPr>
        <w:pStyle w:val="BodyText"/>
        <w:spacing w:before="1"/>
        <w:rPr>
          <w:sz w:val="14"/>
        </w:rPr>
      </w:pPr>
    </w:p>
    <w:p>
      <w:pPr>
        <w:spacing w:line="208" w:lineRule="auto" w:before="0"/>
        <w:ind w:left="427" w:right="0" w:hanging="240"/>
        <w:jc w:val="left"/>
        <w:rPr>
          <w:sz w:val="12"/>
        </w:rPr>
      </w:pPr>
      <w:r>
        <w:rPr>
          <w:w w:val="105"/>
          <w:sz w:val="12"/>
        </w:rPr>
        <w:t>(a) Backward-looking three-month moving averages. Pre-1993 figures based upon yearly observations.</w:t>
      </w:r>
    </w:p>
    <w:p>
      <w:pPr>
        <w:pStyle w:val="BodyText"/>
        <w:spacing w:line="292" w:lineRule="auto"/>
        <w:ind w:left="187" w:right="161"/>
      </w:pPr>
      <w:r>
        <w:rPr/>
        <w:br w:type="column"/>
      </w:r>
      <w:r>
        <w:rPr>
          <w:w w:val="110"/>
        </w:rPr>
        <w:t>unemployment</w:t>
      </w:r>
      <w:r>
        <w:rPr>
          <w:spacing w:val="-17"/>
          <w:w w:val="110"/>
        </w:rPr>
        <w:t> </w:t>
      </w:r>
      <w:r>
        <w:rPr>
          <w:spacing w:val="-4"/>
          <w:w w:val="110"/>
        </w:rPr>
        <w:t>rate</w:t>
      </w:r>
      <w:r>
        <w:rPr>
          <w:spacing w:val="-17"/>
          <w:w w:val="110"/>
        </w:rPr>
        <w:t> </w:t>
      </w:r>
      <w:r>
        <w:rPr>
          <w:w w:val="110"/>
        </w:rPr>
        <w:t>remained</w:t>
      </w:r>
      <w:r>
        <w:rPr>
          <w:spacing w:val="-16"/>
          <w:w w:val="110"/>
        </w:rPr>
        <w:t> </w:t>
      </w:r>
      <w:r>
        <w:rPr>
          <w:w w:val="110"/>
        </w:rPr>
        <w:t>at</w:t>
      </w:r>
      <w:r>
        <w:rPr>
          <w:spacing w:val="-17"/>
          <w:w w:val="110"/>
        </w:rPr>
        <w:t> </w:t>
      </w:r>
      <w:r>
        <w:rPr>
          <w:w w:val="110"/>
        </w:rPr>
        <w:t>3.6%,</w:t>
      </w:r>
      <w:r>
        <w:rPr>
          <w:spacing w:val="-16"/>
          <w:w w:val="110"/>
        </w:rPr>
        <w:t> </w:t>
      </w:r>
      <w:r>
        <w:rPr>
          <w:w w:val="110"/>
        </w:rPr>
        <w:t>the</w:t>
      </w:r>
      <w:r>
        <w:rPr>
          <w:spacing w:val="-17"/>
          <w:w w:val="110"/>
        </w:rPr>
        <w:t> </w:t>
      </w:r>
      <w:r>
        <w:rPr>
          <w:spacing w:val="-3"/>
          <w:w w:val="110"/>
        </w:rPr>
        <w:t>lowest</w:t>
      </w:r>
      <w:r>
        <w:rPr>
          <w:spacing w:val="-16"/>
          <w:w w:val="110"/>
        </w:rPr>
        <w:t> </w:t>
      </w:r>
      <w:r>
        <w:rPr>
          <w:spacing w:val="-4"/>
          <w:w w:val="110"/>
        </w:rPr>
        <w:t>rate</w:t>
      </w:r>
      <w:r>
        <w:rPr>
          <w:spacing w:val="-17"/>
          <w:w w:val="110"/>
        </w:rPr>
        <w:t> </w:t>
      </w:r>
      <w:r>
        <w:rPr>
          <w:w w:val="110"/>
        </w:rPr>
        <w:t>since </w:t>
      </w:r>
      <w:r>
        <w:rPr>
          <w:spacing w:val="-22"/>
          <w:w w:val="110"/>
        </w:rPr>
        <w:t>1975 </w:t>
      </w:r>
      <w:r>
        <w:rPr>
          <w:w w:val="110"/>
        </w:rPr>
        <w:t>(see Chart</w:t>
      </w:r>
      <w:r>
        <w:rPr>
          <w:spacing w:val="-25"/>
          <w:w w:val="110"/>
        </w:rPr>
        <w:t> </w:t>
      </w:r>
      <w:r>
        <w:rPr>
          <w:w w:val="110"/>
        </w:rPr>
        <w:t>3.5).</w:t>
      </w:r>
    </w:p>
    <w:p>
      <w:pPr>
        <w:spacing w:after="0" w:line="292" w:lineRule="auto"/>
        <w:sectPr>
          <w:type w:val="continuous"/>
          <w:pgSz w:w="11900" w:h="16840"/>
          <w:pgMar w:top="1260" w:bottom="280" w:left="640" w:right="640"/>
          <w:cols w:num="2" w:equalWidth="0">
            <w:col w:w="3860" w:space="1058"/>
            <w:col w:w="5702"/>
          </w:cols>
        </w:sectPr>
      </w:pPr>
    </w:p>
    <w:p>
      <w:pPr>
        <w:pStyle w:val="BodyText"/>
      </w:pPr>
    </w:p>
    <w:p>
      <w:pPr>
        <w:pStyle w:val="BodyText"/>
        <w:rPr>
          <w:sz w:val="16"/>
        </w:rPr>
      </w:pPr>
    </w:p>
    <w:p>
      <w:pPr>
        <w:pStyle w:val="BodyText"/>
        <w:spacing w:line="292" w:lineRule="auto" w:before="61"/>
        <w:ind w:left="5094" w:right="213"/>
      </w:pPr>
      <w:r>
        <w:rPr>
          <w:w w:val="105"/>
        </w:rPr>
        <w:t>The LFS measure of unemployment—which estimates the number of individuals who want a job and are searching for and available for work—rose marginally in the three months </w:t>
      </w:r>
      <w:r>
        <w:rPr>
          <w:spacing w:val="-4"/>
          <w:w w:val="105"/>
        </w:rPr>
        <w:t>to </w:t>
      </w:r>
      <w:r>
        <w:rPr>
          <w:spacing w:val="-3"/>
          <w:w w:val="105"/>
        </w:rPr>
        <w:t>November, </w:t>
      </w:r>
      <w:r>
        <w:rPr>
          <w:w w:val="105"/>
        </w:rPr>
        <w:t>although the LFS unemployment </w:t>
      </w:r>
      <w:r>
        <w:rPr>
          <w:spacing w:val="-4"/>
          <w:w w:val="105"/>
        </w:rPr>
        <w:t>rate </w:t>
      </w:r>
      <w:r>
        <w:rPr>
          <w:spacing w:val="-3"/>
          <w:w w:val="105"/>
        </w:rPr>
        <w:t>was </w:t>
      </w:r>
      <w:r>
        <w:rPr>
          <w:w w:val="105"/>
        </w:rPr>
        <w:t>unchanged </w:t>
      </w:r>
      <w:r>
        <w:rPr>
          <w:spacing w:val="-4"/>
          <w:w w:val="105"/>
        </w:rPr>
        <w:t>to </w:t>
      </w:r>
      <w:r>
        <w:rPr>
          <w:w w:val="105"/>
        </w:rPr>
        <w:t>the nearest decimal point (see Chart 3.5). An alternative source of potential labour supply measured </w:t>
      </w:r>
      <w:r>
        <w:rPr>
          <w:spacing w:val="-3"/>
          <w:w w:val="105"/>
        </w:rPr>
        <w:t>by </w:t>
      </w:r>
      <w:r>
        <w:rPr>
          <w:w w:val="105"/>
        </w:rPr>
        <w:t>the LFS survey is the pool of inactive people. In recent months inactivity has risen, contrasting with a gradually declining  trend since the </w:t>
      </w:r>
      <w:r>
        <w:rPr>
          <w:spacing w:val="-7"/>
          <w:w w:val="105"/>
        </w:rPr>
        <w:t>mid-1990s. </w:t>
      </w:r>
      <w:r>
        <w:rPr>
          <w:w w:val="105"/>
        </w:rPr>
        <w:t>But much of the rise has been in individuals who reported that they </w:t>
      </w:r>
      <w:r>
        <w:rPr>
          <w:spacing w:val="-3"/>
          <w:w w:val="105"/>
        </w:rPr>
        <w:t>were </w:t>
      </w:r>
      <w:r>
        <w:rPr>
          <w:w w:val="105"/>
        </w:rPr>
        <w:t>inactive because they did not want a job. On </w:t>
      </w:r>
      <w:r>
        <w:rPr>
          <w:spacing w:val="-3"/>
          <w:w w:val="105"/>
        </w:rPr>
        <w:t>average </w:t>
      </w:r>
      <w:r>
        <w:rPr>
          <w:w w:val="105"/>
        </w:rPr>
        <w:t>people in this category of inactivity </w:t>
      </w:r>
      <w:r>
        <w:rPr>
          <w:spacing w:val="-3"/>
          <w:w w:val="105"/>
        </w:rPr>
        <w:t>have </w:t>
      </w:r>
      <w:r>
        <w:rPr>
          <w:w w:val="105"/>
        </w:rPr>
        <w:t>tended </w:t>
      </w:r>
      <w:r>
        <w:rPr>
          <w:spacing w:val="-4"/>
          <w:w w:val="105"/>
        </w:rPr>
        <w:t>to </w:t>
      </w:r>
      <w:r>
        <w:rPr>
          <w:w w:val="105"/>
        </w:rPr>
        <w:t>enter employment at a relative low </w:t>
      </w:r>
      <w:r>
        <w:rPr>
          <w:spacing w:val="-4"/>
          <w:w w:val="105"/>
        </w:rPr>
        <w:t>rate. </w:t>
      </w:r>
      <w:r>
        <w:rPr>
          <w:w w:val="105"/>
        </w:rPr>
        <w:t>So potential labour supply is likely </w:t>
      </w:r>
      <w:r>
        <w:rPr>
          <w:spacing w:val="-4"/>
          <w:w w:val="105"/>
        </w:rPr>
        <w:t>to </w:t>
      </w:r>
      <w:r>
        <w:rPr>
          <w:spacing w:val="-3"/>
          <w:w w:val="105"/>
        </w:rPr>
        <w:t>have </w:t>
      </w:r>
      <w:r>
        <w:rPr>
          <w:w w:val="105"/>
        </w:rPr>
        <w:t>increased </w:t>
      </w:r>
      <w:r>
        <w:rPr>
          <w:spacing w:val="-3"/>
          <w:w w:val="105"/>
        </w:rPr>
        <w:t>by </w:t>
      </w:r>
      <w:r>
        <w:rPr>
          <w:w w:val="105"/>
        </w:rPr>
        <w:t>less than if the rise in inactivity </w:t>
      </w:r>
      <w:r>
        <w:rPr>
          <w:spacing w:val="-3"/>
          <w:w w:val="105"/>
        </w:rPr>
        <w:t>was </w:t>
      </w:r>
      <w:r>
        <w:rPr>
          <w:w w:val="105"/>
        </w:rPr>
        <w:t>composed of people who want a job, but are not searching </w:t>
      </w:r>
      <w:r>
        <w:rPr>
          <w:spacing w:val="-4"/>
          <w:w w:val="105"/>
        </w:rPr>
        <w:t>for, </w:t>
      </w:r>
      <w:r>
        <w:rPr>
          <w:w w:val="105"/>
        </w:rPr>
        <w:t>or available </w:t>
      </w:r>
      <w:r>
        <w:rPr>
          <w:spacing w:val="-4"/>
          <w:w w:val="105"/>
        </w:rPr>
        <w:t>to </w:t>
      </w:r>
      <w:r>
        <w:rPr>
          <w:w w:val="105"/>
        </w:rPr>
        <w:t>start,   work.</w:t>
      </w:r>
    </w:p>
    <w:p>
      <w:pPr>
        <w:pStyle w:val="BodyText"/>
        <w:spacing w:before="10"/>
        <w:rPr>
          <w:sz w:val="15"/>
        </w:rPr>
      </w:pPr>
    </w:p>
    <w:p>
      <w:pPr>
        <w:spacing w:after="0"/>
        <w:rPr>
          <w:sz w:val="15"/>
        </w:rPr>
        <w:sectPr>
          <w:pgSz w:w="11900" w:h="16840"/>
          <w:pgMar w:header="601" w:footer="575" w:top="800" w:bottom="760" w:left="640" w:right="640"/>
        </w:sectPr>
      </w:pPr>
    </w:p>
    <w:p>
      <w:pPr>
        <w:pStyle w:val="Heading6"/>
        <w:spacing w:before="97"/>
        <w:ind w:left="165"/>
      </w:pPr>
      <w:r>
        <w:rPr>
          <w:color w:val="89C6DC"/>
          <w:w w:val="95"/>
        </w:rPr>
        <w:t>Chart 3.6</w:t>
      </w:r>
    </w:p>
    <w:p>
      <w:pPr>
        <w:spacing w:before="8"/>
        <w:ind w:left="165" w:right="0" w:firstLine="0"/>
        <w:jc w:val="left"/>
        <w:rPr>
          <w:sz w:val="12"/>
        </w:rPr>
      </w:pPr>
      <w:r>
        <w:rPr>
          <w:rFonts w:ascii="Trebuchet MS"/>
          <w:b/>
          <w:color w:val="89C6DC"/>
          <w:sz w:val="20"/>
        </w:rPr>
        <w:t>Unemployment rates by age group</w:t>
      </w:r>
      <w:r>
        <w:rPr>
          <w:position w:val="4"/>
          <w:sz w:val="12"/>
        </w:rPr>
        <w:t>(a)</w:t>
      </w:r>
    </w:p>
    <w:p>
      <w:pPr>
        <w:spacing w:line="119" w:lineRule="exact" w:before="42"/>
        <w:ind w:left="2949" w:right="0" w:firstLine="0"/>
        <w:jc w:val="left"/>
        <w:rPr>
          <w:sz w:val="12"/>
        </w:rPr>
      </w:pPr>
      <w:r>
        <w:rPr>
          <w:w w:val="110"/>
          <w:sz w:val="12"/>
        </w:rPr>
        <w:t>Per cent</w:t>
      </w:r>
    </w:p>
    <w:p>
      <w:pPr>
        <w:spacing w:line="119" w:lineRule="exact" w:before="0"/>
        <w:ind w:left="3426" w:right="0" w:firstLine="0"/>
        <w:jc w:val="left"/>
        <w:rPr>
          <w:sz w:val="12"/>
        </w:rPr>
      </w:pPr>
      <w:r>
        <w:rPr/>
        <w:pict>
          <v:line style="position:absolute;mso-position-horizontal-relative:page;mso-position-vertical-relative:paragraph;z-index:16166400" from="41.195pt,2.657169pt" to="45.528pt,2.657169pt" stroked="true" strokeweight=".5pt" strokecolor="#000000">
            <v:stroke dashstyle="solid"/>
            <w10:wrap type="none"/>
          </v:line>
        </w:pict>
      </w:r>
      <w:r>
        <w:rPr/>
        <w:pict>
          <v:line style="position:absolute;mso-position-horizontal-relative:page;mso-position-vertical-relative:paragraph;z-index:16167424" from="196.903pt,2.657169pt" to="201.235pt,2.657169pt" stroked="true" strokeweight=".5pt" strokecolor="#000000">
            <v:stroke dashstyle="solid"/>
            <w10:wrap type="none"/>
          </v:line>
        </w:pict>
      </w:r>
      <w:r>
        <w:rPr>
          <w:w w:val="120"/>
          <w:sz w:val="12"/>
        </w:rPr>
        <w:t>25</w:t>
      </w:r>
    </w:p>
    <w:p>
      <w:pPr>
        <w:pStyle w:val="BodyText"/>
        <w:spacing w:before="10"/>
        <w:rPr>
          <w:sz w:val="14"/>
        </w:rPr>
      </w:pPr>
    </w:p>
    <w:p>
      <w:pPr>
        <w:spacing w:before="0"/>
        <w:ind w:left="2202" w:right="0" w:firstLine="0"/>
        <w:jc w:val="left"/>
        <w:rPr>
          <w:sz w:val="12"/>
        </w:rPr>
      </w:pPr>
      <w:r>
        <w:rPr/>
        <w:pict>
          <v:group style="position:absolute;margin-left:49.200001pt;margin-top:4.393573pt;width:152.050pt;height:110.2pt;mso-position-horizontal-relative:page;mso-position-vertical-relative:paragraph;z-index:-23166464" coordorigin="984,88" coordsize="3041,2204">
            <v:shape style="position:absolute;left:984;top:87;width:2898;height:2135" type="#_x0000_t75" stroked="false">
              <v:imagedata r:id="rId124" o:title=""/>
            </v:shape>
            <v:shape style="position:absolute;left:3938;top:337;width:87;height:1728" coordorigin="3938,338" coordsize="87,1728" path="m3938,338l4025,338m3938,913l4025,913m3938,1490l4025,1490m3938,2065l4025,2065e" filled="false" stroked="true" strokeweight=".5pt" strokecolor="#000000">
              <v:path arrowok="t"/>
              <v:stroke dashstyle="solid"/>
            </v:shape>
            <v:shape style="position:absolute;left:2289;top:1031;width:874;height:121" type="#_x0000_t202" filled="false" stroked="false">
              <v:textbox inset="0,0,0,0">
                <w:txbxContent>
                  <w:p>
                    <w:pPr>
                      <w:spacing w:line="115" w:lineRule="exact" w:before="0"/>
                      <w:ind w:left="0" w:right="0" w:firstLine="0"/>
                      <w:jc w:val="left"/>
                      <w:rPr>
                        <w:sz w:val="12"/>
                      </w:rPr>
                    </w:pPr>
                    <w:r>
                      <w:rPr>
                        <w:w w:val="110"/>
                        <w:sz w:val="12"/>
                      </w:rPr>
                      <w:t>18–24 year olds</w:t>
                    </w:r>
                  </w:p>
                </w:txbxContent>
              </v:textbox>
              <w10:wrap type="none"/>
            </v:shape>
            <v:shape style="position:absolute;left:1133;top:1154;width:286;height:121" type="#_x0000_t202" filled="false" stroked="false">
              <v:textbox inset="0,0,0,0">
                <w:txbxContent>
                  <w:p>
                    <w:pPr>
                      <w:spacing w:line="115" w:lineRule="exact" w:before="0"/>
                      <w:ind w:left="0" w:right="0" w:firstLine="0"/>
                      <w:jc w:val="left"/>
                      <w:rPr>
                        <w:sz w:val="12"/>
                      </w:rPr>
                    </w:pPr>
                    <w:r>
                      <w:rPr>
                        <w:w w:val="105"/>
                        <w:sz w:val="12"/>
                      </w:rPr>
                      <w:t>Total</w:t>
                    </w:r>
                  </w:p>
                </w:txbxContent>
              </v:textbox>
              <w10:wrap type="none"/>
            </v:shape>
            <v:shape style="position:absolute;left:1083;top:2008;width:874;height:121" type="#_x0000_t202" filled="false" stroked="false">
              <v:textbox inset="0,0,0,0">
                <w:txbxContent>
                  <w:p>
                    <w:pPr>
                      <w:spacing w:line="115" w:lineRule="exact" w:before="0"/>
                      <w:ind w:left="0" w:right="0" w:firstLine="0"/>
                      <w:jc w:val="left"/>
                      <w:rPr>
                        <w:sz w:val="12"/>
                      </w:rPr>
                    </w:pPr>
                    <w:r>
                      <w:rPr>
                        <w:w w:val="110"/>
                        <w:sz w:val="12"/>
                      </w:rPr>
                      <w:t>25–49 year olds</w:t>
                    </w:r>
                  </w:p>
                </w:txbxContent>
              </v:textbox>
              <w10:wrap type="none"/>
            </v:shape>
            <v:shape style="position:absolute;left:2851;top:2171;width:643;height:121" type="#_x0000_t202" filled="false" stroked="false">
              <v:textbox inset="0,0,0,0">
                <w:txbxContent>
                  <w:p>
                    <w:pPr>
                      <w:spacing w:line="115" w:lineRule="exact" w:before="0"/>
                      <w:ind w:left="0" w:right="0" w:firstLine="0"/>
                      <w:jc w:val="left"/>
                      <w:rPr>
                        <w:sz w:val="12"/>
                      </w:rPr>
                    </w:pPr>
                    <w:r>
                      <w:rPr>
                        <w:w w:val="115"/>
                        <w:sz w:val="12"/>
                      </w:rPr>
                      <w:t>50 and</w:t>
                    </w:r>
                    <w:r>
                      <w:rPr>
                        <w:spacing w:val="-25"/>
                        <w:w w:val="115"/>
                        <w:sz w:val="12"/>
                      </w:rPr>
                      <w:t> </w:t>
                    </w:r>
                    <w:r>
                      <w:rPr>
                        <w:w w:val="115"/>
                        <w:sz w:val="12"/>
                      </w:rPr>
                      <w:t>over</w:t>
                    </w:r>
                  </w:p>
                </w:txbxContent>
              </v:textbox>
              <w10:wrap type="none"/>
            </v:shape>
            <w10:wrap type="none"/>
          </v:group>
        </w:pict>
      </w:r>
      <w:r>
        <w:rPr>
          <w:w w:val="110"/>
          <w:sz w:val="12"/>
        </w:rPr>
        <w:t>16–17 year olds</w:t>
      </w:r>
    </w:p>
    <w:p>
      <w:pPr>
        <w:pStyle w:val="BodyText"/>
        <w:spacing w:before="2"/>
        <w:rPr>
          <w:sz w:val="11"/>
        </w:rPr>
      </w:pPr>
    </w:p>
    <w:p>
      <w:pPr>
        <w:spacing w:before="0"/>
        <w:ind w:left="0" w:right="278" w:firstLine="0"/>
        <w:jc w:val="right"/>
        <w:rPr>
          <w:sz w:val="12"/>
        </w:rPr>
      </w:pPr>
      <w:r>
        <w:rPr/>
        <w:pict>
          <v:line style="position:absolute;mso-position-horizontal-relative:page;mso-position-vertical-relative:paragraph;z-index:16163840" from="41.195pt,3.564166pt" to="45.528pt,3.564166pt" stroked="true" strokeweight=".5pt" strokecolor="#000000">
            <v:stroke dashstyle="solid"/>
            <w10:wrap type="none"/>
          </v:line>
        </w:pict>
      </w:r>
      <w:r>
        <w:rPr>
          <w:w w:val="120"/>
          <w:sz w:val="12"/>
        </w:rPr>
        <w:t>20</w:t>
      </w:r>
    </w:p>
    <w:p>
      <w:pPr>
        <w:pStyle w:val="BodyText"/>
        <w:rPr>
          <w:sz w:val="12"/>
        </w:rPr>
      </w:pPr>
    </w:p>
    <w:p>
      <w:pPr>
        <w:pStyle w:val="BodyText"/>
        <w:rPr>
          <w:sz w:val="12"/>
        </w:rPr>
      </w:pPr>
    </w:p>
    <w:p>
      <w:pPr>
        <w:pStyle w:val="BodyText"/>
        <w:spacing w:before="1"/>
        <w:rPr>
          <w:sz w:val="14"/>
        </w:rPr>
      </w:pPr>
    </w:p>
    <w:p>
      <w:pPr>
        <w:spacing w:before="0"/>
        <w:ind w:left="0" w:right="278" w:firstLine="0"/>
        <w:jc w:val="right"/>
        <w:rPr>
          <w:sz w:val="12"/>
        </w:rPr>
      </w:pPr>
      <w:r>
        <w:rPr/>
        <w:pict>
          <v:line style="position:absolute;mso-position-horizontal-relative:page;mso-position-vertical-relative:paragraph;z-index:16164352" from="41.195pt,3.514148pt" to="45.528pt,3.514148pt" stroked="true" strokeweight=".5pt" strokecolor="#000000">
            <v:stroke dashstyle="solid"/>
            <w10:wrap type="none"/>
          </v:line>
        </w:pict>
      </w:r>
      <w:r>
        <w:rPr>
          <w:w w:val="120"/>
          <w:sz w:val="12"/>
        </w:rPr>
        <w:t>15</w:t>
      </w:r>
    </w:p>
    <w:p>
      <w:pPr>
        <w:pStyle w:val="BodyText"/>
        <w:rPr>
          <w:sz w:val="12"/>
        </w:rPr>
      </w:pPr>
    </w:p>
    <w:p>
      <w:pPr>
        <w:pStyle w:val="BodyText"/>
        <w:rPr>
          <w:sz w:val="12"/>
        </w:rPr>
      </w:pPr>
    </w:p>
    <w:p>
      <w:pPr>
        <w:pStyle w:val="BodyText"/>
        <w:spacing w:before="1"/>
        <w:rPr>
          <w:sz w:val="14"/>
        </w:rPr>
      </w:pPr>
    </w:p>
    <w:p>
      <w:pPr>
        <w:spacing w:before="0"/>
        <w:ind w:left="0" w:right="278" w:firstLine="0"/>
        <w:jc w:val="right"/>
        <w:rPr>
          <w:sz w:val="12"/>
        </w:rPr>
      </w:pPr>
      <w:r>
        <w:rPr/>
        <w:pict>
          <v:line style="position:absolute;mso-position-horizontal-relative:page;mso-position-vertical-relative:paragraph;z-index:16164864" from="41.195pt,3.58916pt" to="45.528pt,3.58916pt" stroked="true" strokeweight=".5pt" strokecolor="#000000">
            <v:stroke dashstyle="solid"/>
            <w10:wrap type="none"/>
          </v:line>
        </w:pict>
      </w:r>
      <w:r>
        <w:rPr>
          <w:w w:val="120"/>
          <w:sz w:val="12"/>
        </w:rPr>
        <w:t>10</w:t>
      </w:r>
    </w:p>
    <w:p>
      <w:pPr>
        <w:pStyle w:val="BodyText"/>
        <w:rPr>
          <w:sz w:val="12"/>
        </w:rPr>
      </w:pPr>
    </w:p>
    <w:p>
      <w:pPr>
        <w:pStyle w:val="BodyText"/>
        <w:rPr>
          <w:sz w:val="12"/>
        </w:rPr>
      </w:pPr>
    </w:p>
    <w:p>
      <w:pPr>
        <w:pStyle w:val="BodyText"/>
        <w:spacing w:before="1"/>
        <w:rPr>
          <w:sz w:val="14"/>
        </w:rPr>
      </w:pPr>
    </w:p>
    <w:p>
      <w:pPr>
        <w:spacing w:before="1"/>
        <w:ind w:left="0" w:right="278" w:firstLine="0"/>
        <w:jc w:val="right"/>
        <w:rPr>
          <w:sz w:val="12"/>
        </w:rPr>
      </w:pPr>
      <w:r>
        <w:rPr/>
        <w:pict>
          <v:line style="position:absolute;mso-position-horizontal-relative:page;mso-position-vertical-relative:paragraph;z-index:16165376" from="41.195pt,3.588104pt" to="45.528pt,3.588104pt" stroked="true" strokeweight=".5pt" strokecolor="#000000">
            <v:stroke dashstyle="solid"/>
            <w10:wrap type="none"/>
          </v:line>
        </w:pict>
      </w:r>
      <w:r>
        <w:rPr>
          <w:w w:val="121"/>
          <w:sz w:val="12"/>
        </w:rPr>
        <w:t>5</w:t>
      </w:r>
    </w:p>
    <w:p>
      <w:pPr>
        <w:pStyle w:val="BodyText"/>
        <w:rPr>
          <w:sz w:val="12"/>
        </w:rPr>
      </w:pPr>
    </w:p>
    <w:p>
      <w:pPr>
        <w:pStyle w:val="BodyText"/>
        <w:rPr>
          <w:sz w:val="12"/>
        </w:rPr>
      </w:pPr>
    </w:p>
    <w:p>
      <w:pPr>
        <w:pStyle w:val="BodyText"/>
        <w:rPr>
          <w:sz w:val="14"/>
        </w:rPr>
      </w:pPr>
    </w:p>
    <w:p>
      <w:pPr>
        <w:spacing w:line="119" w:lineRule="exact" w:before="1"/>
        <w:ind w:left="3499" w:right="0" w:firstLine="0"/>
        <w:jc w:val="left"/>
        <w:rPr>
          <w:sz w:val="12"/>
        </w:rPr>
      </w:pPr>
      <w:r>
        <w:rPr/>
        <w:pict>
          <v:line style="position:absolute;mso-position-horizontal-relative:page;mso-position-vertical-relative:paragraph;z-index:16165888" from="41.195pt,3.539276pt" to="45.528pt,3.539276pt" stroked="true" strokeweight=".5pt" strokecolor="#000000">
            <v:stroke dashstyle="solid"/>
            <w10:wrap type="none"/>
          </v:line>
        </w:pict>
      </w:r>
      <w:r>
        <w:rPr/>
        <w:pict>
          <v:shape style="position:absolute;margin-left:49.450001pt;margin-top:.436276pt;width:151.8pt;height:3.4pt;mso-position-horizontal-relative:page;mso-position-vertical-relative:paragraph;z-index:16166912" coordorigin="989,9" coordsize="3036,68" path="m3938,71l4025,71m996,9l996,76m2737,9l2737,76m2389,9l2389,76m1342,9l1342,76m1687,9l1687,76m2044,9l2044,76m3084,9l3084,76m3787,9l3787,76m3429,9l3429,76m989,71l3876,71e" filled="false" stroked="true" strokeweight=".5pt" strokecolor="#000000">
            <v:path arrowok="t"/>
            <v:stroke dashstyle="solid"/>
            <w10:wrap type="none"/>
          </v:shape>
        </w:pict>
      </w:r>
      <w:r>
        <w:rPr>
          <w:w w:val="121"/>
          <w:sz w:val="12"/>
        </w:rPr>
        <w:t>0</w:t>
      </w:r>
    </w:p>
    <w:p>
      <w:pPr>
        <w:tabs>
          <w:tab w:pos="981" w:val="left" w:leader="none"/>
          <w:tab w:pos="1336" w:val="left" w:leader="none"/>
          <w:tab w:pos="1683" w:val="left" w:leader="none"/>
          <w:tab w:pos="2031" w:val="left" w:leader="none"/>
          <w:tab w:pos="2723" w:val="left" w:leader="none"/>
        </w:tabs>
        <w:spacing w:line="119" w:lineRule="exact" w:before="0"/>
        <w:ind w:left="226" w:right="0" w:firstLine="0"/>
        <w:jc w:val="left"/>
        <w:rPr>
          <w:sz w:val="12"/>
        </w:rPr>
      </w:pPr>
      <w:r>
        <w:rPr>
          <w:w w:val="120"/>
          <w:sz w:val="12"/>
        </w:rPr>
        <w:t>1984  </w:t>
      </w:r>
      <w:r>
        <w:rPr>
          <w:spacing w:val="11"/>
          <w:w w:val="120"/>
          <w:sz w:val="12"/>
        </w:rPr>
        <w:t> </w:t>
      </w:r>
      <w:r>
        <w:rPr>
          <w:w w:val="120"/>
          <w:sz w:val="12"/>
        </w:rPr>
        <w:t>86</w:t>
        <w:tab/>
        <w:t>88</w:t>
        <w:tab/>
        <w:t>90</w:t>
        <w:tab/>
        <w:t>92</w:t>
        <w:tab/>
        <w:t>94    </w:t>
      </w:r>
      <w:r>
        <w:rPr>
          <w:spacing w:val="21"/>
          <w:w w:val="120"/>
          <w:sz w:val="12"/>
        </w:rPr>
        <w:t> </w:t>
      </w:r>
      <w:r>
        <w:rPr>
          <w:w w:val="120"/>
          <w:sz w:val="12"/>
        </w:rPr>
        <w:t>96</w:t>
        <w:tab/>
        <w:t>98</w:t>
      </w:r>
      <w:r>
        <w:rPr>
          <w:spacing w:val="8"/>
          <w:w w:val="120"/>
          <w:sz w:val="12"/>
        </w:rPr>
        <w:t> </w:t>
      </w:r>
      <w:r>
        <w:rPr>
          <w:w w:val="120"/>
          <w:sz w:val="12"/>
        </w:rPr>
        <w:t>2000</w:t>
      </w:r>
    </w:p>
    <w:p>
      <w:pPr>
        <w:pStyle w:val="BodyText"/>
        <w:spacing w:before="6"/>
        <w:rPr>
          <w:sz w:val="16"/>
        </w:rPr>
      </w:pPr>
    </w:p>
    <w:p>
      <w:pPr>
        <w:spacing w:line="208" w:lineRule="auto" w:before="1"/>
        <w:ind w:left="408" w:right="185" w:hanging="240"/>
        <w:jc w:val="left"/>
        <w:rPr>
          <w:sz w:val="12"/>
        </w:rPr>
      </w:pPr>
      <w:r>
        <w:rPr>
          <w:w w:val="105"/>
          <w:sz w:val="12"/>
        </w:rPr>
        <w:t>(a) Backward-looking three-month moving averages. Pre-1993 figures based upon yearly observations.</w:t>
      </w:r>
    </w:p>
    <w:p>
      <w:pPr>
        <w:pStyle w:val="BodyText"/>
        <w:rPr>
          <w:sz w:val="12"/>
        </w:rPr>
      </w:pPr>
    </w:p>
    <w:p>
      <w:pPr>
        <w:pStyle w:val="BodyText"/>
        <w:rPr>
          <w:sz w:val="12"/>
        </w:rPr>
      </w:pPr>
    </w:p>
    <w:p>
      <w:pPr>
        <w:pStyle w:val="Heading6"/>
        <w:spacing w:before="72"/>
        <w:ind w:left="167"/>
      </w:pPr>
      <w:r>
        <w:rPr>
          <w:color w:val="89C6DC"/>
          <w:w w:val="95"/>
        </w:rPr>
        <w:t>Chart 3.7</w:t>
      </w:r>
    </w:p>
    <w:p>
      <w:pPr>
        <w:spacing w:before="8"/>
        <w:ind w:left="167" w:right="0" w:firstLine="0"/>
        <w:jc w:val="left"/>
        <w:rPr>
          <w:rFonts w:ascii="Trebuchet MS"/>
          <w:b/>
          <w:sz w:val="20"/>
        </w:rPr>
      </w:pPr>
      <w:r>
        <w:rPr>
          <w:rFonts w:ascii="Trebuchet MS"/>
          <w:b/>
          <w:color w:val="89C6DC"/>
          <w:w w:val="95"/>
          <w:sz w:val="20"/>
        </w:rPr>
        <w:t>Skill</w:t>
      </w:r>
      <w:r>
        <w:rPr>
          <w:rFonts w:ascii="Trebuchet MS"/>
          <w:b/>
          <w:color w:val="89C6DC"/>
          <w:spacing w:val="-34"/>
          <w:w w:val="95"/>
          <w:sz w:val="20"/>
        </w:rPr>
        <w:t> </w:t>
      </w:r>
      <w:r>
        <w:rPr>
          <w:rFonts w:ascii="Trebuchet MS"/>
          <w:b/>
          <w:color w:val="89C6DC"/>
          <w:w w:val="95"/>
          <w:sz w:val="20"/>
        </w:rPr>
        <w:t>shortages</w:t>
      </w:r>
      <w:r>
        <w:rPr>
          <w:rFonts w:ascii="Trebuchet MS"/>
          <w:b/>
          <w:color w:val="89C6DC"/>
          <w:spacing w:val="-34"/>
          <w:w w:val="95"/>
          <w:sz w:val="20"/>
        </w:rPr>
        <w:t> </w:t>
      </w:r>
      <w:r>
        <w:rPr>
          <w:rFonts w:ascii="Trebuchet MS"/>
          <w:b/>
          <w:color w:val="89C6DC"/>
          <w:w w:val="95"/>
          <w:sz w:val="20"/>
        </w:rPr>
        <w:t>and</w:t>
      </w:r>
      <w:r>
        <w:rPr>
          <w:rFonts w:ascii="Trebuchet MS"/>
          <w:b/>
          <w:color w:val="89C6DC"/>
          <w:spacing w:val="-34"/>
          <w:w w:val="95"/>
          <w:sz w:val="20"/>
        </w:rPr>
        <w:t> </w:t>
      </w:r>
      <w:r>
        <w:rPr>
          <w:rFonts w:ascii="Trebuchet MS"/>
          <w:b/>
          <w:color w:val="89C6DC"/>
          <w:w w:val="95"/>
          <w:sz w:val="20"/>
        </w:rPr>
        <w:t>recruitment</w:t>
      </w:r>
      <w:r>
        <w:rPr>
          <w:rFonts w:ascii="Trebuchet MS"/>
          <w:b/>
          <w:color w:val="89C6DC"/>
          <w:spacing w:val="-33"/>
          <w:w w:val="95"/>
          <w:sz w:val="20"/>
        </w:rPr>
        <w:t> </w:t>
      </w:r>
      <w:r>
        <w:rPr>
          <w:rFonts w:ascii="Trebuchet MS"/>
          <w:b/>
          <w:color w:val="89C6DC"/>
          <w:w w:val="95"/>
          <w:sz w:val="20"/>
        </w:rPr>
        <w:t>difficulties</w:t>
      </w:r>
    </w:p>
    <w:p>
      <w:pPr>
        <w:tabs>
          <w:tab w:pos="2965" w:val="left" w:leader="none"/>
        </w:tabs>
        <w:spacing w:line="88" w:lineRule="exact" w:before="58"/>
        <w:ind w:left="193" w:right="0" w:firstLine="0"/>
        <w:jc w:val="left"/>
        <w:rPr>
          <w:sz w:val="12"/>
        </w:rPr>
      </w:pPr>
      <w:r>
        <w:rPr>
          <w:rFonts w:ascii="Georgia"/>
          <w:w w:val="105"/>
          <w:position w:val="2"/>
          <w:sz w:val="16"/>
        </w:rPr>
        <w:t>CBI</w:t>
      </w:r>
      <w:r>
        <w:rPr>
          <w:rFonts w:ascii="Georgia"/>
          <w:spacing w:val="-10"/>
          <w:w w:val="105"/>
          <w:position w:val="2"/>
          <w:sz w:val="16"/>
        </w:rPr>
        <w:t> </w:t>
      </w:r>
      <w:r>
        <w:rPr>
          <w:rFonts w:ascii="Georgia"/>
          <w:w w:val="105"/>
          <w:position w:val="2"/>
          <w:sz w:val="16"/>
        </w:rPr>
        <w:t>survey</w:t>
        <w:tab/>
      </w:r>
      <w:r>
        <w:rPr>
          <w:w w:val="105"/>
          <w:sz w:val="12"/>
        </w:rPr>
        <w:t>Per cent</w:t>
      </w:r>
    </w:p>
    <w:p>
      <w:pPr>
        <w:pStyle w:val="BodyText"/>
        <w:spacing w:before="1"/>
        <w:rPr>
          <w:sz w:val="10"/>
        </w:rPr>
      </w:pPr>
    </w:p>
    <w:p>
      <w:pPr>
        <w:tabs>
          <w:tab w:pos="3302" w:val="left" w:leader="none"/>
        </w:tabs>
        <w:spacing w:line="20" w:lineRule="exact"/>
        <w:ind w:left="188" w:right="0"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line="292" w:lineRule="auto" w:before="148"/>
        <w:ind w:left="165" w:right="374"/>
      </w:pPr>
      <w:r>
        <w:rPr/>
        <w:br w:type="column"/>
      </w:r>
      <w:r>
        <w:rPr>
          <w:w w:val="105"/>
        </w:rPr>
        <w:t>The recent slight rise in LFS unemployment </w:t>
      </w:r>
      <w:r>
        <w:rPr>
          <w:spacing w:val="-3"/>
          <w:w w:val="105"/>
        </w:rPr>
        <w:t>was </w:t>
      </w:r>
      <w:r>
        <w:rPr>
          <w:w w:val="105"/>
        </w:rPr>
        <w:t>more than accounted for </w:t>
      </w:r>
      <w:r>
        <w:rPr>
          <w:spacing w:val="-3"/>
          <w:w w:val="105"/>
        </w:rPr>
        <w:t>by </w:t>
      </w:r>
      <w:r>
        <w:rPr>
          <w:w w:val="105"/>
        </w:rPr>
        <w:t>an increase in unemployment among those aged under </w:t>
      </w:r>
      <w:r>
        <w:rPr>
          <w:spacing w:val="-8"/>
          <w:w w:val="105"/>
        </w:rPr>
        <w:t>25. </w:t>
      </w:r>
      <w:r>
        <w:rPr>
          <w:w w:val="105"/>
        </w:rPr>
        <w:t>By contrast, unemployment in older age categories has continued </w:t>
      </w:r>
      <w:r>
        <w:rPr>
          <w:spacing w:val="-4"/>
          <w:w w:val="105"/>
        </w:rPr>
        <w:t>to </w:t>
      </w:r>
      <w:r>
        <w:rPr>
          <w:w w:val="105"/>
        </w:rPr>
        <w:t>fall. Higher unemployment among the young might </w:t>
      </w:r>
      <w:r>
        <w:rPr>
          <w:spacing w:val="-4"/>
          <w:w w:val="105"/>
        </w:rPr>
        <w:t>convey  </w:t>
      </w:r>
      <w:r>
        <w:rPr>
          <w:w w:val="105"/>
        </w:rPr>
        <w:t>less information about </w:t>
      </w:r>
      <w:r>
        <w:rPr>
          <w:spacing w:val="-3"/>
          <w:w w:val="105"/>
        </w:rPr>
        <w:t>overall </w:t>
      </w:r>
      <w:r>
        <w:rPr>
          <w:w w:val="105"/>
        </w:rPr>
        <w:t>labour </w:t>
      </w:r>
      <w:r>
        <w:rPr>
          <w:spacing w:val="-2"/>
          <w:w w:val="105"/>
        </w:rPr>
        <w:t>market </w:t>
      </w:r>
      <w:r>
        <w:rPr>
          <w:w w:val="105"/>
        </w:rPr>
        <w:t>tightness and wage </w:t>
      </w:r>
      <w:r>
        <w:rPr>
          <w:spacing w:val="-3"/>
          <w:w w:val="105"/>
        </w:rPr>
        <w:t>pressure </w:t>
      </w:r>
      <w:r>
        <w:rPr>
          <w:w w:val="105"/>
        </w:rPr>
        <w:t>than a rise in unemployment of older </w:t>
      </w:r>
      <w:r>
        <w:rPr>
          <w:spacing w:val="-3"/>
          <w:w w:val="105"/>
        </w:rPr>
        <w:t>workers. </w:t>
      </w:r>
      <w:r>
        <w:rPr>
          <w:w w:val="105"/>
        </w:rPr>
        <w:t>As Chart 3.6</w:t>
      </w:r>
      <w:r>
        <w:rPr>
          <w:spacing w:val="-22"/>
          <w:w w:val="105"/>
        </w:rPr>
        <w:t> </w:t>
      </w:r>
      <w:r>
        <w:rPr>
          <w:w w:val="105"/>
        </w:rPr>
        <w:t>shows,</w:t>
      </w:r>
    </w:p>
    <w:p>
      <w:pPr>
        <w:pStyle w:val="BodyText"/>
        <w:spacing w:line="292" w:lineRule="auto"/>
        <w:ind w:left="165" w:right="72"/>
      </w:pPr>
      <w:r>
        <w:rPr>
          <w:w w:val="110"/>
        </w:rPr>
        <w:t>unemployment </w:t>
      </w:r>
      <w:r>
        <w:rPr>
          <w:spacing w:val="-4"/>
          <w:w w:val="110"/>
        </w:rPr>
        <w:t>rates </w:t>
      </w:r>
      <w:r>
        <w:rPr>
          <w:w w:val="110"/>
        </w:rPr>
        <w:t>among the young, particularly </w:t>
      </w:r>
      <w:r>
        <w:rPr>
          <w:spacing w:val="-13"/>
          <w:w w:val="110"/>
        </w:rPr>
        <w:t>16–17 </w:t>
      </w:r>
      <w:r>
        <w:rPr>
          <w:w w:val="110"/>
        </w:rPr>
        <w:t>year olds, are more erratic than those of other age categories.</w:t>
      </w:r>
    </w:p>
    <w:p>
      <w:pPr>
        <w:pStyle w:val="BodyText"/>
        <w:spacing w:line="292" w:lineRule="auto"/>
        <w:ind w:left="165" w:right="72"/>
      </w:pPr>
      <w:r>
        <w:rPr>
          <w:w w:val="110"/>
        </w:rPr>
        <w:t>That</w:t>
      </w:r>
      <w:r>
        <w:rPr>
          <w:spacing w:val="-29"/>
          <w:w w:val="110"/>
        </w:rPr>
        <w:t> </w:t>
      </w:r>
      <w:r>
        <w:rPr>
          <w:w w:val="110"/>
        </w:rPr>
        <w:t>partly</w:t>
      </w:r>
      <w:r>
        <w:rPr>
          <w:spacing w:val="-29"/>
          <w:w w:val="110"/>
        </w:rPr>
        <w:t> </w:t>
      </w:r>
      <w:r>
        <w:rPr>
          <w:w w:val="110"/>
        </w:rPr>
        <w:t>reflects</w:t>
      </w:r>
      <w:r>
        <w:rPr>
          <w:spacing w:val="-28"/>
          <w:w w:val="110"/>
        </w:rPr>
        <w:t> </w:t>
      </w:r>
      <w:r>
        <w:rPr>
          <w:w w:val="110"/>
        </w:rPr>
        <w:t>irregular</w:t>
      </w:r>
      <w:r>
        <w:rPr>
          <w:spacing w:val="-29"/>
          <w:w w:val="110"/>
        </w:rPr>
        <w:t> </w:t>
      </w:r>
      <w:r>
        <w:rPr>
          <w:w w:val="110"/>
        </w:rPr>
        <w:t>flows</w:t>
      </w:r>
      <w:r>
        <w:rPr>
          <w:spacing w:val="-28"/>
          <w:w w:val="110"/>
        </w:rPr>
        <w:t> </w:t>
      </w:r>
      <w:r>
        <w:rPr>
          <w:w w:val="110"/>
        </w:rPr>
        <w:t>of</w:t>
      </w:r>
      <w:r>
        <w:rPr>
          <w:spacing w:val="-29"/>
          <w:w w:val="110"/>
        </w:rPr>
        <w:t> </w:t>
      </w:r>
      <w:r>
        <w:rPr>
          <w:w w:val="110"/>
        </w:rPr>
        <w:t>young</w:t>
      </w:r>
      <w:r>
        <w:rPr>
          <w:spacing w:val="-28"/>
          <w:w w:val="110"/>
        </w:rPr>
        <w:t> </w:t>
      </w:r>
      <w:r>
        <w:rPr>
          <w:w w:val="110"/>
        </w:rPr>
        <w:t>employees</w:t>
      </w:r>
      <w:r>
        <w:rPr>
          <w:spacing w:val="-29"/>
          <w:w w:val="110"/>
        </w:rPr>
        <w:t> </w:t>
      </w:r>
      <w:r>
        <w:rPr>
          <w:spacing w:val="-4"/>
          <w:w w:val="110"/>
        </w:rPr>
        <w:t>to</w:t>
      </w:r>
      <w:r>
        <w:rPr>
          <w:spacing w:val="-28"/>
          <w:w w:val="110"/>
        </w:rPr>
        <w:t> </w:t>
      </w:r>
      <w:r>
        <w:rPr>
          <w:w w:val="110"/>
        </w:rPr>
        <w:t>and from</w:t>
      </w:r>
      <w:r>
        <w:rPr>
          <w:spacing w:val="-12"/>
          <w:w w:val="110"/>
        </w:rPr>
        <w:t> </w:t>
      </w:r>
      <w:r>
        <w:rPr>
          <w:w w:val="110"/>
        </w:rPr>
        <w:t>training</w:t>
      </w:r>
      <w:r>
        <w:rPr>
          <w:spacing w:val="-12"/>
          <w:w w:val="110"/>
        </w:rPr>
        <w:t> </w:t>
      </w:r>
      <w:r>
        <w:rPr>
          <w:w w:val="110"/>
        </w:rPr>
        <w:t>schemes</w:t>
      </w:r>
      <w:r>
        <w:rPr>
          <w:spacing w:val="-12"/>
          <w:w w:val="110"/>
        </w:rPr>
        <w:t> </w:t>
      </w:r>
      <w:r>
        <w:rPr>
          <w:w w:val="110"/>
        </w:rPr>
        <w:t>and</w:t>
      </w:r>
      <w:r>
        <w:rPr>
          <w:spacing w:val="-12"/>
          <w:w w:val="110"/>
        </w:rPr>
        <w:t> </w:t>
      </w:r>
      <w:r>
        <w:rPr>
          <w:w w:val="110"/>
        </w:rPr>
        <w:t>other</w:t>
      </w:r>
      <w:r>
        <w:rPr>
          <w:spacing w:val="-12"/>
          <w:w w:val="110"/>
        </w:rPr>
        <w:t> </w:t>
      </w:r>
      <w:r>
        <w:rPr>
          <w:w w:val="110"/>
        </w:rPr>
        <w:t>educational</w:t>
      </w:r>
      <w:r>
        <w:rPr>
          <w:spacing w:val="-12"/>
          <w:w w:val="110"/>
        </w:rPr>
        <w:t> </w:t>
      </w:r>
      <w:r>
        <w:rPr>
          <w:w w:val="110"/>
        </w:rPr>
        <w:t>activities.</w:t>
      </w:r>
    </w:p>
    <w:p>
      <w:pPr>
        <w:pStyle w:val="BodyText"/>
        <w:spacing w:line="292" w:lineRule="auto"/>
        <w:ind w:left="165" w:right="374"/>
      </w:pPr>
      <w:r>
        <w:rPr>
          <w:w w:val="105"/>
        </w:rPr>
        <w:t>These erratic changes make it harder for the ONS </w:t>
      </w:r>
      <w:r>
        <w:rPr>
          <w:spacing w:val="-4"/>
          <w:w w:val="105"/>
        </w:rPr>
        <w:t>to </w:t>
      </w:r>
      <w:r>
        <w:rPr>
          <w:w w:val="105"/>
        </w:rPr>
        <w:t>seasonally adjust these data and mean that </w:t>
      </w:r>
      <w:r>
        <w:rPr>
          <w:spacing w:val="-3"/>
          <w:w w:val="105"/>
        </w:rPr>
        <w:t>short-run </w:t>
      </w:r>
      <w:r>
        <w:rPr>
          <w:w w:val="105"/>
        </w:rPr>
        <w:t>changes in youth unemployment are unlikely </w:t>
      </w:r>
      <w:r>
        <w:rPr>
          <w:spacing w:val="-4"/>
          <w:w w:val="105"/>
        </w:rPr>
        <w:t>to </w:t>
      </w:r>
      <w:r>
        <w:rPr>
          <w:w w:val="105"/>
        </w:rPr>
        <w:t>provide decisive signals about the direction of aggregate unemployment. In addition, although shifts in youth unemployment </w:t>
      </w:r>
      <w:r>
        <w:rPr>
          <w:spacing w:val="-3"/>
          <w:w w:val="105"/>
        </w:rPr>
        <w:t>may </w:t>
      </w:r>
      <w:r>
        <w:rPr>
          <w:w w:val="105"/>
        </w:rPr>
        <w:t>affect wage </w:t>
      </w:r>
      <w:r>
        <w:rPr>
          <w:spacing w:val="-4"/>
          <w:w w:val="105"/>
        </w:rPr>
        <w:t>rates </w:t>
      </w:r>
      <w:r>
        <w:rPr>
          <w:w w:val="105"/>
        </w:rPr>
        <w:t>for young </w:t>
      </w:r>
      <w:r>
        <w:rPr>
          <w:spacing w:val="-3"/>
          <w:w w:val="105"/>
        </w:rPr>
        <w:t>workers, </w:t>
      </w:r>
      <w:r>
        <w:rPr>
          <w:w w:val="105"/>
        </w:rPr>
        <w:t>they are likely </w:t>
      </w:r>
      <w:r>
        <w:rPr>
          <w:spacing w:val="-4"/>
          <w:w w:val="105"/>
        </w:rPr>
        <w:t>to </w:t>
      </w:r>
      <w:r>
        <w:rPr>
          <w:w w:val="105"/>
        </w:rPr>
        <w:t>have a more </w:t>
      </w:r>
      <w:r>
        <w:rPr>
          <w:spacing w:val="-3"/>
          <w:w w:val="105"/>
        </w:rPr>
        <w:t>muted </w:t>
      </w:r>
      <w:r>
        <w:rPr>
          <w:w w:val="105"/>
        </w:rPr>
        <w:t>impact on </w:t>
      </w:r>
      <w:r>
        <w:rPr>
          <w:spacing w:val="-3"/>
          <w:w w:val="105"/>
        </w:rPr>
        <w:t>overall </w:t>
      </w:r>
      <w:r>
        <w:rPr>
          <w:w w:val="105"/>
        </w:rPr>
        <w:t>wage </w:t>
      </w:r>
      <w:r>
        <w:rPr>
          <w:spacing w:val="-3"/>
          <w:w w:val="105"/>
        </w:rPr>
        <w:t>pressures. </w:t>
      </w:r>
      <w:r>
        <w:rPr>
          <w:w w:val="105"/>
        </w:rPr>
        <w:t>That will</w:t>
      </w:r>
      <w:r>
        <w:rPr>
          <w:spacing w:val="3"/>
          <w:w w:val="105"/>
        </w:rPr>
        <w:t> </w:t>
      </w:r>
      <w:r>
        <w:rPr>
          <w:w w:val="105"/>
        </w:rPr>
        <w:t>be</w:t>
      </w:r>
    </w:p>
    <w:p>
      <w:pPr>
        <w:spacing w:after="0" w:line="292" w:lineRule="auto"/>
        <w:sectPr>
          <w:type w:val="continuous"/>
          <w:pgSz w:w="11900" w:h="16840"/>
          <w:pgMar w:top="1260" w:bottom="280" w:left="640" w:right="640"/>
          <w:cols w:num="2" w:equalWidth="0">
            <w:col w:w="3853" w:space="1076"/>
            <w:col w:w="5691"/>
          </w:cols>
        </w:sectPr>
      </w:pPr>
    </w:p>
    <w:p>
      <w:pPr>
        <w:pStyle w:val="BodyText"/>
        <w:spacing w:before="2"/>
        <w:rPr>
          <w:sz w:val="17"/>
        </w:rPr>
      </w:pPr>
    </w:p>
    <w:p>
      <w:pPr>
        <w:pStyle w:val="BodyText"/>
        <w:spacing w:line="20" w:lineRule="exact"/>
        <w:ind w:left="18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7"/>
        <w:rPr>
          <w:sz w:val="13"/>
        </w:rPr>
      </w:pPr>
      <w:r>
        <w:rPr/>
        <w:pict>
          <v:shape style="position:absolute;margin-left:41.675999pt;margin-top:10.064pt;width:4.350pt;height:.1pt;mso-position-horizontal-relative:page;mso-position-vertical-relative:paragraph;z-index:-15305728;mso-wrap-distance-left:0;mso-wrap-distance-right:0" coordorigin="834,201" coordsize="87,0" path="m834,201l920,201e" filled="false" stroked="true" strokeweight=".5pt" strokecolor="#000000">
            <v:path arrowok="t"/>
            <v:stroke dashstyle="solid"/>
            <w10:wrap type="topAndBottom"/>
          </v:shape>
        </w:pict>
      </w:r>
      <w:r>
        <w:rPr/>
        <w:pict>
          <v:shape style="position:absolute;margin-left:41.675999pt;margin-top:20.878pt;width:4.350pt;height:.1pt;mso-position-horizontal-relative:page;mso-position-vertical-relative:paragraph;z-index:-15305216;mso-wrap-distance-left:0;mso-wrap-distance-right:0" coordorigin="834,418" coordsize="87,0" path="m834,418l920,418e" filled="false" stroked="true" strokeweight=".5pt" strokecolor="#000000">
            <v:path arrowok="t"/>
            <v:stroke dashstyle="solid"/>
            <w10:wrap type="topAndBottom"/>
          </v:shape>
        </w:pict>
      </w:r>
      <w:r>
        <w:rPr/>
        <w:pict>
          <v:shape style="position:absolute;margin-left:41.675999pt;margin-top:31.691pt;width:4.350pt;height:.1pt;mso-position-horizontal-relative:page;mso-position-vertical-relative:paragraph;z-index:-15304704;mso-wrap-distance-left:0;mso-wrap-distance-right:0" coordorigin="834,634" coordsize="87,0" path="m834,634l920,634e" filled="false" stroked="true" strokeweight=".5pt" strokecolor="#000000">
            <v:path arrowok="t"/>
            <v:stroke dashstyle="solid"/>
            <w10:wrap type="topAndBottom"/>
          </v:shape>
        </w:pict>
      </w:r>
      <w:r>
        <w:rPr/>
        <w:pict>
          <v:shape style="position:absolute;margin-left:41.675999pt;margin-top:42.505001pt;width:4.350pt;height:.1pt;mso-position-horizontal-relative:page;mso-position-vertical-relative:paragraph;z-index:-15304192;mso-wrap-distance-left:0;mso-wrap-distance-right:0" coordorigin="834,850" coordsize="87,0" path="m834,850l920,850e" filled="false" stroked="true" strokeweight=".5pt" strokecolor="#000000">
            <v:path arrowok="t"/>
            <v:stroke dashstyle="solid"/>
            <w10:wrap type="topAndBottom"/>
          </v:shape>
        </w:pict>
      </w:r>
      <w:r>
        <w:rPr/>
        <w:pict>
          <v:shape style="position:absolute;margin-left:41.675999pt;margin-top:53.319pt;width:4.350pt;height:.1pt;mso-position-horizontal-relative:page;mso-position-vertical-relative:paragraph;z-index:-15303680;mso-wrap-distance-left:0;mso-wrap-distance-right:0" coordorigin="834,1066" coordsize="87,0" path="m834,1066l920,1066e" filled="false" stroked="true" strokeweight=".5pt" strokecolor="#000000">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3"/>
        </w:rPr>
      </w:pPr>
    </w:p>
    <w:p>
      <w:pPr>
        <w:spacing w:before="0"/>
        <w:ind w:left="193" w:right="0" w:firstLine="0"/>
        <w:jc w:val="left"/>
        <w:rPr>
          <w:rFonts w:ascii="Georgia"/>
          <w:sz w:val="16"/>
        </w:rPr>
      </w:pPr>
      <w:r>
        <w:rPr>
          <w:rFonts w:ascii="Georgia"/>
          <w:sz w:val="16"/>
          <w:u w:val="single"/>
        </w:rPr>
        <w:t>B</w:t>
      </w:r>
      <w:r>
        <w:rPr>
          <w:rFonts w:ascii="Georgia"/>
          <w:sz w:val="16"/>
        </w:rPr>
        <w:t>CC survey</w:t>
      </w:r>
    </w:p>
    <w:p>
      <w:pPr>
        <w:spacing w:line="208" w:lineRule="auto" w:before="119"/>
        <w:ind w:left="806" w:right="0" w:hanging="61"/>
        <w:jc w:val="left"/>
        <w:rPr>
          <w:sz w:val="12"/>
        </w:rPr>
      </w:pPr>
      <w:r>
        <w:rPr/>
        <w:pict>
          <v:line style="position:absolute;mso-position-horizontal-relative:page;mso-position-vertical-relative:paragraph;z-index:16158720" from="41.675999pt,8.182362pt" to="46.008999pt,8.182362pt" stroked="true" strokeweight=".5pt" strokecolor="#000000">
            <v:stroke dashstyle="solid"/>
            <w10:wrap type="none"/>
          </v:line>
        </w:pict>
      </w:r>
      <w:r>
        <w:rPr/>
        <w:pict>
          <v:line style="position:absolute;mso-position-horizontal-relative:page;mso-position-vertical-relative:paragraph;z-index:16159232" from="41.675999pt,16.322361pt" to="46.008999pt,16.322361pt" stroked="true" strokeweight=".5pt" strokecolor="#000000">
            <v:stroke dashstyle="solid"/>
            <w10:wrap type="none"/>
          </v:line>
        </w:pict>
      </w:r>
      <w:r>
        <w:rPr/>
        <w:pict>
          <v:line style="position:absolute;mso-position-horizontal-relative:page;mso-position-vertical-relative:paragraph;z-index:16159744" from="41.675999pt,48.883362pt" to="46.008999pt,48.883362pt" stroked="true" strokeweight=".5pt" strokecolor="#000000">
            <v:stroke dashstyle="solid"/>
            <w10:wrap type="none"/>
          </v:line>
        </w:pict>
      </w:r>
      <w:r>
        <w:rPr>
          <w:w w:val="105"/>
          <w:sz w:val="12"/>
        </w:rPr>
        <w:t>Manufacturing recruitment difficulties (b)</w:t>
      </w:r>
    </w:p>
    <w:p>
      <w:pPr>
        <w:pStyle w:val="BodyText"/>
        <w:spacing w:before="10"/>
        <w:rPr>
          <w:sz w:val="10"/>
        </w:rPr>
      </w:pPr>
    </w:p>
    <w:p>
      <w:pPr>
        <w:pStyle w:val="BodyText"/>
        <w:spacing w:line="20" w:lineRule="exact"/>
        <w:ind w:left="18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1"/>
        <w:rPr>
          <w:sz w:val="9"/>
        </w:rPr>
      </w:pPr>
      <w:r>
        <w:rPr/>
        <w:pict>
          <v:shape style="position:absolute;margin-left:41.675999pt;margin-top:7.424299pt;width:4.350pt;height:.1pt;mso-position-horizontal-relative:page;mso-position-vertical-relative:paragraph;z-index:-15302656;mso-wrap-distance-left:0;mso-wrap-distance-right:0" coordorigin="834,148" coordsize="87,0" path="m834,148l920,148e" filled="false" stroked="true" strokeweight=".5pt" strokecolor="#000000">
            <v:path arrowok="t"/>
            <v:stroke dashstyle="solid"/>
            <w10:wrap type="topAndBottom"/>
          </v:shape>
        </w:pict>
      </w:r>
      <w:r>
        <w:rPr/>
        <w:pict>
          <v:shape style="position:absolute;margin-left:41.675999pt;margin-top:15.565299pt;width:4.350pt;height:.1pt;mso-position-horizontal-relative:page;mso-position-vertical-relative:paragraph;z-index:-15302144;mso-wrap-distance-left:0;mso-wrap-distance-right:0" coordorigin="834,311" coordsize="87,0" path="m834,311l920,311e" filled="false" stroked="true" strokeweight=".5pt" strokecolor="#000000">
            <v:path arrowok="t"/>
            <v:stroke dashstyle="solid"/>
            <w10:wrap type="topAndBottom"/>
          </v:shape>
        </w:pict>
      </w:r>
    </w:p>
    <w:p>
      <w:pPr>
        <w:pStyle w:val="BodyText"/>
        <w:spacing w:before="4"/>
        <w:rPr>
          <w:sz w:val="7"/>
        </w:rPr>
      </w:pPr>
    </w:p>
    <w:p>
      <w:pPr>
        <w:spacing w:line="208" w:lineRule="auto" w:before="55"/>
        <w:ind w:left="1323" w:right="0" w:hanging="61"/>
        <w:jc w:val="left"/>
        <w:rPr>
          <w:sz w:val="12"/>
        </w:rPr>
      </w:pPr>
      <w:r>
        <w:rPr>
          <w:w w:val="105"/>
          <w:sz w:val="12"/>
        </w:rPr>
        <w:t>Services recruitment difficulties (b)</w:t>
      </w:r>
    </w:p>
    <w:p>
      <w:pPr>
        <w:pStyle w:val="BodyText"/>
        <w:spacing w:line="20" w:lineRule="exact"/>
        <w:ind w:left="18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7"/>
        <w:rPr>
          <w:sz w:val="11"/>
        </w:rPr>
      </w:pPr>
    </w:p>
    <w:p>
      <w:pPr>
        <w:pStyle w:val="BodyText"/>
        <w:spacing w:line="20" w:lineRule="exact"/>
        <w:ind w:left="18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38" w:lineRule="exact" w:before="0"/>
        <w:ind w:left="0" w:right="38" w:firstLine="0"/>
        <w:jc w:val="right"/>
        <w:rPr>
          <w:sz w:val="12"/>
        </w:rPr>
      </w:pPr>
      <w:r>
        <w:rPr/>
        <w:br w:type="column"/>
      </w:r>
      <w:r>
        <w:rPr>
          <w:w w:val="120"/>
          <w:sz w:val="12"/>
        </w:rPr>
        <w:t>60</w:t>
      </w:r>
    </w:p>
    <w:p>
      <w:pPr>
        <w:spacing w:before="77"/>
        <w:ind w:left="0" w:right="38" w:firstLine="0"/>
        <w:jc w:val="right"/>
        <w:rPr>
          <w:sz w:val="12"/>
        </w:rPr>
      </w:pPr>
      <w:r>
        <w:rPr/>
        <w:pict>
          <v:group style="position:absolute;margin-left:50.297001pt;margin-top:.819542pt;width:151.450pt;height:62.15pt;mso-position-horizontal-relative:page;mso-position-vertical-relative:paragraph;z-index:16157696" coordorigin="1006,16" coordsize="3029,1243">
            <v:shape style="position:absolute;left:1015;top:658;width:173;height:565" coordorigin="1016,659" coordsize="173,565" path="m1016,1224l1036,1181m1036,1181l1066,1159m1066,1159l1086,1181m1086,1181l1116,1051m1116,1051l1136,899m1136,899l1168,746m1168,746l1188,659e" filled="false" stroked="true" strokeweight="1pt" strokecolor="#972140">
              <v:path arrowok="t"/>
              <v:stroke dashstyle="solid"/>
            </v:shape>
            <v:line style="position:absolute" from="1203,649" to="1203,1039" stroked="true" strokeweight="2.5pt" strokecolor="#972140">
              <v:stroke dashstyle="solid"/>
            </v:line>
            <v:line style="position:absolute" from="1228,824" to="1228,1039" stroked="true" strokeweight="2pt" strokecolor="#972140">
              <v:stroke dashstyle="solid"/>
            </v:line>
            <v:shape style="position:absolute;left:1238;top:833;width:50;height:85" coordorigin="1238,834" coordsize="50,85" path="m1238,834l1268,854m1268,854l1288,919e" filled="false" stroked="true" strokeweight="1pt" strokecolor="#972140">
              <v:path arrowok="t"/>
              <v:stroke dashstyle="solid"/>
            </v:shape>
            <v:line style="position:absolute" from="1298,909" to="1298,1169" stroked="true" strokeweight="2pt" strokecolor="#972140">
              <v:stroke dashstyle="solid"/>
            </v:line>
            <v:shape style="position:absolute;left:1308;top:1158;width:50;height:43" coordorigin="1308,1159" coordsize="50,43" path="m1308,1159l1338,1181m1338,1181l1358,1201e" filled="false" stroked="true" strokeweight="1pt" strokecolor="#972140">
              <v:path arrowok="t"/>
              <v:stroke dashstyle="solid"/>
            </v:shape>
            <v:line style="position:absolute" from="1348,1203" to="1398,1203" stroked="true" strokeweight="1.125pt" strokecolor="#972140">
              <v:stroke dashstyle="solid"/>
            </v:line>
            <v:shape style="position:absolute;left:1388;top:1181;width:70;height:43" coordorigin="1388,1181" coordsize="70,43" path="m1388,1201l1408,1224m1408,1224l1438,1181m1438,1181l1458,1184e" filled="false" stroked="true" strokeweight="1pt" strokecolor="#972140">
              <v:path arrowok="t"/>
              <v:stroke dashstyle="solid"/>
            </v:shape>
            <v:line style="position:absolute" from="1448,1183" to="1498,1183" stroked="true" strokeweight="1.125pt" strokecolor="#972140">
              <v:stroke dashstyle="solid"/>
            </v:line>
            <v:line style="position:absolute" from="1488,1181" to="1511,1136" stroked="true" strokeweight="1pt" strokecolor="#972140">
              <v:stroke dashstyle="solid"/>
            </v:line>
            <v:line style="position:absolute" from="1501,1138" to="1551,1138" stroked="true" strokeweight="1.125pt" strokecolor="#972140">
              <v:stroke dashstyle="solid"/>
            </v:line>
            <v:shape style="position:absolute;left:1540;top:1116;width:90;height:45" coordorigin="1541,1116" coordsize="90,45" path="m1541,1136l1561,1116m1561,1116l1591,1136m1591,1136l1611,1159m1611,1159l1631,1161e" filled="false" stroked="true" strokeweight="1pt" strokecolor="#972140">
              <v:path arrowok="t"/>
              <v:stroke dashstyle="solid"/>
            </v:shape>
            <v:line style="position:absolute" from="1621,1160" to="1671,1160" stroked="true" strokeweight="1.125pt" strokecolor="#972140">
              <v:stroke dashstyle="solid"/>
            </v:line>
            <v:shape style="position:absolute;left:1660;top:1116;width:243;height:130" coordorigin="1661,1116" coordsize="243,130" path="m1661,1159l1681,1136m1681,1136l1711,1159m1711,1159l1731,1116m1731,1116l1761,1136m1761,1136l1781,1181m1781,1181l1811,1201m1811,1201l1831,1224m1831,1224l1863,1246m1863,1246l1883,1224m1883,1224l1903,1246e" filled="false" stroked="true" strokeweight="1pt" strokecolor="#972140">
              <v:path arrowok="t"/>
              <v:stroke dashstyle="solid"/>
            </v:shape>
            <v:line style="position:absolute" from="1893,1248" to="1943,1248" stroked="true" strokeweight="1.125pt" strokecolor="#972140">
              <v:stroke dashstyle="solid"/>
            </v:line>
            <v:line style="position:absolute" from="1933,1246" to="1953,1224" stroked="true" strokeweight="1pt" strokecolor="#972140">
              <v:stroke dashstyle="solid"/>
            </v:line>
            <v:line style="position:absolute" from="1943,1225" to="1993,1225" stroked="true" strokeweight="1.125pt" strokecolor="#972140">
              <v:stroke dashstyle="solid"/>
            </v:line>
            <v:shape style="position:absolute;left:1983;top:1201;width:243;height:45" coordorigin="1983,1201" coordsize="243,45" path="m1983,1224l2003,1246m2003,1246l2033,1224m2033,1224l2053,1226m2053,1224l2083,1246m2083,1246l2103,1201m2103,1201l2133,1224m2133,1224l2153,1226m2153,1224l2173,1226m2173,1224l2203,1201m2203,1201l2226,1224e" filled="false" stroked="true" strokeweight="1pt" strokecolor="#972140">
              <v:path arrowok="t"/>
              <v:stroke dashstyle="solid"/>
            </v:shape>
            <v:line style="position:absolute" from="2216,1225" to="2266,1225" stroked="true" strokeweight="1.125pt" strokecolor="#972140">
              <v:stroke dashstyle="solid"/>
            </v:line>
            <v:line style="position:absolute" from="2256,1224" to="2276,1226" stroked="true" strokeweight="1pt" strokecolor="#972140">
              <v:stroke dashstyle="solid"/>
            </v:line>
            <v:line style="position:absolute" from="2266,1225" to="2316,1225" stroked="true" strokeweight="1.125pt" strokecolor="#972140">
              <v:stroke dashstyle="solid"/>
            </v:line>
            <v:shape style="position:absolute;left:2305;top:1201;width:70;height:25" coordorigin="2306,1201" coordsize="70,25" path="m2306,1224l2326,1226m2326,1224l2356,1201m2356,1201l2376,1224e" filled="false" stroked="true" strokeweight="1pt" strokecolor="#972140">
              <v:path arrowok="t"/>
              <v:stroke dashstyle="solid"/>
            </v:shape>
            <v:line style="position:absolute" from="2366,1225" to="2416,1225" stroked="true" strokeweight="1.125pt" strokecolor="#972140">
              <v:stroke dashstyle="solid"/>
            </v:line>
            <v:line style="position:absolute" from="2406,1224" to="2426,1226" stroked="true" strokeweight="1pt" strokecolor="#972140">
              <v:stroke dashstyle="solid"/>
            </v:line>
            <v:line style="position:absolute" from="2416,1225" to="2466,1225" stroked="true" strokeweight="1.125pt" strokecolor="#972140">
              <v:stroke dashstyle="solid"/>
            </v:line>
            <v:shape style="position:absolute;left:2455;top:1116;width:465;height:110" coordorigin="2456,1116" coordsize="465,110" path="m2456,1224l2476,1226m2476,1224l2496,1226m2496,1224l2526,1201m2526,1201l2546,1181m2546,1181l2578,1136m2578,1136l2598,1159m2598,1159l2628,1181m2628,1181l2648,1116m2648,1116l2678,1159m2678,1159l2698,1136m2698,1136l2728,1181m2728,1181l2748,1159m2748,1159l2768,1181m2768,1181l2798,1201m2798,1201l2818,1204m2818,1201l2848,1181m2848,1181l2868,1201m2868,1201l2898,1224m2898,1224l2921,1226e" filled="false" stroked="true" strokeweight="1pt" strokecolor="#972140">
              <v:path arrowok="t"/>
              <v:stroke dashstyle="solid"/>
            </v:shape>
            <v:line style="position:absolute" from="2911,1225" to="2961,1225" stroked="true" strokeweight="1.125pt" strokecolor="#972140">
              <v:stroke dashstyle="solid"/>
            </v:line>
            <v:shape style="position:absolute;left:2950;top:1201;width:190;height:48" coordorigin="2951,1201" coordsize="190,48" path="m2951,1224l2971,1226m2971,1224l3001,1246m3001,1246l3021,1224m3021,1224l3041,1226m3041,1224l3071,1246m3071,1246l3091,1249m3091,1246l3121,1201m3121,1201l3141,1224e" filled="false" stroked="true" strokeweight="1pt" strokecolor="#972140">
              <v:path arrowok="t"/>
              <v:stroke dashstyle="solid"/>
            </v:shape>
            <v:line style="position:absolute" from="3131,1225" to="3181,1225" stroked="true" strokeweight="1.125pt" strokecolor="#972140">
              <v:stroke dashstyle="solid"/>
            </v:line>
            <v:line style="position:absolute" from="3171,1224" to="3191,1226" stroked="true" strokeweight="1pt" strokecolor="#972140">
              <v:stroke dashstyle="solid"/>
            </v:line>
            <v:line style="position:absolute" from="3181,1225" to="3231,1225" stroked="true" strokeweight="1.125pt" strokecolor="#972140">
              <v:stroke dashstyle="solid"/>
            </v:line>
            <v:line style="position:absolute" from="3221,1224" to="3241,1201" stroked="true" strokeweight="1pt" strokecolor="#972140">
              <v:stroke dashstyle="solid"/>
            </v:line>
            <v:line style="position:absolute" from="3231,1203" to="3283,1203" stroked="true" strokeweight="1.125pt" strokecolor="#972140">
              <v:stroke dashstyle="solid"/>
            </v:line>
            <v:shape style="position:absolute;left:3273;top:1201;width:140;height:23" coordorigin="3273,1201" coordsize="140,23" path="m3273,1201l3293,1204m3293,1201l3313,1204m3313,1201l3343,1224m3343,1224l3363,1201m3363,1201l3393,1224m3393,1224l3413,1201e" filled="false" stroked="true" strokeweight="1pt" strokecolor="#972140">
              <v:path arrowok="t"/>
              <v:stroke dashstyle="solid"/>
            </v:shape>
            <v:line style="position:absolute" from="3403,1203" to="3453,1203" stroked="true" strokeweight="1.125pt" strokecolor="#972140">
              <v:stroke dashstyle="solid"/>
            </v:line>
            <v:line style="position:absolute" from="3443,1201" to="3463,1204" stroked="true" strokeweight="1pt" strokecolor="#972140">
              <v:stroke dashstyle="solid"/>
            </v:line>
            <v:line style="position:absolute" from="3453,1203" to="3503,1203" stroked="true" strokeweight="1.125pt" strokecolor="#972140">
              <v:stroke dashstyle="solid"/>
            </v:line>
            <v:shape style="position:absolute;left:3493;top:1136;width:70;height:68" coordorigin="3493,1136" coordsize="70,68" path="m3493,1201l3513,1204m3513,1201l3543,1181m3543,1181l3563,1136e" filled="false" stroked="true" strokeweight="1pt" strokecolor="#972140">
              <v:path arrowok="t"/>
              <v:stroke dashstyle="solid"/>
            </v:shape>
            <v:line style="position:absolute" from="3553,1138" to="3603,1138" stroked="true" strokeweight="1.125pt" strokecolor="#972140">
              <v:stroke dashstyle="solid"/>
            </v:line>
            <v:shape style="position:absolute;left:3593;top:1093;width:293;height:130" coordorigin="3593,1094" coordsize="293,130" path="m3593,1136l3613,1201m3613,1201l3636,1204m3636,1201l3666,1224m3666,1224l3686,1181m3686,1181l3716,1201m3716,1201l3736,1094m3736,1094l3766,1136m3766,1136l3786,1201m3786,1201l3816,1181m3816,1181l3836,1184m3836,1181l3866,1201m3866,1201l3886,1181e" filled="false" stroked="true" strokeweight="1pt" strokecolor="#972140">
              <v:path arrowok="t"/>
              <v:stroke dashstyle="solid"/>
            </v:shape>
            <v:shape style="position:absolute;left:1015;top:148;width:203;height:880" coordorigin="1016,149" coordsize="203,880" path="m1016,1029l1036,964m1036,964l1066,984m1066,984l1086,964m1086,964l1116,769m1116,769l1136,604m1136,604l1168,321m1168,321l1188,149m1188,149l1218,659e" filled="false" stroked="true" strokeweight="1pt" strokecolor="#006caa">
              <v:path arrowok="t"/>
              <v:stroke dashstyle="solid"/>
            </v:shape>
            <v:line style="position:absolute" from="1228,376" to="1228,669" stroked="true" strokeweight="2pt" strokecolor="#006caa">
              <v:stroke dashstyle="solid"/>
            </v:line>
            <v:shape style="position:absolute;left:1238;top:366;width:50;height:153" coordorigin="1238,366" coordsize="50,153" path="m1238,386l1268,366m1268,366l1288,519e" filled="false" stroked="true" strokeweight="1pt" strokecolor="#006caa">
              <v:path arrowok="t"/>
              <v:stroke dashstyle="solid"/>
            </v:shape>
            <v:line style="position:absolute" from="1298,509" to="1298,756" stroked="true" strokeweight="2pt" strokecolor="#006caa">
              <v:stroke dashstyle="solid"/>
            </v:line>
            <v:shape style="position:absolute;left:1308;top:658;width:595;height:543" coordorigin="1308,659" coordsize="595,543" path="m1308,746l1338,899m1338,899l1358,941m1358,941l1388,984m1388,984l1408,1051m1408,1051l1438,964m1438,964l1458,899m1458,899l1488,919m1488,919l1511,921m1511,919l1541,746m1541,746l1561,789m1561,789l1591,834m1591,834l1611,854m1611,854l1631,811m1631,811l1661,769m1661,769l1681,659m1681,659l1711,811m1711,811l1731,746m1731,746l1761,789m1761,789l1781,811m1781,811l1811,964m1811,964l1831,1029m1831,1029l1863,1136m1863,1136l1883,1159m1883,1159l1903,1201e" filled="false" stroked="true" strokeweight="1pt" strokecolor="#006caa">
              <v:path arrowok="t"/>
              <v:stroke dashstyle="solid"/>
            </v:shape>
            <v:line style="position:absolute" from="1893,1203" to="1943,1203" stroked="true" strokeweight="1.125pt" strokecolor="#006caa">
              <v:stroke dashstyle="solid"/>
            </v:line>
            <v:line style="position:absolute" from="1933,1201" to="1953,1181" stroked="true" strokeweight="1pt" strokecolor="#006caa">
              <v:stroke dashstyle="solid"/>
            </v:line>
            <v:line style="position:absolute" from="1943,1183" to="1993,1183" stroked="true" strokeweight="1.125pt" strokecolor="#006caa">
              <v:stroke dashstyle="solid"/>
            </v:line>
            <v:shape style="position:absolute;left:1983;top:636;width:1480;height:565" coordorigin="1983,636" coordsize="1480,565" path="m1983,1181l2003,1184m2003,1181l2033,1201m2033,1201l2053,1159m2053,1159l2083,1181m2083,1181l2103,1201m2103,1201l2133,1159m2133,1159l2153,1116m2153,1116l2173,1119m2173,1116l2203,1094m2203,1094l2226,1071m2226,1071l2256,1051m2256,1051l2276,1054m2276,1051l2306,1006m2306,1006l2326,984m2326,984l2356,919m2356,919l2376,921m2376,919l2406,1029m2406,1029l2426,964m2426,964l2456,984m2456,984l2476,986m2476,984l2496,1051m2496,1051l2526,984m2526,984l2546,854m2546,854l2578,834m2578,834l2598,811m2598,811l2628,834m2628,834l2648,769m2648,769l2678,636m2678,636l2698,701m2698,701l2728,769m2728,769l2748,724m2748,724l2768,834m2768,834l2798,854m2798,854l2818,964m2818,964l2848,919m2848,919l2868,1029m2868,1029l2898,1116m2898,1116l2921,1119m2921,1116l2951,1136m2951,1136l2971,1139m2971,1136l3001,1159m3001,1159l3021,1136m3021,1136l3041,1159m3041,1159l3071,1181m3071,1181l3091,1184m3091,1181l3121,1116m3121,1116l3141,1136m3141,1136l3171,1071m3171,1071l3191,1136m3191,1136l3221,1094m3221,1094l3241,1051m3241,1051l3273,1029m3273,1029l3293,1031m3293,1029l3313,1006m3313,1006l3343,1029m3343,1029l3363,1031m3363,1029l3393,1051m3393,1051l3413,1054m3413,1051l3443,1006m3443,1006l3463,1029e" filled="false" stroked="true" strokeweight="1pt" strokecolor="#006caa">
              <v:path arrowok="t"/>
              <v:stroke dashstyle="solid"/>
            </v:shape>
            <v:line style="position:absolute" from="3453,1030" to="3503,1030" stroked="true" strokeweight="1.125pt" strokecolor="#006caa">
              <v:stroke dashstyle="solid"/>
            </v:line>
            <v:shape style="position:absolute;left:3493;top:853;width:393;height:263" coordorigin="3493,854" coordsize="393,263" path="m3493,1029l3513,1006m3513,1006l3543,964m3543,964l3563,876m3563,876l3593,941m3593,941l3613,919m3613,919l3636,984m3636,984l3666,1071m3666,1071l3686,984m3686,984l3716,1116m3716,1116l3736,1051m3736,1051l3766,1006m3766,1006l3786,964m3786,964l3816,941m3816,941l3836,899m3836,899l3866,876m3866,876l3886,854e" filled="false" stroked="true" strokeweight="1pt" strokecolor="#006caa">
              <v:path arrowok="t"/>
              <v:stroke dashstyle="solid"/>
            </v:shape>
            <v:line style="position:absolute" from="2942,534" to="2796,1094" stroked="true" strokeweight=".5pt" strokecolor="#000000">
              <v:stroke dashstyle="solid"/>
            </v:line>
            <v:shape style="position:absolute;left:2775;top:1070;width:49;height:89" coordorigin="2776,1071" coordsize="49,89" path="m2776,1071l2778,1088,2779,1100,2780,1114,2780,1127,2780,1139,2780,1150,2779,1159,2782,1151,2825,1083,2776,1071xe" filled="true" fillcolor="#000000" stroked="false">
              <v:path arrowok="t"/>
              <v:fill type="solid"/>
            </v:shape>
            <v:shape style="position:absolute;left:3947;top:164;width:87;height:1082" coordorigin="3948,164" coordsize="87,1082" path="m3948,164l4034,164m3948,380l4034,380m3948,597l4034,597m3948,1029l4034,1029m3948,813l4034,813m3948,1246l4034,1246e" filled="false" stroked="true" strokeweight=".5pt" strokecolor="#000000">
              <v:path arrowok="t"/>
              <v:stroke dashstyle="solid"/>
            </v:shape>
            <v:shape style="position:absolute;left:1161;top:16;width:1148;height:241" type="#_x0000_t202" filled="false" stroked="false">
              <v:textbox inset="0,0,0,0">
                <w:txbxContent>
                  <w:p>
                    <w:pPr>
                      <w:spacing w:line="106" w:lineRule="exact" w:before="0"/>
                      <w:ind w:left="0" w:right="0" w:firstLine="0"/>
                      <w:jc w:val="left"/>
                      <w:rPr>
                        <w:sz w:val="12"/>
                      </w:rPr>
                    </w:pPr>
                    <w:r>
                      <w:rPr>
                        <w:w w:val="105"/>
                        <w:sz w:val="12"/>
                      </w:rPr>
                      <w:t>Manufacturing</w:t>
                    </w:r>
                    <w:r>
                      <w:rPr>
                        <w:spacing w:val="10"/>
                        <w:w w:val="105"/>
                        <w:sz w:val="12"/>
                      </w:rPr>
                      <w:t> </w:t>
                    </w:r>
                    <w:r>
                      <w:rPr>
                        <w:w w:val="105"/>
                        <w:sz w:val="12"/>
                      </w:rPr>
                      <w:t>skilled</w:t>
                    </w:r>
                  </w:p>
                  <w:p>
                    <w:pPr>
                      <w:spacing w:line="129" w:lineRule="exact" w:before="0"/>
                      <w:ind w:left="60" w:right="0" w:firstLine="0"/>
                      <w:jc w:val="left"/>
                      <w:rPr>
                        <w:sz w:val="12"/>
                      </w:rPr>
                    </w:pPr>
                    <w:r>
                      <w:rPr>
                        <w:w w:val="110"/>
                        <w:sz w:val="12"/>
                      </w:rPr>
                      <w:t>labour shortages</w:t>
                    </w:r>
                    <w:r>
                      <w:rPr>
                        <w:spacing w:val="-20"/>
                        <w:w w:val="110"/>
                        <w:sz w:val="12"/>
                      </w:rPr>
                      <w:t> </w:t>
                    </w:r>
                    <w:r>
                      <w:rPr>
                        <w:w w:val="110"/>
                        <w:sz w:val="12"/>
                      </w:rPr>
                      <w:t>(a)</w:t>
                    </w:r>
                  </w:p>
                </w:txbxContent>
              </v:textbox>
              <w10:wrap type="none"/>
            </v:shape>
            <v:shape style="position:absolute;left:2618;top:277;width:1110;height:241" type="#_x0000_t202" filled="false" stroked="false">
              <v:textbox inset="0,0,0,0">
                <w:txbxContent>
                  <w:p>
                    <w:pPr>
                      <w:spacing w:line="106" w:lineRule="exact" w:before="0"/>
                      <w:ind w:left="0" w:right="0" w:firstLine="0"/>
                      <w:jc w:val="left"/>
                      <w:rPr>
                        <w:sz w:val="12"/>
                      </w:rPr>
                    </w:pPr>
                    <w:r>
                      <w:rPr>
                        <w:w w:val="110"/>
                        <w:sz w:val="12"/>
                      </w:rPr>
                      <w:t>Manufacturing</w:t>
                    </w:r>
                    <w:r>
                      <w:rPr>
                        <w:spacing w:val="-13"/>
                        <w:w w:val="110"/>
                        <w:sz w:val="12"/>
                      </w:rPr>
                      <w:t> </w:t>
                    </w:r>
                    <w:r>
                      <w:rPr>
                        <w:w w:val="110"/>
                        <w:sz w:val="12"/>
                      </w:rPr>
                      <w:t>other</w:t>
                    </w:r>
                  </w:p>
                  <w:p>
                    <w:pPr>
                      <w:spacing w:line="129" w:lineRule="exact" w:before="0"/>
                      <w:ind w:left="60" w:right="0" w:firstLine="0"/>
                      <w:jc w:val="left"/>
                      <w:rPr>
                        <w:sz w:val="12"/>
                      </w:rPr>
                    </w:pPr>
                    <w:r>
                      <w:rPr>
                        <w:w w:val="110"/>
                        <w:sz w:val="12"/>
                      </w:rPr>
                      <w:t>labour shortages</w:t>
                    </w:r>
                    <w:r>
                      <w:rPr>
                        <w:spacing w:val="-20"/>
                        <w:w w:val="110"/>
                        <w:sz w:val="12"/>
                      </w:rPr>
                      <w:t> </w:t>
                    </w:r>
                    <w:r>
                      <w:rPr>
                        <w:w w:val="110"/>
                        <w:sz w:val="12"/>
                      </w:rPr>
                      <w:t>(a)</w:t>
                    </w:r>
                  </w:p>
                </w:txbxContent>
              </v:textbox>
              <w10:wrap type="none"/>
            </v:shape>
            <w10:wrap type="none"/>
          </v:group>
        </w:pict>
      </w:r>
      <w:r>
        <w:rPr>
          <w:w w:val="120"/>
          <w:sz w:val="12"/>
        </w:rPr>
        <w:t>50</w:t>
      </w:r>
    </w:p>
    <w:p>
      <w:pPr>
        <w:spacing w:before="78"/>
        <w:ind w:left="0" w:right="38" w:firstLine="0"/>
        <w:jc w:val="right"/>
        <w:rPr>
          <w:sz w:val="12"/>
        </w:rPr>
      </w:pPr>
      <w:r>
        <w:rPr>
          <w:w w:val="120"/>
          <w:sz w:val="12"/>
        </w:rPr>
        <w:t>40</w:t>
      </w:r>
    </w:p>
    <w:p>
      <w:pPr>
        <w:spacing w:before="77"/>
        <w:ind w:left="0" w:right="38" w:firstLine="0"/>
        <w:jc w:val="right"/>
        <w:rPr>
          <w:sz w:val="12"/>
        </w:rPr>
      </w:pPr>
      <w:r>
        <w:rPr>
          <w:w w:val="120"/>
          <w:sz w:val="12"/>
        </w:rPr>
        <w:t>30</w:t>
      </w:r>
    </w:p>
    <w:p>
      <w:pPr>
        <w:spacing w:before="77"/>
        <w:ind w:left="0" w:right="38" w:firstLine="0"/>
        <w:jc w:val="right"/>
        <w:rPr>
          <w:sz w:val="12"/>
        </w:rPr>
      </w:pPr>
      <w:r>
        <w:rPr>
          <w:w w:val="120"/>
          <w:sz w:val="12"/>
        </w:rPr>
        <w:t>20</w:t>
      </w:r>
    </w:p>
    <w:p>
      <w:pPr>
        <w:spacing w:before="78"/>
        <w:ind w:left="0" w:right="38" w:firstLine="0"/>
        <w:jc w:val="right"/>
        <w:rPr>
          <w:sz w:val="12"/>
        </w:rPr>
      </w:pPr>
      <w:r>
        <w:rPr>
          <w:w w:val="120"/>
          <w:sz w:val="12"/>
        </w:rPr>
        <w:t>10</w:t>
      </w:r>
    </w:p>
    <w:p>
      <w:pPr>
        <w:spacing w:before="77"/>
        <w:ind w:left="0" w:right="38" w:firstLine="0"/>
        <w:jc w:val="right"/>
        <w:rPr>
          <w:sz w:val="12"/>
        </w:rPr>
      </w:pPr>
      <w:r>
        <w:rPr>
          <w:w w:val="121"/>
          <w:sz w:val="12"/>
        </w:rPr>
        <w:t>0</w:t>
      </w:r>
    </w:p>
    <w:p>
      <w:pPr>
        <w:pStyle w:val="BodyText"/>
        <w:rPr>
          <w:sz w:val="15"/>
        </w:rPr>
      </w:pPr>
    </w:p>
    <w:p>
      <w:pPr>
        <w:spacing w:before="0"/>
        <w:ind w:left="193" w:right="0" w:firstLine="0"/>
        <w:jc w:val="left"/>
        <w:rPr>
          <w:sz w:val="12"/>
        </w:rPr>
      </w:pPr>
      <w:r>
        <w:rPr/>
        <w:pict>
          <v:group style="position:absolute;margin-left:137.046997pt;margin-top:9.888557pt;width:64.7pt;height:47.25pt;mso-position-horizontal-relative:page;mso-position-vertical-relative:paragraph;z-index:-23171584" coordorigin="2741,198" coordsize="1294,945">
            <v:shape style="position:absolute;left:2740;top:257;width:188;height:285" type="#_x0000_t75" stroked="false">
              <v:imagedata r:id="rId125" o:title=""/>
            </v:shape>
            <v:line style="position:absolute" from="2935,523" to="2935,948" stroked="true" strokeweight="2.625pt" strokecolor="#0099d9">
              <v:stroke dashstyle="solid"/>
            </v:line>
            <v:shape style="position:absolute;left:2950;top:420;width:533;height:660" coordorigin="2951,420" coordsize="533,660" path="m2951,938l2971,908m2971,908l2991,1020m2991,1020l3023,918m3023,918l3043,1070m3043,1070l3066,1080m3066,1080l3086,1000m3086,1000l3116,908m3116,908l3138,938m3138,938l3158,940m3158,938l3191,838m3191,838l3211,775m3211,775l3231,858m3231,858l3263,725m3263,725l3283,705m3283,705l3306,583m3306,583l3336,675m3336,675l3356,623m3356,623l3378,503m3378,503l3408,430m3408,430l3431,503m3431,503l3451,430m3451,430l3483,420e" filled="false" stroked="true" strokeweight="1pt" strokecolor="#0099d9">
              <v:path arrowok="t"/>
              <v:stroke dashstyle="solid"/>
            </v:shape>
            <v:line style="position:absolute" from="3493,228" to="3493,430" stroked="true" strokeweight="2pt" strokecolor="#0099d9">
              <v:stroke dashstyle="solid"/>
            </v:line>
            <v:shape style="position:absolute;left:3503;top:207;width:385;height:173" coordorigin="3503,208" coordsize="385,173" path="m3503,238l3523,288m3523,288l3556,370m3556,370l3576,373m3576,370l3596,258m3596,258l3618,260m3618,258l3648,208m3648,208l3671,318m3671,318l3691,380m3691,380l3723,340m3723,340l3743,298m3743,298l3763,340m3763,340l3796,298m3796,298l3816,350m3816,350l3836,340m3836,340l3868,268m3868,268l3888,270e" filled="false" stroked="true" strokeweight="1pt" strokecolor="#0099d9">
              <v:path arrowok="t"/>
              <v:stroke dashstyle="solid"/>
            </v:shape>
            <v:shape style="position:absolute;left:2750;top:450;width:95;height:143" coordorigin="2751,450" coordsize="95,143" path="m2751,513l2773,543m2773,543l2803,450m2803,450l2826,593m2826,593l2846,483e" filled="false" stroked="true" strokeweight="1pt" strokecolor="#f6bd61">
              <v:path arrowok="t"/>
              <v:stroke dashstyle="solid"/>
            </v:shape>
            <v:line style="position:absolute" from="2836,484" to="2886,484" stroked="true" strokeweight="1.125pt" strokecolor="#f6bd61">
              <v:stroke dashstyle="solid"/>
            </v:line>
            <v:shape style="position:absolute;left:2875;top:482;width:148;height:650" coordorigin="2876,483" coordsize="148,650" path="m2876,483l2898,563m2898,563l2918,695m2918,695l2951,868m2951,868l2971,990m2971,990l2991,1133m2991,1133l3023,918e" filled="false" stroked="true" strokeweight="1pt" strokecolor="#f6bd61">
              <v:path arrowok="t"/>
              <v:stroke dashstyle="solid"/>
            </v:shape>
            <v:line style="position:absolute" from="3033,908" to="3033,1113" stroked="true" strokeweight="2pt" strokecolor="#f6bd61">
              <v:stroke dashstyle="solid"/>
            </v:line>
            <v:shape style="position:absolute;left:3043;top:317;width:648;height:785" coordorigin="3043,318" coordsize="648,785" path="m3043,1103l3066,1080m3066,1080l3086,1000m3086,1000l3116,1030m3116,1030l3138,1000m3138,1000l3158,1003m3158,1000l3191,888m3191,888l3211,838m3211,838l3231,938m3231,938l3263,745m3263,745l3283,775m3283,775l3306,808m3306,808l3336,755m3336,755l3356,745m3356,745l3378,705m3378,705l3408,623m3408,623l3431,583m3431,583l3451,563m3451,563l3483,533m3483,533l3503,450m3503,450l3523,380m3523,380l3556,450m3556,450l3576,460m3576,460l3596,420m3596,420l3618,380m3618,380l3648,318m3648,318l3671,400m3671,400l3691,420e" filled="false" stroked="true" strokeweight="1pt" strokecolor="#f6bd61">
              <v:path arrowok="t"/>
              <v:stroke dashstyle="solid"/>
            </v:shape>
            <v:line style="position:absolute" from="3681,422" to="3733,422" stroked="true" strokeweight="1.125pt" strokecolor="#f6bd61">
              <v:stroke dashstyle="solid"/>
            </v:line>
            <v:shape style="position:absolute;left:3723;top:380;width:165;height:125" coordorigin="3723,380" coordsize="165,125" path="m3723,420l3743,450m3743,450l3763,460m3763,460l3796,430m3796,430l3816,503m3816,503l3836,505m3836,503l3868,380m3868,380l3888,400e" filled="false" stroked="true" strokeweight="1pt" strokecolor="#f6bd61">
              <v:path arrowok="t"/>
              <v:stroke dashstyle="solid"/>
            </v:shape>
            <v:shape style="position:absolute;left:3947;top:319;width:87;height:815" coordorigin="3948,320" coordsize="87,815" path="m3948,645l4034,645m3948,971l4034,971m3948,320l4034,320m3948,483l4034,483m3948,808l4034,808m3948,1134l4034,1134e" filled="false" stroked="true" strokeweight=".5pt" strokecolor="#000000">
              <v:path arrowok="t"/>
              <v:stroke dashstyle="solid"/>
            </v:shape>
            <w10:wrap type="none"/>
          </v:group>
        </w:pict>
      </w:r>
      <w:r>
        <w:rPr>
          <w:w w:val="115"/>
          <w:sz w:val="12"/>
        </w:rPr>
        <w:t>Per ce</w:t>
      </w:r>
      <w:r>
        <w:rPr>
          <w:w w:val="115"/>
          <w:sz w:val="12"/>
          <w:u w:val="single"/>
        </w:rPr>
        <w:t>nt</w:t>
      </w:r>
      <w:r>
        <w:rPr>
          <w:spacing w:val="-10"/>
          <w:w w:val="115"/>
          <w:sz w:val="12"/>
        </w:rPr>
        <w:t> </w:t>
      </w:r>
      <w:r>
        <w:rPr>
          <w:w w:val="115"/>
          <w:position w:val="-6"/>
          <w:sz w:val="12"/>
        </w:rPr>
        <w:t>80</w:t>
      </w:r>
    </w:p>
    <w:p>
      <w:pPr>
        <w:spacing w:before="25"/>
        <w:ind w:left="0" w:right="38" w:firstLine="0"/>
        <w:jc w:val="right"/>
        <w:rPr>
          <w:sz w:val="12"/>
        </w:rPr>
      </w:pPr>
      <w:r>
        <w:rPr>
          <w:w w:val="120"/>
          <w:sz w:val="12"/>
        </w:rPr>
        <w:t>70</w:t>
      </w:r>
    </w:p>
    <w:p>
      <w:pPr>
        <w:spacing w:before="25"/>
        <w:ind w:left="0" w:right="38" w:firstLine="0"/>
        <w:jc w:val="right"/>
        <w:rPr>
          <w:sz w:val="12"/>
        </w:rPr>
      </w:pPr>
      <w:r>
        <w:rPr>
          <w:w w:val="120"/>
          <w:sz w:val="12"/>
        </w:rPr>
        <w:t>60</w:t>
      </w:r>
    </w:p>
    <w:p>
      <w:pPr>
        <w:spacing w:before="24"/>
        <w:ind w:left="0" w:right="38" w:firstLine="0"/>
        <w:jc w:val="right"/>
        <w:rPr>
          <w:sz w:val="12"/>
        </w:rPr>
      </w:pPr>
      <w:r>
        <w:rPr>
          <w:w w:val="120"/>
          <w:sz w:val="12"/>
        </w:rPr>
        <w:t>50</w:t>
      </w:r>
    </w:p>
    <w:p>
      <w:pPr>
        <w:spacing w:before="25"/>
        <w:ind w:left="0" w:right="38" w:firstLine="0"/>
        <w:jc w:val="right"/>
        <w:rPr>
          <w:sz w:val="12"/>
        </w:rPr>
      </w:pPr>
      <w:r>
        <w:rPr>
          <w:w w:val="120"/>
          <w:sz w:val="12"/>
        </w:rPr>
        <w:t>40</w:t>
      </w:r>
    </w:p>
    <w:p>
      <w:pPr>
        <w:spacing w:before="24"/>
        <w:ind w:left="0" w:right="38" w:firstLine="0"/>
        <w:jc w:val="right"/>
        <w:rPr>
          <w:sz w:val="12"/>
        </w:rPr>
      </w:pPr>
      <w:r>
        <w:rPr>
          <w:w w:val="120"/>
          <w:sz w:val="12"/>
        </w:rPr>
        <w:t>30</w:t>
      </w:r>
    </w:p>
    <w:p>
      <w:pPr>
        <w:spacing w:before="25"/>
        <w:ind w:left="0" w:right="38" w:firstLine="0"/>
        <w:jc w:val="right"/>
        <w:rPr>
          <w:sz w:val="12"/>
        </w:rPr>
      </w:pPr>
      <w:r>
        <w:rPr>
          <w:w w:val="120"/>
          <w:sz w:val="12"/>
        </w:rPr>
        <w:t>20</w:t>
      </w:r>
    </w:p>
    <w:p>
      <w:pPr>
        <w:spacing w:before="24"/>
        <w:ind w:left="0" w:right="38" w:firstLine="0"/>
        <w:jc w:val="right"/>
        <w:rPr>
          <w:sz w:val="12"/>
        </w:rPr>
      </w:pPr>
      <w:r>
        <w:rPr/>
        <w:pict>
          <v:line style="position:absolute;mso-position-horizontal-relative:page;mso-position-vertical-relative:paragraph;z-index:16160256" from="197.376999pt,5.626633pt" to="201.709999pt,5.626633pt" stroked="true" strokeweight=".5pt" strokecolor="#000000">
            <v:stroke dashstyle="solid"/>
            <w10:wrap type="none"/>
          </v:line>
        </w:pict>
      </w:r>
      <w:r>
        <w:rPr>
          <w:w w:val="120"/>
          <w:sz w:val="12"/>
        </w:rPr>
        <w:t>10</w:t>
      </w:r>
    </w:p>
    <w:p>
      <w:pPr>
        <w:spacing w:line="122" w:lineRule="exact" w:before="25"/>
        <w:ind w:left="0" w:right="38" w:firstLine="0"/>
        <w:jc w:val="right"/>
        <w:rPr>
          <w:sz w:val="12"/>
        </w:rPr>
      </w:pPr>
      <w:r>
        <w:rPr/>
        <w:pict>
          <v:shape style="position:absolute;margin-left:50.459999pt;margin-top:2.336564pt;width:151.25pt;height:3.4pt;mso-position-horizontal-relative:page;mso-position-vertical-relative:paragraph;z-index:16160768" coordorigin="1009,47" coordsize="3025,68" path="m3948,114l4034,114m1012,114l3889,114m1009,47l1009,114m1203,47l1203,114m1397,47l1397,114m1591,47l1591,114m1979,47l1979,114m2756,47l2756,114m3532,47l3532,114m1785,47l1785,114m2173,47l2173,114m2950,47l2950,114m2368,47l2368,114m3144,47l3144,114m3726,47l3726,114m2562,47l2562,114m3338,47l3338,114e" filled="false" stroked="true" strokeweight=".5pt" strokecolor="#000000">
            <v:path arrowok="t"/>
            <v:stroke dashstyle="solid"/>
            <w10:wrap type="none"/>
          </v:shape>
        </w:pict>
      </w:r>
      <w:r>
        <w:rPr>
          <w:w w:val="121"/>
          <w:sz w:val="12"/>
        </w:rPr>
        <w:t>0</w:t>
      </w:r>
    </w:p>
    <w:p>
      <w:pPr>
        <w:pStyle w:val="BodyText"/>
        <w:spacing w:line="55" w:lineRule="exact"/>
        <w:ind w:left="193"/>
      </w:pPr>
      <w:r>
        <w:rPr/>
        <w:br w:type="column"/>
      </w:r>
      <w:r>
        <w:rPr>
          <w:w w:val="110"/>
        </w:rPr>
        <w:t>particularly true in sectors where bargaining power is</w:t>
      </w:r>
    </w:p>
    <w:p>
      <w:pPr>
        <w:pStyle w:val="BodyText"/>
        <w:spacing w:line="292" w:lineRule="auto" w:before="50"/>
        <w:ind w:left="193" w:right="129"/>
      </w:pPr>
      <w:r>
        <w:rPr>
          <w:w w:val="110"/>
        </w:rPr>
        <w:t>generally more concentrated among older workers, perhaps reflecting their longer tenure and higher on-the-job skills and experience.</w:t>
      </w:r>
    </w:p>
    <w:p>
      <w:pPr>
        <w:pStyle w:val="BodyText"/>
      </w:pPr>
    </w:p>
    <w:p>
      <w:pPr>
        <w:pStyle w:val="BodyText"/>
        <w:spacing w:line="292" w:lineRule="auto" w:before="128"/>
        <w:ind w:left="193" w:right="129"/>
      </w:pPr>
      <w:r>
        <w:rPr>
          <w:w w:val="110"/>
        </w:rPr>
        <w:t>Consistent with the evidence from unemployment on the balance</w:t>
      </w:r>
      <w:r>
        <w:rPr>
          <w:spacing w:val="-20"/>
          <w:w w:val="110"/>
        </w:rPr>
        <w:t> </w:t>
      </w:r>
      <w:r>
        <w:rPr>
          <w:w w:val="110"/>
        </w:rPr>
        <w:t>of</w:t>
      </w:r>
      <w:r>
        <w:rPr>
          <w:spacing w:val="-19"/>
          <w:w w:val="110"/>
        </w:rPr>
        <w:t> </w:t>
      </w:r>
      <w:r>
        <w:rPr>
          <w:w w:val="110"/>
        </w:rPr>
        <w:t>labour</w:t>
      </w:r>
      <w:r>
        <w:rPr>
          <w:spacing w:val="-19"/>
          <w:w w:val="110"/>
        </w:rPr>
        <w:t> </w:t>
      </w:r>
      <w:r>
        <w:rPr>
          <w:w w:val="110"/>
        </w:rPr>
        <w:t>demand</w:t>
      </w:r>
      <w:r>
        <w:rPr>
          <w:spacing w:val="-19"/>
          <w:w w:val="110"/>
        </w:rPr>
        <w:t> </w:t>
      </w:r>
      <w:r>
        <w:rPr>
          <w:w w:val="110"/>
        </w:rPr>
        <w:t>and</w:t>
      </w:r>
      <w:r>
        <w:rPr>
          <w:spacing w:val="-19"/>
          <w:w w:val="110"/>
        </w:rPr>
        <w:t> </w:t>
      </w:r>
      <w:r>
        <w:rPr>
          <w:spacing w:val="-4"/>
          <w:w w:val="110"/>
        </w:rPr>
        <w:t>supply,</w:t>
      </w:r>
      <w:r>
        <w:rPr>
          <w:spacing w:val="-19"/>
          <w:w w:val="110"/>
        </w:rPr>
        <w:t> </w:t>
      </w:r>
      <w:r>
        <w:rPr>
          <w:w w:val="110"/>
        </w:rPr>
        <w:t>skill</w:t>
      </w:r>
      <w:r>
        <w:rPr>
          <w:spacing w:val="-20"/>
          <w:w w:val="110"/>
        </w:rPr>
        <w:t> </w:t>
      </w:r>
      <w:r>
        <w:rPr>
          <w:w w:val="110"/>
        </w:rPr>
        <w:t>shortages</w:t>
      </w:r>
      <w:r>
        <w:rPr>
          <w:spacing w:val="-19"/>
          <w:w w:val="110"/>
        </w:rPr>
        <w:t> </w:t>
      </w:r>
      <w:r>
        <w:rPr>
          <w:w w:val="110"/>
        </w:rPr>
        <w:t>continue </w:t>
      </w:r>
      <w:r>
        <w:rPr>
          <w:spacing w:val="-4"/>
          <w:w w:val="110"/>
        </w:rPr>
        <w:t>to </w:t>
      </w:r>
      <w:r>
        <w:rPr>
          <w:w w:val="110"/>
        </w:rPr>
        <w:t>be widely reported. For example, the </w:t>
      </w:r>
      <w:r>
        <w:rPr>
          <w:spacing w:val="-3"/>
          <w:w w:val="110"/>
        </w:rPr>
        <w:t>latest </w:t>
      </w:r>
      <w:r>
        <w:rPr>
          <w:w w:val="110"/>
        </w:rPr>
        <w:t>CBI quarterly industrial trends </w:t>
      </w:r>
      <w:r>
        <w:rPr>
          <w:spacing w:val="-3"/>
          <w:w w:val="110"/>
        </w:rPr>
        <w:t>survey </w:t>
      </w:r>
      <w:r>
        <w:rPr>
          <w:w w:val="110"/>
        </w:rPr>
        <w:t>recorded the highest percentage of manufacturing firms citing skilled labour shortages as a constraint on output since </w:t>
      </w:r>
      <w:r>
        <w:rPr>
          <w:spacing w:val="-19"/>
          <w:w w:val="110"/>
        </w:rPr>
        <w:t>1989 </w:t>
      </w:r>
      <w:r>
        <w:rPr>
          <w:w w:val="110"/>
        </w:rPr>
        <w:t>(see Chart</w:t>
      </w:r>
      <w:r>
        <w:rPr>
          <w:spacing w:val="-16"/>
          <w:w w:val="110"/>
        </w:rPr>
        <w:t> </w:t>
      </w:r>
      <w:r>
        <w:rPr>
          <w:w w:val="110"/>
        </w:rPr>
        <w:t>3.7)—skill</w:t>
      </w:r>
    </w:p>
    <w:p>
      <w:pPr>
        <w:spacing w:after="0" w:line="292" w:lineRule="auto"/>
        <w:sectPr>
          <w:type w:val="continuous"/>
          <w:pgSz w:w="11900" w:h="16840"/>
          <w:pgMar w:top="1260" w:bottom="280" w:left="640" w:right="640"/>
          <w:cols w:num="3" w:equalWidth="0">
            <w:col w:w="2367" w:space="405"/>
            <w:col w:w="846" w:space="1283"/>
            <w:col w:w="5719"/>
          </w:cols>
        </w:sectPr>
      </w:pPr>
    </w:p>
    <w:p>
      <w:pPr>
        <w:tabs>
          <w:tab w:pos="1084" w:val="left" w:leader="none"/>
          <w:tab w:pos="1472" w:val="left" w:leader="none"/>
          <w:tab w:pos="1859" w:val="left" w:leader="none"/>
          <w:tab w:pos="2247" w:val="left" w:leader="none"/>
          <w:tab w:pos="2634" w:val="left" w:leader="none"/>
          <w:tab w:pos="3022" w:val="left" w:leader="none"/>
        </w:tabs>
        <w:spacing w:line="115" w:lineRule="exact" w:before="0"/>
        <w:ind w:left="211" w:right="0" w:firstLine="0"/>
        <w:jc w:val="left"/>
        <w:rPr>
          <w:sz w:val="12"/>
        </w:rPr>
      </w:pPr>
      <w:r>
        <w:rPr>
          <w:w w:val="120"/>
          <w:sz w:val="12"/>
        </w:rPr>
        <w:t>1971    </w:t>
      </w:r>
      <w:r>
        <w:rPr>
          <w:spacing w:val="17"/>
          <w:w w:val="120"/>
          <w:sz w:val="12"/>
        </w:rPr>
        <w:t> </w:t>
      </w:r>
      <w:r>
        <w:rPr>
          <w:w w:val="120"/>
          <w:sz w:val="12"/>
        </w:rPr>
        <w:t>75</w:t>
        <w:tab/>
        <w:t>79</w:t>
        <w:tab/>
        <w:t>83</w:t>
        <w:tab/>
        <w:t>87</w:t>
        <w:tab/>
        <w:t>91</w:t>
        <w:tab/>
        <w:t>95</w:t>
        <w:tab/>
        <w:t>99</w:t>
      </w:r>
    </w:p>
    <w:p>
      <w:pPr>
        <w:spacing w:line="208" w:lineRule="auto" w:before="107"/>
        <w:ind w:left="671" w:right="69" w:hanging="504"/>
        <w:jc w:val="left"/>
        <w:rPr>
          <w:sz w:val="12"/>
        </w:rPr>
      </w:pPr>
      <w:r>
        <w:rPr>
          <w:w w:val="105"/>
          <w:sz w:val="12"/>
        </w:rPr>
        <w:t>Sources: British Chambers of Commerce and Confederation of British Industry.</w:t>
      </w:r>
    </w:p>
    <w:p>
      <w:pPr>
        <w:pStyle w:val="BodyText"/>
        <w:spacing w:before="5"/>
        <w:rPr>
          <w:sz w:val="10"/>
        </w:rPr>
      </w:pPr>
    </w:p>
    <w:p>
      <w:pPr>
        <w:pStyle w:val="ListParagraph"/>
        <w:numPr>
          <w:ilvl w:val="0"/>
          <w:numId w:val="22"/>
        </w:numPr>
        <w:tabs>
          <w:tab w:pos="408" w:val="left" w:leader="none"/>
        </w:tabs>
        <w:spacing w:line="208" w:lineRule="auto" w:before="0" w:after="0"/>
        <w:ind w:left="407" w:right="38" w:hanging="240"/>
        <w:jc w:val="left"/>
        <w:rPr>
          <w:sz w:val="12"/>
        </w:rPr>
      </w:pPr>
      <w:r>
        <w:rPr>
          <w:w w:val="110"/>
          <w:sz w:val="12"/>
        </w:rPr>
        <w:t>Percentage</w:t>
      </w:r>
      <w:r>
        <w:rPr>
          <w:spacing w:val="-14"/>
          <w:w w:val="110"/>
          <w:sz w:val="12"/>
        </w:rPr>
        <w:t> </w:t>
      </w:r>
      <w:r>
        <w:rPr>
          <w:w w:val="110"/>
          <w:sz w:val="12"/>
        </w:rPr>
        <w:t>of</w:t>
      </w:r>
      <w:r>
        <w:rPr>
          <w:spacing w:val="-13"/>
          <w:w w:val="110"/>
          <w:sz w:val="12"/>
        </w:rPr>
        <w:t> </w:t>
      </w:r>
      <w:r>
        <w:rPr>
          <w:w w:val="110"/>
          <w:sz w:val="12"/>
        </w:rPr>
        <w:t>firms</w:t>
      </w:r>
      <w:r>
        <w:rPr>
          <w:spacing w:val="-13"/>
          <w:w w:val="110"/>
          <w:sz w:val="12"/>
        </w:rPr>
        <w:t> </w:t>
      </w:r>
      <w:r>
        <w:rPr>
          <w:w w:val="110"/>
          <w:sz w:val="12"/>
        </w:rPr>
        <w:t>citing</w:t>
      </w:r>
      <w:r>
        <w:rPr>
          <w:spacing w:val="-13"/>
          <w:w w:val="110"/>
          <w:sz w:val="12"/>
        </w:rPr>
        <w:t> </w:t>
      </w:r>
      <w:r>
        <w:rPr>
          <w:w w:val="110"/>
          <w:sz w:val="12"/>
        </w:rPr>
        <w:t>shortages</w:t>
      </w:r>
      <w:r>
        <w:rPr>
          <w:spacing w:val="-13"/>
          <w:w w:val="110"/>
          <w:sz w:val="12"/>
        </w:rPr>
        <w:t> </w:t>
      </w:r>
      <w:r>
        <w:rPr>
          <w:w w:val="110"/>
          <w:sz w:val="12"/>
        </w:rPr>
        <w:t>of</w:t>
      </w:r>
      <w:r>
        <w:rPr>
          <w:spacing w:val="-13"/>
          <w:w w:val="110"/>
          <w:sz w:val="12"/>
        </w:rPr>
        <w:t> </w:t>
      </w:r>
      <w:r>
        <w:rPr>
          <w:w w:val="110"/>
          <w:sz w:val="12"/>
        </w:rPr>
        <w:t>skilled</w:t>
      </w:r>
      <w:r>
        <w:rPr>
          <w:spacing w:val="-13"/>
          <w:w w:val="110"/>
          <w:sz w:val="12"/>
        </w:rPr>
        <w:t> </w:t>
      </w:r>
      <w:r>
        <w:rPr>
          <w:w w:val="110"/>
          <w:sz w:val="12"/>
        </w:rPr>
        <w:t>or</w:t>
      </w:r>
      <w:r>
        <w:rPr>
          <w:spacing w:val="-13"/>
          <w:w w:val="110"/>
          <w:sz w:val="12"/>
        </w:rPr>
        <w:t> </w:t>
      </w:r>
      <w:r>
        <w:rPr>
          <w:w w:val="110"/>
          <w:sz w:val="12"/>
        </w:rPr>
        <w:t>other</w:t>
      </w:r>
      <w:r>
        <w:rPr>
          <w:spacing w:val="-13"/>
          <w:w w:val="110"/>
          <w:sz w:val="12"/>
        </w:rPr>
        <w:t> </w:t>
      </w:r>
      <w:r>
        <w:rPr>
          <w:w w:val="110"/>
          <w:sz w:val="12"/>
        </w:rPr>
        <w:t>labour</w:t>
      </w:r>
      <w:r>
        <w:rPr>
          <w:spacing w:val="-13"/>
          <w:w w:val="110"/>
          <w:sz w:val="12"/>
        </w:rPr>
        <w:t> </w:t>
      </w:r>
      <w:r>
        <w:rPr>
          <w:w w:val="110"/>
          <w:sz w:val="12"/>
        </w:rPr>
        <w:t>as a</w:t>
      </w:r>
      <w:r>
        <w:rPr>
          <w:spacing w:val="-8"/>
          <w:w w:val="110"/>
          <w:sz w:val="12"/>
        </w:rPr>
        <w:t> </w:t>
      </w:r>
      <w:r>
        <w:rPr>
          <w:w w:val="110"/>
          <w:sz w:val="12"/>
        </w:rPr>
        <w:t>factor</w:t>
      </w:r>
      <w:r>
        <w:rPr>
          <w:spacing w:val="-7"/>
          <w:w w:val="110"/>
          <w:sz w:val="12"/>
        </w:rPr>
        <w:t> </w:t>
      </w:r>
      <w:r>
        <w:rPr>
          <w:w w:val="110"/>
          <w:sz w:val="12"/>
        </w:rPr>
        <w:t>likely</w:t>
      </w:r>
      <w:r>
        <w:rPr>
          <w:spacing w:val="-7"/>
          <w:w w:val="110"/>
          <w:sz w:val="12"/>
        </w:rPr>
        <w:t> </w:t>
      </w:r>
      <w:r>
        <w:rPr>
          <w:w w:val="110"/>
          <w:sz w:val="12"/>
        </w:rPr>
        <w:t>to</w:t>
      </w:r>
      <w:r>
        <w:rPr>
          <w:spacing w:val="-7"/>
          <w:w w:val="110"/>
          <w:sz w:val="12"/>
        </w:rPr>
        <w:t> </w:t>
      </w:r>
      <w:r>
        <w:rPr>
          <w:w w:val="110"/>
          <w:sz w:val="12"/>
        </w:rPr>
        <w:t>limit</w:t>
      </w:r>
      <w:r>
        <w:rPr>
          <w:spacing w:val="-7"/>
          <w:w w:val="110"/>
          <w:sz w:val="12"/>
        </w:rPr>
        <w:t> </w:t>
      </w:r>
      <w:r>
        <w:rPr>
          <w:w w:val="110"/>
          <w:sz w:val="12"/>
        </w:rPr>
        <w:t>output</w:t>
      </w:r>
      <w:r>
        <w:rPr>
          <w:spacing w:val="-7"/>
          <w:w w:val="110"/>
          <w:sz w:val="12"/>
        </w:rPr>
        <w:t> </w:t>
      </w:r>
      <w:r>
        <w:rPr>
          <w:w w:val="110"/>
          <w:sz w:val="12"/>
        </w:rPr>
        <w:t>over</w:t>
      </w:r>
      <w:r>
        <w:rPr>
          <w:spacing w:val="-8"/>
          <w:w w:val="110"/>
          <w:sz w:val="12"/>
        </w:rPr>
        <w:t> </w:t>
      </w:r>
      <w:r>
        <w:rPr>
          <w:w w:val="110"/>
          <w:sz w:val="12"/>
        </w:rPr>
        <w:t>the</w:t>
      </w:r>
      <w:r>
        <w:rPr>
          <w:spacing w:val="-7"/>
          <w:w w:val="110"/>
          <w:sz w:val="12"/>
        </w:rPr>
        <w:t> </w:t>
      </w:r>
      <w:r>
        <w:rPr>
          <w:w w:val="110"/>
          <w:sz w:val="12"/>
        </w:rPr>
        <w:t>next</w:t>
      </w:r>
      <w:r>
        <w:rPr>
          <w:spacing w:val="-7"/>
          <w:w w:val="110"/>
          <w:sz w:val="12"/>
        </w:rPr>
        <w:t> </w:t>
      </w:r>
      <w:r>
        <w:rPr>
          <w:w w:val="110"/>
          <w:sz w:val="12"/>
        </w:rPr>
        <w:t>four</w:t>
      </w:r>
      <w:r>
        <w:rPr>
          <w:spacing w:val="-7"/>
          <w:w w:val="110"/>
          <w:sz w:val="12"/>
        </w:rPr>
        <w:t> </w:t>
      </w:r>
      <w:r>
        <w:rPr>
          <w:w w:val="110"/>
          <w:sz w:val="12"/>
        </w:rPr>
        <w:t>months.</w:t>
      </w:r>
    </w:p>
    <w:p>
      <w:pPr>
        <w:pStyle w:val="ListParagraph"/>
        <w:numPr>
          <w:ilvl w:val="0"/>
          <w:numId w:val="22"/>
        </w:numPr>
        <w:tabs>
          <w:tab w:pos="408" w:val="left" w:leader="none"/>
        </w:tabs>
        <w:spacing w:line="208" w:lineRule="auto" w:before="0" w:after="0"/>
        <w:ind w:left="407" w:right="48" w:hanging="240"/>
        <w:jc w:val="left"/>
        <w:rPr>
          <w:sz w:val="12"/>
        </w:rPr>
      </w:pPr>
      <w:r>
        <w:rPr>
          <w:w w:val="110"/>
          <w:sz w:val="12"/>
        </w:rPr>
        <w:t>Question: ‘Did you experience any difficulties over the past three</w:t>
      </w:r>
      <w:r>
        <w:rPr>
          <w:spacing w:val="-16"/>
          <w:w w:val="110"/>
          <w:sz w:val="12"/>
        </w:rPr>
        <w:t> </w:t>
      </w:r>
      <w:r>
        <w:rPr>
          <w:w w:val="110"/>
          <w:sz w:val="12"/>
        </w:rPr>
        <w:t>months</w:t>
      </w:r>
      <w:r>
        <w:rPr>
          <w:spacing w:val="-15"/>
          <w:w w:val="110"/>
          <w:sz w:val="12"/>
        </w:rPr>
        <w:t> </w:t>
      </w:r>
      <w:r>
        <w:rPr>
          <w:w w:val="110"/>
          <w:sz w:val="12"/>
        </w:rPr>
        <w:t>in</w:t>
      </w:r>
      <w:r>
        <w:rPr>
          <w:spacing w:val="-16"/>
          <w:w w:val="110"/>
          <w:sz w:val="12"/>
        </w:rPr>
        <w:t> </w:t>
      </w:r>
      <w:r>
        <w:rPr>
          <w:w w:val="110"/>
          <w:sz w:val="12"/>
        </w:rPr>
        <w:t>finding</w:t>
      </w:r>
      <w:r>
        <w:rPr>
          <w:spacing w:val="-15"/>
          <w:w w:val="110"/>
          <w:sz w:val="12"/>
        </w:rPr>
        <w:t> </w:t>
      </w:r>
      <w:r>
        <w:rPr>
          <w:w w:val="110"/>
          <w:sz w:val="12"/>
        </w:rPr>
        <w:t>staff</w:t>
      </w:r>
      <w:r>
        <w:rPr>
          <w:spacing w:val="-16"/>
          <w:w w:val="110"/>
          <w:sz w:val="12"/>
        </w:rPr>
        <w:t> </w:t>
      </w:r>
      <w:r>
        <w:rPr>
          <w:w w:val="110"/>
          <w:sz w:val="12"/>
        </w:rPr>
        <w:t>in</w:t>
      </w:r>
      <w:r>
        <w:rPr>
          <w:spacing w:val="-15"/>
          <w:w w:val="110"/>
          <w:sz w:val="12"/>
        </w:rPr>
        <w:t> </w:t>
      </w:r>
      <w:r>
        <w:rPr>
          <w:w w:val="110"/>
          <w:sz w:val="12"/>
        </w:rPr>
        <w:t>the</w:t>
      </w:r>
      <w:r>
        <w:rPr>
          <w:spacing w:val="-16"/>
          <w:w w:val="110"/>
          <w:sz w:val="12"/>
        </w:rPr>
        <w:t> </w:t>
      </w:r>
      <w:r>
        <w:rPr>
          <w:w w:val="110"/>
          <w:sz w:val="12"/>
        </w:rPr>
        <w:t>following</w:t>
      </w:r>
      <w:r>
        <w:rPr>
          <w:spacing w:val="-15"/>
          <w:w w:val="110"/>
          <w:sz w:val="12"/>
        </w:rPr>
        <w:t> </w:t>
      </w:r>
      <w:r>
        <w:rPr>
          <w:w w:val="110"/>
          <w:sz w:val="12"/>
        </w:rPr>
        <w:t>categories:</w:t>
      </w:r>
      <w:r>
        <w:rPr>
          <w:spacing w:val="2"/>
          <w:w w:val="110"/>
          <w:sz w:val="12"/>
        </w:rPr>
        <w:t> </w:t>
      </w:r>
      <w:r>
        <w:rPr>
          <w:w w:val="110"/>
          <w:sz w:val="12"/>
        </w:rPr>
        <w:t>skilled manual, technical/professional, managerial/clerical and un/semi-skilled?’</w:t>
      </w:r>
    </w:p>
    <w:p>
      <w:pPr>
        <w:pStyle w:val="BodyText"/>
        <w:spacing w:line="292" w:lineRule="auto"/>
        <w:ind w:left="167" w:right="108"/>
      </w:pPr>
      <w:r>
        <w:rPr/>
        <w:br w:type="column"/>
      </w:r>
      <w:r>
        <w:rPr>
          <w:w w:val="110"/>
        </w:rPr>
        <w:t>shortages</w:t>
      </w:r>
      <w:r>
        <w:rPr>
          <w:spacing w:val="-16"/>
          <w:w w:val="110"/>
        </w:rPr>
        <w:t> </w:t>
      </w:r>
      <w:r>
        <w:rPr>
          <w:spacing w:val="-3"/>
          <w:w w:val="110"/>
        </w:rPr>
        <w:t>were</w:t>
      </w:r>
      <w:r>
        <w:rPr>
          <w:spacing w:val="-16"/>
          <w:w w:val="110"/>
        </w:rPr>
        <w:t> </w:t>
      </w:r>
      <w:r>
        <w:rPr>
          <w:w w:val="110"/>
        </w:rPr>
        <w:t>a</w:t>
      </w:r>
      <w:r>
        <w:rPr>
          <w:spacing w:val="-16"/>
          <w:w w:val="110"/>
        </w:rPr>
        <w:t> </w:t>
      </w:r>
      <w:r>
        <w:rPr>
          <w:w w:val="110"/>
        </w:rPr>
        <w:t>particular</w:t>
      </w:r>
      <w:r>
        <w:rPr>
          <w:spacing w:val="-16"/>
          <w:w w:val="110"/>
        </w:rPr>
        <w:t> </w:t>
      </w:r>
      <w:r>
        <w:rPr>
          <w:w w:val="110"/>
        </w:rPr>
        <w:t>constraint</w:t>
      </w:r>
      <w:r>
        <w:rPr>
          <w:spacing w:val="-16"/>
          <w:w w:val="110"/>
        </w:rPr>
        <w:t> </w:t>
      </w:r>
      <w:r>
        <w:rPr>
          <w:w w:val="110"/>
        </w:rPr>
        <w:t>in</w:t>
      </w:r>
      <w:r>
        <w:rPr>
          <w:spacing w:val="-16"/>
          <w:w w:val="110"/>
        </w:rPr>
        <w:t> </w:t>
      </w:r>
      <w:r>
        <w:rPr>
          <w:w w:val="110"/>
        </w:rPr>
        <w:t>some</w:t>
      </w:r>
      <w:r>
        <w:rPr>
          <w:spacing w:val="-16"/>
          <w:w w:val="110"/>
        </w:rPr>
        <w:t> </w:t>
      </w:r>
      <w:r>
        <w:rPr>
          <w:w w:val="110"/>
        </w:rPr>
        <w:t>capital</w:t>
      </w:r>
      <w:r>
        <w:rPr>
          <w:spacing w:val="-16"/>
          <w:w w:val="110"/>
        </w:rPr>
        <w:t> </w:t>
      </w:r>
      <w:r>
        <w:rPr>
          <w:w w:val="110"/>
        </w:rPr>
        <w:t>goods industries. Other </w:t>
      </w:r>
      <w:r>
        <w:rPr>
          <w:spacing w:val="-3"/>
          <w:w w:val="110"/>
        </w:rPr>
        <w:t>surveys by </w:t>
      </w:r>
      <w:r>
        <w:rPr>
          <w:w w:val="110"/>
        </w:rPr>
        <w:t>the BCC (see Chart 3.7) and CBI/Deloitte</w:t>
      </w:r>
      <w:r>
        <w:rPr>
          <w:spacing w:val="-25"/>
          <w:w w:val="110"/>
        </w:rPr>
        <w:t> </w:t>
      </w:r>
      <w:r>
        <w:rPr>
          <w:w w:val="110"/>
        </w:rPr>
        <w:t>&amp;</w:t>
      </w:r>
      <w:r>
        <w:rPr>
          <w:spacing w:val="-24"/>
          <w:w w:val="110"/>
        </w:rPr>
        <w:t> </w:t>
      </w:r>
      <w:r>
        <w:rPr>
          <w:spacing w:val="-4"/>
          <w:w w:val="110"/>
        </w:rPr>
        <w:t>Touche</w:t>
      </w:r>
      <w:r>
        <w:rPr>
          <w:spacing w:val="-25"/>
          <w:w w:val="110"/>
        </w:rPr>
        <w:t> </w:t>
      </w:r>
      <w:r>
        <w:rPr>
          <w:w w:val="110"/>
        </w:rPr>
        <w:t>indicate</w:t>
      </w:r>
      <w:r>
        <w:rPr>
          <w:spacing w:val="-24"/>
          <w:w w:val="110"/>
        </w:rPr>
        <w:t> </w:t>
      </w:r>
      <w:r>
        <w:rPr>
          <w:w w:val="110"/>
        </w:rPr>
        <w:t>that</w:t>
      </w:r>
      <w:r>
        <w:rPr>
          <w:spacing w:val="-24"/>
          <w:w w:val="110"/>
        </w:rPr>
        <w:t> </w:t>
      </w:r>
      <w:r>
        <w:rPr>
          <w:w w:val="110"/>
        </w:rPr>
        <w:t>recruitment</w:t>
      </w:r>
      <w:r>
        <w:rPr>
          <w:spacing w:val="-25"/>
          <w:w w:val="110"/>
        </w:rPr>
        <w:t> </w:t>
      </w:r>
      <w:r>
        <w:rPr>
          <w:w w:val="110"/>
        </w:rPr>
        <w:t>difficulties and skill shortages remain high in the service </w:t>
      </w:r>
      <w:r>
        <w:rPr>
          <w:spacing w:val="-4"/>
          <w:w w:val="110"/>
        </w:rPr>
        <w:t>sector. </w:t>
      </w:r>
      <w:r>
        <w:rPr>
          <w:w w:val="110"/>
        </w:rPr>
        <w:t>The widespread</w:t>
      </w:r>
      <w:r>
        <w:rPr>
          <w:spacing w:val="-20"/>
          <w:w w:val="110"/>
        </w:rPr>
        <w:t> </w:t>
      </w:r>
      <w:r>
        <w:rPr>
          <w:w w:val="110"/>
        </w:rPr>
        <w:t>nature</w:t>
      </w:r>
      <w:r>
        <w:rPr>
          <w:spacing w:val="-19"/>
          <w:w w:val="110"/>
        </w:rPr>
        <w:t> </w:t>
      </w:r>
      <w:r>
        <w:rPr>
          <w:w w:val="110"/>
        </w:rPr>
        <w:t>of</w:t>
      </w:r>
      <w:r>
        <w:rPr>
          <w:spacing w:val="-19"/>
          <w:w w:val="110"/>
        </w:rPr>
        <w:t> </w:t>
      </w:r>
      <w:r>
        <w:rPr>
          <w:w w:val="110"/>
        </w:rPr>
        <w:t>these</w:t>
      </w:r>
      <w:r>
        <w:rPr>
          <w:spacing w:val="-20"/>
          <w:w w:val="110"/>
        </w:rPr>
        <w:t> </w:t>
      </w:r>
      <w:r>
        <w:rPr>
          <w:w w:val="110"/>
        </w:rPr>
        <w:t>shortages</w:t>
      </w:r>
      <w:r>
        <w:rPr>
          <w:spacing w:val="-19"/>
          <w:w w:val="110"/>
        </w:rPr>
        <w:t> </w:t>
      </w:r>
      <w:r>
        <w:rPr>
          <w:w w:val="110"/>
        </w:rPr>
        <w:t>suggests</w:t>
      </w:r>
      <w:r>
        <w:rPr>
          <w:spacing w:val="-19"/>
          <w:w w:val="110"/>
        </w:rPr>
        <w:t> </w:t>
      </w:r>
      <w:r>
        <w:rPr>
          <w:w w:val="110"/>
        </w:rPr>
        <w:t>that</w:t>
      </w:r>
      <w:r>
        <w:rPr>
          <w:spacing w:val="-19"/>
          <w:w w:val="110"/>
        </w:rPr>
        <w:t> </w:t>
      </w:r>
      <w:r>
        <w:rPr>
          <w:w w:val="110"/>
        </w:rPr>
        <w:t>they</w:t>
      </w:r>
      <w:r>
        <w:rPr>
          <w:spacing w:val="-20"/>
          <w:w w:val="110"/>
        </w:rPr>
        <w:t> </w:t>
      </w:r>
      <w:r>
        <w:rPr>
          <w:spacing w:val="-3"/>
          <w:w w:val="110"/>
        </w:rPr>
        <w:t>may</w:t>
      </w:r>
    </w:p>
    <w:p>
      <w:pPr>
        <w:spacing w:after="0" w:line="292" w:lineRule="auto"/>
        <w:sectPr>
          <w:type w:val="continuous"/>
          <w:pgSz w:w="11900" w:h="16840"/>
          <w:pgMar w:top="1260" w:bottom="280" w:left="640" w:right="640"/>
          <w:cols w:num="2" w:equalWidth="0">
            <w:col w:w="3733" w:space="1194"/>
            <w:col w:w="5693"/>
          </w:cols>
        </w:sectPr>
      </w:pPr>
    </w:p>
    <w:p>
      <w:pPr>
        <w:pStyle w:val="BodyText"/>
      </w:pPr>
    </w:p>
    <w:p>
      <w:pPr>
        <w:spacing w:after="0"/>
        <w:sectPr>
          <w:pgSz w:w="11900" w:h="16840"/>
          <w:pgMar w:header="601" w:footer="575" w:top="800" w:bottom="760" w:left="640" w:right="640"/>
        </w:sectPr>
      </w:pPr>
    </w:p>
    <w:p>
      <w:pPr>
        <w:pStyle w:val="BodyText"/>
        <w:spacing w:before="2"/>
        <w:rPr>
          <w:sz w:val="21"/>
        </w:rPr>
      </w:pPr>
    </w:p>
    <w:p>
      <w:pPr>
        <w:pStyle w:val="Heading6"/>
        <w:ind w:left="175"/>
      </w:pPr>
      <w:bookmarkStart w:name="Earnings and settlements" w:id="64"/>
      <w:bookmarkEnd w:id="64"/>
      <w:r>
        <w:rPr>
          <w:b w:val="0"/>
        </w:rPr>
      </w:r>
      <w:bookmarkStart w:name="_bookmark31" w:id="65"/>
      <w:bookmarkEnd w:id="65"/>
      <w:r>
        <w:rPr>
          <w:b w:val="0"/>
        </w:rPr>
      </w:r>
      <w:r>
        <w:rPr>
          <w:color w:val="89C6DC"/>
          <w:w w:val="95"/>
        </w:rPr>
        <w:t>Chart 3.8</w:t>
      </w:r>
    </w:p>
    <w:p>
      <w:pPr>
        <w:spacing w:line="247" w:lineRule="auto" w:before="8"/>
        <w:ind w:left="175" w:right="-4" w:firstLine="0"/>
        <w:jc w:val="left"/>
        <w:rPr>
          <w:sz w:val="12"/>
        </w:rPr>
      </w:pPr>
      <w:r>
        <w:rPr>
          <w:rFonts w:ascii="Trebuchet MS"/>
          <w:b/>
          <w:color w:val="89C6DC"/>
          <w:w w:val="90"/>
          <w:sz w:val="20"/>
        </w:rPr>
        <w:t>Ratios of Jobcentre vacancies</w:t>
      </w:r>
      <w:r>
        <w:rPr>
          <w:rFonts w:ascii="Trebuchet MS"/>
          <w:b/>
          <w:color w:val="89C6DC"/>
          <w:spacing w:val="-41"/>
          <w:w w:val="90"/>
          <w:sz w:val="20"/>
        </w:rPr>
        <w:t> </w:t>
      </w:r>
      <w:r>
        <w:rPr>
          <w:rFonts w:ascii="Trebuchet MS"/>
          <w:b/>
          <w:color w:val="89C6DC"/>
          <w:w w:val="90"/>
          <w:sz w:val="20"/>
        </w:rPr>
        <w:t>to </w:t>
      </w:r>
      <w:r>
        <w:rPr>
          <w:rFonts w:ascii="Trebuchet MS"/>
          <w:b/>
          <w:color w:val="89C6DC"/>
          <w:sz w:val="20"/>
        </w:rPr>
        <w:t>unemployment</w:t>
      </w:r>
      <w:r>
        <w:rPr>
          <w:position w:val="4"/>
          <w:sz w:val="12"/>
        </w:rPr>
        <w:t>(a)</w:t>
      </w:r>
    </w:p>
    <w:p>
      <w:pPr>
        <w:pStyle w:val="BodyText"/>
        <w:spacing w:after="39"/>
      </w:pPr>
    </w:p>
    <w:p>
      <w:pPr>
        <w:pStyle w:val="BodyText"/>
        <w:spacing w:line="20" w:lineRule="exact"/>
        <w:ind w:left="184"/>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pPr>
    </w:p>
    <w:p>
      <w:pPr>
        <w:pStyle w:val="BodyText"/>
        <w:rPr>
          <w:sz w:val="17"/>
        </w:rPr>
      </w:pPr>
      <w:r>
        <w:rPr/>
        <w:pict>
          <v:shape style="position:absolute;margin-left:41.497002pt;margin-top:12.001953pt;width:4.350pt;height:.1pt;mso-position-horizontal-relative:page;mso-position-vertical-relative:paragraph;z-index:-15288832;mso-wrap-distance-left:0;mso-wrap-distance-right:0" coordorigin="830,240" coordsize="87,0" path="m830,240l917,240e" filled="false" stroked="true" strokeweight=".5pt" strokecolor="#000000">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9"/>
        </w:rPr>
      </w:pPr>
    </w:p>
    <w:p>
      <w:pPr>
        <w:spacing w:line="114" w:lineRule="exact" w:before="0"/>
        <w:ind w:left="162" w:right="0" w:firstLine="0"/>
        <w:jc w:val="left"/>
        <w:rPr>
          <w:sz w:val="12"/>
        </w:rPr>
      </w:pPr>
      <w:r>
        <w:rPr>
          <w:w w:val="105"/>
          <w:sz w:val="12"/>
        </w:rPr>
        <w:t>Ratios</w:t>
      </w:r>
    </w:p>
    <w:p>
      <w:pPr>
        <w:spacing w:line="114" w:lineRule="exact" w:before="0"/>
        <w:ind w:left="528" w:right="0" w:firstLine="0"/>
        <w:jc w:val="left"/>
        <w:rPr>
          <w:sz w:val="12"/>
        </w:rPr>
      </w:pPr>
      <w:r>
        <w:rPr/>
        <w:pict>
          <v:group style="position:absolute;margin-left:49.525002pt;margin-top:16.413315pt;width:144.75pt;height:116.65pt;mso-position-horizontal-relative:page;mso-position-vertical-relative:paragraph;z-index:16177664" coordorigin="991,328" coordsize="2895,2333">
            <v:shape style="position:absolute;left:1000;top:338;width:2875;height:2313" coordorigin="1001,338" coordsize="2875,2313" path="m1001,2196l1023,2198,1023,2197,1023,2196,1036,2178,1058,2146,1078,2131,1091,2133,1091,2132,1091,2131,1113,2113,1136,2116,1136,2115,1136,2113,1146,2116,1146,2115,1146,2113,1168,2098,1191,2081,1201,2066,1223,2081,1246,2083,1246,2082,1246,2081,1256,2083,1256,2082,1259,2076,1267,2065,1274,2053,1278,2048,1301,2051,1301,2050,1301,2048,1313,2016,1336,2018,1336,2017,1336,2016,1356,2001,1368,1983,1391,1986,1391,1985,1391,1983,1413,2001,1423,2048,1446,2033,1468,2048,1478,2066,1501,2033,1523,2036,1523,2035,1525,2041,1528,2057,1531,2073,1533,2081,1556,2146,1578,2178,1591,2228,1613,2308,1633,2358,1646,2423,1668,2391,1691,2423,1701,2473,1723,2521,1746,2571,1768,2586,1778,2603,1801,2606,1801,2605,1801,2603,1823,2606,1823,2605,1823,2603,1833,2606,1833,2605,1833,2603,1856,2606,1856,2605,1856,2603,1878,2606,1878,2605,1878,2603,1891,2606,1891,2605,1891,2603,1911,2606,1911,2605,1911,2603,1933,2606,1933,2605,1933,2603,1946,2618,1968,2621,1968,2620,1968,2618,1988,2603,2001,2618,2023,2621,2023,2620,2023,2618,2046,2636,2056,2638,2056,2637,2056,2636,2078,2638,2078,2637,2078,2636,2101,2651,2111,2636,2133,2638,2133,2637,2133,2636,2156,2618,2168,2621,2168,2620,2168,2618,2188,2621,2188,2620,2188,2618,2211,2621,2211,2620,2211,2618,2223,2603,2246,2606,2246,2605,2246,2603,2266,2606,2266,2605,2266,2603,2278,2586,2301,2571,2323,2573,2323,2572,2323,2571,2333,2573,2333,2572,2333,2571,2356,2553,2378,2556,2378,2555,2378,2553,2388,2538,2411,2521,2433,2506,2446,2488,2466,2456,2488,2458,2488,2457,2488,2456,2501,2423,2523,2406,2543,2391,2556,2406,2578,2391,2601,2373,2611,2358,2633,2341,2656,2358,2666,2361,2666,2360,2666,2358,2688,2341,2711,2326,2723,2341,2743,2326,2766,2328,2766,2327,2766,2326,2778,2308,2801,2311,2801,2310,2801,2308,2821,2276,2833,2261,2856,2228,2878,2178,2888,2131,2911,2098,2933,2048,2943,2033,2966,1951,2988,1903,3001,1853,3021,1788,3043,1738,3056,1723,3078,1691,3098,1626,3111,1593,3133,1528,3156,1496,3178,1478,3188,1543,3211,1511,3233,1513,3233,1512,3235,1501,3266,1413,3288,1398,3298,1333,3321,1316,3343,1301,3356,1303,3356,1302,3356,1301,3376,1283,3398,1286,3398,1285,3398,1283,3411,1286,3411,1285,3411,1283,3433,1268,3456,1251,3466,1268,3488,1283,3511,1251,3521,1201,3543,1186,3566,1121,3576,1056,3598,1058,3598,1057,3602,1036,3609,991,3617,946,3621,926,3633,876,3653,778,3676,796,3688,798,3688,797,3692,786,3699,763,3707,741,3711,731,3733,631,3743,633,3743,632,3747,621,3754,598,3762,576,3766,566,3788,486,3798,453,3821,403,3843,406,3843,405,3845,396,3848,380,3851,363,3853,356,3876,338e" filled="false" stroked="true" strokeweight="1pt" strokecolor="#de0035">
              <v:path arrowok="t"/>
              <v:stroke dashstyle="solid"/>
            </v:shape>
            <v:shape style="position:absolute;left:1000;top:1365;width:2875;height:1155" coordorigin="1001,1366" coordsize="2875,1155" path="m1001,2261l1023,2243,1036,2228,1058,2231,1058,2230,1058,2228,1078,2211,1091,2196,1113,2178,1136,2181,1136,2180,1136,2178,1146,2181,1146,2180,1149,2174,1157,2162,1164,2151,1168,2146,1191,2113,1201,2098,1223,2113,1246,2048,1256,2051,1256,2050,1256,2048,1278,2051,1278,2050,1278,2048,1301,2051,1301,2050,1302,2039,1307,2016,1311,1993,1313,1983,1336,1986,1336,1985,1336,1983,1356,1968,1368,1951,1391,1953,1391,1952,1391,1951,1413,1953,1413,1952,1413,1951,1423,1968,1446,2033,1468,1918,1478,1936,1501,1938,1501,1937,1501,1936,1523,1951,1533,2016,1556,2048,1578,2051,1578,2050,1578,2048,1591,2081,1613,2146,1633,2178,1646,2243,1668,2211,1691,2308,1701,2341,1723,2308,1746,2326,1768,2406,1778,2423,1801,2426,1801,2425,1801,2423,1823,2426,1823,2425,1823,2423,1833,2441,1856,2456,1878,2458,1878,2457,1878,2456,1891,2458,1891,2457,1891,2456,1911,2473,1933,2456,1946,2473,1968,2488,1988,2456,2001,2473,2023,2506,2046,2508,2046,2507,2046,2506,2056,2488,2078,2521,2101,2506,2111,2488,2133,2491,2133,2490,2133,2488,2156,2491,2156,2490,2156,2488,2168,2491,2168,2490,2168,2488,2188,2491,2188,2490,2188,2488,2211,2473,2223,2456,2246,2473,2266,2441,2278,2443,2278,2442,2278,2441,2301,2423,2323,2406,2333,2408,2333,2407,2333,2406,2356,2408,2356,2407,2356,2406,2378,2408,2378,2407,2378,2406,2388,2373,2411,2376,2411,2375,2414,2369,2422,2357,2429,2346,2433,2341,2446,2343,2446,2342,2449,2334,2456,2317,2462,2301,2466,2293,2488,2308,2501,2293,2523,2276,2543,2243,2556,2276,2578,2261,2601,2263,2601,2262,2601,2261,2611,2293,2633,2211,2656,2228,2666,2211,2688,2196,2711,2198,2711,2197,2711,2196,2723,2178,2743,2181,2743,2180,2747,2184,2754,2195,2762,2206,2766,2211,2778,2178,2801,2196,2821,2198,2821,2197,2821,2196,2833,2163,2856,2178,2878,2181,2878,2180,2878,2178,2888,2163,2911,2166,2911,2165,2911,2163,2933,2146,2943,2196,2966,2048,2988,2033,3001,2131,3021,1951,3043,1903,3056,1886,3078,1871,3098,1886,3111,1871,3133,1886,3156,1838,3178,1841,3178,1840,3178,1838,3188,1841,3188,1840,3188,1838,3211,1821,3233,2001,3243,1771,3266,1756,3288,1738,3298,1803,3321,1723,3343,1738,3356,1741,3356,1740,3356,1738,3376,1706,3398,1673,3411,1723,3433,1738,3456,1641,3466,1673,3488,1691,3511,1693,3511,1692,3512,1681,3516,1658,3519,1636,3521,1626,3543,1641,3566,1593,3576,1561,3598,1543,3621,1511,3633,1513,3633,1512,3636,1504,3643,1487,3650,1471,3653,1463,3676,1528,3688,1496,3711,1446,3733,1413,3743,1641,3766,1463,3788,1446,3798,1431,3821,1366,3843,1398,3853,1413,3876,1381e" filled="false" stroked="true" strokeweight="1pt" strokecolor="#006caa">
              <v:path arrowok="t"/>
              <v:stroke dashstyle="solid"/>
            </v:shape>
            <v:shape style="position:absolute;left:2383;top:615;width:1288;height:242" type="#_x0000_t202" filled="false" stroked="false">
              <v:textbox inset="0,0,0,0">
                <w:txbxContent>
                  <w:p>
                    <w:pPr>
                      <w:spacing w:line="107" w:lineRule="exact" w:before="0"/>
                      <w:ind w:left="0" w:right="0" w:firstLine="0"/>
                      <w:jc w:val="left"/>
                      <w:rPr>
                        <w:sz w:val="12"/>
                      </w:rPr>
                    </w:pPr>
                    <w:r>
                      <w:rPr>
                        <w:w w:val="105"/>
                        <w:sz w:val="12"/>
                      </w:rPr>
                      <w:t>Total unfilled vacancies/</w:t>
                    </w:r>
                  </w:p>
                  <w:p>
                    <w:pPr>
                      <w:spacing w:line="130" w:lineRule="exact" w:before="0"/>
                      <w:ind w:left="69" w:right="0" w:firstLine="0"/>
                      <w:jc w:val="left"/>
                      <w:rPr>
                        <w:sz w:val="12"/>
                      </w:rPr>
                    </w:pPr>
                    <w:r>
                      <w:rPr>
                        <w:w w:val="105"/>
                        <w:sz w:val="12"/>
                      </w:rPr>
                      <w:t>unemployment</w:t>
                    </w:r>
                  </w:p>
                </w:txbxContent>
              </v:textbox>
              <w10:wrap type="none"/>
            </v:shape>
            <v:shape style="position:absolute;left:1655;top:2014;width:885;height:246" type="#_x0000_t202" filled="false" stroked="false">
              <v:textbox inset="0,0,0,0">
                <w:txbxContent>
                  <w:p>
                    <w:pPr>
                      <w:spacing w:line="108" w:lineRule="exact" w:before="0"/>
                      <w:ind w:left="0" w:right="0" w:firstLine="0"/>
                      <w:jc w:val="left"/>
                      <w:rPr>
                        <w:sz w:val="12"/>
                      </w:rPr>
                    </w:pPr>
                    <w:r>
                      <w:rPr>
                        <w:w w:val="105"/>
                        <w:sz w:val="12"/>
                      </w:rPr>
                      <w:t>New vacancies/</w:t>
                    </w:r>
                  </w:p>
                  <w:p>
                    <w:pPr>
                      <w:spacing w:line="131" w:lineRule="exact" w:before="0"/>
                      <w:ind w:left="92" w:right="0" w:firstLine="0"/>
                      <w:jc w:val="left"/>
                      <w:rPr>
                        <w:sz w:val="12"/>
                      </w:rPr>
                    </w:pPr>
                    <w:r>
                      <w:rPr>
                        <w:w w:val="105"/>
                        <w:sz w:val="12"/>
                      </w:rPr>
                      <w:t>unemployment</w:t>
                    </w:r>
                  </w:p>
                </w:txbxContent>
              </v:textbox>
              <w10:wrap type="none"/>
            </v:shape>
            <w10:wrap type="none"/>
          </v:group>
        </w:pict>
      </w:r>
      <w:r>
        <w:rPr/>
        <w:pict>
          <v:line style="position:absolute;mso-position-horizontal-relative:page;mso-position-vertical-relative:paragraph;z-index:16179712" from="198.483002pt,2.413316pt" to="202.817002pt,2.413316pt" stroked="true" strokeweight=".5pt" strokecolor="#000000">
            <v:stroke dashstyle="solid"/>
            <w10:wrap type="none"/>
          </v:line>
        </w:pict>
      </w:r>
      <w:r>
        <w:rPr>
          <w:w w:val="115"/>
          <w:sz w:val="12"/>
        </w:rPr>
        <w:t>0.4</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528" w:right="0" w:firstLine="0"/>
        <w:jc w:val="left"/>
        <w:rPr>
          <w:sz w:val="12"/>
        </w:rPr>
      </w:pPr>
      <w:r>
        <w:rPr/>
        <w:pict>
          <v:line style="position:absolute;mso-position-horizontal-relative:page;mso-position-vertical-relative:paragraph;z-index:16178176" from="198.483002pt,3.476182pt" to="202.817002pt,3.476182pt" stroked="true" strokeweight=".5pt" strokecolor="#000000">
            <v:stroke dashstyle="solid"/>
            <w10:wrap type="none"/>
          </v:line>
        </w:pict>
      </w:r>
      <w:r>
        <w:rPr>
          <w:w w:val="115"/>
          <w:sz w:val="12"/>
        </w:rPr>
        <w:t>0.3</w:t>
      </w:r>
    </w:p>
    <w:p>
      <w:pPr>
        <w:pStyle w:val="BodyText"/>
        <w:spacing w:before="6"/>
        <w:rPr>
          <w:sz w:val="19"/>
        </w:rPr>
      </w:pPr>
      <w:r>
        <w:rPr/>
        <w:br w:type="column"/>
      </w:r>
      <w:r>
        <w:rPr>
          <w:sz w:val="19"/>
        </w:rPr>
      </w:r>
    </w:p>
    <w:p>
      <w:pPr>
        <w:pStyle w:val="BodyText"/>
        <w:spacing w:line="292" w:lineRule="auto" w:before="1"/>
        <w:ind w:left="175" w:right="150"/>
      </w:pPr>
      <w:r>
        <w:rPr>
          <w:spacing w:val="-3"/>
          <w:w w:val="110"/>
        </w:rPr>
        <w:t>stem </w:t>
      </w:r>
      <w:r>
        <w:rPr>
          <w:w w:val="110"/>
        </w:rPr>
        <w:t>from a lack of </w:t>
      </w:r>
      <w:r>
        <w:rPr>
          <w:spacing w:val="-3"/>
          <w:w w:val="110"/>
        </w:rPr>
        <w:t>workers </w:t>
      </w:r>
      <w:r>
        <w:rPr>
          <w:w w:val="110"/>
        </w:rPr>
        <w:t>with specific skills that are in demand across a broad range of industries, and not just </w:t>
      </w:r>
      <w:r>
        <w:rPr>
          <w:spacing w:val="-3"/>
          <w:w w:val="110"/>
        </w:rPr>
        <w:t>greater</w:t>
      </w:r>
      <w:r>
        <w:rPr>
          <w:spacing w:val="-19"/>
          <w:w w:val="110"/>
        </w:rPr>
        <w:t> </w:t>
      </w:r>
      <w:r>
        <w:rPr>
          <w:w w:val="110"/>
        </w:rPr>
        <w:t>mismatch</w:t>
      </w:r>
      <w:r>
        <w:rPr>
          <w:spacing w:val="-18"/>
          <w:w w:val="110"/>
        </w:rPr>
        <w:t> </w:t>
      </w:r>
      <w:r>
        <w:rPr>
          <w:spacing w:val="-3"/>
          <w:w w:val="110"/>
        </w:rPr>
        <w:t>between</w:t>
      </w:r>
      <w:r>
        <w:rPr>
          <w:spacing w:val="-19"/>
          <w:w w:val="110"/>
        </w:rPr>
        <w:t> </w:t>
      </w:r>
      <w:r>
        <w:rPr>
          <w:w w:val="110"/>
        </w:rPr>
        <w:t>labour</w:t>
      </w:r>
      <w:r>
        <w:rPr>
          <w:spacing w:val="-18"/>
          <w:w w:val="110"/>
        </w:rPr>
        <w:t> </w:t>
      </w:r>
      <w:r>
        <w:rPr>
          <w:w w:val="110"/>
        </w:rPr>
        <w:t>demand</w:t>
      </w:r>
      <w:r>
        <w:rPr>
          <w:spacing w:val="-19"/>
          <w:w w:val="110"/>
        </w:rPr>
        <w:t> </w:t>
      </w:r>
      <w:r>
        <w:rPr>
          <w:w w:val="110"/>
        </w:rPr>
        <w:t>and</w:t>
      </w:r>
      <w:r>
        <w:rPr>
          <w:spacing w:val="-18"/>
          <w:w w:val="110"/>
        </w:rPr>
        <w:t> </w:t>
      </w:r>
      <w:r>
        <w:rPr>
          <w:w w:val="110"/>
        </w:rPr>
        <w:t>supply</w:t>
      </w:r>
      <w:r>
        <w:rPr>
          <w:spacing w:val="-19"/>
          <w:w w:val="110"/>
        </w:rPr>
        <w:t> </w:t>
      </w:r>
      <w:r>
        <w:rPr>
          <w:w w:val="110"/>
        </w:rPr>
        <w:t>across </w:t>
      </w:r>
      <w:r>
        <w:rPr>
          <w:spacing w:val="-3"/>
          <w:w w:val="110"/>
        </w:rPr>
        <w:t>sectors. </w:t>
      </w:r>
      <w:r>
        <w:rPr>
          <w:w w:val="110"/>
        </w:rPr>
        <w:t>That interpretation is supported </w:t>
      </w:r>
      <w:r>
        <w:rPr>
          <w:spacing w:val="-3"/>
          <w:w w:val="110"/>
        </w:rPr>
        <w:t>by </w:t>
      </w:r>
      <w:r>
        <w:rPr>
          <w:w w:val="110"/>
        </w:rPr>
        <w:t>recent reports from the </w:t>
      </w:r>
      <w:r>
        <w:rPr>
          <w:spacing w:val="-3"/>
          <w:w w:val="110"/>
        </w:rPr>
        <w:t>Bank’s </w:t>
      </w:r>
      <w:r>
        <w:rPr>
          <w:w w:val="110"/>
        </w:rPr>
        <w:t>regional Agents and the Recruitment and Employment Confederation (REC), which have noted particular shortages of </w:t>
      </w:r>
      <w:r>
        <w:rPr>
          <w:spacing w:val="-5"/>
          <w:w w:val="110"/>
        </w:rPr>
        <w:t>IT, </w:t>
      </w:r>
      <w:r>
        <w:rPr>
          <w:w w:val="110"/>
        </w:rPr>
        <w:t>engineering and professional services</w:t>
      </w:r>
      <w:r>
        <w:rPr>
          <w:spacing w:val="-7"/>
          <w:w w:val="110"/>
        </w:rPr>
        <w:t> </w:t>
      </w:r>
      <w:r>
        <w:rPr>
          <w:w w:val="110"/>
        </w:rPr>
        <w:t>staff.</w:t>
      </w:r>
    </w:p>
    <w:p>
      <w:pPr>
        <w:spacing w:after="0" w:line="292" w:lineRule="auto"/>
        <w:sectPr>
          <w:type w:val="continuous"/>
          <w:pgSz w:w="11900" w:h="16840"/>
          <w:pgMar w:top="1260" w:bottom="280" w:left="640" w:right="640"/>
          <w:cols w:num="3" w:equalWidth="0">
            <w:col w:w="2887" w:space="40"/>
            <w:col w:w="741" w:space="1262"/>
            <w:col w:w="5690"/>
          </w:cols>
        </w:sectPr>
      </w:pPr>
    </w:p>
    <w:p>
      <w:pPr>
        <w:pStyle w:val="BodyText"/>
        <w:spacing w:before="2"/>
        <w:rPr>
          <w:sz w:val="18"/>
        </w:rPr>
      </w:pPr>
    </w:p>
    <w:p>
      <w:pPr>
        <w:pStyle w:val="BodyText"/>
        <w:spacing w:line="20" w:lineRule="exact"/>
        <w:ind w:left="184"/>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pPr>
    </w:p>
    <w:p>
      <w:pPr>
        <w:pStyle w:val="BodyText"/>
        <w:rPr>
          <w:sz w:val="17"/>
        </w:rPr>
      </w:pPr>
      <w:r>
        <w:rPr/>
        <w:pict>
          <v:shape style="position:absolute;margin-left:41.497002pt;margin-top:12.001767pt;width:4.350pt;height:.1pt;mso-position-horizontal-relative:page;mso-position-vertical-relative:paragraph;z-index:-15287808;mso-wrap-distance-left:0;mso-wrap-distance-right:0" coordorigin="830,240" coordsize="87,0" path="m830,240l917,240e" filled="false" stroked="true" strokeweight=".5pt" strokecolor="#000000">
            <v:path arrowok="t"/>
            <v:stroke dashstyle="solid"/>
            <w10:wrap type="topAndBottom"/>
          </v:shape>
        </w:pict>
      </w:r>
    </w:p>
    <w:p>
      <w:pPr>
        <w:pStyle w:val="BodyText"/>
      </w:pPr>
    </w:p>
    <w:p>
      <w:pPr>
        <w:pStyle w:val="BodyText"/>
      </w:pPr>
    </w:p>
    <w:p>
      <w:pPr>
        <w:pStyle w:val="BodyText"/>
        <w:spacing w:before="9"/>
        <w:rPr>
          <w:sz w:val="13"/>
        </w:rPr>
      </w:pPr>
    </w:p>
    <w:p>
      <w:pPr>
        <w:spacing w:line="77" w:lineRule="exact"/>
        <w:ind w:left="184" w:right="-101" w:firstLine="0"/>
        <w:rPr>
          <w:sz w:val="7"/>
        </w:rPr>
      </w:pPr>
      <w:r>
        <w:rPr>
          <w:position w:val="0"/>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position w:val="0"/>
          <w:sz w:val="2"/>
        </w:rPr>
      </w:r>
      <w:r>
        <w:rPr>
          <w:spacing w:val="30"/>
          <w:position w:val="0"/>
          <w:sz w:val="7"/>
        </w:rPr>
        <w:t> </w:t>
      </w:r>
      <w:r>
        <w:rPr>
          <w:spacing w:val="30"/>
          <w:position w:val="-1"/>
          <w:sz w:val="7"/>
        </w:rPr>
        <w:pict>
          <v:group style="width:144.35pt;height:3.4pt;mso-position-horizontal-relative:char;mso-position-vertical-relative:line" coordorigin="0,0" coordsize="2887,68">
            <v:shape style="position:absolute;left:0;top:0;width:2887;height:68" coordorigin="0,0" coordsize="2887,68" path="m0,62l2887,62m8,0l8,67m900,0l900,67m1788,0l1788,67m2683,0l2683,67e" filled="false" stroked="true" strokeweight=".5pt" strokecolor="#000000">
              <v:path arrowok="t"/>
              <v:stroke dashstyle="solid"/>
            </v:shape>
          </v:group>
        </w:pict>
      </w:r>
      <w:r>
        <w:rPr>
          <w:spacing w:val="30"/>
          <w:position w:val="-1"/>
          <w:sz w:val="7"/>
        </w:rPr>
      </w:r>
    </w:p>
    <w:p>
      <w:pPr>
        <w:tabs>
          <w:tab w:pos="1185" w:val="left" w:leader="none"/>
          <w:tab w:pos="2072" w:val="left" w:leader="none"/>
          <w:tab w:pos="2882" w:val="left" w:leader="none"/>
        </w:tabs>
        <w:spacing w:before="20"/>
        <w:ind w:left="228" w:right="0" w:firstLine="0"/>
        <w:jc w:val="left"/>
        <w:rPr>
          <w:sz w:val="12"/>
        </w:rPr>
      </w:pPr>
      <w:r>
        <w:rPr>
          <w:w w:val="120"/>
          <w:sz w:val="12"/>
        </w:rPr>
        <w:t>1988</w:t>
        <w:tab/>
        <w:t>92</w:t>
        <w:tab/>
        <w:t>96</w:t>
        <w:tab/>
        <w:t>2000</w:t>
      </w:r>
    </w:p>
    <w:p>
      <w:pPr>
        <w:pStyle w:val="BodyText"/>
        <w:spacing w:before="5"/>
        <w:rPr>
          <w:sz w:val="13"/>
        </w:rPr>
      </w:pPr>
    </w:p>
    <w:p>
      <w:pPr>
        <w:spacing w:before="0"/>
        <w:ind w:left="180" w:right="0" w:firstLine="0"/>
        <w:jc w:val="left"/>
        <w:rPr>
          <w:sz w:val="12"/>
        </w:rPr>
      </w:pPr>
      <w:r>
        <w:rPr>
          <w:w w:val="105"/>
          <w:sz w:val="12"/>
        </w:rPr>
        <w:t>(a) Claimant count unemployment.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80"/>
        <w:ind w:left="181"/>
      </w:pPr>
      <w:r>
        <w:rPr>
          <w:color w:val="89C6DC"/>
          <w:w w:val="95"/>
        </w:rPr>
        <w:t>Chart 3.9</w:t>
      </w:r>
    </w:p>
    <w:p>
      <w:pPr>
        <w:pStyle w:val="BodyText"/>
        <w:spacing w:before="6"/>
        <w:rPr>
          <w:rFonts w:ascii="Trebuchet MS"/>
          <w:b/>
          <w:sz w:val="11"/>
        </w:rPr>
      </w:pPr>
      <w:r>
        <w:rPr/>
        <w:br w:type="column"/>
      </w:r>
      <w:r>
        <w:rPr>
          <w:rFonts w:ascii="Trebuchet MS"/>
          <w:b/>
          <w:sz w:val="11"/>
        </w:rPr>
      </w:r>
    </w:p>
    <w:p>
      <w:pPr>
        <w:spacing w:before="0"/>
        <w:ind w:left="180" w:right="0" w:firstLine="0"/>
        <w:jc w:val="left"/>
        <w:rPr>
          <w:sz w:val="12"/>
        </w:rPr>
      </w:pPr>
      <w:r>
        <w:rPr>
          <w:w w:val="115"/>
          <w:sz w:val="12"/>
        </w:rPr>
        <w:t>0.2</w:t>
      </w:r>
    </w:p>
    <w:p>
      <w:pPr>
        <w:pStyle w:val="BodyText"/>
        <w:rPr>
          <w:sz w:val="12"/>
        </w:rPr>
      </w:pPr>
    </w:p>
    <w:p>
      <w:pPr>
        <w:pStyle w:val="BodyText"/>
        <w:rPr>
          <w:sz w:val="12"/>
        </w:rPr>
      </w:pPr>
    </w:p>
    <w:p>
      <w:pPr>
        <w:pStyle w:val="BodyText"/>
        <w:rPr>
          <w:sz w:val="12"/>
        </w:rPr>
      </w:pPr>
    </w:p>
    <w:p>
      <w:pPr>
        <w:pStyle w:val="BodyText"/>
        <w:spacing w:before="3"/>
        <w:rPr>
          <w:sz w:val="15"/>
        </w:rPr>
      </w:pPr>
    </w:p>
    <w:p>
      <w:pPr>
        <w:spacing w:before="0"/>
        <w:ind w:left="180" w:right="0" w:firstLine="0"/>
        <w:jc w:val="left"/>
        <w:rPr>
          <w:sz w:val="12"/>
        </w:rPr>
      </w:pPr>
      <w:r>
        <w:rPr/>
        <w:pict>
          <v:line style="position:absolute;mso-position-horizontal-relative:page;mso-position-vertical-relative:paragraph;z-index:16178688" from="198.483002pt,3.351365pt" to="202.817002pt,3.351365pt" stroked="true" strokeweight=".5pt" strokecolor="#000000">
            <v:stroke dashstyle="solid"/>
            <w10:wrap type="none"/>
          </v:line>
        </w:pict>
      </w:r>
      <w:r>
        <w:rPr/>
        <w:pict>
          <v:line style="position:absolute;mso-position-horizontal-relative:page;mso-position-vertical-relative:paragraph;z-index:16180224" from="198.483002pt,-32.398636pt" to="202.817002pt,-32.398636pt" stroked="true" strokeweight=".5pt" strokecolor="#000000">
            <v:stroke dashstyle="solid"/>
            <w10:wrap type="none"/>
          </v:line>
        </w:pict>
      </w:r>
      <w:r>
        <w:rPr>
          <w:w w:val="115"/>
          <w:sz w:val="12"/>
        </w:rPr>
        <w:t>0.1</w:t>
      </w:r>
    </w:p>
    <w:p>
      <w:pPr>
        <w:pStyle w:val="BodyText"/>
        <w:rPr>
          <w:sz w:val="12"/>
        </w:rPr>
      </w:pPr>
    </w:p>
    <w:p>
      <w:pPr>
        <w:pStyle w:val="BodyText"/>
        <w:rPr>
          <w:sz w:val="12"/>
        </w:rPr>
      </w:pPr>
    </w:p>
    <w:p>
      <w:pPr>
        <w:pStyle w:val="BodyText"/>
        <w:rPr>
          <w:sz w:val="12"/>
        </w:rPr>
      </w:pPr>
    </w:p>
    <w:p>
      <w:pPr>
        <w:pStyle w:val="BodyText"/>
        <w:spacing w:before="2"/>
        <w:rPr>
          <w:sz w:val="14"/>
        </w:rPr>
      </w:pPr>
    </w:p>
    <w:p>
      <w:pPr>
        <w:spacing w:before="1"/>
        <w:ind w:left="180" w:right="0" w:firstLine="0"/>
        <w:jc w:val="left"/>
        <w:rPr>
          <w:sz w:val="12"/>
        </w:rPr>
      </w:pPr>
      <w:r>
        <w:rPr/>
        <w:pict>
          <v:line style="position:absolute;mso-position-horizontal-relative:page;mso-position-vertical-relative:paragraph;z-index:16179200" from="198.483002pt,3.651548pt" to="202.817002pt,3.651548pt" stroked="true" strokeweight=".5pt" strokecolor="#000000">
            <v:stroke dashstyle="solid"/>
            <w10:wrap type="none"/>
          </v:line>
        </w:pict>
      </w:r>
      <w:r>
        <w:rPr>
          <w:w w:val="115"/>
          <w:sz w:val="12"/>
        </w:rPr>
        <w:t>0.0</w:t>
      </w:r>
    </w:p>
    <w:p>
      <w:pPr>
        <w:pStyle w:val="BodyText"/>
        <w:spacing w:before="9"/>
        <w:rPr>
          <w:sz w:val="17"/>
        </w:rPr>
      </w:pPr>
      <w:r>
        <w:rPr/>
        <w:br w:type="column"/>
      </w:r>
      <w:r>
        <w:rPr>
          <w:sz w:val="17"/>
        </w:rPr>
      </w:r>
    </w:p>
    <w:p>
      <w:pPr>
        <w:pStyle w:val="BodyText"/>
        <w:spacing w:line="280" w:lineRule="atLeast"/>
        <w:ind w:left="180" w:right="195"/>
      </w:pPr>
      <w:r>
        <w:rPr>
          <w:w w:val="105"/>
        </w:rPr>
        <w:t>Job advertising data </w:t>
      </w:r>
      <w:r>
        <w:rPr>
          <w:spacing w:val="-3"/>
          <w:w w:val="105"/>
        </w:rPr>
        <w:t>corroborate </w:t>
      </w:r>
      <w:r>
        <w:rPr>
          <w:w w:val="105"/>
        </w:rPr>
        <w:t>other evidence of robust labour demand. For example, the </w:t>
      </w:r>
      <w:r>
        <w:rPr>
          <w:spacing w:val="-3"/>
          <w:w w:val="105"/>
        </w:rPr>
        <w:t>latest </w:t>
      </w:r>
      <w:r>
        <w:rPr>
          <w:w w:val="105"/>
        </w:rPr>
        <w:t>REC </w:t>
      </w:r>
      <w:r>
        <w:rPr>
          <w:spacing w:val="-3"/>
          <w:w w:val="105"/>
        </w:rPr>
        <w:t>survey </w:t>
      </w:r>
      <w:r>
        <w:rPr>
          <w:w w:val="105"/>
        </w:rPr>
        <w:t>reported that the index of Press Recruitment Advertising </w:t>
      </w:r>
      <w:r>
        <w:rPr>
          <w:spacing w:val="-3"/>
          <w:w w:val="105"/>
        </w:rPr>
        <w:t>was </w:t>
      </w:r>
      <w:r>
        <w:rPr>
          <w:w w:val="105"/>
        </w:rPr>
        <w:t>at its highest </w:t>
      </w:r>
      <w:r>
        <w:rPr>
          <w:spacing w:val="-3"/>
          <w:w w:val="105"/>
        </w:rPr>
        <w:t>ever level </w:t>
      </w:r>
      <w:r>
        <w:rPr>
          <w:w w:val="105"/>
        </w:rPr>
        <w:t>in December </w:t>
      </w:r>
      <w:r>
        <w:rPr>
          <w:spacing w:val="-4"/>
          <w:w w:val="105"/>
        </w:rPr>
        <w:t>2000, </w:t>
      </w:r>
      <w:r>
        <w:rPr>
          <w:w w:val="105"/>
        </w:rPr>
        <w:t>although </w:t>
      </w:r>
      <w:r>
        <w:rPr>
          <w:spacing w:val="-2"/>
          <w:w w:val="105"/>
        </w:rPr>
        <w:t>growth </w:t>
      </w:r>
      <w:r>
        <w:rPr>
          <w:w w:val="105"/>
        </w:rPr>
        <w:t>had eased slightly on the month. Chart 3.8 shows </w:t>
      </w:r>
      <w:r>
        <w:rPr>
          <w:spacing w:val="-5"/>
          <w:w w:val="105"/>
        </w:rPr>
        <w:t>two </w:t>
      </w:r>
      <w:r>
        <w:rPr>
          <w:w w:val="105"/>
        </w:rPr>
        <w:t>measures relating Jobcentre vacancies </w:t>
      </w:r>
      <w:r>
        <w:rPr>
          <w:spacing w:val="-4"/>
          <w:w w:val="105"/>
        </w:rPr>
        <w:t>to </w:t>
      </w:r>
      <w:r>
        <w:rPr>
          <w:w w:val="105"/>
        </w:rPr>
        <w:t>unemployment. They also suggest that labour demand remains strong but give mixed signals about recent trends.  </w:t>
      </w:r>
      <w:r>
        <w:rPr>
          <w:spacing w:val="-5"/>
          <w:w w:val="105"/>
        </w:rPr>
        <w:t>Total  </w:t>
      </w:r>
      <w:r>
        <w:rPr>
          <w:w w:val="105"/>
        </w:rPr>
        <w:t>unfilled vacancies </w:t>
      </w:r>
      <w:r>
        <w:rPr>
          <w:spacing w:val="-3"/>
          <w:w w:val="105"/>
        </w:rPr>
        <w:t>have  </w:t>
      </w:r>
      <w:r>
        <w:rPr>
          <w:w w:val="105"/>
        </w:rPr>
        <w:t>risen further relative </w:t>
      </w:r>
      <w:r>
        <w:rPr>
          <w:spacing w:val="-4"/>
          <w:w w:val="105"/>
        </w:rPr>
        <w:t>to </w:t>
      </w:r>
      <w:r>
        <w:rPr>
          <w:w w:val="105"/>
        </w:rPr>
        <w:t>unemployment, reflecting a rising  stock of vacancies and declining claimant count unemployment. But existing unfilled vacancies are more</w:t>
      </w:r>
      <w:r>
        <w:rPr>
          <w:spacing w:val="-7"/>
          <w:w w:val="105"/>
        </w:rPr>
        <w:t> </w:t>
      </w:r>
      <w:r>
        <w:rPr>
          <w:w w:val="105"/>
        </w:rPr>
        <w:t>likely</w:t>
      </w:r>
    </w:p>
    <w:p>
      <w:pPr>
        <w:spacing w:after="0" w:line="280" w:lineRule="atLeast"/>
        <w:sectPr>
          <w:type w:val="continuous"/>
          <w:pgSz w:w="11900" w:h="16840"/>
          <w:pgMar w:top="1260" w:bottom="280" w:left="640" w:right="640"/>
          <w:cols w:num="3" w:equalWidth="0">
            <w:col w:w="3215" w:space="60"/>
            <w:col w:w="392" w:space="1258"/>
            <w:col w:w="5695"/>
          </w:cols>
        </w:sectPr>
      </w:pPr>
    </w:p>
    <w:p>
      <w:pPr>
        <w:pStyle w:val="Heading6"/>
        <w:spacing w:line="206" w:lineRule="exact"/>
        <w:ind w:left="181"/>
        <w:rPr>
          <w:rFonts w:ascii="Times New Roman"/>
          <w:b w:val="0"/>
          <w:sz w:val="12"/>
        </w:rPr>
      </w:pPr>
      <w:r>
        <w:rPr>
          <w:color w:val="89C6DC"/>
          <w:w w:val="95"/>
        </w:rPr>
        <w:t>Headline</w:t>
      </w:r>
      <w:r>
        <w:rPr>
          <w:color w:val="89C6DC"/>
          <w:spacing w:val="-28"/>
          <w:w w:val="95"/>
        </w:rPr>
        <w:t> </w:t>
      </w:r>
      <w:r>
        <w:rPr>
          <w:color w:val="89C6DC"/>
          <w:w w:val="95"/>
        </w:rPr>
        <w:t>growth</w:t>
      </w:r>
      <w:r>
        <w:rPr>
          <w:color w:val="89C6DC"/>
          <w:spacing w:val="-27"/>
          <w:w w:val="95"/>
        </w:rPr>
        <w:t> </w:t>
      </w:r>
      <w:r>
        <w:rPr>
          <w:color w:val="89C6DC"/>
          <w:w w:val="95"/>
        </w:rPr>
        <w:t>in</w:t>
      </w:r>
      <w:r>
        <w:rPr>
          <w:color w:val="89C6DC"/>
          <w:spacing w:val="-27"/>
          <w:w w:val="95"/>
        </w:rPr>
        <w:t> </w:t>
      </w:r>
      <w:r>
        <w:rPr>
          <w:color w:val="89C6DC"/>
          <w:w w:val="95"/>
        </w:rPr>
        <w:t>nominal</w:t>
      </w:r>
      <w:r>
        <w:rPr>
          <w:color w:val="89C6DC"/>
          <w:spacing w:val="-27"/>
          <w:w w:val="95"/>
        </w:rPr>
        <w:t> </w:t>
      </w:r>
      <w:r>
        <w:rPr>
          <w:color w:val="89C6DC"/>
          <w:w w:val="95"/>
        </w:rPr>
        <w:t>earnings</w:t>
      </w:r>
      <w:r>
        <w:rPr>
          <w:rFonts w:ascii="Times New Roman"/>
          <w:b w:val="0"/>
          <w:w w:val="95"/>
          <w:position w:val="4"/>
          <w:sz w:val="12"/>
        </w:rPr>
        <w:t>(a)</w:t>
      </w:r>
    </w:p>
    <w:p>
      <w:pPr>
        <w:spacing w:line="120" w:lineRule="exact" w:before="55"/>
        <w:ind w:left="1541" w:right="0" w:firstLine="0"/>
        <w:jc w:val="left"/>
        <w:rPr>
          <w:sz w:val="12"/>
        </w:rPr>
      </w:pPr>
      <w:r>
        <w:rPr>
          <w:w w:val="110"/>
          <w:sz w:val="12"/>
        </w:rPr>
        <w:t>Percentage</w:t>
      </w:r>
      <w:r>
        <w:rPr>
          <w:spacing w:val="-7"/>
          <w:w w:val="110"/>
          <w:sz w:val="12"/>
        </w:rPr>
        <w:t> </w:t>
      </w:r>
      <w:r>
        <w:rPr>
          <w:w w:val="110"/>
          <w:sz w:val="12"/>
        </w:rPr>
        <w:t>changes</w:t>
      </w:r>
      <w:r>
        <w:rPr>
          <w:spacing w:val="-7"/>
          <w:w w:val="110"/>
          <w:sz w:val="12"/>
        </w:rPr>
        <w:t> </w:t>
      </w:r>
      <w:r>
        <w:rPr>
          <w:w w:val="110"/>
          <w:sz w:val="12"/>
        </w:rPr>
        <w:t>on</w:t>
      </w:r>
      <w:r>
        <w:rPr>
          <w:spacing w:val="-7"/>
          <w:w w:val="110"/>
          <w:sz w:val="12"/>
        </w:rPr>
        <w:t> </w:t>
      </w:r>
      <w:r>
        <w:rPr>
          <w:w w:val="110"/>
          <w:sz w:val="12"/>
        </w:rPr>
        <w:t>a</w:t>
      </w:r>
      <w:r>
        <w:rPr>
          <w:spacing w:val="-7"/>
          <w:w w:val="110"/>
          <w:sz w:val="12"/>
        </w:rPr>
        <w:t> </w:t>
      </w:r>
      <w:r>
        <w:rPr>
          <w:w w:val="110"/>
          <w:sz w:val="12"/>
        </w:rPr>
        <w:t>year</w:t>
      </w:r>
      <w:r>
        <w:rPr>
          <w:spacing w:val="-6"/>
          <w:w w:val="110"/>
          <w:sz w:val="12"/>
        </w:rPr>
        <w:t> </w:t>
      </w:r>
      <w:r>
        <w:rPr>
          <w:w w:val="110"/>
          <w:sz w:val="12"/>
        </w:rPr>
        <w:t>earlier</w:t>
      </w:r>
    </w:p>
    <w:p>
      <w:pPr>
        <w:spacing w:line="120" w:lineRule="exact" w:before="0"/>
        <w:ind w:left="3494" w:right="0" w:firstLine="0"/>
        <w:jc w:val="left"/>
        <w:rPr>
          <w:sz w:val="12"/>
        </w:rPr>
      </w:pPr>
      <w:r>
        <w:rPr/>
        <w:pict>
          <v:line style="position:absolute;mso-position-horizontal-relative:page;mso-position-vertical-relative:paragraph;z-index:16186880" from="41.632999pt,3.194688pt" to="45.966999pt,3.194688pt" stroked="true" strokeweight=".5pt" strokecolor="#000000">
            <v:stroke dashstyle="solid"/>
            <w10:wrap type="none"/>
          </v:line>
        </w:pict>
      </w:r>
      <w:r>
        <w:rPr/>
        <w:pict>
          <v:line style="position:absolute;mso-position-horizontal-relative:page;mso-position-vertical-relative:paragraph;z-index:16191488" from="199.339996pt,2.996687pt" to="203.672996pt,2.996687pt" stroked="true" strokeweight=".5pt" strokecolor="#000000">
            <v:stroke dashstyle="solid"/>
            <w10:wrap type="none"/>
          </v:line>
        </w:pict>
      </w:r>
      <w:r>
        <w:rPr>
          <w:w w:val="121"/>
          <w:sz w:val="12"/>
        </w:rPr>
        <w:t>8</w:t>
      </w:r>
    </w:p>
    <w:p>
      <w:pPr>
        <w:pStyle w:val="BodyText"/>
        <w:rPr>
          <w:sz w:val="12"/>
        </w:rPr>
      </w:pPr>
    </w:p>
    <w:p>
      <w:pPr>
        <w:spacing w:before="84"/>
        <w:ind w:left="0" w:right="38" w:firstLine="0"/>
        <w:jc w:val="right"/>
        <w:rPr>
          <w:sz w:val="12"/>
        </w:rPr>
      </w:pPr>
      <w:r>
        <w:rPr/>
        <w:pict>
          <v:group style="position:absolute;margin-left:50.029999pt;margin-top:5.10754pt;width:144.5pt;height:99.45pt;mso-position-horizontal-relative:page;mso-position-vertical-relative:paragraph;z-index:16182784" coordorigin="1001,102" coordsize="2890,1989">
            <v:shape style="position:absolute;left:1010;top:1653;width:748;height:388" coordorigin="1011,1653" coordsize="748,388" path="m1011,1653l1076,1761m1076,1761l1138,1823m1138,1823l1203,1868m1203,1868l1256,1901m1256,1901l1321,1978m1321,1978l1383,2041m1383,2041l1448,1978m1448,1978l1513,1931m1513,1931l1576,1901m1576,1901l1631,1868m1631,1868l1693,1761m1693,1761l1758,1713e" filled="false" stroked="true" strokeweight="1pt" strokecolor="#a64991">
              <v:path arrowok="t"/>
              <v:stroke dashstyle="solid"/>
            </v:shape>
            <v:shape style="position:absolute;left:1748;top:1714;width:148;height:2" coordorigin="1748,1714" coordsize="148,0" path="m1748,1714l1831,1714m1811,1714l1896,1714e" filled="false" stroked="true" strokeweight="1.125pt" strokecolor="#a64991">
              <v:path arrowok="t"/>
              <v:stroke dashstyle="solid"/>
            </v:shape>
            <v:shape style="position:absolute;left:1885;top:1325;width:310;height:435" coordorigin="1886,1326" coordsize="310,435" path="m1886,1713l1951,1761m1951,1761l2013,1713m2013,1713l2068,1606m2068,1606l2131,1388m2131,1388l2196,1326e" filled="false" stroked="true" strokeweight="1pt" strokecolor="#a64991">
              <v:path arrowok="t"/>
              <v:stroke dashstyle="solid"/>
            </v:shape>
            <v:shape style="position:absolute;left:2185;top:1326;width:148;height:2" coordorigin="2186,1327" coordsize="148,0" path="m2186,1327l2268,1327m2248,1327l2333,1327e" filled="false" stroked="true" strokeweight="1.125pt" strokecolor="#a64991">
              <v:path arrowok="t"/>
              <v:stroke dashstyle="solid"/>
            </v:shape>
            <v:shape style="position:absolute;left:2323;top:953;width:748;height:435" coordorigin="2323,953" coordsize="748,435" path="m2323,1326l2388,1358m2388,1358l2451,1388m2451,1388l2506,1358m2506,1358l2568,1326m2568,1326l2633,1218m2633,1218l2696,1108m2696,1108l2826,953m2826,953l2878,1063m2878,1063l2943,1171m2943,1171l3006,1281m3006,1281l3071,1326e" filled="false" stroked="true" strokeweight="1pt" strokecolor="#a64991">
              <v:path arrowok="t"/>
              <v:stroke dashstyle="solid"/>
            </v:shape>
            <v:shape style="position:absolute;left:3060;top:1326;width:148;height:2" coordorigin="3061,1327" coordsize="148,0" path="m3061,1327l3143,1327m3123,1327l3208,1327e" filled="false" stroked="true" strokeweight="1.125pt" strokecolor="#a64991">
              <v:path arrowok="t"/>
              <v:stroke dashstyle="solid"/>
            </v:shape>
            <v:shape style="position:absolute;left:3198;top:1170;width:183;height:155" coordorigin="3198,1171" coordsize="183,155" path="m3198,1326l3263,1248m3263,1248l3316,1171m3316,1171l3381,1218e" filled="false" stroked="true" strokeweight="1pt" strokecolor="#a64991">
              <v:path arrowok="t"/>
              <v:stroke dashstyle="solid"/>
            </v:shape>
            <v:line style="position:absolute" from="3371,1219" to="3453,1219" stroked="true" strokeweight="1.125pt" strokecolor="#a64991">
              <v:stroke dashstyle="solid"/>
            </v:line>
            <v:line style="position:absolute" from="3443,1218" to="3508,1358" stroked="true" strokeweight="1pt" strokecolor="#a64991">
              <v:stroke dashstyle="solid"/>
            </v:line>
            <v:line style="position:absolute" from="3498,1359" to="3581,1359" stroked="true" strokeweight="1.125pt" strokecolor="#a64991">
              <v:stroke dashstyle="solid"/>
            </v:line>
            <v:shape style="position:absolute;left:3570;top:1358;width:183;height:108" coordorigin="3571,1358" coordsize="183,108" path="m3571,1358l3636,1466m3636,1466l3688,1436m3688,1436l3753,1466e" filled="false" stroked="true" strokeweight="1pt" strokecolor="#a64991">
              <v:path arrowok="t"/>
              <v:stroke dashstyle="solid"/>
            </v:shape>
            <v:line style="position:absolute" from="3743,1467" to="3828,1467" stroked="true" strokeweight="1.125pt" strokecolor="#a64991">
              <v:stroke dashstyle="solid"/>
            </v:line>
            <v:line style="position:absolute" from="3818,1466" to="3881,1388" stroked="true" strokeweight="1pt" strokecolor="#a64991">
              <v:stroke dashstyle="solid"/>
            </v:line>
            <v:shape style="position:absolute;left:1010;top:953;width:683;height:328" coordorigin="1011,953" coordsize="683,328" path="m1011,1218l1076,1248m1076,1248l1138,1171m1138,1171l1203,1248m1203,1248l1256,1171m1256,1171l1321,1281m1321,1281l1383,1248m1383,1248l1448,1171m1448,1171l1513,1141m1513,1141l1576,1108m1576,1108l1631,1063m1631,1063l1693,953e" filled="false" stroked="true" strokeweight="1pt" strokecolor="#de0035">
              <v:path arrowok="t"/>
              <v:stroke dashstyle="solid"/>
            </v:shape>
            <v:line style="position:absolute" from="1683,954" to="1768,954" stroked="true" strokeweight="1.125pt" strokecolor="#de0035">
              <v:stroke dashstyle="solid"/>
            </v:line>
            <v:shape style="position:absolute;left:1758;top:598;width:438;height:355" coordorigin="1758,598" coordsize="438,355" path="m1758,953l1821,893m1821,893l1886,923m1886,923l1951,783m1951,783l2013,676m2013,676l2068,598m2068,598l2131,628m2131,628l2196,783e" filled="false" stroked="true" strokeweight="1pt" strokecolor="#de0035">
              <v:path arrowok="t"/>
              <v:stroke dashstyle="solid"/>
            </v:shape>
            <v:line style="position:absolute" from="2186,784" to="2268,784" stroked="true" strokeweight="1.125pt" strokecolor="#de0035">
              <v:stroke dashstyle="solid"/>
            </v:line>
            <v:shape style="position:absolute;left:2258;top:783;width:813;height:358" coordorigin="2258,783" coordsize="813,358" path="m2258,783l2323,893m2323,893l2388,923m2388,923l2451,1031m2451,1031l2506,1108m2506,1108l2568,1063m2568,1063l2633,1031m2633,1031l2696,1063m2696,1063l2761,1141m2761,1141l2826,1063m2826,1063l2878,1001m2878,1001l2943,923m2943,923l3006,1001m3006,1001l3071,923e" filled="false" stroked="true" strokeweight="1pt" strokecolor="#de0035">
              <v:path arrowok="t"/>
              <v:stroke dashstyle="solid"/>
            </v:shape>
            <v:line style="position:absolute" from="3061,924" to="3143,924" stroked="true" strokeweight="1.125pt" strokecolor="#de0035">
              <v:stroke dashstyle="solid"/>
            </v:line>
            <v:shape style="position:absolute;left:3133;top:565;width:685;height:715" coordorigin="3133,566" coordsize="685,715" path="m3133,923l3198,738m3198,738l3263,598m3263,598l3316,566m3316,566l3381,676m3381,676l3443,893m3443,893l3508,1063m3508,1063l3571,1218m3571,1218l3636,1281m3636,1281l3688,1248m3688,1248l3753,1218m3753,1218l3818,1171e" filled="false" stroked="true" strokeweight="1pt" strokecolor="#de0035">
              <v:path arrowok="t"/>
              <v:stroke dashstyle="solid"/>
            </v:shape>
            <v:line style="position:absolute" from="3808,1172" to="3891,1172" stroked="true" strokeweight="1.125pt" strokecolor="#de0035">
              <v:stroke dashstyle="solid"/>
            </v:line>
            <v:shape style="position:absolute;left:1010;top:1030;width:128;height:218" coordorigin="1011,1031" coordsize="128,218" path="m1011,1031l1076,1108m1076,1108l1138,1248e" filled="false" stroked="true" strokeweight="1pt" strokecolor="#0099d9">
              <v:path arrowok="t"/>
              <v:stroke dashstyle="solid"/>
            </v:shape>
            <v:shape style="position:absolute;left:1128;top:1249;width:138;height:2" coordorigin="1128,1249" coordsize="138,0" path="m1128,1249l1213,1249m1193,1249l1266,1249e" filled="false" stroked="true" strokeweight="1.125pt" strokecolor="#0099d9">
              <v:path arrowok="t"/>
              <v:stroke dashstyle="solid"/>
            </v:shape>
            <v:line style="position:absolute" from="1256,1248" to="1321,1171" stroked="true" strokeweight="1pt" strokecolor="#0099d9">
              <v:stroke dashstyle="solid"/>
            </v:line>
            <v:line style="position:absolute" from="1311,1172" to="1393,1172" stroked="true" strokeweight="1.125pt" strokecolor="#0099d9">
              <v:stroke dashstyle="solid"/>
            </v:line>
            <v:shape style="position:absolute;left:1383;top:1000;width:375;height:170" coordorigin="1383,1001" coordsize="375,170" path="m1383,1171l1448,1141m1448,1141l1513,1171m1513,1171l1576,1108m1576,1108l1631,1063m1631,1063l1693,1031m1693,1031l1758,1001e" filled="false" stroked="true" strokeweight="1pt" strokecolor="#0099d9">
              <v:path arrowok="t"/>
              <v:stroke dashstyle="solid"/>
            </v:shape>
            <v:line style="position:absolute" from="1748,1002" to="1831,1002" stroked="true" strokeweight="1.125pt" strokecolor="#0099d9">
              <v:stroke dashstyle="solid"/>
            </v:line>
            <v:shape style="position:absolute;left:1820;top:845;width:248;height:155" coordorigin="1821,846" coordsize="248,155" path="m1821,1001l1886,893m1886,893l1951,846m1951,846l2013,893m2013,893l2068,953e" filled="false" stroked="true" strokeweight="1pt" strokecolor="#0099d9">
              <v:path arrowok="t"/>
              <v:stroke dashstyle="solid"/>
            </v:shape>
            <v:shape style="position:absolute;left:2058;top:954;width:148;height:2" coordorigin="2058,954" coordsize="148,0" path="m2058,954l2141,954m2121,954l2206,954e" filled="false" stroked="true" strokeweight="1.125pt" strokecolor="#0099d9">
              <v:path arrowok="t"/>
              <v:stroke dashstyle="solid"/>
            </v:shape>
            <v:shape style="position:absolute;left:2195;top:953;width:310;height:483" coordorigin="2196,953" coordsize="310,483" path="m2196,953l2258,1001m2258,1001l2323,1063m2323,1063l2388,1218m2388,1218l2451,1358m2451,1358l2506,1436e" filled="false" stroked="true" strokeweight="1pt" strokecolor="#0099d9">
              <v:path arrowok="t"/>
              <v:stroke dashstyle="solid"/>
            </v:shape>
            <v:line style="position:absolute" from="2496,1437" to="2578,1437" stroked="true" strokeweight="1.125pt" strokecolor="#0099d9">
              <v:stroke dashstyle="solid"/>
            </v:line>
            <v:shape style="position:absolute;left:2568;top:1388;width:128;height:48" coordorigin="2568,1388" coordsize="128,48" path="m2568,1436l2633,1388m2633,1388l2696,1436e" filled="false" stroked="true" strokeweight="1pt" strokecolor="#0099d9">
              <v:path arrowok="t"/>
              <v:stroke dashstyle="solid"/>
            </v:shape>
            <v:shape style="position:absolute;left:2685;top:1436;width:203;height:2" coordorigin="2686,1437" coordsize="203,0" path="m2686,1437l2771,1437m2751,1437l2836,1437m2816,1437l2888,1437e" filled="false" stroked="true" strokeweight="1.125pt" strokecolor="#0099d9">
              <v:path arrowok="t"/>
              <v:stroke dashstyle="solid"/>
            </v:shape>
            <v:shape style="position:absolute;left:2878;top:783;width:385;height:653" coordorigin="2878,783" coordsize="385,653" path="m2878,1436l2943,1326m2943,1326l3006,1248m3006,1248l3071,1141m3071,1141l3133,1108m3133,1108l3198,923m3198,923l3263,783e" filled="false" stroked="true" strokeweight="1pt" strokecolor="#0099d9">
              <v:path arrowok="t"/>
              <v:stroke dashstyle="solid"/>
            </v:shape>
            <v:line style="position:absolute" from="3253,784" to="3326,784" stroked="true" strokeweight="1.125pt" strokecolor="#0099d9">
              <v:stroke dashstyle="solid"/>
            </v:line>
            <v:shape style="position:absolute;left:3315;top:783;width:193;height:280" coordorigin="3316,783" coordsize="193,280" path="m3316,783l3381,923m3381,923l3443,1063m3443,1063l3508,1001e" filled="false" stroked="true" strokeweight="1pt" strokecolor="#0099d9">
              <v:path arrowok="t"/>
              <v:stroke dashstyle="solid"/>
            </v:shape>
            <v:line style="position:absolute" from="3498,1002" to="3581,1002" stroked="true" strokeweight="1.125pt" strokecolor="#0099d9">
              <v:stroke dashstyle="solid"/>
            </v:line>
            <v:shape style="position:absolute;left:3570;top:1000;width:118;height:140" coordorigin="3571,1001" coordsize="118,140" path="m3571,1001l3636,1031m3636,1031l3688,1141e" filled="false" stroked="true" strokeweight="1pt" strokecolor="#0099d9">
              <v:path arrowok="t"/>
              <v:stroke dashstyle="solid"/>
            </v:shape>
            <v:shape style="position:absolute;left:3678;top:1141;width:150;height:2" coordorigin="3678,1142" coordsize="150,0" path="m3678,1142l3763,1142m3743,1142l3828,1142e" filled="false" stroked="true" strokeweight="1.125pt" strokecolor="#0099d9">
              <v:path arrowok="t"/>
              <v:stroke dashstyle="solid"/>
            </v:shape>
            <v:line style="position:absolute" from="3818,1141" to="3881,1063" stroked="true" strokeweight="1pt" strokecolor="#0099d9">
              <v:stroke dashstyle="solid"/>
            </v:line>
            <v:line style="position:absolute" from="1001,1109" to="1086,1109" stroked="true" strokeweight="1.125pt" strokecolor="#f6bd61">
              <v:stroke dashstyle="solid"/>
            </v:line>
            <v:shape style="position:absolute;left:1075;top:628;width:618;height:480" coordorigin="1076,628" coordsize="618,480" path="m1076,1108l1138,923m1138,923l1203,1031m1203,1031l1256,923m1256,923l1321,1063m1321,1063l1383,953m1383,953l1448,893m1448,893l1513,816m1513,816l1576,783m1576,783l1631,738m1631,738l1693,628e" filled="false" stroked="true" strokeweight="1pt" strokecolor="#f6bd61">
              <v:path arrowok="t"/>
              <v:stroke dashstyle="solid"/>
            </v:shape>
            <v:line style="position:absolute" from="1683,629" to="1768,629" stroked="true" strokeweight="1.125pt" strokecolor="#f6bd61">
              <v:stroke dashstyle="solid"/>
            </v:line>
            <v:shape style="position:absolute;left:1758;top:133;width:438;height:495" coordorigin="1758,133" coordsize="438,495" path="m1758,628l1821,566m1821,566l1886,598m1886,598l1951,351m1951,351l2013,163m2013,163l2068,133m2068,133l2131,273m2131,273l2196,566e" filled="false" stroked="true" strokeweight="1pt" strokecolor="#f6bd61">
              <v:path arrowok="t"/>
              <v:stroke dashstyle="solid"/>
            </v:shape>
            <v:line style="position:absolute" from="2186,567" to="2268,567" stroked="true" strokeweight="1.125pt" strokecolor="#f6bd61">
              <v:stroke dashstyle="solid"/>
            </v:line>
            <v:shape style="position:absolute;left:2258;top:273;width:1005;height:868" coordorigin="2258,273" coordsize="1005,868" path="m2258,566l2323,676m2323,676l2388,706m2388,706l2451,846m2451,846l2506,953m2506,953l2568,923m2568,923l2633,893m2633,893l2696,953m2696,953l2761,1141m2761,1141l2826,953m2826,953l2878,783m2878,783l2943,566m2943,566l3006,738m3006,738l3071,676m3071,676l3133,706m3133,706l3198,488m3198,488l3263,273e" filled="false" stroked="true" strokeweight="1pt" strokecolor="#f6bd61">
              <v:path arrowok="t"/>
              <v:stroke dashstyle="solid"/>
            </v:shape>
            <v:line style="position:absolute" from="3253,274" to="3326,274" stroked="true" strokeweight="1.125pt" strokecolor="#f6bd61">
              <v:stroke dashstyle="solid"/>
            </v:line>
            <v:shape style="position:absolute;left:3315;top:273;width:503;height:1115" coordorigin="3316,273" coordsize="503,1115" path="m3316,273l3381,428m3381,428l3443,706m3443,706l3508,1001m3508,1001l3571,1248m3571,1248l3636,1388m3636,1388l3688,1281m3688,1281l3753,1141m3753,1141l3818,1063e" filled="false" stroked="true" strokeweight="1pt" strokecolor="#f6bd61">
              <v:path arrowok="t"/>
              <v:stroke dashstyle="solid"/>
            </v:shape>
            <v:line style="position:absolute" from="3808,1064" to="3891,1064" stroked="true" strokeweight="1.125pt" strokecolor="#f6bd61">
              <v:stroke dashstyle="solid"/>
            </v:line>
            <v:line style="position:absolute" from="1594,211" to="1904,685" stroked="true" strokeweight=".5pt" strokecolor="#000000">
              <v:stroke dashstyle="solid"/>
            </v:line>
            <v:shape style="position:absolute;left:1874;top:657;width:68;height:85" coordorigin="1874,657" coordsize="68,85" path="m1916,657l1874,685,1888,695,1898,702,1942,742,1938,734,1934,724,1930,712,1926,699,1923,688,1916,657xe" filled="true" fillcolor="#000000" stroked="false">
              <v:path arrowok="t"/>
              <v:fill type="solid"/>
            </v:shape>
            <v:shape style="position:absolute;left:1051;top:102;width:858;height:121" type="#_x0000_t202" filled="false" stroked="false">
              <v:textbox inset="0,0,0,0">
                <w:txbxContent>
                  <w:p>
                    <w:pPr>
                      <w:spacing w:line="115" w:lineRule="exact" w:before="0"/>
                      <w:ind w:left="0" w:right="0" w:firstLine="0"/>
                      <w:jc w:val="left"/>
                      <w:rPr>
                        <w:sz w:val="12"/>
                      </w:rPr>
                    </w:pPr>
                    <w:r>
                      <w:rPr>
                        <w:w w:val="105"/>
                        <w:sz w:val="12"/>
                      </w:rPr>
                      <w:t>Whole-economy</w:t>
                    </w:r>
                  </w:p>
                </w:txbxContent>
              </v:textbox>
              <w10:wrap type="none"/>
            </v:shape>
            <v:shape style="position:absolute;left:2178;top:207;width:727;height:241" type="#_x0000_t202" filled="false" stroked="false">
              <v:textbox inset="0,0,0,0">
                <w:txbxContent>
                  <w:p>
                    <w:pPr>
                      <w:spacing w:line="106" w:lineRule="exact" w:before="0"/>
                      <w:ind w:left="0" w:right="0" w:firstLine="0"/>
                      <w:jc w:val="left"/>
                      <w:rPr>
                        <w:sz w:val="12"/>
                      </w:rPr>
                    </w:pPr>
                    <w:r>
                      <w:rPr>
                        <w:w w:val="110"/>
                        <w:sz w:val="12"/>
                      </w:rPr>
                      <w:t>Private sector</w:t>
                    </w:r>
                  </w:p>
                  <w:p>
                    <w:pPr>
                      <w:spacing w:line="129" w:lineRule="exact" w:before="0"/>
                      <w:ind w:left="60" w:right="0" w:firstLine="0"/>
                      <w:jc w:val="left"/>
                      <w:rPr>
                        <w:sz w:val="12"/>
                      </w:rPr>
                    </w:pPr>
                    <w:r>
                      <w:rPr>
                        <w:w w:val="105"/>
                        <w:sz w:val="12"/>
                      </w:rPr>
                      <w:t>services</w:t>
                    </w:r>
                  </w:p>
                </w:txbxContent>
              </v:textbox>
              <w10:wrap type="none"/>
            </v:shape>
            <v:shape style="position:absolute;left:2621;top:1464;width:786;height:121" type="#_x0000_t202" filled="false" stroked="false">
              <v:textbox inset="0,0,0,0">
                <w:txbxContent>
                  <w:p>
                    <w:pPr>
                      <w:spacing w:line="115" w:lineRule="exact" w:before="0"/>
                      <w:ind w:left="0" w:right="0" w:firstLine="0"/>
                      <w:jc w:val="left"/>
                      <w:rPr>
                        <w:sz w:val="12"/>
                      </w:rPr>
                    </w:pPr>
                    <w:r>
                      <w:rPr>
                        <w:w w:val="105"/>
                        <w:sz w:val="12"/>
                      </w:rPr>
                      <w:t>Manufacturing</w:t>
                    </w:r>
                  </w:p>
                </w:txbxContent>
              </v:textbox>
              <w10:wrap type="none"/>
            </v:shape>
            <v:shape style="position:absolute;left:1490;top:1970;width:694;height:121" type="#_x0000_t202" filled="false" stroked="false">
              <v:textbox inset="0,0,0,0">
                <w:txbxContent>
                  <w:p>
                    <w:pPr>
                      <w:spacing w:line="115" w:lineRule="exact" w:before="0"/>
                      <w:ind w:left="0" w:right="0" w:firstLine="0"/>
                      <w:jc w:val="left"/>
                      <w:rPr>
                        <w:sz w:val="12"/>
                      </w:rPr>
                    </w:pPr>
                    <w:r>
                      <w:rPr>
                        <w:w w:val="110"/>
                        <w:sz w:val="12"/>
                      </w:rPr>
                      <w:t>Public sector</w:t>
                    </w:r>
                  </w:p>
                </w:txbxContent>
              </v:textbox>
              <w10:wrap type="none"/>
            </v:shape>
            <w10:wrap type="none"/>
          </v:group>
        </w:pict>
      </w:r>
      <w:r>
        <w:rPr/>
        <w:pict>
          <v:line style="position:absolute;mso-position-horizontal-relative:page;mso-position-vertical-relative:paragraph;z-index:16183296" from="41.632999pt,8.325965pt" to="45.966999pt,8.325965pt" stroked="true" strokeweight=".5pt" strokecolor="#000000">
            <v:stroke dashstyle="solid"/>
            <w10:wrap type="none"/>
          </v:line>
        </w:pict>
      </w:r>
      <w:r>
        <w:rPr/>
        <w:pict>
          <v:line style="position:absolute;mso-position-horizontal-relative:page;mso-position-vertical-relative:paragraph;z-index:16187392" from="199.339996pt,8.127965pt" to="203.672996pt,8.127965pt" stroked="true" strokeweight=".5pt" strokecolor="#000000">
            <v:stroke dashstyle="solid"/>
            <w10:wrap type="none"/>
          </v:line>
        </w:pict>
      </w:r>
      <w:r>
        <w:rPr>
          <w:w w:val="121"/>
          <w:sz w:val="12"/>
        </w:rPr>
        <w:t>7</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183808" from="41.632999pt,8.391776pt" to="45.966999pt,8.391776pt" stroked="true" strokeweight=".5pt" strokecolor="#000000">
            <v:stroke dashstyle="solid"/>
            <w10:wrap type="none"/>
          </v:line>
        </w:pict>
      </w:r>
      <w:r>
        <w:rPr/>
        <w:pict>
          <v:line style="position:absolute;mso-position-horizontal-relative:page;mso-position-vertical-relative:paragraph;z-index:16187904" from="199.339996pt,8.193776pt" to="203.672996pt,8.193776pt" stroked="true" strokeweight=".5pt" strokecolor="#000000">
            <v:stroke dashstyle="solid"/>
            <w10:wrap type="none"/>
          </v:line>
        </w:pict>
      </w:r>
      <w:r>
        <w:rPr>
          <w:w w:val="121"/>
          <w:sz w:val="12"/>
        </w:rPr>
        <w:t>6</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184320" from="41.632999pt,8.407557pt" to="45.966999pt,8.407557pt" stroked="true" strokeweight=".5pt" strokecolor="#000000">
            <v:stroke dashstyle="solid"/>
            <w10:wrap type="none"/>
          </v:line>
        </w:pict>
      </w:r>
      <w:r>
        <w:rPr/>
        <w:pict>
          <v:line style="position:absolute;mso-position-horizontal-relative:page;mso-position-vertical-relative:paragraph;z-index:16188416" from="199.339996pt,8.209557pt" to="203.672996pt,8.209557pt" stroked="true" strokeweight=".5pt" strokecolor="#000000">
            <v:stroke dashstyle="solid"/>
            <w10:wrap type="none"/>
          </v:line>
        </w:pict>
      </w:r>
      <w:r>
        <w:rPr>
          <w:w w:val="121"/>
          <w:sz w:val="12"/>
        </w:rPr>
        <w:t>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84832" from="41.632999pt,8.373367pt" to="45.966999pt,8.373367pt" stroked="true" strokeweight=".5pt" strokecolor="#000000">
            <v:stroke dashstyle="solid"/>
            <w10:wrap type="none"/>
          </v:line>
        </w:pict>
      </w:r>
      <w:r>
        <w:rPr/>
        <w:pict>
          <v:line style="position:absolute;mso-position-horizontal-relative:page;mso-position-vertical-relative:paragraph;z-index:16188928" from="199.339996pt,8.175367pt" to="203.672996pt,8.175367pt" stroked="true" strokeweight=".5pt" strokecolor="#000000">
            <v:stroke dashstyle="solid"/>
            <w10:wrap type="none"/>
          </v:line>
        </w:pict>
      </w:r>
      <w:r>
        <w:rPr>
          <w:w w:val="121"/>
          <w:sz w:val="12"/>
        </w:rPr>
        <w:t>4</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185344" from="41.632999pt,8.438148pt" to="45.966999pt,8.438148pt" stroked="true" strokeweight=".5pt" strokecolor="#000000">
            <v:stroke dashstyle="solid"/>
            <w10:wrap type="none"/>
          </v:line>
        </w:pict>
      </w:r>
      <w:r>
        <w:rPr/>
        <w:pict>
          <v:line style="position:absolute;mso-position-horizontal-relative:page;mso-position-vertical-relative:paragraph;z-index:16189440" from="199.339996pt,8.241148pt" to="203.672996pt,8.241148pt" stroked="true" strokeweight=".5pt" strokecolor="#000000">
            <v:stroke dashstyle="solid"/>
            <w10:wrap type="none"/>
          </v:line>
        </w:pict>
      </w:r>
      <w:r>
        <w:rPr>
          <w:w w:val="121"/>
          <w:sz w:val="12"/>
        </w:rPr>
        <w:t>3</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185856" from="41.632999pt,8.453959pt" to="45.966999pt,8.453959pt" stroked="true" strokeweight=".5pt" strokecolor="#000000">
            <v:stroke dashstyle="solid"/>
            <w10:wrap type="none"/>
          </v:line>
        </w:pict>
      </w:r>
      <w:r>
        <w:rPr/>
        <w:pict>
          <v:line style="position:absolute;mso-position-horizontal-relative:page;mso-position-vertical-relative:paragraph;z-index:16189952" from="199.339996pt,8.255959pt" to="203.672996pt,8.255959pt" stroked="true" strokeweight=".5pt" strokecolor="#000000">
            <v:stroke dashstyle="solid"/>
            <w10:wrap type="none"/>
          </v:line>
        </w:pict>
      </w:r>
      <w:r>
        <w:rPr>
          <w:w w:val="121"/>
          <w:sz w:val="12"/>
        </w:rPr>
        <w:t>2</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86368" from="41.632999pt,8.41977pt" to="45.966999pt,8.41977pt" stroked="true" strokeweight=".5pt" strokecolor="#000000">
            <v:stroke dashstyle="solid"/>
            <w10:wrap type="none"/>
          </v:line>
        </w:pict>
      </w:r>
      <w:r>
        <w:rPr/>
        <w:pict>
          <v:line style="position:absolute;mso-position-horizontal-relative:page;mso-position-vertical-relative:paragraph;z-index:16190464" from="199.339996pt,8.221770pt" to="203.672996pt,8.221770pt" stroked="true" strokeweight=".5pt" strokecolor="#000000">
            <v:stroke dashstyle="solid"/>
            <w10:wrap type="none"/>
          </v:line>
        </w:pict>
      </w:r>
      <w:r>
        <w:rPr>
          <w:w w:val="121"/>
          <w:sz w:val="12"/>
        </w:rPr>
        <w:t>1</w:t>
      </w:r>
    </w:p>
    <w:p>
      <w:pPr>
        <w:pStyle w:val="BodyText"/>
        <w:spacing w:line="292" w:lineRule="auto" w:before="50"/>
        <w:ind w:left="301" w:right="278"/>
      </w:pPr>
      <w:r>
        <w:rPr/>
        <w:br w:type="column"/>
      </w:r>
      <w:r>
        <w:rPr>
          <w:spacing w:val="-4"/>
          <w:w w:val="105"/>
        </w:rPr>
        <w:t>to </w:t>
      </w:r>
      <w:r>
        <w:rPr>
          <w:w w:val="105"/>
        </w:rPr>
        <w:t>be filled by the </w:t>
      </w:r>
      <w:r>
        <w:rPr>
          <w:spacing w:val="-3"/>
          <w:w w:val="105"/>
        </w:rPr>
        <w:t>newly-unemployed </w:t>
      </w:r>
      <w:r>
        <w:rPr>
          <w:w w:val="105"/>
        </w:rPr>
        <w:t>than </w:t>
      </w:r>
      <w:r>
        <w:rPr>
          <w:spacing w:val="-3"/>
          <w:w w:val="105"/>
        </w:rPr>
        <w:t>by </w:t>
      </w:r>
      <w:r>
        <w:rPr>
          <w:w w:val="105"/>
        </w:rPr>
        <w:t>people already out of work, who </w:t>
      </w:r>
      <w:r>
        <w:rPr>
          <w:spacing w:val="-3"/>
          <w:w w:val="105"/>
        </w:rPr>
        <w:t>may have </w:t>
      </w:r>
      <w:r>
        <w:rPr>
          <w:w w:val="105"/>
        </w:rPr>
        <w:t>already </w:t>
      </w:r>
      <w:r>
        <w:rPr>
          <w:spacing w:val="-3"/>
          <w:w w:val="105"/>
        </w:rPr>
        <w:t>exhausted </w:t>
      </w:r>
      <w:r>
        <w:rPr>
          <w:w w:val="105"/>
        </w:rPr>
        <w:t>their search of existing vacancies. </w:t>
      </w:r>
      <w:r>
        <w:rPr>
          <w:spacing w:val="-4"/>
          <w:w w:val="105"/>
        </w:rPr>
        <w:t>However, </w:t>
      </w:r>
      <w:r>
        <w:rPr>
          <w:w w:val="105"/>
        </w:rPr>
        <w:t>both categories of the unemployed can potentially fill new vacancies. In contrast </w:t>
      </w:r>
      <w:r>
        <w:rPr>
          <w:spacing w:val="-4"/>
          <w:w w:val="105"/>
        </w:rPr>
        <w:t>to </w:t>
      </w:r>
      <w:r>
        <w:rPr>
          <w:w w:val="105"/>
        </w:rPr>
        <w:t>the rise in the measure based on existing vacancies, the </w:t>
      </w:r>
      <w:r>
        <w:rPr>
          <w:spacing w:val="-3"/>
          <w:w w:val="105"/>
        </w:rPr>
        <w:t>ratio </w:t>
      </w:r>
      <w:r>
        <w:rPr>
          <w:w w:val="105"/>
        </w:rPr>
        <w:t>of new vacancies </w:t>
      </w:r>
      <w:r>
        <w:rPr>
          <w:spacing w:val="-4"/>
          <w:w w:val="105"/>
        </w:rPr>
        <w:t>to </w:t>
      </w:r>
      <w:r>
        <w:rPr>
          <w:w w:val="105"/>
        </w:rPr>
        <w:t>unemployment has fallen marginally</w:t>
      </w:r>
      <w:r>
        <w:rPr>
          <w:spacing w:val="-23"/>
          <w:w w:val="105"/>
        </w:rPr>
        <w:t> </w:t>
      </w:r>
      <w:r>
        <w:rPr>
          <w:w w:val="105"/>
        </w:rPr>
        <w:t>from its peak in September </w:t>
      </w:r>
      <w:r>
        <w:rPr>
          <w:spacing w:val="-4"/>
          <w:w w:val="105"/>
        </w:rPr>
        <w:t>2000, </w:t>
      </w:r>
      <w:r>
        <w:rPr>
          <w:w w:val="105"/>
        </w:rPr>
        <w:t>reflecting a slight decline in vacancy notifications </w:t>
      </w:r>
      <w:r>
        <w:rPr>
          <w:spacing w:val="-3"/>
          <w:w w:val="105"/>
        </w:rPr>
        <w:t>over </w:t>
      </w:r>
      <w:r>
        <w:rPr>
          <w:w w:val="105"/>
        </w:rPr>
        <w:t>the past three months</w:t>
      </w:r>
      <w:r>
        <w:rPr>
          <w:spacing w:val="14"/>
          <w:w w:val="105"/>
        </w:rPr>
        <w:t> </w:t>
      </w:r>
      <w:r>
        <w:rPr>
          <w:w w:val="105"/>
        </w:rPr>
        <w:t>(see</w:t>
      </w:r>
    </w:p>
    <w:p>
      <w:pPr>
        <w:pStyle w:val="BodyText"/>
        <w:spacing w:line="225" w:lineRule="exact"/>
        <w:ind w:left="301"/>
      </w:pPr>
      <w:r>
        <w:rPr>
          <w:w w:val="110"/>
        </w:rPr>
        <w:t>Chart 3.8).</w:t>
      </w:r>
    </w:p>
    <w:p>
      <w:pPr>
        <w:pStyle w:val="BodyText"/>
        <w:spacing w:before="4"/>
      </w:pPr>
    </w:p>
    <w:p>
      <w:pPr>
        <w:pStyle w:val="Heading3"/>
        <w:numPr>
          <w:ilvl w:val="1"/>
          <w:numId w:val="19"/>
        </w:numPr>
        <w:tabs>
          <w:tab w:pos="781" w:val="left" w:leader="none"/>
          <w:tab w:pos="782" w:val="left" w:leader="none"/>
          <w:tab w:pos="5681" w:val="left" w:leader="none"/>
        </w:tabs>
        <w:spacing w:line="240" w:lineRule="auto" w:before="0" w:after="0"/>
        <w:ind w:left="781" w:right="0" w:hanging="601"/>
        <w:jc w:val="left"/>
        <w:rPr>
          <w:color w:val="89C6DC"/>
          <w:u w:val="none"/>
        </w:rPr>
      </w:pPr>
      <w:r>
        <w:rPr>
          <w:smallCaps w:val="0"/>
          <w:color w:val="89C6DC"/>
          <w:w w:val="90"/>
          <w:u w:val="single" w:color="006CB4"/>
        </w:rPr>
        <w:t>Earnings  and</w:t>
      </w:r>
      <w:r>
        <w:rPr>
          <w:smallCaps w:val="0"/>
          <w:color w:val="89C6DC"/>
          <w:spacing w:val="-24"/>
          <w:w w:val="90"/>
          <w:u w:val="single" w:color="006CB4"/>
        </w:rPr>
        <w:t> </w:t>
      </w:r>
      <w:r>
        <w:rPr>
          <w:smallCaps w:val="0"/>
          <w:color w:val="89C6DC"/>
          <w:w w:val="90"/>
          <w:u w:val="single" w:color="006CB4"/>
        </w:rPr>
        <w:t>settlements</w:t>
      </w:r>
      <w:r>
        <w:rPr>
          <w:smallCaps w:val="0"/>
          <w:color w:val="89C6DC"/>
          <w:u w:val="single" w:color="006CB4"/>
        </w:rPr>
        <w:tab/>
      </w:r>
    </w:p>
    <w:p>
      <w:pPr>
        <w:spacing w:after="0" w:line="240" w:lineRule="auto"/>
        <w:jc w:val="left"/>
        <w:sectPr>
          <w:type w:val="continuous"/>
          <w:pgSz w:w="11900" w:h="16840"/>
          <w:pgMar w:top="1260" w:bottom="280" w:left="640" w:right="640"/>
          <w:cols w:num="2" w:equalWidth="0">
            <w:col w:w="3608" w:space="1197"/>
            <w:col w:w="5815"/>
          </w:cols>
        </w:sectPr>
      </w:pPr>
    </w:p>
    <w:p>
      <w:pPr>
        <w:pStyle w:val="BodyText"/>
        <w:spacing w:before="2"/>
        <w:rPr>
          <w:rFonts w:ascii="Trebuchet MS"/>
          <w:b/>
          <w:sz w:val="15"/>
        </w:rPr>
      </w:pPr>
    </w:p>
    <w:p>
      <w:pPr>
        <w:spacing w:line="81" w:lineRule="exact"/>
        <w:ind w:left="187" w:right="0" w:firstLine="0"/>
        <w:rPr>
          <w:rFonts w:ascii="Trebuchet MS"/>
          <w:sz w:val="7"/>
        </w:rPr>
      </w:pPr>
      <w:r>
        <w:rPr>
          <w:rFonts w:ascii="Trebuchet MS"/>
          <w:position w:val="-1"/>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rFonts w:ascii="Trebuchet MS"/>
          <w:position w:val="-1"/>
          <w:sz w:val="2"/>
        </w:rPr>
      </w:r>
      <w:r>
        <w:rPr>
          <w:spacing w:val="45"/>
          <w:position w:val="-1"/>
          <w:sz w:val="7"/>
        </w:rPr>
        <w:t> </w:t>
      </w:r>
      <w:r>
        <w:rPr>
          <w:rFonts w:ascii="Trebuchet MS"/>
          <w:spacing w:val="45"/>
          <w:position w:val="0"/>
          <w:sz w:val="7"/>
        </w:rPr>
        <w:pict>
          <v:group style="width:144.7pt;height:3.65pt;mso-position-horizontal-relative:char;mso-position-vertical-relative:line" coordorigin="0,0" coordsize="2894,73">
            <v:shape style="position:absolute;left:5;top:0;width:2889;height:68" coordorigin="5,0" coordsize="2889,68" path="m8,67l2894,67m5,0l5,67m757,0l757,67m1508,0l1508,67m2260,0l2260,67e" filled="false" stroked="true" strokeweight=".5pt" strokecolor="#000000">
              <v:path arrowok="t"/>
              <v:stroke dashstyle="solid"/>
            </v:shape>
          </v:group>
        </w:pict>
      </w:r>
      <w:r>
        <w:rPr>
          <w:rFonts w:ascii="Trebuchet MS"/>
          <w:spacing w:val="45"/>
          <w:position w:val="0"/>
          <w:sz w:val="7"/>
        </w:rPr>
      </w:r>
    </w:p>
    <w:p>
      <w:pPr>
        <w:tabs>
          <w:tab w:pos="1411" w:val="left" w:leader="none"/>
          <w:tab w:pos="2156" w:val="left" w:leader="none"/>
          <w:tab w:pos="2833" w:val="left" w:leader="none"/>
        </w:tabs>
        <w:spacing w:before="21"/>
        <w:ind w:left="574" w:right="0" w:firstLine="0"/>
        <w:jc w:val="left"/>
        <w:rPr>
          <w:sz w:val="12"/>
        </w:rPr>
      </w:pPr>
      <w:r>
        <w:rPr>
          <w:w w:val="120"/>
          <w:sz w:val="12"/>
        </w:rPr>
        <w:t>1997</w:t>
        <w:tab/>
      </w:r>
      <w:r>
        <w:rPr>
          <w:w w:val="120"/>
          <w:position w:val="1"/>
          <w:sz w:val="12"/>
        </w:rPr>
        <w:t>98</w:t>
        <w:tab/>
        <w:t>99</w:t>
        <w:tab/>
      </w:r>
      <w:r>
        <w:rPr>
          <w:w w:val="120"/>
          <w:sz w:val="12"/>
        </w:rPr>
        <w:t>2000</w:t>
      </w:r>
    </w:p>
    <w:p>
      <w:pPr>
        <w:pStyle w:val="BodyText"/>
        <w:rPr>
          <w:sz w:val="12"/>
        </w:rPr>
      </w:pPr>
    </w:p>
    <w:p>
      <w:pPr>
        <w:spacing w:line="208" w:lineRule="auto" w:before="0"/>
        <w:ind w:left="411" w:right="57" w:hanging="240"/>
        <w:jc w:val="left"/>
        <w:rPr>
          <w:sz w:val="12"/>
        </w:rPr>
      </w:pPr>
      <w:r>
        <w:rPr>
          <w:w w:val="105"/>
          <w:sz w:val="12"/>
        </w:rPr>
        <w:t>(a) Annual growth in backward-looking three-month average of the AEI.</w:t>
      </w:r>
    </w:p>
    <w:p>
      <w:pPr>
        <w:pStyle w:val="BodyText"/>
        <w:rPr>
          <w:sz w:val="12"/>
        </w:rPr>
      </w:pPr>
    </w:p>
    <w:p>
      <w:pPr>
        <w:pStyle w:val="BodyText"/>
        <w:rPr>
          <w:sz w:val="12"/>
        </w:rPr>
      </w:pPr>
    </w:p>
    <w:p>
      <w:pPr>
        <w:pStyle w:val="BodyText"/>
        <w:rPr>
          <w:sz w:val="12"/>
        </w:rPr>
      </w:pPr>
    </w:p>
    <w:p>
      <w:pPr>
        <w:pStyle w:val="BodyText"/>
        <w:spacing w:before="5"/>
        <w:rPr>
          <w:sz w:val="13"/>
        </w:rPr>
      </w:pPr>
    </w:p>
    <w:p>
      <w:pPr>
        <w:pStyle w:val="Heading6"/>
        <w:ind w:left="182"/>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3.10</w:t>
      </w:r>
    </w:p>
    <w:p>
      <w:pPr>
        <w:spacing w:line="247" w:lineRule="auto" w:before="8"/>
        <w:ind w:left="182" w:right="300" w:firstLine="0"/>
        <w:jc w:val="left"/>
        <w:rPr>
          <w:sz w:val="12"/>
        </w:rPr>
      </w:pPr>
      <w:r>
        <w:rPr>
          <w:rFonts w:ascii="Trebuchet MS"/>
          <w:b/>
          <w:color w:val="89C6DC"/>
          <w:w w:val="95"/>
          <w:sz w:val="20"/>
        </w:rPr>
        <w:t>Components of average earnings </w:t>
      </w:r>
      <w:r>
        <w:rPr>
          <w:rFonts w:ascii="Trebuchet MS"/>
          <w:b/>
          <w:color w:val="89C6DC"/>
          <w:sz w:val="20"/>
        </w:rPr>
        <w:t>growth</w:t>
      </w:r>
      <w:r>
        <w:rPr>
          <w:position w:val="4"/>
          <w:sz w:val="12"/>
        </w:rPr>
        <w:t>(a)</w:t>
      </w:r>
    </w:p>
    <w:p>
      <w:pPr>
        <w:spacing w:before="56"/>
        <w:ind w:left="1502" w:right="0" w:firstLine="0"/>
        <w:jc w:val="left"/>
        <w:rPr>
          <w:sz w:val="12"/>
        </w:rPr>
      </w:pPr>
      <w:r>
        <w:rPr>
          <w:w w:val="110"/>
          <w:sz w:val="12"/>
        </w:rPr>
        <w:t>Percentage</w:t>
      </w:r>
      <w:r>
        <w:rPr>
          <w:spacing w:val="-7"/>
          <w:w w:val="110"/>
          <w:sz w:val="12"/>
        </w:rPr>
        <w:t> </w:t>
      </w:r>
      <w:r>
        <w:rPr>
          <w:w w:val="110"/>
          <w:sz w:val="12"/>
        </w:rPr>
        <w:t>changes</w:t>
      </w:r>
      <w:r>
        <w:rPr>
          <w:spacing w:val="-6"/>
          <w:w w:val="110"/>
          <w:sz w:val="12"/>
        </w:rPr>
        <w:t> </w:t>
      </w:r>
      <w:r>
        <w:rPr>
          <w:w w:val="110"/>
          <w:sz w:val="12"/>
        </w:rPr>
        <w:t>on</w:t>
      </w:r>
      <w:r>
        <w:rPr>
          <w:spacing w:val="-6"/>
          <w:w w:val="110"/>
          <w:sz w:val="12"/>
        </w:rPr>
        <w:t> </w:t>
      </w:r>
      <w:r>
        <w:rPr>
          <w:w w:val="110"/>
          <w:sz w:val="12"/>
        </w:rPr>
        <w:t>a</w:t>
      </w:r>
      <w:r>
        <w:rPr>
          <w:spacing w:val="-6"/>
          <w:w w:val="110"/>
          <w:sz w:val="12"/>
        </w:rPr>
        <w:t> </w:t>
      </w:r>
      <w:r>
        <w:rPr>
          <w:w w:val="110"/>
          <w:sz w:val="12"/>
        </w:rPr>
        <w:t>year</w:t>
      </w:r>
      <w:r>
        <w:rPr>
          <w:spacing w:val="-6"/>
          <w:w w:val="110"/>
          <w:sz w:val="12"/>
        </w:rPr>
        <w:t> </w:t>
      </w:r>
      <w:r>
        <w:rPr>
          <w:spacing w:val="-3"/>
          <w:w w:val="110"/>
          <w:sz w:val="12"/>
        </w:rPr>
        <w:t>earlier</w:t>
      </w:r>
    </w:p>
    <w:p>
      <w:pPr>
        <w:tabs>
          <w:tab w:pos="3305" w:val="left" w:leader="none"/>
        </w:tabs>
        <w:spacing w:line="20" w:lineRule="exact"/>
        <w:ind w:left="230"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9"/>
        <w:rPr>
          <w:sz w:val="13"/>
        </w:rPr>
      </w:pPr>
    </w:p>
    <w:p>
      <w:pPr>
        <w:spacing w:line="240" w:lineRule="auto"/>
        <w:ind w:left="230" w:right="-72" w:firstLine="0"/>
        <w:rPr>
          <w:sz w:val="20"/>
        </w:rPr>
      </w:pPr>
      <w:r>
        <w:rPr>
          <w:position w:val="58"/>
          <w:sz w:val="20"/>
        </w:rPr>
        <w:pict>
          <v:group style="width:4.350pt;height:.5pt;mso-position-horizontal-relative:char;mso-position-vertical-relative:line" coordorigin="0,0" coordsize="87,10">
            <v:line style="position:absolute" from="0,5" to="87,5" stroked="true" strokeweight=".5pt" strokecolor="#000000">
              <v:stroke dashstyle="solid"/>
            </v:line>
          </v:group>
        </w:pict>
      </w:r>
      <w:r>
        <w:rPr>
          <w:position w:val="58"/>
          <w:sz w:val="20"/>
        </w:rPr>
      </w:r>
      <w:r>
        <w:rPr>
          <w:spacing w:val="124"/>
          <w:position w:val="58"/>
          <w:sz w:val="20"/>
        </w:rPr>
        <w:t> </w:t>
      </w:r>
      <w:r>
        <w:rPr>
          <w:spacing w:val="124"/>
          <w:sz w:val="20"/>
        </w:rPr>
        <w:pict>
          <v:group style="width:130.25pt;height:41.9pt;mso-position-horizontal-relative:char;mso-position-vertical-relative:line" coordorigin="0,0" coordsize="2605,838">
            <v:shape style="position:absolute;left:10;top:290;width:2585;height:298" coordorigin="10,290" coordsize="2585,298" path="m10,290l300,458m300,458l580,588m580,588l870,420m870,420l1162,495m1162,495l1443,588m1443,588l1733,550m1733,550l2023,588m2023,588l2305,495m2305,495l2595,420e" filled="false" stroked="true" strokeweight="1pt" strokecolor="#008360">
              <v:path arrowok="t"/>
              <v:stroke dashstyle="solid"/>
            </v:shape>
            <v:shape style="position:absolute;left:10;top:10;width:2585;height:818" coordorigin="10,10" coordsize="2585,818" path="m10,10l300,13m300,10l580,550m580,550l870,718m870,718l1162,790m1162,790l1443,828m1443,828l1733,588m1733,588l2023,660m2023,660l2305,718m2305,718l2595,588e" filled="false" stroked="true" strokeweight="1pt" strokecolor="#de0035">
              <v:path arrowok="t"/>
              <v:stroke dashstyle="solid"/>
            </v:shape>
            <v:shape style="position:absolute;left:0;top:0;width:2605;height:838" type="#_x0000_t202" filled="false" stroked="false">
              <v:textbox inset="0,0,0,0">
                <w:txbxContent>
                  <w:p>
                    <w:pPr>
                      <w:spacing w:line="240" w:lineRule="auto" w:before="4"/>
                      <w:rPr>
                        <w:sz w:val="13"/>
                      </w:rPr>
                    </w:pPr>
                  </w:p>
                  <w:p>
                    <w:pPr>
                      <w:spacing w:line="130" w:lineRule="exact" w:before="0"/>
                      <w:ind w:left="773" w:right="0" w:firstLine="0"/>
                      <w:jc w:val="left"/>
                      <w:rPr>
                        <w:sz w:val="12"/>
                      </w:rPr>
                    </w:pPr>
                    <w:r>
                      <w:rPr>
                        <w:sz w:val="12"/>
                      </w:rPr>
                      <w:t>AEI index</w:t>
                    </w:r>
                  </w:p>
                  <w:p>
                    <w:pPr>
                      <w:spacing w:line="130" w:lineRule="exact" w:before="0"/>
                      <w:ind w:left="851" w:right="0" w:firstLine="0"/>
                      <w:jc w:val="left"/>
                      <w:rPr>
                        <w:sz w:val="12"/>
                      </w:rPr>
                    </w:pPr>
                    <w:r>
                      <w:rPr>
                        <w:w w:val="105"/>
                        <w:sz w:val="12"/>
                      </w:rPr>
                      <w:t>excluding bonus (‘regular pay’)</w:t>
                    </w:r>
                  </w:p>
                </w:txbxContent>
              </v:textbox>
              <w10:wrap type="none"/>
            </v:shape>
          </v:group>
        </w:pict>
      </w:r>
      <w:r>
        <w:rPr>
          <w:spacing w:val="124"/>
          <w:sz w:val="20"/>
        </w:rPr>
      </w:r>
      <w:r>
        <w:rPr>
          <w:spacing w:val="173"/>
          <w:sz w:val="2"/>
        </w:rPr>
        <w:t> </w:t>
      </w:r>
      <w:r>
        <w:rPr>
          <w:spacing w:val="173"/>
          <w:position w:val="58"/>
          <w:sz w:val="20"/>
        </w:rPr>
        <w:pict>
          <v:group style="width:4.350pt;height:.5pt;mso-position-horizontal-relative:char;mso-position-vertical-relative:line" coordorigin="0,0" coordsize="87,10">
            <v:line style="position:absolute" from="0,5" to="87,5" stroked="true" strokeweight=".5pt" strokecolor="#000000">
              <v:stroke dashstyle="solid"/>
            </v:line>
          </v:group>
        </w:pict>
      </w:r>
      <w:r>
        <w:rPr>
          <w:spacing w:val="173"/>
          <w:position w:val="58"/>
          <w:sz w:val="20"/>
        </w:rPr>
      </w:r>
    </w:p>
    <w:p>
      <w:pPr>
        <w:spacing w:line="232" w:lineRule="auto" w:before="9"/>
        <w:ind w:left="1872" w:right="628" w:hanging="83"/>
        <w:jc w:val="left"/>
        <w:rPr>
          <w:sz w:val="12"/>
        </w:rPr>
      </w:pPr>
      <w:r>
        <w:rPr/>
        <w:pict>
          <v:line style="position:absolute;mso-position-horizontal-relative:page;mso-position-vertical-relative:paragraph;z-index:16192000" from="197.531998pt,-10.131601pt" to="201.863998pt,-10.131601pt" stroked="true" strokeweight=".5pt" strokecolor="#000000">
            <v:stroke dashstyle="solid"/>
            <w10:wrap type="none"/>
          </v:line>
        </w:pict>
      </w:r>
      <w:r>
        <w:rPr/>
        <w:pict>
          <v:line style="position:absolute;mso-position-horizontal-relative:page;mso-position-vertical-relative:paragraph;z-index:16192512" from="197.531998pt,10.368399pt" to="201.863998pt,10.368399pt" stroked="true" strokeweight=".5pt" strokecolor="#000000">
            <v:stroke dashstyle="solid"/>
            <w10:wrap type="none"/>
          </v:line>
        </w:pict>
      </w:r>
      <w:r>
        <w:rPr/>
        <w:pict>
          <v:line style="position:absolute;mso-position-horizontal-relative:page;mso-position-vertical-relative:paragraph;z-index:16193536" from="43.766998pt,-10.131601pt" to="48.098998pt,-10.131601pt" stroked="true" strokeweight=".5pt" strokecolor="#000000">
            <v:stroke dashstyle="solid"/>
            <w10:wrap type="none"/>
          </v:line>
        </w:pict>
      </w:r>
      <w:r>
        <w:rPr/>
        <w:pict>
          <v:line style="position:absolute;mso-position-horizontal-relative:page;mso-position-vertical-relative:paragraph;z-index:16194048" from="43.766998pt,10.368399pt" to="48.098998pt,10.368399pt" stroked="true" strokeweight=".5pt" strokecolor="#000000">
            <v:stroke dashstyle="solid"/>
            <w10:wrap type="none"/>
          </v:line>
        </w:pict>
      </w:r>
      <w:r>
        <w:rPr>
          <w:w w:val="105"/>
          <w:sz w:val="12"/>
        </w:rPr>
        <w:t>AEI index including bonus</w:t>
      </w:r>
    </w:p>
    <w:p>
      <w:pPr>
        <w:pStyle w:val="BodyText"/>
      </w:pPr>
    </w:p>
    <w:p>
      <w:pPr>
        <w:pStyle w:val="BodyText"/>
        <w:spacing w:before="8"/>
        <w:rPr>
          <w:sz w:val="10"/>
        </w:rPr>
      </w:pPr>
    </w:p>
    <w:p>
      <w:pPr>
        <w:tabs>
          <w:tab w:pos="3305" w:val="left" w:leader="none"/>
        </w:tabs>
        <w:spacing w:line="20" w:lineRule="exact"/>
        <w:ind w:left="230"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10"/>
        <w:rPr>
          <w:sz w:val="15"/>
        </w:rPr>
      </w:pPr>
    </w:p>
    <w:p>
      <w:pPr>
        <w:spacing w:before="0"/>
        <w:ind w:left="746" w:right="0" w:firstLine="0"/>
        <w:jc w:val="left"/>
        <w:rPr>
          <w:sz w:val="12"/>
        </w:rPr>
      </w:pPr>
      <w:r>
        <w:rPr/>
        <w:pict>
          <v:line style="position:absolute;mso-position-horizontal-relative:page;mso-position-vertical-relative:paragraph;z-index:-23136768" from="197.531998pt,10.4614pt" to="201.863998pt,10.4614pt" stroked="true" strokeweight=".5pt" strokecolor="#000000">
            <v:stroke dashstyle="solid"/>
            <w10:wrap type="none"/>
          </v:line>
        </w:pict>
      </w:r>
      <w:r>
        <w:rPr/>
        <w:pict>
          <v:line style="position:absolute;mso-position-horizontal-relative:page;mso-position-vertical-relative:paragraph;z-index:-23135232" from="43.766998pt,10.4614pt" to="48.098998pt,10.4614pt" stroked="true" strokeweight=".5pt" strokecolor="#000000">
            <v:stroke dashstyle="solid"/>
            <w10:wrap type="none"/>
          </v:line>
        </w:pict>
      </w:r>
      <w:r>
        <w:rPr>
          <w:w w:val="105"/>
          <w:sz w:val="12"/>
        </w:rPr>
        <w:t>Bonus effect (b)</w:t>
      </w:r>
    </w:p>
    <w:p>
      <w:pPr>
        <w:pStyle w:val="BodyText"/>
        <w:spacing w:before="6"/>
        <w:rPr>
          <w:sz w:val="2"/>
        </w:rPr>
      </w:pPr>
    </w:p>
    <w:p>
      <w:pPr>
        <w:pStyle w:val="BodyText"/>
        <w:ind w:left="230" w:right="-72"/>
      </w:pPr>
      <w:r>
        <w:rPr/>
        <w:pict>
          <v:group style="width:158.1pt;height:43.4pt;mso-position-horizontal-relative:char;mso-position-vertical-relative:line" coordorigin="0,0" coordsize="3162,868">
            <v:rect style="position:absolute;left:231;top:152;width:128;height:300" filled="true" fillcolor="#efa900" stroked="false">
              <v:fill type="solid"/>
            </v:rect>
            <v:rect style="position:absolute;left:231;top:152;width:128;height:300" filled="false" stroked="true" strokeweight=".5pt" strokecolor="#000000">
              <v:stroke dashstyle="solid"/>
            </v:rect>
            <v:rect style="position:absolute;left:521;top:5;width:118;height:448" filled="true" fillcolor="#efa900" stroked="false">
              <v:fill type="solid"/>
            </v:rect>
            <v:rect style="position:absolute;left:521;top:5;width:118;height:448" filled="false" stroked="true" strokeweight=".5pt" strokecolor="#000000">
              <v:stroke dashstyle="solid"/>
            </v:rect>
            <v:rect style="position:absolute;left:801;top:412;width:128;height:40" filled="true" fillcolor="#efa900" stroked="false">
              <v:fill type="solid"/>
            </v:rect>
            <v:rect style="position:absolute;left:801;top:412;width:128;height:40" filled="false" stroked="true" strokeweight=".5pt" strokecolor="#000000">
              <v:stroke dashstyle="solid"/>
            </v:rect>
            <v:rect style="position:absolute;left:1094;top:450;width:125;height:283" filled="true" fillcolor="#efa900" stroked="false">
              <v:fill type="solid"/>
            </v:rect>
            <v:rect style="position:absolute;left:1094;top:450;width:125;height:283" filled="false" stroked="true" strokeweight=".5pt" strokecolor="#000000">
              <v:stroke dashstyle="solid"/>
            </v:rect>
            <v:rect style="position:absolute;left:1384;top:450;width:128;height:283" filled="true" fillcolor="#efa900" stroked="false">
              <v:fill type="solid"/>
            </v:rect>
            <v:rect style="position:absolute;left:1384;top:450;width:128;height:283" filled="false" stroked="true" strokeweight=".5pt" strokecolor="#000000">
              <v:stroke dashstyle="solid"/>
            </v:rect>
            <v:rect style="position:absolute;left:1674;top:450;width:118;height:245" filled="true" fillcolor="#efa900" stroked="false">
              <v:fill type="solid"/>
            </v:rect>
            <v:rect style="position:absolute;left:1674;top:450;width:118;height:245" filled="false" stroked="true" strokeweight=".5pt" strokecolor="#000000">
              <v:stroke dashstyle="solid"/>
            </v:rect>
            <v:rect style="position:absolute;left:1954;top:450;width:128;height:40" filled="true" fillcolor="#efa900" stroked="false">
              <v:fill type="solid"/>
            </v:rect>
            <v:rect style="position:absolute;left:1954;top:450;width:128;height:40" filled="false" stroked="true" strokeweight=".5pt" strokecolor="#000000">
              <v:stroke dashstyle="solid"/>
            </v:rect>
            <v:rect style="position:absolute;left:2246;top:450;width:125;height:78" filled="true" fillcolor="#efa900" stroked="false">
              <v:fill type="solid"/>
            </v:rect>
            <v:rect style="position:absolute;left:2246;top:450;width:125;height:78" filled="false" stroked="true" strokeweight=".5pt" strokecolor="#000000">
              <v:stroke dashstyle="solid"/>
            </v:rect>
            <v:rect style="position:absolute;left:2536;top:450;width:115;height:208" filled="true" fillcolor="#efa900" stroked="false">
              <v:fill type="solid"/>
            </v:rect>
            <v:rect style="position:absolute;left:2536;top:450;width:115;height:208" filled="false" stroked="true" strokeweight=".5pt" strokecolor="#000000">
              <v:stroke dashstyle="solid"/>
            </v:rect>
            <v:rect style="position:absolute;left:2816;top:450;width:128;height:170" filled="true" fillcolor="#efa900" stroked="false">
              <v:fill type="solid"/>
            </v:rect>
            <v:rect style="position:absolute;left:2816;top:450;width:128;height:170" filled="false" stroked="true" strokeweight=".5pt" strokecolor="#000000">
              <v:stroke dashstyle="solid"/>
            </v:rect>
            <v:shape style="position:absolute;left:0;top:452;width:3162;height:2" coordorigin="0,453" coordsize="3162,0" path="m3075,453l3162,453m0,453l87,453e" filled="false" stroked="true" strokeweight=".5pt" strokecolor="#000000">
              <v:path arrowok="t"/>
              <v:stroke dashstyle="solid"/>
            </v:shape>
            <v:line style="position:absolute" from="150,453" to="3023,453" stroked="true" strokeweight=".5pt" strokecolor="#000000">
              <v:stroke dashstyle="solid"/>
            </v:line>
            <v:shape style="position:absolute;left:0;top:862;width:3162;height:2" coordorigin="0,863" coordsize="3162,0" path="m3075,863l3162,863m0,863l87,863e" filled="false" stroked="true" strokeweight=".5pt" strokecolor="#000000">
              <v:path arrowok="t"/>
              <v:stroke dashstyle="solid"/>
            </v:shape>
            <v:line style="position:absolute" from="150,863" to="3023,863" stroked="true" strokeweight=".5pt" strokecolor="#000000">
              <v:stroke dashstyle="solid"/>
            </v:line>
            <v:shape style="position:absolute;left:149;top:800;width:2875;height:68" coordorigin="149,800" coordsize="2875,68" path="m149,800l149,867m719,800l719,867m1302,800l1302,867m1872,800l1872,867m439,800l439,867m1009,800l1009,867m1592,800l1592,867m2162,800l2162,867m2734,800l2734,867m2454,800l2454,867m3024,800l3024,867e" filled="false" stroked="true" strokeweight=".5pt" strokecolor="#000000">
              <v:path arrowok="t"/>
              <v:stroke dashstyle="solid"/>
            </v:shape>
          </v:group>
        </w:pict>
      </w:r>
      <w:r>
        <w:rPr/>
      </w:r>
    </w:p>
    <w:p>
      <w:pPr>
        <w:tabs>
          <w:tab w:pos="998" w:val="left" w:leader="none"/>
          <w:tab w:pos="1581" w:val="left" w:leader="none"/>
          <w:tab w:pos="2141" w:val="left" w:leader="none"/>
          <w:tab w:pos="2741" w:val="left" w:leader="none"/>
        </w:tabs>
        <w:spacing w:before="0"/>
        <w:ind w:left="426" w:right="0" w:firstLine="0"/>
        <w:jc w:val="left"/>
        <w:rPr>
          <w:sz w:val="12"/>
        </w:rPr>
      </w:pPr>
      <w:r>
        <w:rPr>
          <w:sz w:val="12"/>
        </w:rPr>
        <w:t>Feb.</w:t>
        <w:tab/>
        <w:t>Apr.</w:t>
        <w:tab/>
        <w:t>June</w:t>
        <w:tab/>
        <w:t>Aug.</w:t>
        <w:tab/>
        <w:t>Oct.</w:t>
      </w:r>
    </w:p>
    <w:p>
      <w:pPr>
        <w:pStyle w:val="BodyText"/>
        <w:spacing w:before="3"/>
        <w:rPr>
          <w:sz w:val="12"/>
        </w:rPr>
      </w:pPr>
    </w:p>
    <w:p>
      <w:pPr>
        <w:pStyle w:val="ListParagraph"/>
        <w:numPr>
          <w:ilvl w:val="0"/>
          <w:numId w:val="23"/>
        </w:numPr>
        <w:tabs>
          <w:tab w:pos="424" w:val="left" w:leader="none"/>
        </w:tabs>
        <w:spacing w:line="129" w:lineRule="exact" w:before="0" w:after="0"/>
        <w:ind w:left="423" w:right="0" w:hanging="241"/>
        <w:jc w:val="left"/>
        <w:rPr>
          <w:sz w:val="12"/>
        </w:rPr>
      </w:pPr>
      <w:r>
        <w:rPr>
          <w:w w:val="110"/>
          <w:sz w:val="12"/>
        </w:rPr>
        <w:t>Not seasonally</w:t>
      </w:r>
      <w:r>
        <w:rPr>
          <w:spacing w:val="-8"/>
          <w:w w:val="110"/>
          <w:sz w:val="12"/>
        </w:rPr>
        <w:t> </w:t>
      </w:r>
      <w:r>
        <w:rPr>
          <w:w w:val="110"/>
          <w:sz w:val="12"/>
        </w:rPr>
        <w:t>adjusted.</w:t>
      </w:r>
    </w:p>
    <w:p>
      <w:pPr>
        <w:pStyle w:val="ListParagraph"/>
        <w:numPr>
          <w:ilvl w:val="0"/>
          <w:numId w:val="23"/>
        </w:numPr>
        <w:tabs>
          <w:tab w:pos="424" w:val="left" w:leader="none"/>
        </w:tabs>
        <w:spacing w:line="129" w:lineRule="exact" w:before="0" w:after="0"/>
        <w:ind w:left="423" w:right="0" w:hanging="241"/>
        <w:jc w:val="left"/>
        <w:rPr>
          <w:sz w:val="12"/>
        </w:rPr>
      </w:pPr>
      <w:r>
        <w:rPr>
          <w:w w:val="110"/>
          <w:sz w:val="12"/>
        </w:rPr>
        <w:t>Percentage</w:t>
      </w:r>
      <w:r>
        <w:rPr>
          <w:spacing w:val="-4"/>
          <w:w w:val="110"/>
          <w:sz w:val="12"/>
        </w:rPr>
        <w:t> </w:t>
      </w:r>
      <w:r>
        <w:rPr>
          <w:w w:val="110"/>
          <w:sz w:val="12"/>
        </w:rPr>
        <w:t>points.</w:t>
      </w:r>
    </w:p>
    <w:p>
      <w:pPr>
        <w:pStyle w:val="BodyText"/>
        <w:spacing w:before="7"/>
        <w:rPr>
          <w:sz w:val="14"/>
        </w:rPr>
      </w:pPr>
      <w:r>
        <w:rPr/>
        <w:br w:type="column"/>
      </w:r>
      <w:r>
        <w:rPr>
          <w:sz w:val="14"/>
        </w:rPr>
      </w:r>
    </w:p>
    <w:p>
      <w:pPr>
        <w:spacing w:before="0"/>
        <w:ind w:left="59" w:right="0" w:firstLine="0"/>
        <w:jc w:val="left"/>
        <w:rPr>
          <w:sz w:val="12"/>
        </w:rPr>
      </w:pPr>
      <w:r>
        <w:rPr>
          <w:w w:val="121"/>
          <w:sz w:val="12"/>
        </w:rPr>
        <w:t>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1"/>
        </w:rPr>
      </w:pPr>
    </w:p>
    <w:p>
      <w:pPr>
        <w:spacing w:before="0"/>
        <w:ind w:left="17" w:right="0" w:firstLine="0"/>
        <w:jc w:val="left"/>
        <w:rPr>
          <w:sz w:val="12"/>
        </w:rPr>
      </w:pPr>
      <w:r>
        <w:rPr>
          <w:w w:val="115"/>
          <w:sz w:val="12"/>
        </w:rPr>
        <w:t>6.0</w:t>
      </w:r>
    </w:p>
    <w:p>
      <w:pPr>
        <w:pStyle w:val="BodyText"/>
        <w:rPr>
          <w:sz w:val="12"/>
        </w:rPr>
      </w:pPr>
    </w:p>
    <w:p>
      <w:pPr>
        <w:pStyle w:val="BodyText"/>
        <w:spacing w:before="8"/>
        <w:rPr>
          <w:sz w:val="11"/>
        </w:rPr>
      </w:pPr>
    </w:p>
    <w:p>
      <w:pPr>
        <w:spacing w:before="0"/>
        <w:ind w:left="17" w:right="0" w:firstLine="0"/>
        <w:jc w:val="left"/>
        <w:rPr>
          <w:sz w:val="12"/>
        </w:rPr>
      </w:pPr>
      <w:r>
        <w:rPr>
          <w:w w:val="115"/>
          <w:sz w:val="12"/>
        </w:rPr>
        <w:t>5.0</w:t>
      </w:r>
    </w:p>
    <w:p>
      <w:pPr>
        <w:pStyle w:val="BodyText"/>
        <w:rPr>
          <w:sz w:val="12"/>
        </w:rPr>
      </w:pPr>
    </w:p>
    <w:p>
      <w:pPr>
        <w:pStyle w:val="BodyText"/>
        <w:spacing w:before="6"/>
        <w:rPr>
          <w:sz w:val="10"/>
        </w:rPr>
      </w:pPr>
    </w:p>
    <w:p>
      <w:pPr>
        <w:spacing w:before="0"/>
        <w:ind w:left="17" w:right="0" w:firstLine="0"/>
        <w:jc w:val="left"/>
        <w:rPr>
          <w:sz w:val="12"/>
        </w:rPr>
      </w:pPr>
      <w:r>
        <w:rPr>
          <w:w w:val="115"/>
          <w:sz w:val="12"/>
        </w:rPr>
        <w:t>4.0</w:t>
      </w:r>
    </w:p>
    <w:p>
      <w:pPr>
        <w:pStyle w:val="BodyText"/>
        <w:rPr>
          <w:sz w:val="12"/>
        </w:rPr>
      </w:pPr>
    </w:p>
    <w:p>
      <w:pPr>
        <w:pStyle w:val="BodyText"/>
        <w:spacing w:before="6"/>
        <w:rPr>
          <w:sz w:val="12"/>
        </w:rPr>
      </w:pPr>
    </w:p>
    <w:p>
      <w:pPr>
        <w:spacing w:before="0"/>
        <w:ind w:left="17" w:right="0" w:firstLine="0"/>
        <w:jc w:val="left"/>
        <w:rPr>
          <w:sz w:val="12"/>
        </w:rPr>
      </w:pPr>
      <w:r>
        <w:rPr>
          <w:w w:val="115"/>
          <w:sz w:val="12"/>
        </w:rPr>
        <w:t>3.0</w:t>
      </w:r>
    </w:p>
    <w:p>
      <w:pPr>
        <w:pStyle w:val="BodyText"/>
        <w:rPr>
          <w:sz w:val="12"/>
        </w:rPr>
      </w:pPr>
    </w:p>
    <w:p>
      <w:pPr>
        <w:pStyle w:val="BodyText"/>
        <w:spacing w:before="2"/>
        <w:rPr>
          <w:sz w:val="13"/>
        </w:rPr>
      </w:pPr>
    </w:p>
    <w:p>
      <w:pPr>
        <w:spacing w:before="1"/>
        <w:ind w:left="17" w:right="0" w:firstLine="0"/>
        <w:jc w:val="left"/>
        <w:rPr>
          <w:sz w:val="12"/>
        </w:rPr>
      </w:pPr>
      <w:r>
        <w:rPr>
          <w:w w:val="115"/>
          <w:sz w:val="12"/>
        </w:rPr>
        <w:t>2.0</w:t>
      </w:r>
    </w:p>
    <w:p>
      <w:pPr>
        <w:pStyle w:val="BodyText"/>
        <w:rPr>
          <w:sz w:val="12"/>
        </w:rPr>
      </w:pPr>
    </w:p>
    <w:p>
      <w:pPr>
        <w:pStyle w:val="BodyText"/>
        <w:spacing w:before="4"/>
        <w:rPr>
          <w:sz w:val="11"/>
        </w:rPr>
      </w:pPr>
    </w:p>
    <w:p>
      <w:pPr>
        <w:spacing w:before="1"/>
        <w:ind w:left="17" w:right="0" w:firstLine="0"/>
        <w:jc w:val="left"/>
        <w:rPr>
          <w:sz w:val="12"/>
        </w:rPr>
      </w:pPr>
      <w:r>
        <w:rPr>
          <w:w w:val="115"/>
          <w:sz w:val="12"/>
        </w:rPr>
        <w:t>1.0</w:t>
      </w:r>
    </w:p>
    <w:p>
      <w:pPr>
        <w:spacing w:before="64"/>
        <w:ind w:left="-30" w:right="0" w:firstLine="0"/>
        <w:jc w:val="left"/>
        <w:rPr>
          <w:sz w:val="16"/>
        </w:rPr>
      </w:pPr>
      <w:r>
        <w:rPr>
          <w:w w:val="107"/>
          <w:sz w:val="16"/>
        </w:rPr>
        <w:t>+</w:t>
      </w:r>
    </w:p>
    <w:p>
      <w:pPr>
        <w:spacing w:line="125" w:lineRule="exact" w:before="24"/>
        <w:ind w:left="17" w:right="0" w:firstLine="0"/>
        <w:jc w:val="left"/>
        <w:rPr>
          <w:sz w:val="12"/>
        </w:rPr>
      </w:pPr>
      <w:r>
        <w:rPr>
          <w:w w:val="115"/>
          <w:sz w:val="12"/>
        </w:rPr>
        <w:t>0.0</w:t>
      </w:r>
    </w:p>
    <w:p>
      <w:pPr>
        <w:spacing w:line="171" w:lineRule="exact" w:before="0"/>
        <w:ind w:left="-28" w:right="0" w:firstLine="0"/>
        <w:jc w:val="left"/>
        <w:rPr>
          <w:sz w:val="16"/>
        </w:rPr>
      </w:pPr>
      <w:r>
        <w:rPr>
          <w:w w:val="117"/>
          <w:sz w:val="16"/>
        </w:rPr>
        <w:t>–</w:t>
      </w:r>
    </w:p>
    <w:p>
      <w:pPr>
        <w:spacing w:before="113"/>
        <w:ind w:left="17" w:right="0" w:firstLine="0"/>
        <w:jc w:val="left"/>
        <w:rPr>
          <w:sz w:val="12"/>
        </w:rPr>
      </w:pPr>
      <w:r>
        <w:rPr>
          <w:w w:val="115"/>
          <w:sz w:val="12"/>
        </w:rPr>
        <w:t>1.0</w:t>
      </w:r>
    </w:p>
    <w:p>
      <w:pPr>
        <w:pStyle w:val="BodyText"/>
        <w:spacing w:before="1"/>
        <w:rPr>
          <w:sz w:val="22"/>
        </w:rPr>
      </w:pPr>
      <w:r>
        <w:rPr/>
        <w:br w:type="column"/>
      </w:r>
      <w:r>
        <w:rPr>
          <w:sz w:val="22"/>
        </w:rPr>
      </w:r>
    </w:p>
    <w:p>
      <w:pPr>
        <w:pStyle w:val="BodyText"/>
        <w:spacing w:line="292" w:lineRule="auto" w:before="1"/>
        <w:ind w:left="171" w:right="200"/>
      </w:pPr>
      <w:r>
        <w:rPr/>
        <w:pict>
          <v:line style="position:absolute;mso-position-horizontal-relative:page;mso-position-vertical-relative:paragraph;z-index:16190976" from="199.339996pt,-.246068pt" to="203.672996pt,-.246068pt" stroked="true" strokeweight=".5pt" strokecolor="#000000">
            <v:stroke dashstyle="solid"/>
            <w10:wrap type="none"/>
          </v:line>
        </w:pict>
      </w:r>
      <w:r>
        <w:rPr>
          <w:w w:val="110"/>
        </w:rPr>
        <w:t>Nominal earnings growth, as measured </w:t>
      </w:r>
      <w:r>
        <w:rPr>
          <w:spacing w:val="-3"/>
          <w:w w:val="110"/>
        </w:rPr>
        <w:t>by </w:t>
      </w:r>
      <w:r>
        <w:rPr>
          <w:w w:val="110"/>
        </w:rPr>
        <w:t>the </w:t>
      </w:r>
      <w:r>
        <w:rPr>
          <w:spacing w:val="-3"/>
          <w:w w:val="110"/>
        </w:rPr>
        <w:t>Average </w:t>
      </w:r>
      <w:r>
        <w:rPr>
          <w:w w:val="110"/>
        </w:rPr>
        <w:t>Earnings</w:t>
      </w:r>
      <w:r>
        <w:rPr>
          <w:spacing w:val="-25"/>
          <w:w w:val="110"/>
        </w:rPr>
        <w:t> </w:t>
      </w:r>
      <w:r>
        <w:rPr>
          <w:w w:val="110"/>
        </w:rPr>
        <w:t>Index</w:t>
      </w:r>
      <w:r>
        <w:rPr>
          <w:spacing w:val="-26"/>
          <w:w w:val="110"/>
        </w:rPr>
        <w:t> </w:t>
      </w:r>
      <w:r>
        <w:rPr>
          <w:w w:val="110"/>
        </w:rPr>
        <w:t>(AEI),</w:t>
      </w:r>
      <w:r>
        <w:rPr>
          <w:spacing w:val="-25"/>
          <w:w w:val="110"/>
        </w:rPr>
        <w:t> </w:t>
      </w:r>
      <w:r>
        <w:rPr>
          <w:w w:val="110"/>
        </w:rPr>
        <w:t>has</w:t>
      </w:r>
      <w:r>
        <w:rPr>
          <w:spacing w:val="-25"/>
          <w:w w:val="110"/>
        </w:rPr>
        <w:t> </w:t>
      </w:r>
      <w:r>
        <w:rPr>
          <w:w w:val="110"/>
        </w:rPr>
        <w:t>edged</w:t>
      </w:r>
      <w:r>
        <w:rPr>
          <w:spacing w:val="-25"/>
          <w:w w:val="110"/>
        </w:rPr>
        <w:t> </w:t>
      </w:r>
      <w:r>
        <w:rPr>
          <w:w w:val="110"/>
        </w:rPr>
        <w:t>up</w:t>
      </w:r>
      <w:r>
        <w:rPr>
          <w:spacing w:val="-25"/>
          <w:w w:val="110"/>
        </w:rPr>
        <w:t> </w:t>
      </w:r>
      <w:r>
        <w:rPr>
          <w:w w:val="110"/>
        </w:rPr>
        <w:t>slightly</w:t>
      </w:r>
      <w:r>
        <w:rPr>
          <w:spacing w:val="-25"/>
          <w:w w:val="110"/>
        </w:rPr>
        <w:t> </w:t>
      </w:r>
      <w:r>
        <w:rPr>
          <w:w w:val="110"/>
        </w:rPr>
        <w:t>in</w:t>
      </w:r>
      <w:r>
        <w:rPr>
          <w:spacing w:val="-25"/>
          <w:w w:val="110"/>
        </w:rPr>
        <w:t> </w:t>
      </w:r>
      <w:r>
        <w:rPr>
          <w:w w:val="110"/>
        </w:rPr>
        <w:t>recent</w:t>
      </w:r>
      <w:r>
        <w:rPr>
          <w:spacing w:val="-25"/>
          <w:w w:val="110"/>
        </w:rPr>
        <w:t> </w:t>
      </w:r>
      <w:r>
        <w:rPr>
          <w:w w:val="110"/>
        </w:rPr>
        <w:t>months. Whole-economy</w:t>
      </w:r>
      <w:r>
        <w:rPr>
          <w:spacing w:val="-30"/>
          <w:w w:val="110"/>
        </w:rPr>
        <w:t> </w:t>
      </w:r>
      <w:r>
        <w:rPr>
          <w:w w:val="110"/>
        </w:rPr>
        <w:t>headline</w:t>
      </w:r>
      <w:r>
        <w:rPr>
          <w:spacing w:val="-29"/>
          <w:w w:val="110"/>
        </w:rPr>
        <w:t> </w:t>
      </w:r>
      <w:r>
        <w:rPr>
          <w:spacing w:val="-3"/>
          <w:w w:val="110"/>
        </w:rPr>
        <w:t>average</w:t>
      </w:r>
      <w:r>
        <w:rPr>
          <w:spacing w:val="-29"/>
          <w:w w:val="110"/>
        </w:rPr>
        <w:t> </w:t>
      </w:r>
      <w:r>
        <w:rPr>
          <w:w w:val="110"/>
        </w:rPr>
        <w:t>earnings</w:t>
      </w:r>
      <w:r>
        <w:rPr>
          <w:spacing w:val="-29"/>
          <w:w w:val="110"/>
        </w:rPr>
        <w:t> </w:t>
      </w:r>
      <w:r>
        <w:rPr>
          <w:w w:val="110"/>
        </w:rPr>
        <w:t>growth</w:t>
      </w:r>
      <w:r>
        <w:rPr>
          <w:spacing w:val="-30"/>
          <w:w w:val="110"/>
        </w:rPr>
        <w:t> </w:t>
      </w:r>
      <w:r>
        <w:rPr>
          <w:w w:val="110"/>
        </w:rPr>
        <w:t>rose</w:t>
      </w:r>
      <w:r>
        <w:rPr>
          <w:spacing w:val="-29"/>
          <w:w w:val="110"/>
        </w:rPr>
        <w:t> </w:t>
      </w:r>
      <w:r>
        <w:rPr>
          <w:w w:val="110"/>
        </w:rPr>
        <w:t>from</w:t>
      </w:r>
      <w:r>
        <w:rPr>
          <w:spacing w:val="-29"/>
          <w:w w:val="110"/>
        </w:rPr>
        <w:t> </w:t>
      </w:r>
      <w:r>
        <w:rPr>
          <w:spacing w:val="-11"/>
          <w:w w:val="110"/>
        </w:rPr>
        <w:t>a </w:t>
      </w:r>
      <w:r>
        <w:rPr>
          <w:spacing w:val="-6"/>
          <w:w w:val="110"/>
        </w:rPr>
        <w:t>four-year </w:t>
      </w:r>
      <w:r>
        <w:rPr>
          <w:w w:val="110"/>
        </w:rPr>
        <w:t>low of 3.9% in July </w:t>
      </w:r>
      <w:r>
        <w:rPr>
          <w:spacing w:val="-4"/>
          <w:w w:val="110"/>
        </w:rPr>
        <w:t>2000 to </w:t>
      </w:r>
      <w:r>
        <w:rPr>
          <w:w w:val="110"/>
        </w:rPr>
        <w:t>4.2% in October and </w:t>
      </w:r>
      <w:r>
        <w:rPr>
          <w:spacing w:val="-3"/>
          <w:w w:val="110"/>
        </w:rPr>
        <w:t>November,</w:t>
      </w:r>
      <w:r>
        <w:rPr>
          <w:spacing w:val="-26"/>
          <w:w w:val="110"/>
        </w:rPr>
        <w:t> </w:t>
      </w:r>
      <w:r>
        <w:rPr>
          <w:w w:val="110"/>
        </w:rPr>
        <w:t>mainly</w:t>
      </w:r>
      <w:r>
        <w:rPr>
          <w:spacing w:val="-26"/>
          <w:w w:val="110"/>
        </w:rPr>
        <w:t> </w:t>
      </w:r>
      <w:r>
        <w:rPr>
          <w:w w:val="110"/>
        </w:rPr>
        <w:t>reflecting</w:t>
      </w:r>
      <w:r>
        <w:rPr>
          <w:spacing w:val="-26"/>
          <w:w w:val="110"/>
        </w:rPr>
        <w:t> </w:t>
      </w:r>
      <w:r>
        <w:rPr>
          <w:w w:val="110"/>
        </w:rPr>
        <w:t>an</w:t>
      </w:r>
      <w:r>
        <w:rPr>
          <w:spacing w:val="-25"/>
          <w:w w:val="110"/>
        </w:rPr>
        <w:t> </w:t>
      </w:r>
      <w:r>
        <w:rPr>
          <w:w w:val="110"/>
        </w:rPr>
        <w:t>increase</w:t>
      </w:r>
      <w:r>
        <w:rPr>
          <w:spacing w:val="-26"/>
          <w:w w:val="110"/>
        </w:rPr>
        <w:t> </w:t>
      </w:r>
      <w:r>
        <w:rPr>
          <w:w w:val="110"/>
        </w:rPr>
        <w:t>in</w:t>
      </w:r>
      <w:r>
        <w:rPr>
          <w:spacing w:val="-26"/>
          <w:w w:val="110"/>
        </w:rPr>
        <w:t> </w:t>
      </w:r>
      <w:r>
        <w:rPr>
          <w:w w:val="110"/>
        </w:rPr>
        <w:t>earnings</w:t>
      </w:r>
      <w:r>
        <w:rPr>
          <w:spacing w:val="-25"/>
          <w:w w:val="110"/>
        </w:rPr>
        <w:t> </w:t>
      </w:r>
      <w:r>
        <w:rPr>
          <w:w w:val="110"/>
        </w:rPr>
        <w:t>growth</w:t>
      </w:r>
      <w:r>
        <w:rPr>
          <w:spacing w:val="-26"/>
          <w:w w:val="110"/>
        </w:rPr>
        <w:t> </w:t>
      </w:r>
      <w:r>
        <w:rPr>
          <w:w w:val="110"/>
        </w:rPr>
        <w:t>in </w:t>
      </w:r>
      <w:r>
        <w:rPr>
          <w:spacing w:val="-3"/>
          <w:w w:val="110"/>
        </w:rPr>
        <w:t>private </w:t>
      </w:r>
      <w:r>
        <w:rPr>
          <w:w w:val="110"/>
        </w:rPr>
        <w:t>sector services (see Chart 3.9). Earnings </w:t>
      </w:r>
      <w:r>
        <w:rPr>
          <w:spacing w:val="-2"/>
          <w:w w:val="110"/>
        </w:rPr>
        <w:t>growth </w:t>
      </w:r>
      <w:r>
        <w:rPr>
          <w:w w:val="110"/>
        </w:rPr>
        <w:t>in manufacturing and in the public sector has also risen marginally in recent</w:t>
      </w:r>
      <w:r>
        <w:rPr>
          <w:spacing w:val="-20"/>
          <w:w w:val="110"/>
        </w:rPr>
        <w:t> </w:t>
      </w:r>
      <w:r>
        <w:rPr>
          <w:w w:val="110"/>
        </w:rPr>
        <w:t>months.</w:t>
      </w:r>
    </w:p>
    <w:p>
      <w:pPr>
        <w:pStyle w:val="BodyText"/>
        <w:spacing w:before="2"/>
        <w:rPr>
          <w:sz w:val="22"/>
        </w:rPr>
      </w:pPr>
    </w:p>
    <w:p>
      <w:pPr>
        <w:pStyle w:val="BodyText"/>
        <w:spacing w:line="292" w:lineRule="auto"/>
        <w:ind w:left="171" w:right="164"/>
      </w:pPr>
      <w:r>
        <w:rPr>
          <w:spacing w:val="-3"/>
          <w:w w:val="110"/>
        </w:rPr>
        <w:t>Average</w:t>
      </w:r>
      <w:r>
        <w:rPr>
          <w:spacing w:val="-20"/>
          <w:w w:val="110"/>
        </w:rPr>
        <w:t> </w:t>
      </w:r>
      <w:r>
        <w:rPr>
          <w:w w:val="110"/>
        </w:rPr>
        <w:t>earnings</w:t>
      </w:r>
      <w:r>
        <w:rPr>
          <w:spacing w:val="-19"/>
          <w:w w:val="110"/>
        </w:rPr>
        <w:t> </w:t>
      </w:r>
      <w:r>
        <w:rPr>
          <w:w w:val="110"/>
        </w:rPr>
        <w:t>growth</w:t>
      </w:r>
      <w:r>
        <w:rPr>
          <w:spacing w:val="-19"/>
          <w:w w:val="110"/>
        </w:rPr>
        <w:t> </w:t>
      </w:r>
      <w:r>
        <w:rPr>
          <w:w w:val="110"/>
        </w:rPr>
        <w:t>can</w:t>
      </w:r>
      <w:r>
        <w:rPr>
          <w:spacing w:val="-19"/>
          <w:w w:val="110"/>
        </w:rPr>
        <w:t> </w:t>
      </w:r>
      <w:r>
        <w:rPr>
          <w:w w:val="110"/>
        </w:rPr>
        <w:t>be</w:t>
      </w:r>
      <w:r>
        <w:rPr>
          <w:spacing w:val="-19"/>
          <w:w w:val="110"/>
        </w:rPr>
        <w:t> </w:t>
      </w:r>
      <w:r>
        <w:rPr>
          <w:w w:val="110"/>
        </w:rPr>
        <w:t>decomposed</w:t>
      </w:r>
      <w:r>
        <w:rPr>
          <w:spacing w:val="-19"/>
          <w:w w:val="110"/>
        </w:rPr>
        <w:t> </w:t>
      </w:r>
      <w:r>
        <w:rPr>
          <w:w w:val="110"/>
        </w:rPr>
        <w:t>into</w:t>
      </w:r>
      <w:r>
        <w:rPr>
          <w:spacing w:val="-19"/>
          <w:w w:val="110"/>
        </w:rPr>
        <w:t> </w:t>
      </w:r>
      <w:r>
        <w:rPr>
          <w:w w:val="110"/>
        </w:rPr>
        <w:t>growth</w:t>
      </w:r>
      <w:r>
        <w:rPr>
          <w:spacing w:val="-19"/>
          <w:w w:val="110"/>
        </w:rPr>
        <w:t> </w:t>
      </w:r>
      <w:r>
        <w:rPr>
          <w:w w:val="110"/>
        </w:rPr>
        <w:t>in regular</w:t>
      </w:r>
      <w:r>
        <w:rPr>
          <w:spacing w:val="-21"/>
          <w:w w:val="110"/>
        </w:rPr>
        <w:t> </w:t>
      </w:r>
      <w:r>
        <w:rPr>
          <w:spacing w:val="-3"/>
          <w:w w:val="110"/>
        </w:rPr>
        <w:t>pay</w:t>
      </w:r>
      <w:r>
        <w:rPr>
          <w:spacing w:val="-20"/>
          <w:w w:val="110"/>
        </w:rPr>
        <w:t> </w:t>
      </w:r>
      <w:r>
        <w:rPr>
          <w:w w:val="110"/>
        </w:rPr>
        <w:t>and</w:t>
      </w:r>
      <w:r>
        <w:rPr>
          <w:spacing w:val="-20"/>
          <w:w w:val="110"/>
        </w:rPr>
        <w:t> </w:t>
      </w:r>
      <w:r>
        <w:rPr>
          <w:w w:val="110"/>
        </w:rPr>
        <w:t>a</w:t>
      </w:r>
      <w:r>
        <w:rPr>
          <w:spacing w:val="-20"/>
          <w:w w:val="110"/>
        </w:rPr>
        <w:t> </w:t>
      </w:r>
      <w:r>
        <w:rPr>
          <w:w w:val="110"/>
        </w:rPr>
        <w:t>contribution</w:t>
      </w:r>
      <w:r>
        <w:rPr>
          <w:spacing w:val="-20"/>
          <w:w w:val="110"/>
        </w:rPr>
        <w:t> </w:t>
      </w:r>
      <w:r>
        <w:rPr>
          <w:w w:val="110"/>
        </w:rPr>
        <w:t>from</w:t>
      </w:r>
      <w:r>
        <w:rPr>
          <w:spacing w:val="-20"/>
          <w:w w:val="110"/>
        </w:rPr>
        <w:t> </w:t>
      </w:r>
      <w:r>
        <w:rPr>
          <w:w w:val="110"/>
        </w:rPr>
        <w:t>bonuses.</w:t>
      </w:r>
      <w:r>
        <w:rPr>
          <w:spacing w:val="15"/>
          <w:w w:val="110"/>
        </w:rPr>
        <w:t> </w:t>
      </w:r>
      <w:r>
        <w:rPr>
          <w:w w:val="110"/>
        </w:rPr>
        <w:t>ONS</w:t>
      </w:r>
      <w:r>
        <w:rPr>
          <w:spacing w:val="-20"/>
          <w:w w:val="110"/>
        </w:rPr>
        <w:t> </w:t>
      </w:r>
      <w:r>
        <w:rPr>
          <w:w w:val="110"/>
        </w:rPr>
        <w:t>estimates of this split are not seasonally adjusted, and—because of a discontinuity in the series at the start of </w:t>
      </w:r>
      <w:r>
        <w:rPr>
          <w:spacing w:val="-9"/>
          <w:w w:val="110"/>
        </w:rPr>
        <w:t>1999—are </w:t>
      </w:r>
      <w:r>
        <w:rPr>
          <w:w w:val="110"/>
        </w:rPr>
        <w:t>only available</w:t>
      </w:r>
      <w:r>
        <w:rPr>
          <w:spacing w:val="-10"/>
          <w:w w:val="110"/>
        </w:rPr>
        <w:t> </w:t>
      </w:r>
      <w:r>
        <w:rPr>
          <w:w w:val="110"/>
        </w:rPr>
        <w:t>on</w:t>
      </w:r>
      <w:r>
        <w:rPr>
          <w:spacing w:val="-9"/>
          <w:w w:val="110"/>
        </w:rPr>
        <w:t> </w:t>
      </w:r>
      <w:r>
        <w:rPr>
          <w:w w:val="110"/>
        </w:rPr>
        <w:t>a</w:t>
      </w:r>
      <w:r>
        <w:rPr>
          <w:spacing w:val="-9"/>
          <w:w w:val="110"/>
        </w:rPr>
        <w:t> </w:t>
      </w:r>
      <w:r>
        <w:rPr>
          <w:w w:val="110"/>
        </w:rPr>
        <w:t>consistent</w:t>
      </w:r>
      <w:r>
        <w:rPr>
          <w:spacing w:val="-9"/>
          <w:w w:val="110"/>
        </w:rPr>
        <w:t> </w:t>
      </w:r>
      <w:r>
        <w:rPr>
          <w:w w:val="110"/>
        </w:rPr>
        <w:t>basis</w:t>
      </w:r>
      <w:r>
        <w:rPr>
          <w:spacing w:val="-9"/>
          <w:w w:val="110"/>
        </w:rPr>
        <w:t> </w:t>
      </w:r>
      <w:r>
        <w:rPr>
          <w:w w:val="110"/>
        </w:rPr>
        <w:t>since</w:t>
      </w:r>
      <w:r>
        <w:rPr>
          <w:spacing w:val="-9"/>
          <w:w w:val="110"/>
        </w:rPr>
        <w:t> </w:t>
      </w:r>
      <w:r>
        <w:rPr>
          <w:w w:val="110"/>
        </w:rPr>
        <w:t>February</w:t>
      </w:r>
      <w:r>
        <w:rPr>
          <w:spacing w:val="-9"/>
          <w:w w:val="110"/>
        </w:rPr>
        <w:t> </w:t>
      </w:r>
      <w:r>
        <w:rPr>
          <w:spacing w:val="-4"/>
          <w:w w:val="110"/>
        </w:rPr>
        <w:t>2000.</w:t>
      </w:r>
    </w:p>
    <w:p>
      <w:pPr>
        <w:pStyle w:val="BodyText"/>
        <w:spacing w:line="292" w:lineRule="auto"/>
        <w:ind w:left="171" w:right="228"/>
      </w:pPr>
      <w:r>
        <w:rPr>
          <w:w w:val="105"/>
        </w:rPr>
        <w:t>Whole-economy regular pay growth has exceeded AEI growth since May 2000 (see Chart 3.10) mainly because bonuses in private sector services have made up a smaller proportion of total pay than in the equivalent months a year earlier. As discussed in the November </w:t>
      </w:r>
      <w:r>
        <w:rPr>
          <w:i/>
          <w:w w:val="105"/>
        </w:rPr>
        <w:t>Report</w:t>
      </w:r>
      <w:r>
        <w:rPr>
          <w:w w:val="105"/>
        </w:rPr>
        <w:t>, the current weakness of service sector bonuses is surprising given continued strong</w:t>
      </w:r>
    </w:p>
    <w:p>
      <w:pPr>
        <w:spacing w:after="0" w:line="292" w:lineRule="auto"/>
        <w:sectPr>
          <w:type w:val="continuous"/>
          <w:pgSz w:w="11900" w:h="16840"/>
          <w:pgMar w:top="1260" w:bottom="280" w:left="640" w:right="640"/>
          <w:cols w:num="3" w:equalWidth="0">
            <w:col w:w="3395" w:space="40"/>
            <w:col w:w="230" w:space="1270"/>
            <w:col w:w="5685"/>
          </w:cols>
        </w:sectPr>
      </w:pPr>
    </w:p>
    <w:p>
      <w:pPr>
        <w:pStyle w:val="BodyText"/>
      </w:pPr>
    </w:p>
    <w:p>
      <w:pPr>
        <w:pStyle w:val="BodyText"/>
        <w:spacing w:before="6"/>
        <w:rPr>
          <w:sz w:val="19"/>
        </w:rPr>
      </w:pPr>
    </w:p>
    <w:p>
      <w:pPr>
        <w:pStyle w:val="BodyText"/>
        <w:spacing w:line="292" w:lineRule="auto" w:before="1"/>
        <w:ind w:left="5094" w:right="172"/>
      </w:pPr>
      <w:r>
        <w:rPr>
          <w:w w:val="110"/>
        </w:rPr>
        <w:t>output</w:t>
      </w:r>
      <w:r>
        <w:rPr>
          <w:spacing w:val="-20"/>
          <w:w w:val="110"/>
        </w:rPr>
        <w:t> </w:t>
      </w:r>
      <w:r>
        <w:rPr>
          <w:w w:val="110"/>
        </w:rPr>
        <w:t>growth</w:t>
      </w:r>
      <w:r>
        <w:rPr>
          <w:spacing w:val="-19"/>
          <w:w w:val="110"/>
        </w:rPr>
        <w:t> </w:t>
      </w:r>
      <w:r>
        <w:rPr>
          <w:w w:val="110"/>
        </w:rPr>
        <w:t>and</w:t>
      </w:r>
      <w:r>
        <w:rPr>
          <w:spacing w:val="-19"/>
          <w:w w:val="110"/>
        </w:rPr>
        <w:t> </w:t>
      </w:r>
      <w:r>
        <w:rPr>
          <w:w w:val="110"/>
        </w:rPr>
        <w:t>widespread</w:t>
      </w:r>
      <w:r>
        <w:rPr>
          <w:spacing w:val="-20"/>
          <w:w w:val="110"/>
        </w:rPr>
        <w:t> </w:t>
      </w:r>
      <w:r>
        <w:rPr>
          <w:w w:val="110"/>
        </w:rPr>
        <w:t>evidence</w:t>
      </w:r>
      <w:r>
        <w:rPr>
          <w:spacing w:val="-19"/>
          <w:w w:val="110"/>
        </w:rPr>
        <w:t> </w:t>
      </w:r>
      <w:r>
        <w:rPr>
          <w:w w:val="110"/>
        </w:rPr>
        <w:t>of</w:t>
      </w:r>
      <w:r>
        <w:rPr>
          <w:spacing w:val="-19"/>
          <w:w w:val="110"/>
        </w:rPr>
        <w:t> </w:t>
      </w:r>
      <w:r>
        <w:rPr>
          <w:w w:val="110"/>
        </w:rPr>
        <w:t>skill</w:t>
      </w:r>
      <w:r>
        <w:rPr>
          <w:spacing w:val="-19"/>
          <w:w w:val="110"/>
        </w:rPr>
        <w:t> </w:t>
      </w:r>
      <w:r>
        <w:rPr>
          <w:w w:val="110"/>
        </w:rPr>
        <w:t>shortages</w:t>
      </w:r>
      <w:r>
        <w:rPr>
          <w:spacing w:val="-20"/>
          <w:w w:val="110"/>
        </w:rPr>
        <w:t> </w:t>
      </w:r>
      <w:r>
        <w:rPr>
          <w:w w:val="110"/>
        </w:rPr>
        <w:t>in the </w:t>
      </w:r>
      <w:r>
        <w:rPr>
          <w:spacing w:val="-3"/>
          <w:w w:val="110"/>
        </w:rPr>
        <w:t>sector. </w:t>
      </w:r>
      <w:r>
        <w:rPr>
          <w:w w:val="110"/>
        </w:rPr>
        <w:t>It </w:t>
      </w:r>
      <w:r>
        <w:rPr>
          <w:spacing w:val="-3"/>
          <w:w w:val="110"/>
        </w:rPr>
        <w:t>may </w:t>
      </w:r>
      <w:r>
        <w:rPr>
          <w:w w:val="110"/>
        </w:rPr>
        <w:t>reflect somewhat weaker service sector </w:t>
      </w:r>
      <w:r>
        <w:rPr>
          <w:spacing w:val="-3"/>
          <w:w w:val="110"/>
        </w:rPr>
        <w:t>profitability</w:t>
      </w:r>
      <w:r>
        <w:rPr>
          <w:spacing w:val="-15"/>
          <w:w w:val="110"/>
        </w:rPr>
        <w:t> </w:t>
      </w:r>
      <w:r>
        <w:rPr>
          <w:w w:val="110"/>
        </w:rPr>
        <w:t>for</w:t>
      </w:r>
      <w:r>
        <w:rPr>
          <w:spacing w:val="-15"/>
          <w:w w:val="110"/>
        </w:rPr>
        <w:t> </w:t>
      </w:r>
      <w:r>
        <w:rPr>
          <w:w w:val="110"/>
        </w:rPr>
        <w:t>much</w:t>
      </w:r>
      <w:r>
        <w:rPr>
          <w:spacing w:val="-14"/>
          <w:w w:val="110"/>
        </w:rPr>
        <w:t> </w:t>
      </w:r>
      <w:r>
        <w:rPr>
          <w:w w:val="110"/>
        </w:rPr>
        <w:t>of</w:t>
      </w:r>
      <w:r>
        <w:rPr>
          <w:spacing w:val="-15"/>
          <w:w w:val="110"/>
        </w:rPr>
        <w:t> </w:t>
      </w:r>
      <w:r>
        <w:rPr>
          <w:w w:val="110"/>
        </w:rPr>
        <w:t>last</w:t>
      </w:r>
      <w:r>
        <w:rPr>
          <w:spacing w:val="-14"/>
          <w:w w:val="110"/>
        </w:rPr>
        <w:t> </w:t>
      </w:r>
      <w:r>
        <w:rPr>
          <w:w w:val="110"/>
        </w:rPr>
        <w:t>year</w:t>
      </w:r>
      <w:r>
        <w:rPr>
          <w:spacing w:val="-15"/>
          <w:w w:val="110"/>
        </w:rPr>
        <w:t> </w:t>
      </w:r>
      <w:r>
        <w:rPr>
          <w:w w:val="110"/>
        </w:rPr>
        <w:t>and</w:t>
      </w:r>
      <w:r>
        <w:rPr>
          <w:spacing w:val="-15"/>
          <w:w w:val="110"/>
        </w:rPr>
        <w:t> </w:t>
      </w:r>
      <w:r>
        <w:rPr>
          <w:w w:val="110"/>
        </w:rPr>
        <w:t>higher</w:t>
      </w:r>
      <w:r>
        <w:rPr>
          <w:spacing w:val="-14"/>
          <w:w w:val="110"/>
        </w:rPr>
        <w:t> </w:t>
      </w:r>
      <w:r>
        <w:rPr>
          <w:w w:val="110"/>
        </w:rPr>
        <w:t>thresholds</w:t>
      </w:r>
      <w:r>
        <w:rPr>
          <w:spacing w:val="-15"/>
          <w:w w:val="110"/>
        </w:rPr>
        <w:t> </w:t>
      </w:r>
      <w:r>
        <w:rPr>
          <w:w w:val="110"/>
        </w:rPr>
        <w:t>set</w:t>
      </w:r>
      <w:r>
        <w:rPr>
          <w:spacing w:val="-14"/>
          <w:w w:val="110"/>
        </w:rPr>
        <w:t> </w:t>
      </w:r>
      <w:r>
        <w:rPr>
          <w:w w:val="110"/>
        </w:rPr>
        <w:t>in </w:t>
      </w:r>
      <w:r>
        <w:rPr>
          <w:spacing w:val="-15"/>
          <w:w w:val="110"/>
        </w:rPr>
        <w:t>1999 </w:t>
      </w:r>
      <w:r>
        <w:rPr>
          <w:w w:val="110"/>
        </w:rPr>
        <w:t>for performance-related </w:t>
      </w:r>
      <w:r>
        <w:rPr>
          <w:spacing w:val="-3"/>
          <w:w w:val="110"/>
        </w:rPr>
        <w:t>pay awards </w:t>
      </w:r>
      <w:r>
        <w:rPr>
          <w:w w:val="110"/>
        </w:rPr>
        <w:t>in</w:t>
      </w:r>
      <w:r>
        <w:rPr>
          <w:spacing w:val="-14"/>
          <w:w w:val="110"/>
        </w:rPr>
        <w:t> </w:t>
      </w:r>
      <w:r>
        <w:rPr>
          <w:spacing w:val="-4"/>
          <w:w w:val="110"/>
        </w:rPr>
        <w:t>2000.</w:t>
      </w:r>
    </w:p>
    <w:p>
      <w:pPr>
        <w:pStyle w:val="BodyText"/>
        <w:spacing w:before="7"/>
        <w:rPr>
          <w:sz w:val="27"/>
        </w:rPr>
      </w:pPr>
    </w:p>
    <w:p>
      <w:pPr>
        <w:pStyle w:val="BodyText"/>
        <w:spacing w:line="292" w:lineRule="auto"/>
        <w:ind w:left="5094" w:right="194" w:hanging="1"/>
      </w:pPr>
      <w:r>
        <w:rPr>
          <w:w w:val="105"/>
        </w:rPr>
        <w:t>At the time of the November </w:t>
      </w:r>
      <w:r>
        <w:rPr>
          <w:i/>
          <w:w w:val="105"/>
        </w:rPr>
        <w:t>Report</w:t>
      </w:r>
      <w:r>
        <w:rPr>
          <w:w w:val="105"/>
        </w:rPr>
        <w:t>, the MPC’s best collective judgment was that some of the recent weakness in earnings growth had reflected temporary factors that would unwind. In recent months whole-economy regular pay growth has edged up, consistent with that view, although bonus effects have remained negative. Looking forward, bonuses may make a more negative contribution to average earnings growth in coming data releases, as the previous year’s baseline will include exceptional payments rewarding work over the millennium period. The Committee also took the view in November that subdued earnings growth partly reflected the impact of improvements in the functioning of the labour market, which had lowered the level of unemployment consistent with stable earnings pressures. The MPC has maintained this assumption in its latest projections.</w:t>
      </w:r>
    </w:p>
    <w:p>
      <w:pPr>
        <w:pStyle w:val="BodyText"/>
        <w:spacing w:before="11"/>
        <w:rPr>
          <w:sz w:val="16"/>
        </w:rPr>
      </w:pPr>
    </w:p>
    <w:p>
      <w:pPr>
        <w:spacing w:after="0"/>
        <w:rPr>
          <w:sz w:val="16"/>
        </w:rPr>
        <w:sectPr>
          <w:pgSz w:w="11900" w:h="16840"/>
          <w:pgMar w:header="601" w:footer="575" w:top="800" w:bottom="760" w:left="640" w:right="640"/>
        </w:sectPr>
      </w:pPr>
    </w:p>
    <w:p>
      <w:pPr>
        <w:pStyle w:val="Heading6"/>
        <w:spacing w:before="97"/>
        <w:ind w:left="176"/>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3.11</w:t>
      </w:r>
    </w:p>
    <w:p>
      <w:pPr>
        <w:spacing w:before="8"/>
        <w:ind w:left="176" w:right="0" w:firstLine="0"/>
        <w:jc w:val="left"/>
        <w:rPr>
          <w:rFonts w:ascii="Trebuchet MS"/>
          <w:b/>
          <w:sz w:val="20"/>
        </w:rPr>
      </w:pPr>
      <w:r>
        <w:rPr>
          <w:rFonts w:ascii="Trebuchet MS"/>
          <w:b/>
          <w:color w:val="89C6DC"/>
          <w:sz w:val="20"/>
        </w:rPr>
        <w:t>Alternative indicators of pay</w:t>
      </w:r>
    </w:p>
    <w:p>
      <w:pPr>
        <w:spacing w:line="122" w:lineRule="exact" w:before="113"/>
        <w:ind w:left="1515" w:right="0" w:firstLine="0"/>
        <w:jc w:val="left"/>
        <w:rPr>
          <w:sz w:val="12"/>
        </w:rPr>
      </w:pPr>
      <w:r>
        <w:rPr>
          <w:w w:val="110"/>
          <w:sz w:val="12"/>
        </w:rPr>
        <w:t>Percentage changes on a year earlier</w:t>
      </w:r>
    </w:p>
    <w:p>
      <w:pPr>
        <w:spacing w:line="122" w:lineRule="exact" w:before="0"/>
        <w:ind w:left="3452" w:right="0" w:firstLine="0"/>
        <w:jc w:val="left"/>
        <w:rPr>
          <w:sz w:val="12"/>
        </w:rPr>
      </w:pPr>
      <w:r>
        <w:rPr/>
        <w:pict>
          <v:line style="position:absolute;mso-position-horizontal-relative:page;mso-position-vertical-relative:paragraph;z-index:16197120" from="43.268002pt,2.422156pt" to="47.600002pt,2.422156pt" stroked="true" strokeweight=".5pt" strokecolor="#000000">
            <v:stroke dashstyle="solid"/>
            <w10:wrap type="none"/>
          </v:line>
        </w:pict>
      </w:r>
      <w:r>
        <w:rPr/>
        <w:pict>
          <v:line style="position:absolute;mso-position-horizontal-relative:page;mso-position-vertical-relative:paragraph;z-index:16199168" from="198.600998pt,2.422156pt" to="202.932998pt,2.422156pt" stroked="true" strokeweight=".5pt" strokecolor="#000000">
            <v:stroke dashstyle="solid"/>
            <w10:wrap type="none"/>
          </v:line>
        </w:pict>
      </w:r>
      <w:r>
        <w:rPr>
          <w:w w:val="115"/>
          <w:sz w:val="12"/>
        </w:rPr>
        <w:t>7.0</w:t>
      </w:r>
    </w:p>
    <w:p>
      <w:pPr>
        <w:pStyle w:val="BodyText"/>
        <w:spacing w:line="292" w:lineRule="auto" w:before="136"/>
        <w:ind w:left="176" w:right="287"/>
        <w:jc w:val="both"/>
      </w:pPr>
      <w:r>
        <w:rPr/>
        <w:br w:type="column"/>
      </w:r>
      <w:r>
        <w:rPr>
          <w:w w:val="110"/>
        </w:rPr>
        <w:t>Alternative</w:t>
      </w:r>
      <w:r>
        <w:rPr>
          <w:spacing w:val="-28"/>
          <w:w w:val="110"/>
        </w:rPr>
        <w:t> </w:t>
      </w:r>
      <w:r>
        <w:rPr>
          <w:w w:val="110"/>
        </w:rPr>
        <w:t>indicators</w:t>
      </w:r>
      <w:r>
        <w:rPr>
          <w:spacing w:val="-27"/>
          <w:w w:val="110"/>
        </w:rPr>
        <w:t> </w:t>
      </w:r>
      <w:r>
        <w:rPr>
          <w:w w:val="110"/>
        </w:rPr>
        <w:t>of</w:t>
      </w:r>
      <w:r>
        <w:rPr>
          <w:spacing w:val="-28"/>
          <w:w w:val="110"/>
        </w:rPr>
        <w:t> </w:t>
      </w:r>
      <w:r>
        <w:rPr>
          <w:spacing w:val="-3"/>
          <w:w w:val="110"/>
        </w:rPr>
        <w:t>pay</w:t>
      </w:r>
      <w:r>
        <w:rPr>
          <w:spacing w:val="-27"/>
          <w:w w:val="110"/>
        </w:rPr>
        <w:t> </w:t>
      </w:r>
      <w:r>
        <w:rPr>
          <w:w w:val="110"/>
        </w:rPr>
        <w:t>suggest</w:t>
      </w:r>
      <w:r>
        <w:rPr>
          <w:spacing w:val="-28"/>
          <w:w w:val="110"/>
        </w:rPr>
        <w:t> </w:t>
      </w:r>
      <w:r>
        <w:rPr>
          <w:w w:val="110"/>
        </w:rPr>
        <w:t>broadly</w:t>
      </w:r>
      <w:r>
        <w:rPr>
          <w:spacing w:val="-27"/>
          <w:w w:val="110"/>
        </w:rPr>
        <w:t> </w:t>
      </w:r>
      <w:r>
        <w:rPr>
          <w:w w:val="110"/>
        </w:rPr>
        <w:t>similar</w:t>
      </w:r>
      <w:r>
        <w:rPr>
          <w:spacing w:val="-28"/>
          <w:w w:val="110"/>
        </w:rPr>
        <w:t> </w:t>
      </w:r>
      <w:r>
        <w:rPr>
          <w:w w:val="110"/>
        </w:rPr>
        <w:t>trends</w:t>
      </w:r>
      <w:r>
        <w:rPr>
          <w:spacing w:val="-27"/>
          <w:w w:val="110"/>
        </w:rPr>
        <w:t> </w:t>
      </w:r>
      <w:r>
        <w:rPr>
          <w:spacing w:val="-4"/>
          <w:w w:val="110"/>
        </w:rPr>
        <w:t>to </w:t>
      </w:r>
      <w:r>
        <w:rPr>
          <w:w w:val="110"/>
        </w:rPr>
        <w:t>the</w:t>
      </w:r>
      <w:r>
        <w:rPr>
          <w:spacing w:val="-16"/>
          <w:w w:val="110"/>
        </w:rPr>
        <w:t> </w:t>
      </w:r>
      <w:r>
        <w:rPr>
          <w:w w:val="110"/>
        </w:rPr>
        <w:t>AEI</w:t>
      </w:r>
      <w:r>
        <w:rPr>
          <w:spacing w:val="-15"/>
          <w:w w:val="110"/>
        </w:rPr>
        <w:t> </w:t>
      </w:r>
      <w:r>
        <w:rPr>
          <w:w w:val="110"/>
        </w:rPr>
        <w:t>(see</w:t>
      </w:r>
      <w:r>
        <w:rPr>
          <w:spacing w:val="-15"/>
          <w:w w:val="110"/>
        </w:rPr>
        <w:t> </w:t>
      </w:r>
      <w:r>
        <w:rPr>
          <w:w w:val="110"/>
        </w:rPr>
        <w:t>Chart</w:t>
      </w:r>
      <w:r>
        <w:rPr>
          <w:spacing w:val="-15"/>
          <w:w w:val="110"/>
        </w:rPr>
        <w:t> </w:t>
      </w:r>
      <w:r>
        <w:rPr>
          <w:spacing w:val="-9"/>
          <w:w w:val="110"/>
        </w:rPr>
        <w:t>3.11).</w:t>
      </w:r>
      <w:r>
        <w:rPr>
          <w:spacing w:val="26"/>
          <w:w w:val="110"/>
        </w:rPr>
        <w:t> </w:t>
      </w:r>
      <w:r>
        <w:rPr>
          <w:spacing w:val="-6"/>
          <w:w w:val="110"/>
        </w:rPr>
        <w:t>Wages</w:t>
      </w:r>
      <w:r>
        <w:rPr>
          <w:spacing w:val="-15"/>
          <w:w w:val="110"/>
        </w:rPr>
        <w:t> </w:t>
      </w:r>
      <w:r>
        <w:rPr>
          <w:w w:val="110"/>
        </w:rPr>
        <w:t>and</w:t>
      </w:r>
      <w:r>
        <w:rPr>
          <w:spacing w:val="-15"/>
          <w:w w:val="110"/>
        </w:rPr>
        <w:t> </w:t>
      </w:r>
      <w:r>
        <w:rPr>
          <w:w w:val="110"/>
        </w:rPr>
        <w:t>salaries</w:t>
      </w:r>
      <w:r>
        <w:rPr>
          <w:spacing w:val="-15"/>
          <w:w w:val="110"/>
        </w:rPr>
        <w:t> </w:t>
      </w:r>
      <w:r>
        <w:rPr>
          <w:w w:val="110"/>
        </w:rPr>
        <w:t>per</w:t>
      </w:r>
      <w:r>
        <w:rPr>
          <w:spacing w:val="-15"/>
          <w:w w:val="110"/>
        </w:rPr>
        <w:t> </w:t>
      </w:r>
      <w:r>
        <w:rPr>
          <w:w w:val="110"/>
        </w:rPr>
        <w:t>head</w:t>
      </w:r>
      <w:r>
        <w:rPr>
          <w:spacing w:val="-15"/>
          <w:w w:val="110"/>
        </w:rPr>
        <w:t> </w:t>
      </w:r>
      <w:r>
        <w:rPr>
          <w:w w:val="110"/>
        </w:rPr>
        <w:t>paid</w:t>
      </w:r>
      <w:r>
        <w:rPr>
          <w:spacing w:val="-15"/>
          <w:w w:val="110"/>
        </w:rPr>
        <w:t> </w:t>
      </w:r>
      <w:r>
        <w:rPr>
          <w:spacing w:val="-4"/>
          <w:w w:val="110"/>
        </w:rPr>
        <w:t>to </w:t>
      </w:r>
      <w:r>
        <w:rPr>
          <w:w w:val="110"/>
        </w:rPr>
        <w:t>households,</w:t>
      </w:r>
      <w:r>
        <w:rPr>
          <w:spacing w:val="-11"/>
          <w:w w:val="110"/>
        </w:rPr>
        <w:t> </w:t>
      </w:r>
      <w:r>
        <w:rPr>
          <w:w w:val="110"/>
        </w:rPr>
        <w:t>which</w:t>
      </w:r>
      <w:r>
        <w:rPr>
          <w:spacing w:val="-11"/>
          <w:w w:val="110"/>
        </w:rPr>
        <w:t> </w:t>
      </w:r>
      <w:r>
        <w:rPr>
          <w:w w:val="110"/>
        </w:rPr>
        <w:t>are</w:t>
      </w:r>
      <w:r>
        <w:rPr>
          <w:spacing w:val="-11"/>
          <w:w w:val="110"/>
        </w:rPr>
        <w:t> </w:t>
      </w:r>
      <w:r>
        <w:rPr>
          <w:w w:val="110"/>
        </w:rPr>
        <w:t>published</w:t>
      </w:r>
      <w:r>
        <w:rPr>
          <w:spacing w:val="-10"/>
          <w:w w:val="110"/>
        </w:rPr>
        <w:t> </w:t>
      </w:r>
      <w:r>
        <w:rPr>
          <w:w w:val="110"/>
        </w:rPr>
        <w:t>as</w:t>
      </w:r>
      <w:r>
        <w:rPr>
          <w:spacing w:val="-11"/>
          <w:w w:val="110"/>
        </w:rPr>
        <w:t> </w:t>
      </w:r>
      <w:r>
        <w:rPr>
          <w:w w:val="110"/>
        </w:rPr>
        <w:t>part</w:t>
      </w:r>
      <w:r>
        <w:rPr>
          <w:spacing w:val="-11"/>
          <w:w w:val="110"/>
        </w:rPr>
        <w:t> </w:t>
      </w:r>
      <w:r>
        <w:rPr>
          <w:w w:val="110"/>
        </w:rPr>
        <w:t>of</w:t>
      </w:r>
      <w:r>
        <w:rPr>
          <w:spacing w:val="-11"/>
          <w:w w:val="110"/>
        </w:rPr>
        <w:t> </w:t>
      </w:r>
      <w:r>
        <w:rPr>
          <w:w w:val="110"/>
        </w:rPr>
        <w:t>the</w:t>
      </w:r>
      <w:r>
        <w:rPr>
          <w:spacing w:val="-10"/>
          <w:w w:val="110"/>
        </w:rPr>
        <w:t> </w:t>
      </w:r>
      <w:r>
        <w:rPr>
          <w:w w:val="110"/>
        </w:rPr>
        <w:t>National</w:t>
      </w:r>
    </w:p>
    <w:p>
      <w:pPr>
        <w:spacing w:after="0" w:line="292" w:lineRule="auto"/>
        <w:jc w:val="both"/>
        <w:sectPr>
          <w:type w:val="continuous"/>
          <w:pgSz w:w="11900" w:h="16840"/>
          <w:pgMar w:top="1260" w:bottom="280" w:left="640" w:right="640"/>
          <w:cols w:num="2" w:equalWidth="0">
            <w:col w:w="3664" w:space="1254"/>
            <w:col w:w="5702"/>
          </w:cols>
        </w:sectPr>
      </w:pPr>
    </w:p>
    <w:p>
      <w:pPr>
        <w:spacing w:line="78" w:lineRule="exact" w:before="0"/>
        <w:ind w:left="454" w:right="0" w:firstLine="0"/>
        <w:jc w:val="left"/>
        <w:rPr>
          <w:sz w:val="12"/>
        </w:rPr>
      </w:pPr>
      <w:r>
        <w:rPr/>
        <w:pict>
          <v:group style="position:absolute;margin-left:43.268002pt;margin-top:-.742285pt;width:159.7pt;height:85.35pt;mso-position-horizontal-relative:page;mso-position-vertical-relative:paragraph;z-index:-23133184" coordorigin="865,-15" coordsize="3194,1707">
            <v:shape style="position:absolute;left:1032;top:-5;width:2818;height:1078" coordorigin="1032,-5" coordsize="2818,1078" path="m1032,1073l1090,1040,1160,965,1217,1073,1275,995,1335,1058,1405,980,1462,873,1520,888,1553,889,1570,890,1576,890,1577,889,1588,889,1612,889,1636,889,1647,889,1698,822,1822,780,1892,810,1952,625,2010,440,2067,333,2137,380,2195,518,2255,488,2312,548,2382,503,2440,548,2500,625,2557,580,2627,548,2685,565,2742,673,2802,703,2872,595,2930,518,2987,548,3045,440,3115,410,3175,180,3232,118,3290,-5,3360,55,3420,273,3477,503,3535,610,3605,733,3638,734,3655,735,3661,735,3662,734,3671,731,3692,725,3713,720,3722,718,3780,658,3850,688e" filled="false" stroked="true" strokeweight="1pt" strokecolor="#006caa">
              <v:path arrowok="t"/>
              <v:stroke dashstyle="solid"/>
            </v:shape>
            <v:shape style="position:absolute;left:1032;top:1225;width:2875;height:295" coordorigin="1032,1225" coordsize="2875,295" path="m1032,1410l1065,1412,1082,1412,1089,1412,1090,1411,1100,1411,1125,1411,1149,1412,1160,1411,1168,1404,1188,1388,1208,1372,1217,1365,1250,1367,1267,1367,1274,1367,1275,1366,1284,1363,1305,1357,1325,1350,1335,1348,1375,1349,1396,1350,1403,1350,1405,1349,1413,1349,1433,1349,1453,1349,1462,1349,1471,1349,1491,1349,1511,1349,1520,1349,1528,1349,1548,1349,1568,1349,1577,1349,1588,1349,1612,1349,1636,1349,1647,1349,1656,1349,1677,1349,1698,1349,1707,1349,1756,1310,1822,1288,1892,1273,1952,1288,2010,1258,2043,1259,2060,1260,2066,1260,2067,1259,2078,1255,2102,1249,2126,1243,2137,1240,2170,1242,2187,1242,2194,1242,2195,1241,2204,1238,2225,1233,2245,1228,2255,1225,2312,1240,2352,1242,2373,1242,2381,1242,2382,1241,2391,1241,2411,1241,2431,1242,2440,1241,2449,1246,2470,1257,2490,1268,2500,1273,2533,1274,2550,1275,2556,1275,2557,1274,2568,1276,2592,1280,2616,1285,2627,1288,2685,1273,2742,1303,2802,1288,2872,1303,2930,1318,2963,1319,2980,1320,2986,1320,2987,1319,2996,1321,3016,1325,3036,1330,3045,1333,3115,1348,3149,1349,3167,1350,3174,1350,3175,1349,3183,1353,3203,1364,3223,1375,3232,1380,3265,1382,3282,1382,3289,1382,3290,1381,3300,1381,3325,1381,3349,1382,3360,1381,3369,1395,3390,1427,3410,1458,3420,1473,3453,1474,3470,1475,3476,1475,3477,1474,3486,1480,3506,1495,3526,1511,3535,1518,3575,1519,3596,1520,3603,1520,3605,1519,3613,1519,3633,1519,3653,1519,3662,1519,3671,1519,3692,1519,3713,1519,3722,1519,3731,1519,3751,1519,3771,1519,3780,1519,3790,1519,3815,1519,3839,1519,3850,1519,3858,1519,3878,1519,3898,1520,3907,1520e" filled="false" stroked="true" strokeweight="1pt" strokecolor="#de8508">
              <v:path arrowok="t"/>
              <v:stroke dashstyle="solid"/>
            </v:shape>
            <v:shape style="position:absolute;left:1032;top:547;width:2690;height:618" coordorigin="1032,548" coordsize="2690,618" path="m1032,1040l1090,1010,1160,980,1193,982,1210,982,1216,982,1217,981,1226,983,1246,988,1266,993,1275,995,1309,997,1327,997,1334,997,1335,996,1345,986,1370,964,1394,942,1405,933,1462,858,1520,780,1577,840,1647,888,1707,933,1765,980,1822,1025,1892,1073,1952,1058,1985,1059,2002,1060,2009,1060,2010,1059,2018,1055,2038,1049,2058,1043,2067,1040,2137,1010,2195,980,2255,948,2312,918,2382,888,2440,858,2500,825,2557,810,2627,780,2742,625,2802,565,2872,625,2930,688,2987,748,3020,749,3037,750,3044,750,3045,749,3055,751,3080,757,3104,762,3115,765,3149,767,3167,767,3174,767,3175,766,3183,754,3203,727,3223,700,3232,688,3290,625,3360,548,3420,765,3535,1165,3605,1133,3662,1088,3722,1058e" filled="false" stroked="true" strokeweight="1pt" strokecolor="#972140">
              <v:path arrowok="t"/>
              <v:stroke dashstyle="solid"/>
            </v:shape>
            <v:shape style="position:absolute;left:1032;top:317;width:2818;height:830" coordorigin="1032,318" coordsize="2818,830" path="m1032,1058l1090,1103,1160,1025,1217,1103,1275,1025,1335,1148,1405,1103,1462,1025,1520,980,1577,933,1647,903,1707,780,1740,782,1757,782,1764,782,1765,781,1773,766,1793,734,1813,702,1822,688,1892,733,1952,565,2010,440,2067,365,2137,410,2195,565,2229,567,2247,567,2254,567,2255,566,2263,585,2283,627,2303,669,2312,688,2382,733,2440,858,2500,933,2557,903,2627,858,2685,903,2742,980,2802,903,2872,810,2930,733,2987,810,3045,733,3085,734,3106,735,3113,735,3115,734,3124,702,3145,633,3165,564,3175,533,3232,365,3290,318,3360,440,3420,688,3477,903,3535,1058,3605,1148,3662,1103,3722,1058,3780,1025,3850,1028e" filled="false" stroked="true" strokeweight="1pt" strokecolor="#00a2a0">
              <v:path arrowok="t"/>
              <v:stroke dashstyle="solid"/>
            </v:shape>
            <v:shape style="position:absolute;left:865;top:215;width:3194;height:1306" coordorigin="865,215" coordsize="3194,1306" path="m865,290l952,290m865,690l952,690m865,1105l952,1105m865,1520l952,1520m3972,290l4059,290m3972,690l4059,690m3972,1105l4059,1105m3972,1520l4059,1520m1556,215l2057,946e" filled="false" stroked="true" strokeweight=".5pt" strokecolor="#000000">
              <v:path arrowok="t"/>
              <v:stroke dashstyle="solid"/>
            </v:shape>
            <v:shape style="position:absolute;left:2027;top:918;width:69;height:85" coordorigin="2027,918" coordsize="69,85" path="m2069,918l2027,947,2041,956,2052,963,2096,1002,2092,994,2088,984,2084,973,2079,960,2076,948,2069,918xe" filled="true" fillcolor="#000000" stroked="false">
              <v:path arrowok="t"/>
              <v:fill type="solid"/>
            </v:shape>
            <v:line style="position:absolute" from="2742,1691" to="2742,1091" stroked="true" strokeweight=".5pt" strokecolor="#000000">
              <v:stroke dashstyle="solid"/>
            </v:line>
            <v:shape style="position:absolute;left:2716;top:1023;width:51;height:85" coordorigin="2717,1023" coordsize="51,85" path="m2742,1023l2723,1092,2717,1108,2767,1108,2746,1043,2743,1032,2742,1023xe" filled="true" fillcolor="#000000" stroked="false">
              <v:path arrowok="t"/>
              <v:fill type="solid"/>
            </v:shape>
            <w10:wrap type="none"/>
          </v:group>
        </w:pict>
      </w:r>
      <w:r>
        <w:rPr>
          <w:w w:val="105"/>
          <w:sz w:val="12"/>
        </w:rPr>
        <w:t>Wages and salaries</w:t>
      </w:r>
    </w:p>
    <w:p>
      <w:pPr>
        <w:spacing w:line="134" w:lineRule="exact" w:before="0"/>
        <w:ind w:left="554" w:right="0" w:firstLine="0"/>
        <w:jc w:val="left"/>
        <w:rPr>
          <w:sz w:val="12"/>
        </w:rPr>
      </w:pPr>
      <w:r>
        <w:rPr>
          <w:w w:val="110"/>
          <w:sz w:val="12"/>
        </w:rPr>
        <w:t>per head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08" w:lineRule="auto" w:before="94"/>
        <w:ind w:left="602" w:right="0" w:hanging="62"/>
        <w:jc w:val="left"/>
        <w:rPr>
          <w:sz w:val="12"/>
        </w:rPr>
      </w:pPr>
      <w:r>
        <w:rPr>
          <w:w w:val="105"/>
          <w:sz w:val="12"/>
        </w:rPr>
        <w:t>Bank twelve-month average settlements</w:t>
      </w:r>
    </w:p>
    <w:p>
      <w:pPr>
        <w:pStyle w:val="BodyText"/>
        <w:spacing w:before="11" w:after="39"/>
      </w:pPr>
    </w:p>
    <w:p>
      <w:pPr>
        <w:pStyle w:val="BodyText"/>
        <w:spacing w:line="20" w:lineRule="exact"/>
        <w:ind w:left="22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7"/>
        <w:rPr>
          <w:sz w:val="29"/>
        </w:rPr>
      </w:pPr>
      <w:r>
        <w:rPr/>
        <w:pict>
          <v:shape style="position:absolute;margin-left:43.268002pt;margin-top:19.25pt;width:4.350pt;height:.1pt;mso-position-horizontal-relative:page;mso-position-vertical-relative:paragraph;z-index:-15261696;mso-wrap-distance-left:0;mso-wrap-distance-right:0" coordorigin="865,385" coordsize="87,0" path="m865,385l952,385e" filled="false" stroked="true" strokeweight=".5pt" strokecolor="#000000">
            <v:path arrowok="t"/>
            <v:stroke dashstyle="solid"/>
            <w10:wrap type="topAndBottom"/>
          </v:shape>
        </w:pict>
      </w:r>
      <w:r>
        <w:rPr/>
        <w:pict>
          <v:shape style="position:absolute;margin-left:43.268002pt;margin-top:40.125pt;width:4.350pt;height:.1pt;mso-position-horizontal-relative:page;mso-position-vertical-relative:paragraph;z-index:-15261184;mso-wrap-distance-left:0;mso-wrap-distance-right:0" coordorigin="865,803" coordsize="87,0" path="m865,803l952,803e" filled="false" stroked="true" strokeweight=".5pt" strokecolor="#000000">
            <v:path arrowok="t"/>
            <v:stroke dashstyle="solid"/>
            <w10:wrap type="topAndBottom"/>
          </v:shape>
        </w:pict>
      </w:r>
    </w:p>
    <w:p>
      <w:pPr>
        <w:pStyle w:val="BodyText"/>
        <w:spacing w:before="6"/>
        <w:rPr>
          <w:sz w:val="29"/>
        </w:rPr>
      </w:pPr>
    </w:p>
    <w:p>
      <w:pPr>
        <w:spacing w:line="119" w:lineRule="exact" w:before="0"/>
        <w:ind w:left="155" w:right="0" w:firstLine="0"/>
        <w:jc w:val="left"/>
        <w:rPr>
          <w:sz w:val="12"/>
        </w:rPr>
      </w:pPr>
      <w:r>
        <w:rPr/>
        <w:br w:type="column"/>
      </w:r>
      <w:r>
        <w:rPr>
          <w:w w:val="105"/>
          <w:sz w:val="12"/>
        </w:rPr>
        <w:t>Earnings</w:t>
      </w:r>
    </w:p>
    <w:p>
      <w:pPr>
        <w:spacing w:line="132" w:lineRule="exact" w:before="0"/>
        <w:ind w:left="222" w:right="0" w:firstLine="0"/>
        <w:jc w:val="left"/>
        <w:rPr>
          <w:sz w:val="12"/>
        </w:rPr>
      </w:pPr>
      <w:r>
        <w:rPr>
          <w:w w:val="110"/>
          <w:sz w:val="12"/>
        </w:rPr>
        <w:t>per hour (a)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25" w:lineRule="auto" w:before="88"/>
        <w:ind w:left="407" w:right="-10" w:hanging="82"/>
        <w:jc w:val="left"/>
        <w:rPr>
          <w:sz w:val="12"/>
        </w:rPr>
      </w:pPr>
      <w:r>
        <w:rPr>
          <w:w w:val="105"/>
          <w:sz w:val="12"/>
        </w:rPr>
        <w:t>AEI</w:t>
      </w:r>
      <w:r>
        <w:rPr>
          <w:spacing w:val="-17"/>
          <w:w w:val="105"/>
          <w:sz w:val="12"/>
        </w:rPr>
        <w:t> </w:t>
      </w:r>
      <w:r>
        <w:rPr>
          <w:spacing w:val="-2"/>
          <w:w w:val="105"/>
          <w:sz w:val="12"/>
        </w:rPr>
        <w:t>whole-economy </w:t>
      </w:r>
      <w:r>
        <w:rPr>
          <w:w w:val="105"/>
          <w:sz w:val="12"/>
        </w:rPr>
        <w:t>headline</w:t>
      </w:r>
      <w:r>
        <w:rPr>
          <w:spacing w:val="2"/>
          <w:w w:val="105"/>
          <w:sz w:val="12"/>
        </w:rPr>
        <w:t> </w:t>
      </w:r>
      <w:r>
        <w:rPr>
          <w:w w:val="105"/>
          <w:sz w:val="12"/>
        </w:rPr>
        <w:t>rate</w:t>
      </w:r>
    </w:p>
    <w:p>
      <w:pPr>
        <w:pStyle w:val="BodyText"/>
        <w:rPr>
          <w:sz w:val="12"/>
        </w:rPr>
      </w:pPr>
      <w:r>
        <w:rPr/>
        <w:br w:type="column"/>
      </w:r>
      <w:r>
        <w:rPr>
          <w:sz w:val="12"/>
        </w:rPr>
      </w:r>
    </w:p>
    <w:p>
      <w:pPr>
        <w:spacing w:before="87"/>
        <w:ind w:left="407" w:right="0" w:firstLine="0"/>
        <w:jc w:val="left"/>
        <w:rPr>
          <w:sz w:val="12"/>
        </w:rPr>
      </w:pPr>
      <w:r>
        <w:rPr>
          <w:w w:val="115"/>
          <w:sz w:val="12"/>
        </w:rPr>
        <w:t>6.0</w:t>
      </w:r>
    </w:p>
    <w:p>
      <w:pPr>
        <w:pStyle w:val="BodyText"/>
        <w:rPr>
          <w:sz w:val="12"/>
        </w:rPr>
      </w:pPr>
    </w:p>
    <w:p>
      <w:pPr>
        <w:pStyle w:val="BodyText"/>
        <w:spacing w:before="9"/>
        <w:rPr>
          <w:sz w:val="10"/>
        </w:rPr>
      </w:pPr>
    </w:p>
    <w:p>
      <w:pPr>
        <w:spacing w:before="0"/>
        <w:ind w:left="407" w:right="0" w:firstLine="0"/>
        <w:jc w:val="left"/>
        <w:rPr>
          <w:sz w:val="12"/>
        </w:rPr>
      </w:pPr>
      <w:r>
        <w:rPr>
          <w:w w:val="115"/>
          <w:sz w:val="12"/>
        </w:rPr>
        <w:t>5.0</w:t>
      </w:r>
    </w:p>
    <w:p>
      <w:pPr>
        <w:pStyle w:val="BodyText"/>
        <w:rPr>
          <w:sz w:val="12"/>
        </w:rPr>
      </w:pPr>
    </w:p>
    <w:p>
      <w:pPr>
        <w:pStyle w:val="BodyText"/>
        <w:spacing w:before="1"/>
        <w:rPr>
          <w:sz w:val="12"/>
        </w:rPr>
      </w:pPr>
    </w:p>
    <w:p>
      <w:pPr>
        <w:spacing w:before="0"/>
        <w:ind w:left="407" w:right="0" w:firstLine="0"/>
        <w:jc w:val="left"/>
        <w:rPr>
          <w:sz w:val="12"/>
        </w:rPr>
      </w:pPr>
      <w:r>
        <w:rPr>
          <w:w w:val="115"/>
          <w:sz w:val="12"/>
        </w:rPr>
        <w:t>4.0</w:t>
      </w:r>
    </w:p>
    <w:p>
      <w:pPr>
        <w:pStyle w:val="BodyText"/>
        <w:rPr>
          <w:sz w:val="12"/>
        </w:rPr>
      </w:pPr>
    </w:p>
    <w:p>
      <w:pPr>
        <w:pStyle w:val="BodyText"/>
        <w:spacing w:before="1"/>
        <w:rPr>
          <w:sz w:val="12"/>
        </w:rPr>
      </w:pPr>
    </w:p>
    <w:p>
      <w:pPr>
        <w:spacing w:before="0"/>
        <w:ind w:left="407" w:right="0" w:firstLine="0"/>
        <w:jc w:val="left"/>
        <w:rPr>
          <w:sz w:val="12"/>
        </w:rPr>
      </w:pPr>
      <w:r>
        <w:rPr>
          <w:w w:val="115"/>
          <w:sz w:val="12"/>
        </w:rPr>
        <w:t>3.0</w:t>
      </w:r>
    </w:p>
    <w:p>
      <w:pPr>
        <w:pStyle w:val="BodyText"/>
        <w:rPr>
          <w:sz w:val="12"/>
        </w:rPr>
      </w:pPr>
    </w:p>
    <w:p>
      <w:pPr>
        <w:pStyle w:val="BodyText"/>
        <w:spacing w:before="1"/>
        <w:rPr>
          <w:sz w:val="12"/>
        </w:rPr>
      </w:pPr>
    </w:p>
    <w:p>
      <w:pPr>
        <w:spacing w:before="0"/>
        <w:ind w:left="407" w:right="0" w:firstLine="0"/>
        <w:jc w:val="left"/>
        <w:rPr>
          <w:sz w:val="12"/>
        </w:rPr>
      </w:pPr>
      <w:r>
        <w:rPr/>
        <w:pict>
          <v:line style="position:absolute;mso-position-horizontal-relative:page;mso-position-vertical-relative:paragraph;z-index:16197632" from="198.600998pt,3.226172pt" to="202.932998pt,3.226172pt" stroked="true" strokeweight=".5pt" strokecolor="#000000">
            <v:stroke dashstyle="solid"/>
            <w10:wrap type="none"/>
          </v:line>
        </w:pict>
      </w:r>
      <w:r>
        <w:rPr>
          <w:w w:val="115"/>
          <w:sz w:val="12"/>
        </w:rPr>
        <w:t>2.0</w:t>
      </w:r>
    </w:p>
    <w:p>
      <w:pPr>
        <w:pStyle w:val="BodyText"/>
        <w:rPr>
          <w:sz w:val="12"/>
        </w:rPr>
      </w:pPr>
    </w:p>
    <w:p>
      <w:pPr>
        <w:pStyle w:val="BodyText"/>
        <w:spacing w:before="9"/>
        <w:rPr>
          <w:sz w:val="10"/>
        </w:rPr>
      </w:pPr>
    </w:p>
    <w:p>
      <w:pPr>
        <w:spacing w:before="1"/>
        <w:ind w:left="407" w:right="0" w:firstLine="0"/>
        <w:jc w:val="left"/>
        <w:rPr>
          <w:sz w:val="12"/>
        </w:rPr>
      </w:pPr>
      <w:r>
        <w:rPr/>
        <w:pict>
          <v:line style="position:absolute;mso-position-horizontal-relative:page;mso-position-vertical-relative:paragraph;z-index:16198144" from="198.600998pt,3.276355pt" to="202.932998pt,3.276355pt" stroked="true" strokeweight=".5pt" strokecolor="#000000">
            <v:stroke dashstyle="solid"/>
            <w10:wrap type="none"/>
          </v:line>
        </w:pict>
      </w:r>
      <w:r>
        <w:rPr>
          <w:w w:val="115"/>
          <w:sz w:val="12"/>
        </w:rPr>
        <w:t>1.0</w:t>
      </w:r>
    </w:p>
    <w:p>
      <w:pPr>
        <w:pStyle w:val="BodyText"/>
        <w:rPr>
          <w:sz w:val="12"/>
        </w:rPr>
      </w:pPr>
    </w:p>
    <w:p>
      <w:pPr>
        <w:pStyle w:val="BodyText"/>
        <w:rPr>
          <w:sz w:val="12"/>
        </w:rPr>
      </w:pPr>
    </w:p>
    <w:p>
      <w:pPr>
        <w:spacing w:line="131" w:lineRule="exact" w:before="1"/>
        <w:ind w:left="407" w:right="0" w:firstLine="0"/>
        <w:jc w:val="left"/>
        <w:rPr>
          <w:sz w:val="12"/>
        </w:rPr>
      </w:pPr>
      <w:r>
        <w:rPr/>
        <w:pict>
          <v:shape style="position:absolute;margin-left:51.432999pt;margin-top:.297569pt;width:151.5pt;height:3.4pt;mso-position-horizontal-relative:page;mso-position-vertical-relative:paragraph;z-index:16198656" coordorigin="1029,6" coordsize="3030,68" path="m3972,68l4059,68m1029,68l3909,68m1032,6l1032,73m1764,6l1764,73m2499,6l2499,73m3232,6l3232,73e" filled="false" stroked="true" strokeweight=".5pt" strokecolor="#000000">
            <v:path arrowok="t"/>
            <v:stroke dashstyle="solid"/>
            <w10:wrap type="none"/>
          </v:shape>
        </w:pict>
      </w:r>
      <w:r>
        <w:rPr>
          <w:w w:val="115"/>
          <w:sz w:val="12"/>
        </w:rPr>
        <w:t>0.0</w:t>
      </w:r>
    </w:p>
    <w:p>
      <w:pPr>
        <w:pStyle w:val="BodyText"/>
        <w:spacing w:line="292" w:lineRule="auto"/>
        <w:ind w:left="454" w:right="160"/>
      </w:pPr>
      <w:r>
        <w:rPr/>
        <w:br w:type="column"/>
      </w:r>
      <w:r>
        <w:rPr>
          <w:w w:val="110"/>
        </w:rPr>
        <w:t>Accounts</w:t>
      </w:r>
      <w:r>
        <w:rPr>
          <w:spacing w:val="-18"/>
          <w:w w:val="110"/>
        </w:rPr>
        <w:t> </w:t>
      </w:r>
      <w:r>
        <w:rPr>
          <w:w w:val="110"/>
        </w:rPr>
        <w:t>and</w:t>
      </w:r>
      <w:r>
        <w:rPr>
          <w:spacing w:val="-18"/>
          <w:w w:val="110"/>
        </w:rPr>
        <w:t> </w:t>
      </w:r>
      <w:r>
        <w:rPr>
          <w:w w:val="110"/>
        </w:rPr>
        <w:t>are</w:t>
      </w:r>
      <w:r>
        <w:rPr>
          <w:spacing w:val="-17"/>
          <w:w w:val="110"/>
        </w:rPr>
        <w:t> </w:t>
      </w:r>
      <w:r>
        <w:rPr>
          <w:w w:val="110"/>
        </w:rPr>
        <w:t>based</w:t>
      </w:r>
      <w:r>
        <w:rPr>
          <w:spacing w:val="-18"/>
          <w:w w:val="110"/>
        </w:rPr>
        <w:t> </w:t>
      </w:r>
      <w:r>
        <w:rPr>
          <w:w w:val="110"/>
        </w:rPr>
        <w:t>partly</w:t>
      </w:r>
      <w:r>
        <w:rPr>
          <w:spacing w:val="-18"/>
          <w:w w:val="110"/>
        </w:rPr>
        <w:t> </w:t>
      </w:r>
      <w:r>
        <w:rPr>
          <w:w w:val="110"/>
        </w:rPr>
        <w:t>on</w:t>
      </w:r>
      <w:r>
        <w:rPr>
          <w:spacing w:val="-17"/>
          <w:w w:val="110"/>
        </w:rPr>
        <w:t> </w:t>
      </w:r>
      <w:r>
        <w:rPr>
          <w:w w:val="110"/>
        </w:rPr>
        <w:t>the</w:t>
      </w:r>
      <w:r>
        <w:rPr>
          <w:spacing w:val="-18"/>
          <w:w w:val="110"/>
        </w:rPr>
        <w:t> </w:t>
      </w:r>
      <w:r>
        <w:rPr>
          <w:w w:val="110"/>
        </w:rPr>
        <w:t>AEI,</w:t>
      </w:r>
      <w:r>
        <w:rPr>
          <w:spacing w:val="-18"/>
          <w:w w:val="110"/>
        </w:rPr>
        <w:t> </w:t>
      </w:r>
      <w:r>
        <w:rPr>
          <w:w w:val="110"/>
        </w:rPr>
        <w:t>edged</w:t>
      </w:r>
      <w:r>
        <w:rPr>
          <w:spacing w:val="-17"/>
          <w:w w:val="110"/>
        </w:rPr>
        <w:t> </w:t>
      </w:r>
      <w:r>
        <w:rPr>
          <w:w w:val="110"/>
        </w:rPr>
        <w:t>up</w:t>
      </w:r>
      <w:r>
        <w:rPr>
          <w:spacing w:val="-18"/>
          <w:w w:val="110"/>
        </w:rPr>
        <w:t> </w:t>
      </w:r>
      <w:r>
        <w:rPr>
          <w:spacing w:val="-4"/>
          <w:w w:val="110"/>
        </w:rPr>
        <w:t>to</w:t>
      </w:r>
      <w:r>
        <w:rPr>
          <w:spacing w:val="-18"/>
          <w:w w:val="110"/>
        </w:rPr>
        <w:t> </w:t>
      </w:r>
      <w:r>
        <w:rPr>
          <w:w w:val="110"/>
        </w:rPr>
        <w:t>4.1%</w:t>
      </w:r>
      <w:r>
        <w:rPr>
          <w:spacing w:val="-17"/>
          <w:w w:val="110"/>
        </w:rPr>
        <w:t> </w:t>
      </w:r>
      <w:r>
        <w:rPr>
          <w:w w:val="110"/>
        </w:rPr>
        <w:t>in </w:t>
      </w:r>
      <w:r>
        <w:rPr>
          <w:spacing w:val="-4"/>
          <w:w w:val="110"/>
        </w:rPr>
        <w:t>2000 </w:t>
      </w:r>
      <w:r>
        <w:rPr>
          <w:w w:val="110"/>
        </w:rPr>
        <w:t>Q3, broadly in line with earnings per head as measured </w:t>
      </w:r>
      <w:r>
        <w:rPr>
          <w:spacing w:val="-3"/>
          <w:w w:val="110"/>
        </w:rPr>
        <w:t>by</w:t>
      </w:r>
      <w:r>
        <w:rPr>
          <w:spacing w:val="-38"/>
          <w:w w:val="110"/>
        </w:rPr>
        <w:t> </w:t>
      </w:r>
      <w:r>
        <w:rPr>
          <w:w w:val="110"/>
        </w:rPr>
        <w:t>whole-economy</w:t>
      </w:r>
      <w:r>
        <w:rPr>
          <w:spacing w:val="-37"/>
          <w:w w:val="110"/>
        </w:rPr>
        <w:t> </w:t>
      </w:r>
      <w:r>
        <w:rPr>
          <w:w w:val="110"/>
        </w:rPr>
        <w:t>AEI</w:t>
      </w:r>
      <w:r>
        <w:rPr>
          <w:spacing w:val="-37"/>
          <w:w w:val="110"/>
        </w:rPr>
        <w:t> </w:t>
      </w:r>
      <w:r>
        <w:rPr>
          <w:w w:val="110"/>
        </w:rPr>
        <w:t>growth.</w:t>
      </w:r>
      <w:r>
        <w:rPr>
          <w:spacing w:val="-20"/>
          <w:w w:val="110"/>
        </w:rPr>
        <w:t> </w:t>
      </w:r>
      <w:r>
        <w:rPr>
          <w:w w:val="110"/>
        </w:rPr>
        <w:t>Another</w:t>
      </w:r>
      <w:r>
        <w:rPr>
          <w:spacing w:val="-37"/>
          <w:w w:val="110"/>
        </w:rPr>
        <w:t> </w:t>
      </w:r>
      <w:r>
        <w:rPr>
          <w:spacing w:val="-4"/>
          <w:w w:val="110"/>
        </w:rPr>
        <w:t>way</w:t>
      </w:r>
      <w:r>
        <w:rPr>
          <w:spacing w:val="-37"/>
          <w:w w:val="110"/>
        </w:rPr>
        <w:t> </w:t>
      </w:r>
      <w:r>
        <w:rPr>
          <w:w w:val="110"/>
        </w:rPr>
        <w:t>of</w:t>
      </w:r>
      <w:r>
        <w:rPr>
          <w:spacing w:val="-38"/>
          <w:w w:val="110"/>
        </w:rPr>
        <w:t> </w:t>
      </w:r>
      <w:r>
        <w:rPr>
          <w:w w:val="110"/>
        </w:rPr>
        <w:t>examining</w:t>
      </w:r>
      <w:r>
        <w:rPr>
          <w:spacing w:val="-37"/>
          <w:w w:val="110"/>
        </w:rPr>
        <w:t> </w:t>
      </w:r>
      <w:r>
        <w:rPr>
          <w:spacing w:val="-3"/>
          <w:w w:val="110"/>
        </w:rPr>
        <w:t>pay </w:t>
      </w:r>
      <w:r>
        <w:rPr>
          <w:w w:val="110"/>
        </w:rPr>
        <w:t>developments is </w:t>
      </w:r>
      <w:r>
        <w:rPr>
          <w:spacing w:val="-4"/>
          <w:w w:val="110"/>
        </w:rPr>
        <w:t>to </w:t>
      </w:r>
      <w:r>
        <w:rPr>
          <w:w w:val="110"/>
        </w:rPr>
        <w:t>consider earnings per hour worked. Only indicative estimates are available as </w:t>
      </w:r>
      <w:r>
        <w:rPr>
          <w:spacing w:val="-3"/>
          <w:w w:val="110"/>
        </w:rPr>
        <w:t>average </w:t>
      </w:r>
      <w:r>
        <w:rPr>
          <w:w w:val="110"/>
        </w:rPr>
        <w:t>hours are measured imprecisely and the calculations do not adjust for compositional changes across different </w:t>
      </w:r>
      <w:r>
        <w:rPr>
          <w:spacing w:val="-3"/>
          <w:w w:val="110"/>
        </w:rPr>
        <w:t>sectors. </w:t>
      </w:r>
      <w:r>
        <w:rPr>
          <w:w w:val="110"/>
        </w:rPr>
        <w:t>Earnings on this</w:t>
      </w:r>
      <w:r>
        <w:rPr>
          <w:spacing w:val="-18"/>
          <w:w w:val="110"/>
        </w:rPr>
        <w:t> </w:t>
      </w:r>
      <w:r>
        <w:rPr>
          <w:w w:val="110"/>
        </w:rPr>
        <w:t>basis</w:t>
      </w:r>
      <w:r>
        <w:rPr>
          <w:spacing w:val="-17"/>
          <w:w w:val="110"/>
        </w:rPr>
        <w:t> </w:t>
      </w:r>
      <w:r>
        <w:rPr>
          <w:spacing w:val="-3"/>
          <w:w w:val="110"/>
        </w:rPr>
        <w:t>have</w:t>
      </w:r>
      <w:r>
        <w:rPr>
          <w:spacing w:val="-17"/>
          <w:w w:val="110"/>
        </w:rPr>
        <w:t> </w:t>
      </w:r>
      <w:r>
        <w:rPr>
          <w:w w:val="110"/>
        </w:rPr>
        <w:t>followed</w:t>
      </w:r>
      <w:r>
        <w:rPr>
          <w:spacing w:val="-17"/>
          <w:w w:val="110"/>
        </w:rPr>
        <w:t> </w:t>
      </w:r>
      <w:r>
        <w:rPr>
          <w:w w:val="110"/>
        </w:rPr>
        <w:t>a</w:t>
      </w:r>
      <w:r>
        <w:rPr>
          <w:spacing w:val="-17"/>
          <w:w w:val="110"/>
        </w:rPr>
        <w:t> </w:t>
      </w:r>
      <w:r>
        <w:rPr>
          <w:w w:val="110"/>
        </w:rPr>
        <w:t>similar</w:t>
      </w:r>
      <w:r>
        <w:rPr>
          <w:spacing w:val="-17"/>
          <w:w w:val="110"/>
        </w:rPr>
        <w:t> </w:t>
      </w:r>
      <w:r>
        <w:rPr>
          <w:w w:val="110"/>
        </w:rPr>
        <w:t>trend</w:t>
      </w:r>
      <w:r>
        <w:rPr>
          <w:spacing w:val="-17"/>
          <w:w w:val="110"/>
        </w:rPr>
        <w:t> </w:t>
      </w:r>
      <w:r>
        <w:rPr>
          <w:spacing w:val="-4"/>
          <w:w w:val="110"/>
        </w:rPr>
        <w:t>to</w:t>
      </w:r>
      <w:r>
        <w:rPr>
          <w:spacing w:val="-17"/>
          <w:w w:val="110"/>
        </w:rPr>
        <w:t> </w:t>
      </w:r>
      <w:r>
        <w:rPr>
          <w:w w:val="110"/>
        </w:rPr>
        <w:t>other</w:t>
      </w:r>
      <w:r>
        <w:rPr>
          <w:spacing w:val="-18"/>
          <w:w w:val="110"/>
        </w:rPr>
        <w:t> </w:t>
      </w:r>
      <w:r>
        <w:rPr>
          <w:w w:val="110"/>
        </w:rPr>
        <w:t>indicators,</w:t>
      </w:r>
      <w:r>
        <w:rPr>
          <w:spacing w:val="-17"/>
          <w:w w:val="110"/>
        </w:rPr>
        <w:t> </w:t>
      </w:r>
      <w:r>
        <w:rPr>
          <w:w w:val="110"/>
        </w:rPr>
        <w:t>but </w:t>
      </w:r>
      <w:r>
        <w:rPr>
          <w:spacing w:val="-3"/>
          <w:w w:val="110"/>
        </w:rPr>
        <w:t>have </w:t>
      </w:r>
      <w:r>
        <w:rPr>
          <w:w w:val="110"/>
        </w:rPr>
        <w:t>risen much </w:t>
      </w:r>
      <w:r>
        <w:rPr>
          <w:spacing w:val="-3"/>
          <w:w w:val="110"/>
        </w:rPr>
        <w:t>faster over </w:t>
      </w:r>
      <w:r>
        <w:rPr>
          <w:w w:val="110"/>
        </w:rPr>
        <w:t>the past </w:t>
      </w:r>
      <w:r>
        <w:rPr>
          <w:spacing w:val="-5"/>
          <w:w w:val="110"/>
        </w:rPr>
        <w:t>two </w:t>
      </w:r>
      <w:r>
        <w:rPr>
          <w:spacing w:val="-3"/>
          <w:w w:val="110"/>
        </w:rPr>
        <w:t>years, </w:t>
      </w:r>
      <w:r>
        <w:rPr>
          <w:w w:val="110"/>
        </w:rPr>
        <w:t>due </w:t>
      </w:r>
      <w:r>
        <w:rPr>
          <w:spacing w:val="-4"/>
          <w:w w:val="110"/>
        </w:rPr>
        <w:t>to </w:t>
      </w:r>
      <w:r>
        <w:rPr>
          <w:w w:val="110"/>
        </w:rPr>
        <w:t>a fall in </w:t>
      </w:r>
      <w:r>
        <w:rPr>
          <w:spacing w:val="-3"/>
          <w:w w:val="110"/>
        </w:rPr>
        <w:t>average</w:t>
      </w:r>
      <w:r>
        <w:rPr>
          <w:spacing w:val="-21"/>
          <w:w w:val="110"/>
        </w:rPr>
        <w:t> </w:t>
      </w:r>
      <w:r>
        <w:rPr>
          <w:w w:val="110"/>
        </w:rPr>
        <w:t>hours</w:t>
      </w:r>
      <w:r>
        <w:rPr>
          <w:spacing w:val="-20"/>
          <w:w w:val="110"/>
        </w:rPr>
        <w:t> </w:t>
      </w:r>
      <w:r>
        <w:rPr>
          <w:spacing w:val="-3"/>
          <w:w w:val="110"/>
        </w:rPr>
        <w:t>worked</w:t>
      </w:r>
      <w:r>
        <w:rPr>
          <w:spacing w:val="-20"/>
          <w:w w:val="110"/>
        </w:rPr>
        <w:t> </w:t>
      </w:r>
      <w:r>
        <w:rPr>
          <w:w w:val="110"/>
        </w:rPr>
        <w:t>(see</w:t>
      </w:r>
      <w:r>
        <w:rPr>
          <w:spacing w:val="-20"/>
          <w:w w:val="110"/>
        </w:rPr>
        <w:t> </w:t>
      </w:r>
      <w:r>
        <w:rPr>
          <w:w w:val="110"/>
        </w:rPr>
        <w:t>Chart</w:t>
      </w:r>
      <w:r>
        <w:rPr>
          <w:spacing w:val="-20"/>
          <w:w w:val="110"/>
        </w:rPr>
        <w:t> </w:t>
      </w:r>
      <w:r>
        <w:rPr>
          <w:spacing w:val="-9"/>
          <w:w w:val="110"/>
        </w:rPr>
        <w:t>3.11).</w:t>
      </w:r>
      <w:r>
        <w:rPr>
          <w:spacing w:val="15"/>
          <w:w w:val="110"/>
        </w:rPr>
        <w:t> </w:t>
      </w:r>
      <w:r>
        <w:rPr>
          <w:spacing w:val="-4"/>
          <w:w w:val="110"/>
        </w:rPr>
        <w:t>However,</w:t>
      </w:r>
      <w:r>
        <w:rPr>
          <w:spacing w:val="-20"/>
          <w:w w:val="110"/>
        </w:rPr>
        <w:t> </w:t>
      </w:r>
      <w:r>
        <w:rPr>
          <w:w w:val="110"/>
        </w:rPr>
        <w:t>this</w:t>
      </w:r>
      <w:r>
        <w:rPr>
          <w:spacing w:val="-20"/>
          <w:w w:val="110"/>
        </w:rPr>
        <w:t> </w:t>
      </w:r>
      <w:r>
        <w:rPr>
          <w:w w:val="110"/>
        </w:rPr>
        <w:t>measure</w:t>
      </w:r>
    </w:p>
    <w:p>
      <w:pPr>
        <w:spacing w:after="0" w:line="292" w:lineRule="auto"/>
        <w:sectPr>
          <w:type w:val="continuous"/>
          <w:pgSz w:w="11900" w:h="16840"/>
          <w:pgMar w:top="1260" w:bottom="280" w:left="640" w:right="640"/>
          <w:cols w:num="4" w:equalWidth="0">
            <w:col w:w="1619" w:space="40"/>
            <w:col w:w="1346" w:space="39"/>
            <w:col w:w="620" w:space="976"/>
            <w:col w:w="5980"/>
          </w:cols>
        </w:sectPr>
      </w:pPr>
    </w:p>
    <w:p>
      <w:pPr>
        <w:tabs>
          <w:tab w:pos="1404" w:val="left" w:leader="none"/>
          <w:tab w:pos="2139" w:val="left" w:leader="none"/>
          <w:tab w:pos="2831" w:val="left" w:leader="none"/>
        </w:tabs>
        <w:spacing w:line="115" w:lineRule="exact" w:before="0"/>
        <w:ind w:left="581" w:right="0" w:firstLine="0"/>
        <w:jc w:val="left"/>
        <w:rPr>
          <w:sz w:val="12"/>
        </w:rPr>
      </w:pPr>
      <w:r>
        <w:rPr>
          <w:w w:val="120"/>
          <w:sz w:val="12"/>
        </w:rPr>
        <w:t>1997</w:t>
        <w:tab/>
        <w:t>98</w:t>
        <w:tab/>
        <w:t>99</w:t>
        <w:tab/>
        <w:t>2000</w:t>
      </w:r>
    </w:p>
    <w:p>
      <w:pPr>
        <w:pStyle w:val="BodyText"/>
        <w:rPr>
          <w:sz w:val="12"/>
        </w:rPr>
      </w:pPr>
    </w:p>
    <w:p>
      <w:pPr>
        <w:spacing w:line="208" w:lineRule="auto" w:before="71"/>
        <w:ind w:left="669" w:right="38" w:hanging="511"/>
        <w:jc w:val="both"/>
        <w:rPr>
          <w:sz w:val="12"/>
        </w:rPr>
      </w:pPr>
      <w:r>
        <w:rPr>
          <w:w w:val="105"/>
          <w:sz w:val="12"/>
        </w:rPr>
        <w:t>Sources: ONS, CBI, Incomes Data Services, Industrial Relations Services, Labour Research Department and the Bank’s regional Agents.</w:t>
      </w:r>
    </w:p>
    <w:p>
      <w:pPr>
        <w:spacing w:before="105"/>
        <w:ind w:left="159" w:right="0" w:firstLine="0"/>
        <w:jc w:val="left"/>
        <w:rPr>
          <w:sz w:val="12"/>
        </w:rPr>
      </w:pPr>
      <w:r>
        <w:rPr>
          <w:w w:val="105"/>
          <w:sz w:val="12"/>
        </w:rPr>
        <w:t>(a) Bank estimate.</w:t>
      </w:r>
    </w:p>
    <w:p>
      <w:pPr>
        <w:pStyle w:val="BodyText"/>
        <w:spacing w:line="212" w:lineRule="exact"/>
        <w:ind w:left="159"/>
      </w:pPr>
      <w:r>
        <w:rPr/>
        <w:br w:type="column"/>
      </w:r>
      <w:r>
        <w:rPr>
          <w:w w:val="110"/>
        </w:rPr>
        <w:t>will have been erratically high in recent months, relative to the</w:t>
      </w:r>
    </w:p>
    <w:p>
      <w:pPr>
        <w:pStyle w:val="BodyText"/>
        <w:spacing w:line="292" w:lineRule="auto" w:before="50"/>
        <w:ind w:left="159" w:right="142"/>
      </w:pPr>
      <w:r>
        <w:rPr>
          <w:w w:val="110"/>
        </w:rPr>
        <w:t>AEI, if fuel supply and weather-related disruptions in the autumn of 2000 depressed average hours without an equivalent loss in pay. Other evidence on pay from the latest REC survey, which covers the segment of the market using recruitment and placement agencies, indicated that growth in salaries for permanent and temporary workers edged down further in recent months, although rates of increase remain relatively rapid.</w:t>
      </w:r>
    </w:p>
    <w:p>
      <w:pPr>
        <w:pStyle w:val="BodyText"/>
        <w:spacing w:before="1"/>
        <w:rPr>
          <w:sz w:val="29"/>
        </w:rPr>
      </w:pPr>
    </w:p>
    <w:p>
      <w:pPr>
        <w:pStyle w:val="BodyText"/>
        <w:spacing w:line="292" w:lineRule="auto" w:before="1"/>
        <w:ind w:left="159" w:right="151"/>
      </w:pPr>
      <w:r>
        <w:rPr>
          <w:w w:val="110"/>
        </w:rPr>
        <w:t>Remuneration methods vary widely across </w:t>
      </w:r>
      <w:r>
        <w:rPr>
          <w:spacing w:val="-3"/>
          <w:w w:val="110"/>
        </w:rPr>
        <w:t>employers. Many </w:t>
      </w:r>
      <w:r>
        <w:rPr>
          <w:w w:val="110"/>
        </w:rPr>
        <w:t>firms seek </w:t>
      </w:r>
      <w:r>
        <w:rPr>
          <w:spacing w:val="-4"/>
          <w:w w:val="110"/>
        </w:rPr>
        <w:t>to </w:t>
      </w:r>
      <w:r>
        <w:rPr>
          <w:w w:val="110"/>
        </w:rPr>
        <w:t>recruit, </w:t>
      </w:r>
      <w:r>
        <w:rPr>
          <w:spacing w:val="-3"/>
          <w:w w:val="110"/>
        </w:rPr>
        <w:t>reward, </w:t>
      </w:r>
      <w:r>
        <w:rPr>
          <w:w w:val="110"/>
        </w:rPr>
        <w:t>motivate and retain staff using performance-related </w:t>
      </w:r>
      <w:r>
        <w:rPr>
          <w:spacing w:val="-6"/>
          <w:w w:val="110"/>
        </w:rPr>
        <w:t>pay, </w:t>
      </w:r>
      <w:r>
        <w:rPr>
          <w:w w:val="110"/>
        </w:rPr>
        <w:t>such as bonuses or other merit awards, which tend </w:t>
      </w:r>
      <w:r>
        <w:rPr>
          <w:spacing w:val="-4"/>
          <w:w w:val="110"/>
        </w:rPr>
        <w:t>to </w:t>
      </w:r>
      <w:r>
        <w:rPr>
          <w:w w:val="110"/>
        </w:rPr>
        <w:t>be reflected in the difference </w:t>
      </w:r>
      <w:r>
        <w:rPr>
          <w:spacing w:val="-3"/>
          <w:w w:val="110"/>
        </w:rPr>
        <w:t>between </w:t>
      </w:r>
      <w:r>
        <w:rPr>
          <w:w w:val="110"/>
        </w:rPr>
        <w:t>basic</w:t>
      </w:r>
      <w:r>
        <w:rPr>
          <w:spacing w:val="-30"/>
          <w:w w:val="110"/>
        </w:rPr>
        <w:t> </w:t>
      </w:r>
      <w:r>
        <w:rPr>
          <w:w w:val="110"/>
        </w:rPr>
        <w:t>wage</w:t>
      </w:r>
      <w:r>
        <w:rPr>
          <w:spacing w:val="-30"/>
          <w:w w:val="110"/>
        </w:rPr>
        <w:t> </w:t>
      </w:r>
      <w:r>
        <w:rPr>
          <w:w w:val="110"/>
        </w:rPr>
        <w:t>settlements</w:t>
      </w:r>
      <w:r>
        <w:rPr>
          <w:spacing w:val="-30"/>
          <w:w w:val="110"/>
        </w:rPr>
        <w:t> </w:t>
      </w:r>
      <w:r>
        <w:rPr>
          <w:w w:val="110"/>
        </w:rPr>
        <w:t>and</w:t>
      </w:r>
      <w:r>
        <w:rPr>
          <w:spacing w:val="-30"/>
          <w:w w:val="110"/>
        </w:rPr>
        <w:t> </w:t>
      </w:r>
      <w:r>
        <w:rPr>
          <w:w w:val="110"/>
        </w:rPr>
        <w:t>AEI</w:t>
      </w:r>
      <w:r>
        <w:rPr>
          <w:spacing w:val="-30"/>
          <w:w w:val="110"/>
        </w:rPr>
        <w:t> </w:t>
      </w:r>
      <w:r>
        <w:rPr>
          <w:w w:val="110"/>
        </w:rPr>
        <w:t>growth.</w:t>
      </w:r>
      <w:r>
        <w:rPr>
          <w:spacing w:val="-5"/>
          <w:w w:val="110"/>
        </w:rPr>
        <w:t> </w:t>
      </w:r>
      <w:r>
        <w:rPr>
          <w:w w:val="110"/>
        </w:rPr>
        <w:t>In</w:t>
      </w:r>
      <w:r>
        <w:rPr>
          <w:spacing w:val="-30"/>
          <w:w w:val="110"/>
        </w:rPr>
        <w:t> </w:t>
      </w:r>
      <w:r>
        <w:rPr>
          <w:w w:val="110"/>
        </w:rPr>
        <w:t>addition,</w:t>
      </w:r>
      <w:r>
        <w:rPr>
          <w:spacing w:val="-30"/>
          <w:w w:val="110"/>
        </w:rPr>
        <w:t> </w:t>
      </w:r>
      <w:r>
        <w:rPr>
          <w:w w:val="110"/>
        </w:rPr>
        <w:t>the</w:t>
      </w:r>
      <w:r>
        <w:rPr>
          <w:spacing w:val="-30"/>
          <w:w w:val="110"/>
        </w:rPr>
        <w:t> </w:t>
      </w:r>
      <w:r>
        <w:rPr>
          <w:spacing w:val="-3"/>
          <w:w w:val="110"/>
        </w:rPr>
        <w:t>Bank’s </w:t>
      </w:r>
      <w:r>
        <w:rPr>
          <w:w w:val="110"/>
        </w:rPr>
        <w:t>regional Agents have recently noted greater use of means of retaining</w:t>
      </w:r>
      <w:r>
        <w:rPr>
          <w:spacing w:val="-9"/>
          <w:w w:val="110"/>
        </w:rPr>
        <w:t> </w:t>
      </w:r>
      <w:r>
        <w:rPr>
          <w:w w:val="110"/>
        </w:rPr>
        <w:t>and</w:t>
      </w:r>
      <w:r>
        <w:rPr>
          <w:spacing w:val="-8"/>
          <w:w w:val="110"/>
        </w:rPr>
        <w:t> </w:t>
      </w:r>
      <w:r>
        <w:rPr>
          <w:w w:val="110"/>
        </w:rPr>
        <w:t>recruiting</w:t>
      </w:r>
      <w:r>
        <w:rPr>
          <w:spacing w:val="-9"/>
          <w:w w:val="110"/>
        </w:rPr>
        <w:t> </w:t>
      </w:r>
      <w:r>
        <w:rPr>
          <w:spacing w:val="-3"/>
          <w:w w:val="110"/>
        </w:rPr>
        <w:t>workers</w:t>
      </w:r>
      <w:r>
        <w:rPr>
          <w:spacing w:val="-8"/>
          <w:w w:val="110"/>
        </w:rPr>
        <w:t> </w:t>
      </w:r>
      <w:r>
        <w:rPr>
          <w:w w:val="110"/>
        </w:rPr>
        <w:t>that</w:t>
      </w:r>
      <w:r>
        <w:rPr>
          <w:spacing w:val="-9"/>
          <w:w w:val="110"/>
        </w:rPr>
        <w:t> </w:t>
      </w:r>
      <w:r>
        <w:rPr>
          <w:w w:val="110"/>
        </w:rPr>
        <w:t>are</w:t>
      </w:r>
      <w:r>
        <w:rPr>
          <w:spacing w:val="-8"/>
          <w:w w:val="110"/>
        </w:rPr>
        <w:t> </w:t>
      </w:r>
      <w:r>
        <w:rPr>
          <w:w w:val="110"/>
        </w:rPr>
        <w:t>not</w:t>
      </w:r>
      <w:r>
        <w:rPr>
          <w:spacing w:val="-9"/>
          <w:w w:val="110"/>
        </w:rPr>
        <w:t> </w:t>
      </w:r>
      <w:r>
        <w:rPr>
          <w:w w:val="110"/>
        </w:rPr>
        <w:t>generally</w:t>
      </w:r>
    </w:p>
    <w:p>
      <w:pPr>
        <w:spacing w:after="0" w:line="292" w:lineRule="auto"/>
        <w:sectPr>
          <w:type w:val="continuous"/>
          <w:pgSz w:w="11900" w:h="16840"/>
          <w:pgMar w:top="1260" w:bottom="280" w:left="640" w:right="640"/>
          <w:cols w:num="2" w:equalWidth="0">
            <w:col w:w="3471" w:space="1464"/>
            <w:col w:w="5685"/>
          </w:cols>
        </w:sectPr>
      </w:pPr>
    </w:p>
    <w:p>
      <w:pPr>
        <w:pStyle w:val="BodyText"/>
      </w:pPr>
    </w:p>
    <w:p>
      <w:pPr>
        <w:pStyle w:val="BodyText"/>
      </w:pPr>
    </w:p>
    <w:p>
      <w:pPr>
        <w:pStyle w:val="BodyText"/>
        <w:spacing w:line="292" w:lineRule="auto"/>
        <w:ind w:left="5104"/>
      </w:pPr>
      <w:r>
        <w:rPr>
          <w:w w:val="110"/>
        </w:rPr>
        <w:t>captured in the AEI, such as adjustments </w:t>
      </w:r>
      <w:r>
        <w:rPr>
          <w:spacing w:val="-4"/>
          <w:w w:val="110"/>
        </w:rPr>
        <w:t>to </w:t>
      </w:r>
      <w:r>
        <w:rPr>
          <w:w w:val="110"/>
        </w:rPr>
        <w:t>benefit entitlements,</w:t>
      </w:r>
      <w:r>
        <w:rPr>
          <w:spacing w:val="-28"/>
          <w:w w:val="110"/>
        </w:rPr>
        <w:t> </w:t>
      </w:r>
      <w:r>
        <w:rPr>
          <w:w w:val="110"/>
        </w:rPr>
        <w:t>employment</w:t>
      </w:r>
      <w:r>
        <w:rPr>
          <w:spacing w:val="-27"/>
          <w:w w:val="110"/>
        </w:rPr>
        <w:t> </w:t>
      </w:r>
      <w:r>
        <w:rPr>
          <w:w w:val="110"/>
        </w:rPr>
        <w:t>conditions</w:t>
      </w:r>
      <w:r>
        <w:rPr>
          <w:spacing w:val="-27"/>
          <w:w w:val="110"/>
        </w:rPr>
        <w:t> </w:t>
      </w:r>
      <w:r>
        <w:rPr>
          <w:w w:val="110"/>
        </w:rPr>
        <w:t>or</w:t>
      </w:r>
      <w:r>
        <w:rPr>
          <w:spacing w:val="-27"/>
          <w:w w:val="110"/>
        </w:rPr>
        <w:t> </w:t>
      </w:r>
      <w:r>
        <w:rPr>
          <w:spacing w:val="-3"/>
          <w:w w:val="110"/>
        </w:rPr>
        <w:t>flexibility</w:t>
      </w:r>
      <w:r>
        <w:rPr>
          <w:spacing w:val="-27"/>
          <w:w w:val="110"/>
        </w:rPr>
        <w:t> </w:t>
      </w:r>
      <w:r>
        <w:rPr>
          <w:w w:val="110"/>
        </w:rPr>
        <w:t>in</w:t>
      </w:r>
      <w:r>
        <w:rPr>
          <w:spacing w:val="-27"/>
          <w:w w:val="110"/>
        </w:rPr>
        <w:t> </w:t>
      </w:r>
      <w:r>
        <w:rPr>
          <w:w w:val="110"/>
        </w:rPr>
        <w:t>hours.</w:t>
      </w:r>
    </w:p>
    <w:p>
      <w:pPr>
        <w:pStyle w:val="BodyText"/>
        <w:spacing w:before="5"/>
        <w:rPr>
          <w:sz w:val="22"/>
        </w:rPr>
      </w:pPr>
    </w:p>
    <w:p>
      <w:pPr>
        <w:spacing w:after="0"/>
        <w:rPr>
          <w:sz w:val="22"/>
        </w:rPr>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
        <w:rPr>
          <w:sz w:val="26"/>
        </w:rPr>
      </w:pPr>
    </w:p>
    <w:p>
      <w:pPr>
        <w:pStyle w:val="Heading6"/>
        <w:ind w:left="175"/>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3.12</w:t>
      </w:r>
    </w:p>
    <w:p>
      <w:pPr>
        <w:spacing w:line="247" w:lineRule="auto" w:before="8"/>
        <w:ind w:left="175" w:right="-14" w:firstLine="0"/>
        <w:jc w:val="left"/>
        <w:rPr>
          <w:rFonts w:ascii="Trebuchet MS"/>
          <w:b/>
          <w:sz w:val="20"/>
        </w:rPr>
      </w:pPr>
      <w:r>
        <w:rPr/>
        <w:pict>
          <v:group style="position:absolute;margin-left:50.549999pt;margin-top:59.558617pt;width:152.35pt;height:36pt;mso-position-horizontal-relative:page;mso-position-vertical-relative:paragraph;z-index:16214528" coordorigin="1011,1191" coordsize="3047,720">
            <v:shape style="position:absolute;left:1021;top:1201;width:2888;height:660" coordorigin="1021,1201" coordsize="2888,660" path="m1021,1289l1216,1246m1216,1246l1411,1334m1411,1334l1593,1786m1593,1786l1788,1699m1788,1699l1983,1774m1983,1774l2178,1861m2178,1861l2373,1581m2373,1581l2556,1376m2556,1376l2751,1201m2751,1201l2946,1304m2946,1304l3141,1216m3141,1216l3336,1259m3336,1259l3521,1231m3521,1231l3713,1391m3713,1391l3908,1304e" filled="false" stroked="true" strokeweight="1pt" strokecolor="#00a2a0">
              <v:path arrowok="t"/>
              <v:stroke dashstyle="solid"/>
            </v:shape>
            <v:shape style="position:absolute;left:3971;top:1321;width:87;height:585" coordorigin="3971,1321" coordsize="87,585" path="m3971,1321l4058,1321m3971,1614l4058,1614m3971,1906l4058,1906e" filled="false" stroked="true" strokeweight=".5pt" strokecolor="#000000">
              <v:path arrowok="t"/>
              <v:stroke dashstyle="solid"/>
            </v:shape>
            <v:shape style="position:absolute;left:2537;top:1470;width:700;height:121" type="#_x0000_t202" filled="false" stroked="false">
              <v:textbox inset="0,0,0,0">
                <w:txbxContent>
                  <w:p>
                    <w:pPr>
                      <w:spacing w:line="115" w:lineRule="exact" w:before="0"/>
                      <w:ind w:left="0" w:right="0" w:firstLine="0"/>
                      <w:jc w:val="left"/>
                      <w:rPr>
                        <w:sz w:val="12"/>
                      </w:rPr>
                    </w:pPr>
                    <w:r>
                      <w:rPr>
                        <w:w w:val="105"/>
                        <w:sz w:val="12"/>
                      </w:rPr>
                      <w:t>Less than 4%</w:t>
                    </w:r>
                  </w:p>
                </w:txbxContent>
              </v:textbox>
              <w10:wrap type="none"/>
            </v:shape>
            <w10:wrap type="none"/>
          </v:group>
        </w:pict>
      </w:r>
      <w:r>
        <w:rPr/>
        <w:pict>
          <v:group style="position:absolute;margin-left:50.549999pt;margin-top:29.021397pt;width:152.9pt;height:24.2pt;mso-position-horizontal-relative:page;mso-position-vertical-relative:paragraph;z-index:16216064" coordorigin="1011,580" coordsize="3058,484">
            <v:line style="position:absolute" from="1011,909" to="1421,909" stroked="true" strokeweight="2.5pt" strokecolor="#0099d9">
              <v:stroke dashstyle="solid"/>
            </v:line>
            <v:line style="position:absolute" from="1411,924" to="1593,981" stroked="true" strokeweight="1pt" strokecolor="#0099d9">
              <v:stroke dashstyle="solid"/>
            </v:line>
            <v:line style="position:absolute" from="1583,982" to="1798,982" stroked="true" strokeweight="1.125pt" strokecolor="#0099d9">
              <v:stroke dashstyle="solid"/>
            </v:line>
            <v:shape style="position:absolute;left:1788;top:893;width:768;height:148" coordorigin="1788,894" coordsize="768,148" path="m1788,981l2178,1041m2178,1041l2373,894m2373,894l2556,924e" filled="false" stroked="true" strokeweight="1pt" strokecolor="#0099d9">
              <v:path arrowok="t"/>
              <v:stroke dashstyle="solid"/>
            </v:shape>
            <v:line style="position:absolute" from="2546,925" to="2761,925" stroked="true" strokeweight="1.125pt" strokecolor="#0099d9">
              <v:stroke dashstyle="solid"/>
            </v:line>
            <v:line style="position:absolute" from="2751,924" to="2946,951" stroked="true" strokeweight="1pt" strokecolor="#0099d9">
              <v:stroke dashstyle="solid"/>
            </v:line>
            <v:line style="position:absolute" from="2936,945" to="3151,945" stroked="true" strokeweight="1.625pt" strokecolor="#0099d9">
              <v:stroke dashstyle="solid"/>
            </v:line>
            <v:shape style="position:absolute;left:3131;top:939;width:400;height:2" coordorigin="3131,940" coordsize="400,0" path="m3131,940l3346,940m3326,940l3531,940e" filled="false" stroked="true" strokeweight="1.125pt" strokecolor="#0099d9">
              <v:path arrowok="t"/>
              <v:stroke dashstyle="solid"/>
            </v:shape>
            <v:shape style="position:absolute;left:3521;top:938;width:388;height:115" coordorigin="3521,939" coordsize="388,115" path="m3521,939l3713,1054m3713,1054l3908,1026e" filled="false" stroked="true" strokeweight="1pt" strokecolor="#0099d9">
              <v:path arrowok="t"/>
              <v:stroke dashstyle="solid"/>
            </v:shape>
            <v:shape style="position:absolute;left:1411;top:806;width:573;height:73" coordorigin="1411,806" coordsize="573,73" path="m1411,806l1593,864m1593,864l1788,821m1788,821l1983,879e" filled="false" stroked="true" strokeweight="1pt" strokecolor="#f6bd61">
              <v:path arrowok="t"/>
              <v:stroke dashstyle="solid"/>
            </v:shape>
            <v:line style="position:absolute" from="1973,871" to="2188,871" stroked="true" strokeweight="1.75pt" strokecolor="#f6bd61">
              <v:stroke dashstyle="solid"/>
            </v:line>
            <v:line style="position:absolute" from="2178,864" to="2373,791" stroked="true" strokeweight="1pt" strokecolor="#f6bd61">
              <v:stroke dashstyle="solid"/>
            </v:line>
            <v:shape style="position:absolute;left:2363;top:798;width:398;height:15" coordorigin="2363,799" coordsize="398,15" path="m2363,799l2566,799m2546,814l2761,814e" filled="false" stroked="true" strokeweight="1.75pt" strokecolor="#f6bd61">
              <v:path arrowok="t"/>
              <v:stroke dashstyle="solid"/>
            </v:shape>
            <v:line style="position:absolute" from="2751,821" to="2946,849" stroked="true" strokeweight="1pt" strokecolor="#f6bd61">
              <v:stroke dashstyle="solid"/>
            </v:line>
            <v:line style="position:absolute" from="2936,842" to="3151,842" stroked="true" strokeweight="1.625pt" strokecolor="#f6bd61">
              <v:stroke dashstyle="solid"/>
            </v:line>
            <v:shape style="position:absolute;left:3141;top:806;width:573;height:43" coordorigin="3141,806" coordsize="573,43" path="m3141,836l3336,806m3521,806l3713,849e" filled="false" stroked="true" strokeweight="1pt" strokecolor="#f6bd61">
              <v:path arrowok="t"/>
              <v:stroke dashstyle="solid"/>
            </v:shape>
            <v:line style="position:absolute" from="3703,856" to="3918,856" stroked="true" strokeweight="1.75pt" strokecolor="#f6bd61">
              <v:stroke dashstyle="solid"/>
            </v:line>
            <v:shape style="position:absolute;left:3971;top:748;width:87;height:295" coordorigin="3971,749" coordsize="87,295" path="m3971,1044l4058,1044m3971,749l4058,749e" filled="false" stroked="true" strokeweight=".5pt" strokecolor="#000000">
              <v:path arrowok="t"/>
              <v:stroke dashstyle="solid"/>
            </v:shape>
            <v:shape style="position:absolute;left:1011;top:685;width:1250;height:139" type="#_x0000_t202" filled="false" stroked="false">
              <v:textbox inset="0,0,0,0">
                <w:txbxContent>
                  <w:p>
                    <w:pPr>
                      <w:tabs>
                        <w:tab w:pos="409" w:val="left" w:leader="none"/>
                      </w:tabs>
                      <w:spacing w:line="133" w:lineRule="exact" w:before="0"/>
                      <w:ind w:left="0" w:right="0" w:firstLine="0"/>
                      <w:jc w:val="left"/>
                      <w:rPr>
                        <w:sz w:val="12"/>
                      </w:rPr>
                    </w:pPr>
                    <w:r>
                      <w:rPr>
                        <w:sz w:val="12"/>
                        <w:u w:val="thick" w:color="F6BD61"/>
                      </w:rPr>
                      <w:t> </w:t>
                      <w:tab/>
                    </w:r>
                    <w:r>
                      <w:rPr>
                        <w:sz w:val="12"/>
                      </w:rPr>
                      <w:t>    </w:t>
                    </w:r>
                    <w:r>
                      <w:rPr>
                        <w:spacing w:val="-10"/>
                        <w:sz w:val="12"/>
                      </w:rPr>
                      <w:t> </w:t>
                    </w:r>
                    <w:r>
                      <w:rPr>
                        <w:w w:val="105"/>
                        <w:sz w:val="12"/>
                      </w:rPr>
                      <w:t>Less than</w:t>
                    </w:r>
                    <w:r>
                      <w:rPr>
                        <w:spacing w:val="-1"/>
                        <w:w w:val="105"/>
                        <w:sz w:val="12"/>
                      </w:rPr>
                      <w:t> </w:t>
                    </w:r>
                    <w:r>
                      <w:rPr>
                        <w:w w:val="105"/>
                        <w:sz w:val="12"/>
                      </w:rPr>
                      <w:t>6%</w:t>
                    </w:r>
                  </w:p>
                </w:txbxContent>
              </v:textbox>
              <w10:wrap type="none"/>
            </v:shape>
            <v:shape style="position:absolute;left:2713;top:580;width:1355;height:238" type="#_x0000_t202" filled="false" stroked="false">
              <v:textbox inset="0,0,0,0">
                <w:txbxContent>
                  <w:p>
                    <w:pPr>
                      <w:spacing w:line="107" w:lineRule="exact" w:before="0"/>
                      <w:ind w:left="0" w:right="18" w:firstLine="0"/>
                      <w:jc w:val="center"/>
                      <w:rPr>
                        <w:sz w:val="12"/>
                      </w:rPr>
                    </w:pPr>
                    <w:r>
                      <w:rPr>
                        <w:w w:val="110"/>
                        <w:sz w:val="12"/>
                      </w:rPr>
                      <w:t>Per</w:t>
                    </w:r>
                    <w:r>
                      <w:rPr>
                        <w:spacing w:val="-12"/>
                        <w:w w:val="110"/>
                        <w:sz w:val="12"/>
                      </w:rPr>
                      <w:t> </w:t>
                    </w:r>
                    <w:r>
                      <w:rPr>
                        <w:w w:val="110"/>
                        <w:sz w:val="12"/>
                      </w:rPr>
                      <w:t>cent</w:t>
                    </w:r>
                    <w:r>
                      <w:rPr>
                        <w:spacing w:val="-11"/>
                        <w:w w:val="110"/>
                        <w:sz w:val="12"/>
                      </w:rPr>
                      <w:t> </w:t>
                    </w:r>
                    <w:r>
                      <w:rPr>
                        <w:w w:val="110"/>
                        <w:sz w:val="12"/>
                      </w:rPr>
                      <w:t>of</w:t>
                    </w:r>
                    <w:r>
                      <w:rPr>
                        <w:spacing w:val="-11"/>
                        <w:w w:val="110"/>
                        <w:sz w:val="12"/>
                      </w:rPr>
                      <w:t> </w:t>
                    </w:r>
                    <w:r>
                      <w:rPr>
                        <w:w w:val="110"/>
                        <w:sz w:val="12"/>
                      </w:rPr>
                      <w:t>all</w:t>
                    </w:r>
                    <w:r>
                      <w:rPr>
                        <w:spacing w:val="-11"/>
                        <w:w w:val="110"/>
                        <w:sz w:val="12"/>
                      </w:rPr>
                      <w:t> </w:t>
                    </w:r>
                    <w:r>
                      <w:rPr>
                        <w:w w:val="110"/>
                        <w:sz w:val="12"/>
                      </w:rPr>
                      <w:t>settlements</w:t>
                    </w:r>
                  </w:p>
                  <w:p>
                    <w:pPr>
                      <w:spacing w:line="130" w:lineRule="exact" w:before="0"/>
                      <w:ind w:left="74" w:right="0" w:firstLine="0"/>
                      <w:jc w:val="center"/>
                      <w:rPr>
                        <w:sz w:val="12"/>
                      </w:rPr>
                    </w:pPr>
                    <w:r>
                      <w:rPr>
                        <w:sz w:val="12"/>
                        <w:u w:val="thick" w:color="F6BD61"/>
                      </w:rPr>
                      <w:t> </w:t>
                    </w:r>
                    <w:r>
                      <w:rPr>
                        <w:spacing w:val="-5"/>
                        <w:sz w:val="12"/>
                        <w:u w:val="thick" w:color="F6BD61"/>
                      </w:rPr>
                      <w:t> </w:t>
                    </w:r>
                  </w:p>
                </w:txbxContent>
              </v:textbox>
              <w10:wrap type="none"/>
            </v:shape>
            <w10:wrap type="none"/>
          </v:group>
        </w:pict>
      </w:r>
      <w:r>
        <w:rPr>
          <w:rFonts w:ascii="Trebuchet MS"/>
          <w:b/>
          <w:color w:val="89C6DC"/>
          <w:w w:val="90"/>
          <w:sz w:val="20"/>
        </w:rPr>
        <w:t>Distribution of settlements over the </w:t>
      </w:r>
      <w:r>
        <w:rPr>
          <w:rFonts w:ascii="Trebuchet MS"/>
          <w:b/>
          <w:color w:val="89C6DC"/>
          <w:sz w:val="20"/>
        </w:rPr>
        <w:t>past three months</w:t>
      </w:r>
    </w:p>
    <w:p>
      <w:pPr>
        <w:pStyle w:val="BodyText"/>
        <w:spacing w:before="9"/>
        <w:rPr>
          <w:rFonts w:ascii="Trebuchet MS"/>
          <w:b/>
          <w:sz w:val="18"/>
        </w:rPr>
      </w:pPr>
      <w:r>
        <w:rPr/>
        <w:pict>
          <v:shape style="position:absolute;margin-left:42.216999pt;margin-top:13.107813pt;width:4.350pt;height:.1pt;mso-position-horizontal-relative:page;mso-position-vertical-relative:paragraph;z-index:-15257600;mso-wrap-distance-left:0;mso-wrap-distance-right:0" coordorigin="844,262" coordsize="87,0" path="m844,262l931,262e" filled="false" stroked="true" strokeweight=".5pt" strokecolor="#000000">
            <v:path arrowok="t"/>
            <v:stroke dashstyle="solid"/>
            <w10:wrap type="topAndBottom"/>
          </v:shape>
        </w:pict>
      </w:r>
      <w:r>
        <w:rPr/>
        <w:pict>
          <v:shape style="position:absolute;margin-left:42.216999pt;margin-top:27.857813pt;width:4.350pt;height:.1pt;mso-position-horizontal-relative:page;mso-position-vertical-relative:paragraph;z-index:-15257088;mso-wrap-distance-left:0;mso-wrap-distance-right:0" coordorigin="844,557" coordsize="87,0" path="m844,557l931,557e" filled="false" stroked="true" strokeweight=".5pt" strokecolor="#000000">
            <v:path arrowok="t"/>
            <v:stroke dashstyle="solid"/>
            <w10:wrap type="topAndBottom"/>
          </v:shape>
        </w:pict>
      </w:r>
    </w:p>
    <w:p>
      <w:pPr>
        <w:pStyle w:val="BodyText"/>
        <w:spacing w:before="8"/>
        <w:rPr>
          <w:rFonts w:ascii="Trebuchet MS"/>
          <w:b/>
          <w:sz w:val="18"/>
        </w:rPr>
      </w:pPr>
    </w:p>
    <w:p>
      <w:pPr>
        <w:spacing w:before="0"/>
        <w:ind w:left="1150" w:right="1343" w:firstLine="0"/>
        <w:jc w:val="center"/>
        <w:rPr>
          <w:sz w:val="12"/>
        </w:rPr>
      </w:pPr>
      <w:r>
        <w:rPr>
          <w:w w:val="105"/>
          <w:sz w:val="12"/>
        </w:rPr>
        <w:t>Less than 5%</w:t>
      </w:r>
    </w:p>
    <w:p>
      <w:pPr>
        <w:pStyle w:val="BodyText"/>
        <w:spacing w:before="5"/>
        <w:rPr>
          <w:sz w:val="10"/>
        </w:rPr>
      </w:pPr>
    </w:p>
    <w:p>
      <w:pPr>
        <w:pStyle w:val="BodyText"/>
        <w:spacing w:line="20" w:lineRule="exact"/>
        <w:ind w:left="199"/>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4"/>
      </w:pPr>
      <w:r>
        <w:rPr/>
        <w:pict>
          <v:shape style="position:absolute;margin-left:42.216999pt;margin-top:13.918628pt;width:4.350pt;height:.1pt;mso-position-horizontal-relative:page;mso-position-vertical-relative:paragraph;z-index:-15256064;mso-wrap-distance-left:0;mso-wrap-distance-right:0" coordorigin="844,278" coordsize="87,0" path="m844,278l931,278e" filled="false" stroked="true" strokeweight=".5pt" strokecolor="#000000">
            <v:path arrowok="t"/>
            <v:stroke dashstyle="solid"/>
            <w10:wrap type="topAndBottom"/>
          </v:shape>
        </w:pict>
      </w:r>
      <w:r>
        <w:rPr/>
        <w:pict>
          <v:shape style="position:absolute;margin-left:42.216999pt;margin-top:28.543629pt;width:4.350pt;height:.1pt;mso-position-horizontal-relative:page;mso-position-vertical-relative:paragraph;z-index:-15255552;mso-wrap-distance-left:0;mso-wrap-distance-right:0" coordorigin="844,571" coordsize="87,0" path="m844,571l931,571e" filled="false" stroked="true" strokeweight=".5pt" strokecolor="#000000">
            <v:path arrowok="t"/>
            <v:stroke dashstyle="solid"/>
            <w10:wrap type="topAndBottom"/>
          </v:shape>
        </w:pict>
      </w:r>
      <w:r>
        <w:rPr/>
        <w:pict>
          <v:shape style="position:absolute;margin-left:42.216999pt;margin-top:42.543629pt;width:4.350pt;height:.1pt;mso-position-horizontal-relative:page;mso-position-vertical-relative:paragraph;z-index:-15255040;mso-wrap-distance-left:0;mso-wrap-distance-right:0" coordorigin="844,851" coordsize="87,0" path="m844,851l931,851e" filled="false" stroked="true" strokeweight=".5pt" strokecolor="#000000">
            <v:path arrowok="t"/>
            <v:stroke dashstyle="solid"/>
            <w10:wrap type="topAndBottom"/>
          </v:shape>
        </w:pict>
      </w:r>
      <w:r>
        <w:rPr/>
        <w:pict>
          <v:shape style="position:absolute;margin-left:42.216999pt;margin-top:57.168629pt;width:4.350pt;height:.1pt;mso-position-horizontal-relative:page;mso-position-vertical-relative:paragraph;z-index:-15254528;mso-wrap-distance-left:0;mso-wrap-distance-right:0" coordorigin="844,1143" coordsize="87,0" path="m844,1143l931,1143e" filled="false" stroked="true" strokeweight=".5pt" strokecolor="#000000">
            <v:path arrowok="t"/>
            <v:stroke dashstyle="solid"/>
            <w10:wrap type="topAndBottom"/>
          </v:shape>
        </w:pict>
      </w:r>
      <w:r>
        <w:rPr/>
        <w:pict>
          <v:shape style="position:absolute;margin-left:42.216999pt;margin-top:71.793625pt;width:4.350pt;height:.1pt;mso-position-horizontal-relative:page;mso-position-vertical-relative:paragraph;z-index:-15254016;mso-wrap-distance-left:0;mso-wrap-distance-right:0" coordorigin="844,1436" coordsize="87,0" path="m844,1436l931,1436e" filled="false" stroked="true" strokeweight=".5pt" strokecolor="#000000">
            <v:path arrowok="t"/>
            <v:stroke dashstyle="solid"/>
            <w10:wrap type="topAndBottom"/>
          </v:shape>
        </w:pict>
      </w:r>
      <w:r>
        <w:rPr/>
        <w:pict>
          <v:shape style="position:absolute;margin-left:42.216999pt;margin-top:86.418625pt;width:4.350pt;height:.1pt;mso-position-horizontal-relative:page;mso-position-vertical-relative:paragraph;z-index:-15253504;mso-wrap-distance-left:0;mso-wrap-distance-right:0" coordorigin="844,1728" coordsize="87,0" path="m844,1728l931,1728e" filled="false" stroked="true" strokeweight=".5pt" strokecolor="#000000">
            <v:path arrowok="t"/>
            <v:stroke dashstyle="solid"/>
            <w10:wrap type="topAndBottom"/>
          </v:shape>
        </w:pict>
      </w:r>
      <w:r>
        <w:rPr/>
        <w:pict>
          <v:shape style="position:absolute;margin-left:42.216999pt;margin-top:100.293625pt;width:4.350pt;height:.1pt;mso-position-horizontal-relative:page;mso-position-vertical-relative:paragraph;z-index:-15252992;mso-wrap-distance-left:0;mso-wrap-distance-right:0" coordorigin="844,2006" coordsize="87,0" path="m844,2006l931,2006e" filled="false" stroked="true" strokeweight=".5pt" strokecolor="#000000">
            <v:path arrowok="t"/>
            <v:stroke dashstyle="solid"/>
            <w10:wrap type="topAndBottom"/>
          </v:shape>
        </w:pict>
      </w:r>
      <w:r>
        <w:rPr/>
        <w:pict>
          <v:shape style="position:absolute;margin-left:42.216999pt;margin-top:115.043625pt;width:4.350pt;height:.1pt;mso-position-horizontal-relative:page;mso-position-vertical-relative:paragraph;z-index:-15252480;mso-wrap-distance-left:0;mso-wrap-distance-right:0" coordorigin="844,2301" coordsize="87,0" path="m844,2301l931,2301e" filled="false" stroked="true" strokeweight=".5pt" strokecolor="#000000">
            <v:path arrowok="t"/>
            <v:stroke dashstyle="solid"/>
            <w10:wrap type="topAndBottom"/>
          </v:shape>
        </w:pict>
      </w:r>
    </w:p>
    <w:p>
      <w:pPr>
        <w:pStyle w:val="BodyText"/>
        <w:spacing w:before="7"/>
        <w:rPr>
          <w:sz w:val="18"/>
        </w:rPr>
      </w:pPr>
    </w:p>
    <w:p>
      <w:pPr>
        <w:pStyle w:val="BodyText"/>
        <w:spacing w:before="6"/>
        <w:rPr>
          <w:sz w:val="17"/>
        </w:rPr>
      </w:pPr>
    </w:p>
    <w:p>
      <w:pPr>
        <w:pStyle w:val="BodyText"/>
        <w:spacing w:before="7"/>
        <w:rPr>
          <w:sz w:val="18"/>
        </w:rPr>
      </w:pPr>
    </w:p>
    <w:p>
      <w:pPr>
        <w:pStyle w:val="BodyText"/>
        <w:spacing w:before="7"/>
        <w:rPr>
          <w:sz w:val="18"/>
        </w:rPr>
      </w:pPr>
    </w:p>
    <w:p>
      <w:pPr>
        <w:pStyle w:val="BodyText"/>
        <w:spacing w:before="7"/>
        <w:rPr>
          <w:sz w:val="18"/>
        </w:rPr>
      </w:pPr>
    </w:p>
    <w:p>
      <w:pPr>
        <w:pStyle w:val="BodyText"/>
        <w:spacing w:before="4"/>
        <w:rPr>
          <w:sz w:val="17"/>
        </w:rPr>
      </w:pPr>
    </w:p>
    <w:p>
      <w:pPr>
        <w:pStyle w:val="BodyText"/>
        <w:spacing w:before="10"/>
        <w:rPr>
          <w:sz w:val="18"/>
        </w:rPr>
      </w:pPr>
    </w:p>
    <w:p>
      <w:pPr>
        <w:pStyle w:val="BodyText"/>
        <w:spacing w:before="7"/>
        <w:rPr>
          <w:sz w:val="10"/>
        </w:rPr>
      </w:pPr>
    </w:p>
    <w:p>
      <w:pPr>
        <w:tabs>
          <w:tab w:pos="1454" w:val="left" w:leader="none"/>
          <w:tab w:pos="2242" w:val="left" w:leader="none"/>
          <w:tab w:pos="2919" w:val="left" w:leader="none"/>
        </w:tabs>
        <w:spacing w:before="0"/>
        <w:ind w:left="604" w:right="0" w:firstLine="0"/>
        <w:jc w:val="left"/>
        <w:rPr>
          <w:sz w:val="12"/>
        </w:rPr>
      </w:pPr>
      <w:r>
        <w:rPr/>
        <w:pict>
          <v:group style="position:absolute;margin-left:50.549999pt;margin-top:-82.451431pt;width:152.35pt;height:81.6pt;mso-position-horizontal-relative:page;mso-position-vertical-relative:paragraph;z-index:16213504" coordorigin="1011,-1649" coordsize="3047,1632">
            <v:line style="position:absolute" from="1021,-262" to="1216,-189" stroked="true" strokeweight="1pt" strokecolor="#f5b37a">
              <v:stroke dashstyle="solid"/>
            </v:line>
            <v:line style="position:absolute" from="1206,-182" to="1421,-182" stroked="true" strokeweight="1.75pt" strokecolor="#f5b37a">
              <v:stroke dashstyle="solid"/>
            </v:line>
            <v:line style="position:absolute" from="1411,-174" to="1593,-219" stroked="true" strokeweight="1pt" strokecolor="#f5b37a">
              <v:stroke dashstyle="solid"/>
            </v:line>
            <v:line style="position:absolute" from="1583,-218" to="1798,-218" stroked="true" strokeweight="1.125pt" strokecolor="#f5b37a">
              <v:stroke dashstyle="solid"/>
            </v:line>
            <v:shape style="position:absolute;left:1778;top:-212;width:410;height:2" coordorigin="1778,-212" coordsize="410,0" path="m1778,-212l1993,-212m1973,-212l2188,-212e" filled="false" stroked="true" strokeweight="1.75pt" strokecolor="#f5b37a">
              <v:path arrowok="t"/>
              <v:stroke dashstyle="solid"/>
            </v:shape>
            <v:shape style="position:absolute;left:2178;top:-337;width:963;height:148" coordorigin="2178,-337" coordsize="963,148" path="m2178,-219l2373,-189m2373,-189l2556,-322m2556,-322l2751,-277m2751,-277l2946,-234m2946,-234l3141,-337e" filled="false" stroked="true" strokeweight="1pt" strokecolor="#f5b37a">
              <v:path arrowok="t"/>
              <v:stroke dashstyle="solid"/>
            </v:shape>
            <v:line style="position:absolute" from="1021,-307" to="1216,-234" stroked="true" strokeweight="1pt" strokecolor="#006caa">
              <v:stroke dashstyle="solid"/>
            </v:line>
            <v:line style="position:absolute" from="1206,-242" to="1421,-242" stroked="true" strokeweight="1.75pt" strokecolor="#006caa">
              <v:stroke dashstyle="solid"/>
            </v:line>
            <v:line style="position:absolute" from="1401,-248" to="1603,-248" stroked="true" strokeweight="1.125pt" strokecolor="#006caa">
              <v:stroke dashstyle="solid"/>
            </v:line>
            <v:line style="position:absolute" from="1583,-255" to="1798,-255" stroked="true" strokeweight="1.625pt" strokecolor="#006caa">
              <v:stroke dashstyle="solid"/>
            </v:line>
            <v:line style="position:absolute" from="1788,-262" to="1983,-219" stroked="true" strokeweight="1pt" strokecolor="#006caa">
              <v:stroke dashstyle="solid"/>
            </v:line>
            <v:line style="position:absolute" from="1973,-234" to="2383,-234" stroked="true" strokeweight="2.5pt" strokecolor="#006caa">
              <v:stroke dashstyle="solid"/>
            </v:line>
            <v:shape style="position:absolute;left:2373;top:-585;width:963;height:335" coordorigin="2373,-584" coordsize="963,335" path="m2373,-249l2556,-364m2556,-364l2751,-337m2751,-337l2946,-364m2946,-364l3141,-584m3141,-584l3336,-482e" filled="false" stroked="true" strokeweight="1pt" strokecolor="#006caa">
              <v:path arrowok="t"/>
              <v:stroke dashstyle="solid"/>
            </v:shape>
            <v:shape style="position:absolute;left:3336;top:-322;width:573;height:73" coordorigin="3336,-322" coordsize="573,73" path="m3336,-322l3521,-277m3521,-277l3713,-249m3713,-249l3908,-277e" filled="false" stroked="true" strokeweight="1pt" strokecolor="#f5b37a">
              <v:path arrowok="t"/>
              <v:stroke dashstyle="solid"/>
            </v:shape>
            <v:shape style="position:absolute;left:3336;top:-482;width:573;height:175" coordorigin="3336,-482" coordsize="573,175" path="m3336,-482l3521,-364m3521,-364l3713,-307m3713,-307l3908,-364e" filled="false" stroked="true" strokeweight="1pt" strokecolor="#006caa">
              <v:path arrowok="t"/>
              <v:stroke dashstyle="solid"/>
            </v:shape>
            <v:shape style="position:absolute;left:1021;top:-1245;width:1730;height:835" coordorigin="1021,-1244" coordsize="1730,835" path="m1021,-762l1216,-967m1216,-967l1411,-834m1411,-834l1593,-512m1593,-512l1788,-467m1788,-467l1983,-409m1983,-409l2178,-584m2178,-584l2373,-542m2373,-542l2556,-907m2556,-907l2751,-1244e" filled="false" stroked="true" strokeweight="1pt" strokecolor="#a64991">
              <v:path arrowok="t"/>
              <v:stroke dashstyle="solid"/>
            </v:shape>
            <v:line style="position:absolute" from="2741,-1252" to="2956,-1252" stroked="true" strokeweight="1.75pt" strokecolor="#a64991">
              <v:stroke dashstyle="solid"/>
            </v:line>
            <v:shape style="position:absolute;left:2946;top:-1640;width:963;height:790" coordorigin="2946,-1639" coordsize="963,790" path="m2946,-1259l3141,-1639m3141,-1639l3336,-1507m3336,-1507l3521,-1332m3521,-1332l3713,-1009m3713,-1009l3908,-849e" filled="false" stroked="true" strokeweight="1pt" strokecolor="#a64991">
              <v:path arrowok="t"/>
              <v:stroke dashstyle="solid"/>
            </v:shape>
            <v:line style="position:absolute" from="3041,-381" to="2258,-1164" stroked="true" strokeweight=".5pt" strokecolor="#000000">
              <v:stroke dashstyle="solid"/>
            </v:line>
            <v:shape style="position:absolute;left:3011;top:-411;width:78;height:78" coordorigin="3011,-410" coordsize="78,78" path="m3047,-410l3011,-375,3027,-368,3039,-363,3089,-333,3084,-340,3078,-349,3071,-360,3065,-371,3059,-382,3047,-410xe" filled="true" fillcolor="#000000" stroked="false">
              <v:path arrowok="t"/>
              <v:fill type="solid"/>
            </v:shape>
            <v:shape style="position:absolute;left:1018;top:-1607;width:3040;height:1590" coordorigin="1018,-1607" coordsize="3040,1590" path="m3971,-1607l4058,-1607m3971,-1314l4058,-1314m3971,-1022l4058,-1022m3971,-452l4058,-452m3971,-729l4058,-729m3971,-157l4058,-157m1018,-22l3899,-22m1021,-84l1021,-17m1788,-84l1788,-17m2556,-84l2556,-17m3336,-84l3336,-17e" filled="false" stroked="true" strokeweight=".5pt" strokecolor="#000000">
              <v:path arrowok="t"/>
              <v:stroke dashstyle="solid"/>
            </v:shape>
            <v:shape style="position:absolute;left:2351;top:-1624;width:700;height:121" type="#_x0000_t202" filled="false" stroked="false">
              <v:textbox inset="0,0,0,0">
                <w:txbxContent>
                  <w:p>
                    <w:pPr>
                      <w:spacing w:line="115" w:lineRule="exact" w:before="0"/>
                      <w:ind w:left="0" w:right="0" w:firstLine="0"/>
                      <w:jc w:val="left"/>
                      <w:rPr>
                        <w:sz w:val="12"/>
                      </w:rPr>
                    </w:pPr>
                    <w:r>
                      <w:rPr>
                        <w:w w:val="105"/>
                        <w:sz w:val="12"/>
                      </w:rPr>
                      <w:t>Less than 3%</w:t>
                    </w:r>
                  </w:p>
                </w:txbxContent>
              </v:textbox>
              <w10:wrap type="none"/>
            </v:shape>
            <v:shape style="position:absolute;left:1596;top:-1283;width:686;height:121" type="#_x0000_t202" filled="false" stroked="false">
              <v:textbox inset="0,0,0,0">
                <w:txbxContent>
                  <w:p>
                    <w:pPr>
                      <w:spacing w:line="115" w:lineRule="exact" w:before="0"/>
                      <w:ind w:left="0" w:right="0" w:firstLine="0"/>
                      <w:jc w:val="left"/>
                      <w:rPr>
                        <w:sz w:val="12"/>
                      </w:rPr>
                    </w:pPr>
                    <w:r>
                      <w:rPr>
                        <w:w w:val="110"/>
                        <w:sz w:val="12"/>
                      </w:rPr>
                      <w:t>Freeze or</w:t>
                    </w:r>
                    <w:r>
                      <w:rPr>
                        <w:spacing w:val="-20"/>
                        <w:w w:val="110"/>
                        <w:sz w:val="12"/>
                      </w:rPr>
                      <w:t> </w:t>
                    </w:r>
                    <w:r>
                      <w:rPr>
                        <w:w w:val="110"/>
                        <w:sz w:val="12"/>
                      </w:rPr>
                      <w:t>cut</w:t>
                    </w:r>
                  </w:p>
                </w:txbxContent>
              </v:textbox>
              <w10:wrap type="none"/>
            </v:shape>
            <v:shape style="position:absolute;left:3086;top:-713;width:700;height:322" type="#_x0000_t202" filled="false" stroked="false">
              <v:textbox inset="0,0,0,0">
                <w:txbxContent>
                  <w:p>
                    <w:pPr>
                      <w:spacing w:line="115" w:lineRule="exact" w:before="0"/>
                      <w:ind w:left="0" w:right="0" w:firstLine="0"/>
                      <w:jc w:val="left"/>
                      <w:rPr>
                        <w:sz w:val="12"/>
                      </w:rPr>
                    </w:pPr>
                    <w:r>
                      <w:rPr>
                        <w:w w:val="105"/>
                        <w:sz w:val="12"/>
                      </w:rPr>
                      <w:t>Less than 2%</w:t>
                    </w:r>
                  </w:p>
                  <w:p>
                    <w:pPr>
                      <w:spacing w:before="68"/>
                      <w:ind w:left="45" w:right="0" w:firstLine="0"/>
                      <w:jc w:val="left"/>
                      <w:rPr>
                        <w:sz w:val="12"/>
                      </w:rPr>
                    </w:pPr>
                    <w:r>
                      <w:rPr>
                        <w:sz w:val="12"/>
                        <w:u w:val="thick" w:color="F5B37A"/>
                      </w:rPr>
                      <w:t> </w:t>
                    </w:r>
                    <w:r>
                      <w:rPr>
                        <w:spacing w:val="5"/>
                        <w:sz w:val="12"/>
                        <w:u w:val="thick" w:color="F5B37A"/>
                      </w:rPr>
                      <w:t> </w:t>
                    </w:r>
                  </w:p>
                </w:txbxContent>
              </v:textbox>
              <w10:wrap type="none"/>
            </v:shape>
            <w10:wrap type="none"/>
          </v:group>
        </w:pict>
      </w:r>
      <w:r>
        <w:rPr>
          <w:w w:val="120"/>
          <w:sz w:val="12"/>
        </w:rPr>
        <w:t>1997</w:t>
        <w:tab/>
        <w:t>98</w:t>
        <w:tab/>
        <w:t>99</w:t>
        <w:tab/>
      </w:r>
      <w:r>
        <w:rPr>
          <w:spacing w:val="-5"/>
          <w:w w:val="120"/>
          <w:sz w:val="12"/>
        </w:rPr>
        <w:t>2000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0"/>
        <w:ind w:left="0" w:right="38" w:firstLine="0"/>
        <w:jc w:val="right"/>
        <w:rPr>
          <w:sz w:val="12"/>
        </w:rPr>
      </w:pPr>
      <w:r>
        <w:rPr>
          <w:spacing w:val="-1"/>
          <w:w w:val="120"/>
          <w:sz w:val="12"/>
        </w:rPr>
        <w:t>100</w:t>
      </w:r>
    </w:p>
    <w:p>
      <w:pPr>
        <w:pStyle w:val="BodyText"/>
        <w:spacing w:before="1"/>
        <w:rPr>
          <w:sz w:val="13"/>
        </w:rPr>
      </w:pPr>
    </w:p>
    <w:p>
      <w:pPr>
        <w:spacing w:before="0"/>
        <w:ind w:left="0" w:right="38" w:firstLine="0"/>
        <w:jc w:val="right"/>
        <w:rPr>
          <w:sz w:val="12"/>
        </w:rPr>
      </w:pPr>
      <w:r>
        <w:rPr>
          <w:w w:val="120"/>
          <w:sz w:val="12"/>
        </w:rPr>
        <w:t>90</w:t>
      </w:r>
    </w:p>
    <w:p>
      <w:pPr>
        <w:pStyle w:val="BodyText"/>
        <w:spacing w:before="1"/>
        <w:rPr>
          <w:sz w:val="13"/>
        </w:rPr>
      </w:pPr>
    </w:p>
    <w:p>
      <w:pPr>
        <w:spacing w:before="0"/>
        <w:ind w:left="0" w:right="38" w:firstLine="0"/>
        <w:jc w:val="right"/>
        <w:rPr>
          <w:sz w:val="12"/>
        </w:rPr>
      </w:pPr>
      <w:r>
        <w:rPr>
          <w:w w:val="120"/>
          <w:sz w:val="12"/>
        </w:rPr>
        <w:t>80</w:t>
      </w:r>
    </w:p>
    <w:p>
      <w:pPr>
        <w:pStyle w:val="BodyText"/>
        <w:rPr>
          <w:sz w:val="13"/>
        </w:rPr>
      </w:pPr>
    </w:p>
    <w:p>
      <w:pPr>
        <w:spacing w:before="1"/>
        <w:ind w:left="0" w:right="38" w:firstLine="0"/>
        <w:jc w:val="right"/>
        <w:rPr>
          <w:sz w:val="12"/>
        </w:rPr>
      </w:pPr>
      <w:r>
        <w:rPr>
          <w:w w:val="120"/>
          <w:sz w:val="12"/>
        </w:rPr>
        <w:t>70</w:t>
      </w:r>
    </w:p>
    <w:p>
      <w:pPr>
        <w:pStyle w:val="BodyText"/>
        <w:rPr>
          <w:sz w:val="13"/>
        </w:rPr>
      </w:pPr>
    </w:p>
    <w:p>
      <w:pPr>
        <w:spacing w:before="0"/>
        <w:ind w:left="0" w:right="38" w:firstLine="0"/>
        <w:jc w:val="right"/>
        <w:rPr>
          <w:sz w:val="12"/>
        </w:rPr>
      </w:pPr>
      <w:r>
        <w:rPr>
          <w:w w:val="120"/>
          <w:sz w:val="12"/>
        </w:rPr>
        <w:t>60</w:t>
      </w:r>
    </w:p>
    <w:p>
      <w:pPr>
        <w:pStyle w:val="BodyText"/>
        <w:spacing w:before="1"/>
        <w:rPr>
          <w:sz w:val="13"/>
        </w:rPr>
      </w:pPr>
    </w:p>
    <w:p>
      <w:pPr>
        <w:spacing w:before="0"/>
        <w:ind w:left="0" w:right="38" w:firstLine="0"/>
        <w:jc w:val="right"/>
        <w:rPr>
          <w:sz w:val="12"/>
        </w:rPr>
      </w:pPr>
      <w:r>
        <w:rPr>
          <w:w w:val="120"/>
          <w:sz w:val="12"/>
        </w:rPr>
        <w:t>50</w:t>
      </w:r>
    </w:p>
    <w:p>
      <w:pPr>
        <w:pStyle w:val="BodyText"/>
        <w:spacing w:before="1"/>
        <w:rPr>
          <w:sz w:val="13"/>
        </w:rPr>
      </w:pPr>
    </w:p>
    <w:p>
      <w:pPr>
        <w:spacing w:before="0"/>
        <w:ind w:left="0" w:right="38" w:firstLine="0"/>
        <w:jc w:val="right"/>
        <w:rPr>
          <w:sz w:val="12"/>
        </w:rPr>
      </w:pPr>
      <w:r>
        <w:rPr>
          <w:w w:val="120"/>
          <w:sz w:val="12"/>
        </w:rPr>
        <w:t>40</w:t>
      </w:r>
    </w:p>
    <w:p>
      <w:pPr>
        <w:pStyle w:val="BodyText"/>
        <w:spacing w:before="1"/>
        <w:rPr>
          <w:sz w:val="13"/>
        </w:rPr>
      </w:pPr>
    </w:p>
    <w:p>
      <w:pPr>
        <w:spacing w:before="0"/>
        <w:ind w:left="0" w:right="38" w:firstLine="0"/>
        <w:jc w:val="right"/>
        <w:rPr>
          <w:sz w:val="12"/>
        </w:rPr>
      </w:pPr>
      <w:r>
        <w:rPr>
          <w:w w:val="120"/>
          <w:sz w:val="12"/>
        </w:rPr>
        <w:t>30</w:t>
      </w:r>
    </w:p>
    <w:p>
      <w:pPr>
        <w:pStyle w:val="BodyText"/>
        <w:rPr>
          <w:sz w:val="13"/>
        </w:rPr>
      </w:pPr>
    </w:p>
    <w:p>
      <w:pPr>
        <w:spacing w:before="1"/>
        <w:ind w:left="0" w:right="38" w:firstLine="0"/>
        <w:jc w:val="right"/>
        <w:rPr>
          <w:sz w:val="12"/>
        </w:rPr>
      </w:pPr>
      <w:r>
        <w:rPr>
          <w:w w:val="120"/>
          <w:sz w:val="12"/>
        </w:rPr>
        <w:t>20</w:t>
      </w:r>
    </w:p>
    <w:p>
      <w:pPr>
        <w:pStyle w:val="BodyText"/>
        <w:rPr>
          <w:sz w:val="13"/>
        </w:rPr>
      </w:pPr>
    </w:p>
    <w:p>
      <w:pPr>
        <w:spacing w:before="0"/>
        <w:ind w:left="0" w:right="38" w:firstLine="0"/>
        <w:jc w:val="right"/>
        <w:rPr>
          <w:sz w:val="12"/>
        </w:rPr>
      </w:pPr>
      <w:r>
        <w:rPr>
          <w:w w:val="120"/>
          <w:sz w:val="12"/>
        </w:rPr>
        <w:t>10</w:t>
      </w:r>
    </w:p>
    <w:p>
      <w:pPr>
        <w:pStyle w:val="BodyText"/>
        <w:spacing w:before="1"/>
        <w:rPr>
          <w:sz w:val="13"/>
        </w:rPr>
      </w:pPr>
    </w:p>
    <w:p>
      <w:pPr>
        <w:spacing w:before="0"/>
        <w:ind w:left="0" w:right="38" w:firstLine="0"/>
        <w:jc w:val="right"/>
        <w:rPr>
          <w:sz w:val="12"/>
        </w:rPr>
      </w:pPr>
      <w:r>
        <w:rPr>
          <w:w w:val="121"/>
          <w:sz w:val="12"/>
        </w:rPr>
        <w:t>0</w:t>
      </w:r>
    </w:p>
    <w:p>
      <w:pPr>
        <w:pStyle w:val="BodyText"/>
        <w:spacing w:line="292" w:lineRule="auto" w:before="61"/>
        <w:ind w:left="175" w:right="221"/>
      </w:pPr>
      <w:r>
        <w:rPr/>
        <w:br w:type="column"/>
      </w:r>
      <w:r>
        <w:rPr>
          <w:w w:val="105"/>
        </w:rPr>
        <w:t>Despite growing </w:t>
      </w:r>
      <w:r>
        <w:rPr>
          <w:spacing w:val="-3"/>
          <w:w w:val="105"/>
        </w:rPr>
        <w:t>diversity </w:t>
      </w:r>
      <w:r>
        <w:rPr>
          <w:w w:val="105"/>
        </w:rPr>
        <w:t>in the </w:t>
      </w:r>
      <w:r>
        <w:rPr>
          <w:spacing w:val="-4"/>
          <w:w w:val="105"/>
        </w:rPr>
        <w:t>way </w:t>
      </w:r>
      <w:r>
        <w:rPr>
          <w:w w:val="105"/>
        </w:rPr>
        <w:t>that firms </w:t>
      </w:r>
      <w:r>
        <w:rPr>
          <w:spacing w:val="-4"/>
          <w:w w:val="105"/>
        </w:rPr>
        <w:t>reward </w:t>
      </w:r>
      <w:r>
        <w:rPr>
          <w:w w:val="105"/>
        </w:rPr>
        <w:t>employees, settlements—the basic wage increases </w:t>
      </w:r>
      <w:r>
        <w:rPr>
          <w:spacing w:val="-3"/>
          <w:w w:val="105"/>
        </w:rPr>
        <w:t>awarded </w:t>
      </w:r>
      <w:r>
        <w:rPr>
          <w:spacing w:val="-4"/>
          <w:w w:val="105"/>
        </w:rPr>
        <w:t>to </w:t>
      </w:r>
      <w:r>
        <w:rPr>
          <w:w w:val="105"/>
        </w:rPr>
        <w:t>employees—still form a core component of </w:t>
      </w:r>
      <w:r>
        <w:rPr>
          <w:spacing w:val="-3"/>
          <w:w w:val="105"/>
        </w:rPr>
        <w:t>overall </w:t>
      </w:r>
      <w:r>
        <w:rPr>
          <w:w w:val="105"/>
        </w:rPr>
        <w:t>remuneration in </w:t>
      </w:r>
      <w:r>
        <w:rPr>
          <w:spacing w:val="-3"/>
          <w:w w:val="105"/>
        </w:rPr>
        <w:t>many </w:t>
      </w:r>
      <w:r>
        <w:rPr>
          <w:w w:val="105"/>
        </w:rPr>
        <w:t>firms. The Bank collects information on such settlements from the CBI, Incomes Data Services (IDS), Industrial Relations Services (IRS), the Labour </w:t>
      </w:r>
      <w:r>
        <w:rPr>
          <w:spacing w:val="-3"/>
          <w:w w:val="105"/>
        </w:rPr>
        <w:t>Research </w:t>
      </w:r>
      <w:r>
        <w:rPr>
          <w:w w:val="105"/>
        </w:rPr>
        <w:t>Department and the </w:t>
      </w:r>
      <w:r>
        <w:rPr>
          <w:spacing w:val="-3"/>
          <w:w w:val="105"/>
        </w:rPr>
        <w:t>Bank’s </w:t>
      </w:r>
      <w:r>
        <w:rPr>
          <w:w w:val="105"/>
        </w:rPr>
        <w:t>regional Agents.  These  settlements are then </w:t>
      </w:r>
      <w:r>
        <w:rPr>
          <w:spacing w:val="-3"/>
          <w:w w:val="105"/>
        </w:rPr>
        <w:t>weighted </w:t>
      </w:r>
      <w:r>
        <w:rPr>
          <w:spacing w:val="-4"/>
          <w:w w:val="105"/>
        </w:rPr>
        <w:t>to </w:t>
      </w:r>
      <w:r>
        <w:rPr>
          <w:w w:val="105"/>
        </w:rPr>
        <w:t>match the </w:t>
      </w:r>
      <w:r>
        <w:rPr>
          <w:spacing w:val="-3"/>
          <w:w w:val="105"/>
        </w:rPr>
        <w:t>pattern </w:t>
      </w:r>
      <w:r>
        <w:rPr>
          <w:w w:val="105"/>
        </w:rPr>
        <w:t>of employment in the AEI sample.  In December </w:t>
      </w:r>
      <w:r>
        <w:rPr>
          <w:spacing w:val="-4"/>
          <w:w w:val="105"/>
        </w:rPr>
        <w:t>2000  </w:t>
      </w:r>
      <w:r>
        <w:rPr>
          <w:w w:val="105"/>
        </w:rPr>
        <w:t>the  </w:t>
      </w:r>
      <w:r>
        <w:rPr>
          <w:spacing w:val="-3"/>
          <w:w w:val="105"/>
        </w:rPr>
        <w:t>average </w:t>
      </w:r>
      <w:r>
        <w:rPr>
          <w:w w:val="105"/>
        </w:rPr>
        <w:t>settlement recorded </w:t>
      </w:r>
      <w:r>
        <w:rPr>
          <w:spacing w:val="-3"/>
          <w:w w:val="105"/>
        </w:rPr>
        <w:t>over </w:t>
      </w:r>
      <w:r>
        <w:rPr>
          <w:w w:val="105"/>
        </w:rPr>
        <w:t>the previous </w:t>
      </w:r>
      <w:r>
        <w:rPr>
          <w:spacing w:val="-4"/>
          <w:w w:val="105"/>
        </w:rPr>
        <w:t>twelve </w:t>
      </w:r>
      <w:r>
        <w:rPr>
          <w:w w:val="105"/>
        </w:rPr>
        <w:t>months </w:t>
      </w:r>
      <w:r>
        <w:rPr>
          <w:spacing w:val="-3"/>
          <w:w w:val="105"/>
        </w:rPr>
        <w:t>was </w:t>
      </w:r>
      <w:r>
        <w:rPr>
          <w:w w:val="105"/>
        </w:rPr>
        <w:t>3.0%, unchanged since June </w:t>
      </w:r>
      <w:r>
        <w:rPr>
          <w:spacing w:val="-4"/>
          <w:w w:val="105"/>
        </w:rPr>
        <w:t>2000 </w:t>
      </w:r>
      <w:r>
        <w:rPr>
          <w:w w:val="105"/>
        </w:rPr>
        <w:t>(see Chart</w:t>
      </w:r>
      <w:r>
        <w:rPr>
          <w:spacing w:val="42"/>
          <w:w w:val="105"/>
        </w:rPr>
        <w:t> </w:t>
      </w:r>
      <w:r>
        <w:rPr>
          <w:spacing w:val="-9"/>
          <w:w w:val="105"/>
        </w:rPr>
        <w:t>3.11).</w:t>
      </w:r>
    </w:p>
    <w:p>
      <w:pPr>
        <w:pStyle w:val="BodyText"/>
        <w:spacing w:line="292" w:lineRule="auto"/>
        <w:ind w:left="175" w:right="264"/>
      </w:pPr>
      <w:r>
        <w:rPr>
          <w:spacing w:val="-4"/>
          <w:w w:val="110"/>
        </w:rPr>
        <w:t>However, </w:t>
      </w:r>
      <w:r>
        <w:rPr>
          <w:w w:val="110"/>
        </w:rPr>
        <w:t>the </w:t>
      </w:r>
      <w:r>
        <w:rPr>
          <w:spacing w:val="-3"/>
          <w:w w:val="110"/>
        </w:rPr>
        <w:t>average </w:t>
      </w:r>
      <w:r>
        <w:rPr>
          <w:w w:val="110"/>
        </w:rPr>
        <w:t>settlement recorded </w:t>
      </w:r>
      <w:r>
        <w:rPr>
          <w:spacing w:val="-3"/>
          <w:w w:val="110"/>
        </w:rPr>
        <w:t>over </w:t>
      </w:r>
      <w:r>
        <w:rPr>
          <w:w w:val="110"/>
        </w:rPr>
        <w:t>the previous three months has edged up from about 3.0% last summer </w:t>
      </w:r>
      <w:r>
        <w:rPr>
          <w:spacing w:val="-4"/>
          <w:w w:val="110"/>
        </w:rPr>
        <w:t>to </w:t>
      </w:r>
      <w:r>
        <w:rPr>
          <w:w w:val="110"/>
        </w:rPr>
        <w:t>around</w:t>
      </w:r>
      <w:r>
        <w:rPr>
          <w:spacing w:val="-12"/>
          <w:w w:val="110"/>
        </w:rPr>
        <w:t> </w:t>
      </w:r>
      <w:r>
        <w:rPr>
          <w:w w:val="110"/>
        </w:rPr>
        <w:t>3.2%</w:t>
      </w:r>
      <w:r>
        <w:rPr>
          <w:spacing w:val="-12"/>
          <w:w w:val="110"/>
        </w:rPr>
        <w:t> </w:t>
      </w:r>
      <w:r>
        <w:rPr>
          <w:w w:val="110"/>
        </w:rPr>
        <w:t>in</w:t>
      </w:r>
      <w:r>
        <w:rPr>
          <w:spacing w:val="-12"/>
          <w:w w:val="110"/>
        </w:rPr>
        <w:t> </w:t>
      </w:r>
      <w:r>
        <w:rPr>
          <w:w w:val="110"/>
        </w:rPr>
        <w:t>December,</w:t>
      </w:r>
      <w:r>
        <w:rPr>
          <w:spacing w:val="-12"/>
          <w:w w:val="110"/>
        </w:rPr>
        <w:t> </w:t>
      </w:r>
      <w:r>
        <w:rPr>
          <w:w w:val="110"/>
        </w:rPr>
        <w:t>and</w:t>
      </w:r>
      <w:r>
        <w:rPr>
          <w:spacing w:val="-12"/>
          <w:w w:val="110"/>
        </w:rPr>
        <w:t> </w:t>
      </w:r>
      <w:r>
        <w:rPr>
          <w:w w:val="110"/>
        </w:rPr>
        <w:t>the</w:t>
      </w:r>
      <w:r>
        <w:rPr>
          <w:spacing w:val="-12"/>
          <w:w w:val="110"/>
        </w:rPr>
        <w:t> </w:t>
      </w:r>
      <w:r>
        <w:rPr>
          <w:w w:val="110"/>
        </w:rPr>
        <w:t>proportion</w:t>
      </w:r>
      <w:r>
        <w:rPr>
          <w:spacing w:val="-12"/>
          <w:w w:val="110"/>
        </w:rPr>
        <w:t> </w:t>
      </w:r>
      <w:r>
        <w:rPr>
          <w:w w:val="110"/>
        </w:rPr>
        <w:t>of</w:t>
      </w:r>
      <w:r>
        <w:rPr>
          <w:spacing w:val="-12"/>
          <w:w w:val="110"/>
        </w:rPr>
        <w:t> </w:t>
      </w:r>
      <w:r>
        <w:rPr>
          <w:w w:val="110"/>
        </w:rPr>
        <w:t>settlements set</w:t>
      </w:r>
      <w:r>
        <w:rPr>
          <w:spacing w:val="-9"/>
          <w:w w:val="110"/>
        </w:rPr>
        <w:t> </w:t>
      </w:r>
      <w:r>
        <w:rPr>
          <w:w w:val="110"/>
        </w:rPr>
        <w:t>at</w:t>
      </w:r>
      <w:r>
        <w:rPr>
          <w:spacing w:val="-9"/>
          <w:w w:val="110"/>
        </w:rPr>
        <w:t> </w:t>
      </w:r>
      <w:r>
        <w:rPr>
          <w:w w:val="110"/>
        </w:rPr>
        <w:t>3%</w:t>
      </w:r>
      <w:r>
        <w:rPr>
          <w:spacing w:val="-9"/>
          <w:w w:val="110"/>
        </w:rPr>
        <w:t> </w:t>
      </w:r>
      <w:r>
        <w:rPr>
          <w:w w:val="110"/>
        </w:rPr>
        <w:t>or</w:t>
      </w:r>
      <w:r>
        <w:rPr>
          <w:spacing w:val="-9"/>
          <w:w w:val="110"/>
        </w:rPr>
        <w:t> </w:t>
      </w:r>
      <w:r>
        <w:rPr>
          <w:w w:val="110"/>
        </w:rPr>
        <w:t>below</w:t>
      </w:r>
      <w:r>
        <w:rPr>
          <w:spacing w:val="-9"/>
          <w:w w:val="110"/>
        </w:rPr>
        <w:t> </w:t>
      </w:r>
      <w:r>
        <w:rPr>
          <w:w w:val="110"/>
        </w:rPr>
        <w:t>has</w:t>
      </w:r>
      <w:r>
        <w:rPr>
          <w:spacing w:val="-9"/>
          <w:w w:val="110"/>
        </w:rPr>
        <w:t> </w:t>
      </w:r>
      <w:r>
        <w:rPr>
          <w:w w:val="110"/>
        </w:rPr>
        <w:t>declined</w:t>
      </w:r>
      <w:r>
        <w:rPr>
          <w:spacing w:val="-9"/>
          <w:w w:val="110"/>
        </w:rPr>
        <w:t> </w:t>
      </w:r>
      <w:r>
        <w:rPr>
          <w:w w:val="110"/>
        </w:rPr>
        <w:t>further</w:t>
      </w:r>
      <w:r>
        <w:rPr>
          <w:spacing w:val="-8"/>
          <w:w w:val="110"/>
        </w:rPr>
        <w:t> </w:t>
      </w:r>
      <w:r>
        <w:rPr>
          <w:w w:val="110"/>
        </w:rPr>
        <w:t>(see</w:t>
      </w:r>
      <w:r>
        <w:rPr>
          <w:spacing w:val="-9"/>
          <w:w w:val="110"/>
        </w:rPr>
        <w:t> </w:t>
      </w:r>
      <w:r>
        <w:rPr>
          <w:w w:val="110"/>
        </w:rPr>
        <w:t>Chart</w:t>
      </w:r>
      <w:r>
        <w:rPr>
          <w:spacing w:val="-9"/>
          <w:w w:val="110"/>
        </w:rPr>
        <w:t> </w:t>
      </w:r>
      <w:r>
        <w:rPr>
          <w:spacing w:val="-5"/>
          <w:w w:val="110"/>
        </w:rPr>
        <w:t>3.12).</w:t>
      </w:r>
    </w:p>
    <w:p>
      <w:pPr>
        <w:pStyle w:val="BodyText"/>
        <w:spacing w:line="292" w:lineRule="auto"/>
        <w:ind w:left="175" w:right="374"/>
      </w:pPr>
      <w:r>
        <w:rPr>
          <w:w w:val="110"/>
        </w:rPr>
        <w:t>Around </w:t>
      </w:r>
      <w:r>
        <w:rPr>
          <w:spacing w:val="-4"/>
          <w:w w:val="110"/>
        </w:rPr>
        <w:t>60% </w:t>
      </w:r>
      <w:r>
        <w:rPr>
          <w:w w:val="110"/>
        </w:rPr>
        <w:t>of all annual </w:t>
      </w:r>
      <w:r>
        <w:rPr>
          <w:spacing w:val="-3"/>
          <w:w w:val="110"/>
        </w:rPr>
        <w:t>pay </w:t>
      </w:r>
      <w:r>
        <w:rPr>
          <w:w w:val="110"/>
        </w:rPr>
        <w:t>settlements </w:t>
      </w:r>
      <w:r>
        <w:rPr>
          <w:spacing w:val="-3"/>
          <w:w w:val="110"/>
        </w:rPr>
        <w:t>by </w:t>
      </w:r>
      <w:r>
        <w:rPr>
          <w:w w:val="110"/>
        </w:rPr>
        <w:t>numbers of employees</w:t>
      </w:r>
      <w:r>
        <w:rPr>
          <w:spacing w:val="-32"/>
          <w:w w:val="110"/>
        </w:rPr>
        <w:t> </w:t>
      </w:r>
      <w:r>
        <w:rPr>
          <w:spacing w:val="-3"/>
          <w:w w:val="110"/>
        </w:rPr>
        <w:t>covered</w:t>
      </w:r>
      <w:r>
        <w:rPr>
          <w:spacing w:val="-31"/>
          <w:w w:val="110"/>
        </w:rPr>
        <w:t> </w:t>
      </w:r>
      <w:r>
        <w:rPr>
          <w:w w:val="110"/>
        </w:rPr>
        <w:t>are</w:t>
      </w:r>
      <w:r>
        <w:rPr>
          <w:spacing w:val="-31"/>
          <w:w w:val="110"/>
        </w:rPr>
        <w:t> </w:t>
      </w:r>
      <w:r>
        <w:rPr>
          <w:w w:val="110"/>
        </w:rPr>
        <w:t>typically</w:t>
      </w:r>
      <w:r>
        <w:rPr>
          <w:spacing w:val="-32"/>
          <w:w w:val="110"/>
        </w:rPr>
        <w:t> </w:t>
      </w:r>
      <w:r>
        <w:rPr>
          <w:w w:val="110"/>
        </w:rPr>
        <w:t>agreed</w:t>
      </w:r>
      <w:r>
        <w:rPr>
          <w:spacing w:val="-31"/>
          <w:w w:val="110"/>
        </w:rPr>
        <w:t> </w:t>
      </w:r>
      <w:r>
        <w:rPr>
          <w:w w:val="110"/>
        </w:rPr>
        <w:t>in</w:t>
      </w:r>
      <w:r>
        <w:rPr>
          <w:spacing w:val="-31"/>
          <w:w w:val="110"/>
        </w:rPr>
        <w:t> </w:t>
      </w:r>
      <w:r>
        <w:rPr>
          <w:w w:val="110"/>
        </w:rPr>
        <w:t>January</w:t>
      </w:r>
      <w:r>
        <w:rPr>
          <w:spacing w:val="-32"/>
          <w:w w:val="110"/>
        </w:rPr>
        <w:t> </w:t>
      </w:r>
      <w:r>
        <w:rPr>
          <w:w w:val="110"/>
        </w:rPr>
        <w:t>and</w:t>
      </w:r>
      <w:r>
        <w:rPr>
          <w:spacing w:val="-31"/>
          <w:w w:val="110"/>
        </w:rPr>
        <w:t> </w:t>
      </w:r>
      <w:r>
        <w:rPr>
          <w:w w:val="110"/>
        </w:rPr>
        <w:t>April. Early</w:t>
      </w:r>
      <w:r>
        <w:rPr>
          <w:spacing w:val="-26"/>
          <w:w w:val="110"/>
        </w:rPr>
        <w:t> </w:t>
      </w:r>
      <w:r>
        <w:rPr>
          <w:w w:val="110"/>
        </w:rPr>
        <w:t>indications</w:t>
      </w:r>
      <w:r>
        <w:rPr>
          <w:spacing w:val="-25"/>
          <w:w w:val="110"/>
        </w:rPr>
        <w:t> </w:t>
      </w:r>
      <w:r>
        <w:rPr>
          <w:w w:val="110"/>
        </w:rPr>
        <w:t>for</w:t>
      </w:r>
      <w:r>
        <w:rPr>
          <w:spacing w:val="-25"/>
          <w:w w:val="110"/>
        </w:rPr>
        <w:t> </w:t>
      </w:r>
      <w:r>
        <w:rPr>
          <w:w w:val="110"/>
        </w:rPr>
        <w:t>January</w:t>
      </w:r>
      <w:r>
        <w:rPr>
          <w:spacing w:val="-26"/>
          <w:w w:val="110"/>
        </w:rPr>
        <w:t> </w:t>
      </w:r>
      <w:r>
        <w:rPr>
          <w:w w:val="110"/>
        </w:rPr>
        <w:t>settlements,</w:t>
      </w:r>
      <w:r>
        <w:rPr>
          <w:spacing w:val="-25"/>
          <w:w w:val="110"/>
        </w:rPr>
        <w:t> </w:t>
      </w:r>
      <w:r>
        <w:rPr>
          <w:w w:val="110"/>
        </w:rPr>
        <w:t>based</w:t>
      </w:r>
      <w:r>
        <w:rPr>
          <w:spacing w:val="-25"/>
          <w:w w:val="110"/>
        </w:rPr>
        <w:t> </w:t>
      </w:r>
      <w:r>
        <w:rPr>
          <w:w w:val="110"/>
        </w:rPr>
        <w:t>on</w:t>
      </w:r>
      <w:r>
        <w:rPr>
          <w:spacing w:val="-26"/>
          <w:w w:val="110"/>
        </w:rPr>
        <w:t> </w:t>
      </w:r>
      <w:r>
        <w:rPr>
          <w:w w:val="110"/>
        </w:rPr>
        <w:t>a</w:t>
      </w:r>
      <w:r>
        <w:rPr>
          <w:spacing w:val="-25"/>
          <w:w w:val="110"/>
        </w:rPr>
        <w:t> </w:t>
      </w:r>
      <w:r>
        <w:rPr>
          <w:w w:val="110"/>
        </w:rPr>
        <w:t>limited sample,</w:t>
      </w:r>
      <w:r>
        <w:rPr>
          <w:spacing w:val="-12"/>
          <w:w w:val="110"/>
        </w:rPr>
        <w:t> </w:t>
      </w:r>
      <w:r>
        <w:rPr>
          <w:w w:val="110"/>
        </w:rPr>
        <w:t>point</w:t>
      </w:r>
      <w:r>
        <w:rPr>
          <w:spacing w:val="-12"/>
          <w:w w:val="110"/>
        </w:rPr>
        <w:t> </w:t>
      </w:r>
      <w:r>
        <w:rPr>
          <w:spacing w:val="-4"/>
          <w:w w:val="110"/>
        </w:rPr>
        <w:t>to</w:t>
      </w:r>
      <w:r>
        <w:rPr>
          <w:spacing w:val="-12"/>
          <w:w w:val="110"/>
        </w:rPr>
        <w:t> </w:t>
      </w:r>
      <w:r>
        <w:rPr>
          <w:w w:val="110"/>
        </w:rPr>
        <w:t>a</w:t>
      </w:r>
      <w:r>
        <w:rPr>
          <w:spacing w:val="-12"/>
          <w:w w:val="110"/>
        </w:rPr>
        <w:t> </w:t>
      </w:r>
      <w:r>
        <w:rPr>
          <w:w w:val="110"/>
        </w:rPr>
        <w:t>further</w:t>
      </w:r>
      <w:r>
        <w:rPr>
          <w:spacing w:val="-12"/>
          <w:w w:val="110"/>
        </w:rPr>
        <w:t> </w:t>
      </w:r>
      <w:r>
        <w:rPr>
          <w:w w:val="110"/>
        </w:rPr>
        <w:t>slight</w:t>
      </w:r>
      <w:r>
        <w:rPr>
          <w:spacing w:val="-12"/>
          <w:w w:val="110"/>
        </w:rPr>
        <w:t> </w:t>
      </w:r>
      <w:r>
        <w:rPr>
          <w:w w:val="110"/>
        </w:rPr>
        <w:t>rise.</w:t>
      </w:r>
      <w:r>
        <w:rPr>
          <w:spacing w:val="32"/>
          <w:w w:val="110"/>
        </w:rPr>
        <w:t> </w:t>
      </w:r>
      <w:r>
        <w:rPr>
          <w:w w:val="110"/>
        </w:rPr>
        <w:t>Although</w:t>
      </w:r>
      <w:r>
        <w:rPr>
          <w:spacing w:val="-12"/>
          <w:w w:val="110"/>
        </w:rPr>
        <w:t> </w:t>
      </w:r>
      <w:r>
        <w:rPr>
          <w:w w:val="110"/>
        </w:rPr>
        <w:t>these</w:t>
      </w:r>
      <w:r>
        <w:rPr>
          <w:spacing w:val="-12"/>
          <w:w w:val="110"/>
        </w:rPr>
        <w:t> </w:t>
      </w:r>
      <w:r>
        <w:rPr>
          <w:w w:val="110"/>
        </w:rPr>
        <w:t>and</w:t>
      </w:r>
    </w:p>
    <w:p>
      <w:pPr>
        <w:pStyle w:val="BodyText"/>
        <w:spacing w:line="209" w:lineRule="exact"/>
        <w:ind w:left="175"/>
      </w:pPr>
      <w:r>
        <w:rPr>
          <w:w w:val="110"/>
        </w:rPr>
        <w:t>other settlements in the current wage round will not</w:t>
      </w:r>
    </w:p>
    <w:p>
      <w:pPr>
        <w:spacing w:after="0" w:line="209" w:lineRule="exact"/>
        <w:sectPr>
          <w:type w:val="continuous"/>
          <w:pgSz w:w="11900" w:h="16840"/>
          <w:pgMar w:top="1260" w:bottom="280" w:left="640" w:right="640"/>
          <w:cols w:num="3" w:equalWidth="0">
            <w:col w:w="3212" w:space="40"/>
            <w:col w:w="433" w:space="1244"/>
            <w:col w:w="5691"/>
          </w:cols>
        </w:sectPr>
      </w:pPr>
    </w:p>
    <w:p>
      <w:pPr>
        <w:spacing w:line="98" w:lineRule="exact" w:before="0"/>
        <w:ind w:left="175" w:right="0" w:firstLine="0"/>
        <w:jc w:val="left"/>
        <w:rPr>
          <w:sz w:val="12"/>
        </w:rPr>
      </w:pPr>
      <w:r>
        <w:rPr>
          <w:w w:val="105"/>
          <w:sz w:val="12"/>
        </w:rPr>
        <w:t>Sources: CBI, Incomes Data Services, Industrial Relations Services,</w:t>
      </w:r>
    </w:p>
    <w:p>
      <w:pPr>
        <w:spacing w:line="129" w:lineRule="exact" w:before="0"/>
        <w:ind w:left="685" w:right="0" w:firstLine="0"/>
        <w:jc w:val="left"/>
        <w:rPr>
          <w:sz w:val="12"/>
        </w:rPr>
      </w:pPr>
      <w:r>
        <w:rPr>
          <w:w w:val="110"/>
          <w:sz w:val="12"/>
        </w:rPr>
        <w:t>Labour Research Department and the </w:t>
      </w:r>
      <w:r>
        <w:rPr>
          <w:spacing w:val="-3"/>
          <w:w w:val="110"/>
          <w:sz w:val="12"/>
        </w:rPr>
        <w:t>Bank’s </w:t>
      </w:r>
      <w:r>
        <w:rPr>
          <w:w w:val="110"/>
          <w:sz w:val="12"/>
        </w:rPr>
        <w:t>regional Agents.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74"/>
        <w:ind w:left="182"/>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3.13</w:t>
      </w:r>
    </w:p>
    <w:p>
      <w:pPr>
        <w:spacing w:before="8"/>
        <w:ind w:left="182" w:right="0" w:firstLine="0"/>
        <w:jc w:val="left"/>
        <w:rPr>
          <w:rFonts w:ascii="Trebuchet MS"/>
          <w:b/>
          <w:sz w:val="20"/>
        </w:rPr>
      </w:pPr>
      <w:r>
        <w:rPr>
          <w:rFonts w:ascii="Trebuchet MS"/>
          <w:b/>
          <w:color w:val="89C6DC"/>
          <w:spacing w:val="-8"/>
          <w:w w:val="76"/>
          <w:sz w:val="20"/>
        </w:rPr>
        <w:t>F</w:t>
      </w:r>
      <w:r>
        <w:rPr>
          <w:rFonts w:ascii="Trebuchet MS"/>
          <w:b/>
          <w:color w:val="89C6DC"/>
          <w:spacing w:val="-1"/>
          <w:w w:val="91"/>
          <w:sz w:val="20"/>
        </w:rPr>
        <w:t>o</w:t>
      </w:r>
      <w:r>
        <w:rPr>
          <w:rFonts w:ascii="Trebuchet MS"/>
          <w:b/>
          <w:color w:val="89C6DC"/>
          <w:spacing w:val="-4"/>
          <w:w w:val="79"/>
          <w:sz w:val="20"/>
        </w:rPr>
        <w:t>r</w:t>
      </w:r>
      <w:r>
        <w:rPr>
          <w:rFonts w:ascii="Trebuchet MS"/>
          <w:b/>
          <w:color w:val="89C6DC"/>
          <w:spacing w:val="-1"/>
          <w:w w:val="92"/>
          <w:sz w:val="20"/>
        </w:rPr>
        <w:t>ecast</w:t>
      </w:r>
      <w:r>
        <w:rPr>
          <w:rFonts w:ascii="Trebuchet MS"/>
          <w:b/>
          <w:color w:val="89C6DC"/>
          <w:w w:val="92"/>
          <w:sz w:val="20"/>
        </w:rPr>
        <w:t>s</w:t>
      </w:r>
      <w:r>
        <w:rPr>
          <w:rFonts w:ascii="Trebuchet MS"/>
          <w:b/>
          <w:color w:val="89C6DC"/>
          <w:spacing w:val="6"/>
          <w:sz w:val="20"/>
        </w:rPr>
        <w:t> </w:t>
      </w:r>
      <w:r>
        <w:rPr>
          <w:rFonts w:ascii="Trebuchet MS"/>
          <w:b/>
          <w:color w:val="89C6DC"/>
          <w:spacing w:val="-1"/>
          <w:w w:val="83"/>
          <w:sz w:val="20"/>
        </w:rPr>
        <w:t>fo</w:t>
      </w:r>
      <w:r>
        <w:rPr>
          <w:rFonts w:ascii="Trebuchet MS"/>
          <w:b/>
          <w:color w:val="89C6DC"/>
          <w:w w:val="83"/>
          <w:sz w:val="20"/>
        </w:rPr>
        <w:t>r</w:t>
      </w:r>
      <w:r>
        <w:rPr>
          <w:rFonts w:ascii="Trebuchet MS"/>
          <w:b/>
          <w:color w:val="89C6DC"/>
          <w:spacing w:val="6"/>
          <w:sz w:val="20"/>
        </w:rPr>
        <w:t> </w:t>
      </w:r>
      <w:r>
        <w:rPr>
          <w:rFonts w:ascii="Trebuchet MS"/>
          <w:b/>
          <w:color w:val="89C6DC"/>
          <w:spacing w:val="-1"/>
          <w:w w:val="91"/>
          <w:sz w:val="20"/>
        </w:rPr>
        <w:t>unempl</w:t>
      </w:r>
      <w:r>
        <w:rPr>
          <w:rFonts w:ascii="Trebuchet MS"/>
          <w:b/>
          <w:color w:val="89C6DC"/>
          <w:spacing w:val="-3"/>
          <w:w w:val="91"/>
          <w:sz w:val="20"/>
        </w:rPr>
        <w:t>o</w:t>
      </w:r>
      <w:r>
        <w:rPr>
          <w:rFonts w:ascii="Trebuchet MS"/>
          <w:b/>
          <w:color w:val="89C6DC"/>
          <w:spacing w:val="-1"/>
          <w:w w:val="88"/>
          <w:sz w:val="20"/>
        </w:rPr>
        <w:t>ymen</w:t>
      </w:r>
      <w:r>
        <w:rPr>
          <w:rFonts w:ascii="Trebuchet MS"/>
          <w:b/>
          <w:color w:val="89C6DC"/>
          <w:w w:val="88"/>
          <w:sz w:val="20"/>
        </w:rPr>
        <w:t>t</w:t>
      </w:r>
      <w:r>
        <w:rPr>
          <w:rFonts w:ascii="Trebuchet MS"/>
          <w:b/>
          <w:color w:val="89C6DC"/>
          <w:spacing w:val="6"/>
          <w:sz w:val="20"/>
        </w:rPr>
        <w:t> </w:t>
      </w:r>
      <w:r>
        <w:rPr>
          <w:rFonts w:ascii="Trebuchet MS"/>
          <w:b/>
          <w:color w:val="89C6DC"/>
          <w:spacing w:val="-1"/>
          <w:w w:val="88"/>
          <w:sz w:val="20"/>
        </w:rPr>
        <w:t>i</w:t>
      </w:r>
      <w:r>
        <w:rPr>
          <w:rFonts w:ascii="Trebuchet MS"/>
          <w:b/>
          <w:color w:val="89C6DC"/>
          <w:w w:val="88"/>
          <w:sz w:val="20"/>
        </w:rPr>
        <w:t>n</w:t>
      </w:r>
      <w:r>
        <w:rPr>
          <w:rFonts w:ascii="Trebuchet MS"/>
          <w:b/>
          <w:color w:val="89C6DC"/>
          <w:spacing w:val="6"/>
          <w:sz w:val="20"/>
        </w:rPr>
        <w:t> </w:t>
      </w:r>
      <w:r>
        <w:rPr>
          <w:rFonts w:ascii="Trebuchet MS"/>
          <w:b/>
          <w:smallCaps/>
          <w:color w:val="89C6DC"/>
          <w:spacing w:val="-1"/>
          <w:w w:val="87"/>
          <w:sz w:val="20"/>
        </w:rPr>
        <w:t>2001</w:t>
      </w:r>
    </w:p>
    <w:p>
      <w:pPr>
        <w:tabs>
          <w:tab w:pos="3051" w:val="left" w:leader="none"/>
        </w:tabs>
        <w:spacing w:line="113" w:lineRule="exact" w:before="95"/>
        <w:ind w:left="204" w:right="0" w:firstLine="0"/>
        <w:jc w:val="center"/>
        <w:rPr>
          <w:sz w:val="12"/>
        </w:rPr>
      </w:pPr>
      <w:r>
        <w:rPr>
          <w:w w:val="105"/>
          <w:sz w:val="12"/>
        </w:rPr>
        <w:t>Millions</w:t>
        <w:tab/>
        <w:t>Per cent</w:t>
      </w:r>
    </w:p>
    <w:p>
      <w:pPr>
        <w:tabs>
          <w:tab w:pos="3710" w:val="left" w:leader="none"/>
        </w:tabs>
        <w:spacing w:line="123" w:lineRule="exact" w:before="0"/>
        <w:ind w:left="132" w:right="0" w:firstLine="0"/>
        <w:jc w:val="center"/>
        <w:rPr>
          <w:sz w:val="12"/>
        </w:rPr>
      </w:pPr>
      <w:r>
        <w:rPr/>
        <w:pict>
          <v:line style="position:absolute;mso-position-horizontal-relative:page;mso-position-vertical-relative:paragraph;z-index:-23120896" from="213.380005pt,2.966271pt" to="217.713005pt,2.966271pt" stroked="true" strokeweight=".5pt" strokecolor="#000000">
            <v:stroke dashstyle="solid"/>
            <w10:wrap type="none"/>
          </v:line>
        </w:pict>
      </w:r>
      <w:r>
        <w:rPr/>
        <w:pict>
          <v:line style="position:absolute;mso-position-horizontal-relative:page;mso-position-vertical-relative:paragraph;z-index:-23120384" from="54.714001pt,2.841271pt" to="59.047001pt,2.841271pt" stroked="true" strokeweight=".5pt" strokecolor="#000000">
            <v:stroke dashstyle="solid"/>
            <w10:wrap type="none"/>
          </v:line>
        </w:pict>
      </w:r>
      <w:r>
        <w:rPr>
          <w:w w:val="115"/>
          <w:sz w:val="12"/>
        </w:rPr>
        <w:t>1.25</w:t>
        <w:tab/>
      </w:r>
      <w:r>
        <w:rPr>
          <w:w w:val="115"/>
          <w:position w:val="1"/>
          <w:sz w:val="12"/>
        </w:rPr>
        <w:t>4.3</w:t>
      </w:r>
    </w:p>
    <w:p>
      <w:pPr>
        <w:pStyle w:val="BodyText"/>
        <w:spacing w:line="292" w:lineRule="auto" w:before="61"/>
        <w:ind w:left="172" w:right="154"/>
      </w:pPr>
      <w:r>
        <w:rPr/>
        <w:br w:type="column"/>
      </w:r>
      <w:r>
        <w:rPr>
          <w:w w:val="110"/>
        </w:rPr>
        <w:t>necessarily foreshadow future trends in </w:t>
      </w:r>
      <w:r>
        <w:rPr>
          <w:spacing w:val="-3"/>
          <w:w w:val="110"/>
        </w:rPr>
        <w:t>average </w:t>
      </w:r>
      <w:r>
        <w:rPr>
          <w:w w:val="110"/>
        </w:rPr>
        <w:t>earnings growth, which </w:t>
      </w:r>
      <w:r>
        <w:rPr>
          <w:spacing w:val="-3"/>
          <w:w w:val="110"/>
        </w:rPr>
        <w:t>may </w:t>
      </w:r>
      <w:r>
        <w:rPr>
          <w:w w:val="110"/>
        </w:rPr>
        <w:t>reflect unanticipated </w:t>
      </w:r>
      <w:r>
        <w:rPr>
          <w:spacing w:val="-3"/>
          <w:w w:val="110"/>
        </w:rPr>
        <w:t>events between </w:t>
      </w:r>
      <w:r>
        <w:rPr>
          <w:w w:val="110"/>
        </w:rPr>
        <w:t>settlement</w:t>
      </w:r>
      <w:r>
        <w:rPr>
          <w:spacing w:val="-18"/>
          <w:w w:val="110"/>
        </w:rPr>
        <w:t> </w:t>
      </w:r>
      <w:r>
        <w:rPr>
          <w:spacing w:val="-3"/>
          <w:w w:val="110"/>
        </w:rPr>
        <w:t>dates,</w:t>
      </w:r>
      <w:r>
        <w:rPr>
          <w:spacing w:val="-17"/>
          <w:w w:val="110"/>
        </w:rPr>
        <w:t> </w:t>
      </w:r>
      <w:r>
        <w:rPr>
          <w:w w:val="110"/>
        </w:rPr>
        <w:t>they</w:t>
      </w:r>
      <w:r>
        <w:rPr>
          <w:spacing w:val="-17"/>
          <w:w w:val="110"/>
        </w:rPr>
        <w:t> </w:t>
      </w:r>
      <w:r>
        <w:rPr>
          <w:w w:val="110"/>
        </w:rPr>
        <w:t>are</w:t>
      </w:r>
      <w:r>
        <w:rPr>
          <w:spacing w:val="-17"/>
          <w:w w:val="110"/>
        </w:rPr>
        <w:t> </w:t>
      </w:r>
      <w:r>
        <w:rPr>
          <w:w w:val="110"/>
        </w:rPr>
        <w:t>likely</w:t>
      </w:r>
      <w:r>
        <w:rPr>
          <w:spacing w:val="-18"/>
          <w:w w:val="110"/>
        </w:rPr>
        <w:t> </w:t>
      </w:r>
      <w:r>
        <w:rPr>
          <w:spacing w:val="-4"/>
          <w:w w:val="110"/>
        </w:rPr>
        <w:t>to</w:t>
      </w:r>
      <w:r>
        <w:rPr>
          <w:spacing w:val="-17"/>
          <w:w w:val="110"/>
        </w:rPr>
        <w:t> </w:t>
      </w:r>
      <w:r>
        <w:rPr>
          <w:w w:val="110"/>
        </w:rPr>
        <w:t>offer</w:t>
      </w:r>
      <w:r>
        <w:rPr>
          <w:spacing w:val="-17"/>
          <w:w w:val="110"/>
        </w:rPr>
        <w:t> </w:t>
      </w:r>
      <w:r>
        <w:rPr>
          <w:w w:val="110"/>
        </w:rPr>
        <w:t>an</w:t>
      </w:r>
      <w:r>
        <w:rPr>
          <w:spacing w:val="-17"/>
          <w:w w:val="110"/>
        </w:rPr>
        <w:t> </w:t>
      </w:r>
      <w:r>
        <w:rPr>
          <w:w w:val="110"/>
        </w:rPr>
        <w:t>important</w:t>
      </w:r>
      <w:r>
        <w:rPr>
          <w:spacing w:val="-18"/>
          <w:w w:val="110"/>
        </w:rPr>
        <w:t> </w:t>
      </w:r>
      <w:r>
        <w:rPr>
          <w:w w:val="110"/>
        </w:rPr>
        <w:t>reading on current and future earnings</w:t>
      </w:r>
      <w:r>
        <w:rPr>
          <w:spacing w:val="-27"/>
          <w:w w:val="110"/>
        </w:rPr>
        <w:t> </w:t>
      </w:r>
      <w:r>
        <w:rPr>
          <w:spacing w:val="-3"/>
          <w:w w:val="110"/>
        </w:rPr>
        <w:t>pressures.</w:t>
      </w:r>
    </w:p>
    <w:p>
      <w:pPr>
        <w:pStyle w:val="BodyText"/>
        <w:spacing w:before="4"/>
        <w:rPr>
          <w:sz w:val="29"/>
        </w:rPr>
      </w:pPr>
    </w:p>
    <w:p>
      <w:pPr>
        <w:pStyle w:val="BodyText"/>
        <w:spacing w:line="292" w:lineRule="auto"/>
        <w:ind w:left="172" w:right="340"/>
      </w:pPr>
      <w:r>
        <w:rPr>
          <w:w w:val="105"/>
        </w:rPr>
        <w:t>High labour utilisation and widespread skill shortages are likely to exert upward pressure on settlements and earnings growth. However, because pay rates are generally fixed for a specific period, wage bargainers may also take into account</w:t>
      </w:r>
    </w:p>
    <w:p>
      <w:pPr>
        <w:spacing w:after="0" w:line="292" w:lineRule="auto"/>
        <w:sectPr>
          <w:type w:val="continuous"/>
          <w:pgSz w:w="11900" w:h="16840"/>
          <w:pgMar w:top="1260" w:bottom="280" w:left="640" w:right="640"/>
          <w:cols w:num="2" w:equalWidth="0">
            <w:col w:w="3962" w:space="969"/>
            <w:col w:w="5689"/>
          </w:cols>
        </w:sectPr>
      </w:pPr>
    </w:p>
    <w:p>
      <w:pPr>
        <w:spacing w:line="121" w:lineRule="exact" w:before="0"/>
        <w:ind w:left="172" w:right="0" w:firstLine="0"/>
        <w:jc w:val="left"/>
        <w:rPr>
          <w:sz w:val="12"/>
        </w:rPr>
      </w:pPr>
      <w:r>
        <w:rPr>
          <w:w w:val="115"/>
          <w:sz w:val="12"/>
        </w:rPr>
        <w:t>1.20</w:t>
      </w:r>
    </w:p>
    <w:p>
      <w:pPr>
        <w:pStyle w:val="BodyText"/>
        <w:rPr>
          <w:sz w:val="12"/>
        </w:rPr>
      </w:pPr>
    </w:p>
    <w:p>
      <w:pPr>
        <w:pStyle w:val="BodyText"/>
        <w:spacing w:before="6"/>
        <w:rPr>
          <w:sz w:val="10"/>
        </w:rPr>
      </w:pPr>
    </w:p>
    <w:p>
      <w:pPr>
        <w:spacing w:before="0"/>
        <w:ind w:left="172" w:right="0" w:firstLine="0"/>
        <w:jc w:val="left"/>
        <w:rPr>
          <w:sz w:val="12"/>
        </w:rPr>
      </w:pPr>
      <w:r>
        <w:rPr>
          <w:w w:val="115"/>
          <w:sz w:val="12"/>
        </w:rPr>
        <w:t>1.15</w:t>
      </w:r>
    </w:p>
    <w:p>
      <w:pPr>
        <w:pStyle w:val="BodyText"/>
        <w:spacing w:before="1"/>
        <w:rPr>
          <w:sz w:val="4"/>
        </w:rPr>
      </w:pPr>
      <w:r>
        <w:rPr/>
        <w:br w:type="column"/>
      </w:r>
      <w:r>
        <w:rPr>
          <w:sz w:val="4"/>
        </w:rPr>
      </w:r>
    </w:p>
    <w:p>
      <w:pPr>
        <w:pStyle w:val="BodyText"/>
        <w:spacing w:line="20" w:lineRule="exact"/>
        <w:ind w:left="-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3"/>
        <w:rPr>
          <w:sz w:val="13"/>
        </w:rPr>
      </w:pPr>
    </w:p>
    <w:p>
      <w:pPr>
        <w:pStyle w:val="BodyText"/>
        <w:spacing w:line="20" w:lineRule="exact"/>
        <w:ind w:left="-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208" w:lineRule="auto" w:before="32"/>
        <w:ind w:left="210" w:right="38" w:hanging="61"/>
        <w:jc w:val="left"/>
        <w:rPr>
          <w:sz w:val="12"/>
        </w:rPr>
      </w:pPr>
      <w:r>
        <w:rPr/>
        <w:pict>
          <v:group style="position:absolute;margin-left:62.630001pt;margin-top:17.724512pt;width:155.1pt;height:51.75pt;mso-position-horizontal-relative:page;mso-position-vertical-relative:paragraph;z-index:-23123456" coordorigin="1253,354" coordsize="3102,1035">
            <v:shape style="position:absolute;left:1262;top:364;width:1200;height:233" coordorigin="1263,364" coordsize="1200,233" path="m1263,364l1500,367m1500,364l1748,367m1748,364l1985,367m1985,364l2225,597m2225,597l2463,364e" filled="false" stroked="true" strokeweight="1pt" strokecolor="#00a2a0">
              <v:path arrowok="t"/>
              <v:stroke dashstyle="solid"/>
            </v:shape>
            <v:shape style="position:absolute;left:1262;top:647;width:1448;height:418" coordorigin="1263,647" coordsize="1448,418" path="m1263,647l1500,649m1500,647l1748,814m1748,814l1985,1064m1985,1064l2225,979m2225,979l2463,897m2463,897l2710,729e" filled="false" stroked="true" strokeweight="1pt" strokecolor="#006caa">
              <v:path arrowok="t"/>
              <v:stroke dashstyle="solid"/>
            </v:shape>
            <v:shape style="position:absolute;left:2950;top:364;width:1200;height:715" coordorigin="2950,364" coordsize="1200,715" path="m2950,364l3188,597m3188,597l3425,847m3425,847l3673,1079m3673,1079l3913,847m3913,847l4150,849e" filled="false" stroked="true" strokeweight="1pt" strokecolor="#00a2a0">
              <v:path arrowok="t"/>
              <v:stroke dashstyle="solid"/>
            </v:shape>
            <v:shape style="position:absolute;left:4105;top:779;width:90;height:135" coordorigin="4105,779" coordsize="90,135" path="m4150,779l4105,847,4150,914,4195,847,4150,779xe" filled="true" fillcolor="#de8508" stroked="false">
              <v:path arrowok="t"/>
              <v:fill type="solid"/>
            </v:shape>
            <v:shape style="position:absolute;left:4105;top:779;width:90;height:135" coordorigin="4105,779" coordsize="90,135" path="m4150,779l4195,847,4150,914,4105,847,4150,779xe" filled="false" stroked="true" strokeweight=".5pt" strokecolor="#de8508">
              <v:path arrowok="t"/>
              <v:stroke dashstyle="solid"/>
            </v:shape>
            <v:shape style="position:absolute;left:2710;top:729;width:1440;height:650" coordorigin="2710,729" coordsize="1440,650" path="m2710,729l2950,897m2950,897l3188,1064m3188,1064l3425,1379m3673,1379l3913,1229m3913,1229l4150,979e" filled="false" stroked="true" strokeweight="1pt" strokecolor="#006caa">
              <v:path arrowok="t"/>
              <v:stroke dashstyle="solid"/>
            </v:shape>
            <v:shape style="position:absolute;left:4267;top:597;width:87;height:485" coordorigin="4268,597" coordsize="87,485" path="m4268,597l4354,597m4268,1082l4354,1082e" filled="false" stroked="true" strokeweight=".5pt" strokecolor="#000000">
              <v:path arrowok="t"/>
              <v:stroke dashstyle="solid"/>
            </v:shape>
            <v:shape style="position:absolute;left:3785;top:400;width:357;height:357" type="#_x0000_t75" stroked="false">
              <v:imagedata r:id="rId126" o:title=""/>
            </v:shape>
            <w10:wrap type="none"/>
          </v:group>
        </w:pict>
      </w:r>
      <w:r>
        <w:rPr>
          <w:w w:val="105"/>
          <w:sz w:val="12"/>
        </w:rPr>
        <w:t>Consensus Economics (a) (right-hand scale)</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2"/>
        <w:rPr>
          <w:sz w:val="15"/>
        </w:rPr>
      </w:pPr>
    </w:p>
    <w:p>
      <w:pPr>
        <w:spacing w:before="1"/>
        <w:ind w:left="172" w:right="0" w:firstLine="0"/>
        <w:jc w:val="left"/>
        <w:rPr>
          <w:sz w:val="12"/>
        </w:rPr>
      </w:pPr>
      <w:r>
        <w:rPr>
          <w:w w:val="110"/>
          <w:sz w:val="12"/>
        </w:rPr>
        <w:t>Unemployment in</w:t>
      </w:r>
    </w:p>
    <w:p>
      <w:pPr>
        <w:spacing w:before="37"/>
        <w:ind w:left="172" w:right="0" w:firstLine="0"/>
        <w:jc w:val="left"/>
        <w:rPr>
          <w:sz w:val="12"/>
        </w:rPr>
      </w:pPr>
      <w:r>
        <w:rPr/>
        <w:br w:type="column"/>
      </w:r>
      <w:r>
        <w:rPr>
          <w:w w:val="115"/>
          <w:sz w:val="12"/>
        </w:rPr>
        <w:t>4.1</w:t>
      </w:r>
    </w:p>
    <w:p>
      <w:pPr>
        <w:pStyle w:val="BodyText"/>
        <w:rPr>
          <w:sz w:val="12"/>
        </w:rPr>
      </w:pPr>
    </w:p>
    <w:p>
      <w:pPr>
        <w:pStyle w:val="BodyText"/>
        <w:spacing w:before="8"/>
        <w:rPr>
          <w:sz w:val="17"/>
        </w:rPr>
      </w:pPr>
    </w:p>
    <w:p>
      <w:pPr>
        <w:spacing w:before="0"/>
        <w:ind w:left="172" w:right="0" w:firstLine="0"/>
        <w:jc w:val="left"/>
        <w:rPr>
          <w:sz w:val="12"/>
        </w:rPr>
      </w:pPr>
      <w:r>
        <w:rPr/>
        <w:pict>
          <v:line style="position:absolute;mso-position-horizontal-relative:page;mso-position-vertical-relative:paragraph;z-index:16206848" from="213.380005pt,-19.85743pt" to="217.713005pt,-19.85743pt" stroked="true" strokeweight=".5pt" strokecolor="#000000">
            <v:stroke dashstyle="solid"/>
            <w10:wrap type="none"/>
          </v:line>
        </w:pict>
      </w:r>
      <w:r>
        <w:rPr/>
        <w:pict>
          <v:line style="position:absolute;mso-position-horizontal-relative:page;mso-position-vertical-relative:paragraph;z-index:16207360" from="213.380005pt,4.392571pt" to="217.713005pt,4.392571pt" stroked="true" strokeweight=".5pt" strokecolor="#000000">
            <v:stroke dashstyle="solid"/>
            <w10:wrap type="none"/>
          </v:line>
        </w:pict>
      </w:r>
      <w:r>
        <w:rPr>
          <w:w w:val="115"/>
          <w:sz w:val="12"/>
        </w:rPr>
        <w:t>3.9</w:t>
      </w:r>
    </w:p>
    <w:p>
      <w:pPr>
        <w:pStyle w:val="BodyText"/>
        <w:spacing w:line="292" w:lineRule="auto"/>
        <w:ind w:left="172" w:right="70"/>
      </w:pPr>
      <w:r>
        <w:rPr/>
        <w:br w:type="column"/>
      </w:r>
      <w:r>
        <w:rPr>
          <w:w w:val="110"/>
        </w:rPr>
        <w:t>expectations of future labour market conditions. As discussed earlier, recent labour market quantities data suggest that there</w:t>
      </w:r>
    </w:p>
    <w:p>
      <w:pPr>
        <w:pStyle w:val="BodyText"/>
        <w:spacing w:line="176" w:lineRule="exact"/>
        <w:ind w:left="172"/>
      </w:pPr>
      <w:r>
        <w:rPr>
          <w:w w:val="110"/>
        </w:rPr>
        <w:t>has been no further tightening in the market, although there</w:t>
      </w:r>
    </w:p>
    <w:p>
      <w:pPr>
        <w:spacing w:after="0" w:line="176" w:lineRule="exact"/>
        <w:sectPr>
          <w:type w:val="continuous"/>
          <w:pgSz w:w="11900" w:h="16840"/>
          <w:pgMar w:top="1260" w:bottom="280" w:left="640" w:right="640"/>
          <w:cols w:num="5" w:equalWidth="0">
            <w:col w:w="418" w:space="40"/>
            <w:col w:w="1500" w:space="345"/>
            <w:col w:w="1136" w:space="138"/>
            <w:col w:w="385" w:space="970"/>
            <w:col w:w="5688"/>
          </w:cols>
        </w:sectPr>
      </w:pPr>
    </w:p>
    <w:p>
      <w:pPr>
        <w:spacing w:before="56"/>
        <w:ind w:left="172" w:right="0" w:firstLine="0"/>
        <w:jc w:val="left"/>
        <w:rPr>
          <w:sz w:val="12"/>
        </w:rPr>
      </w:pPr>
      <w:r>
        <w:rPr/>
        <w:pict>
          <v:line style="position:absolute;mso-position-horizontal-relative:page;mso-position-vertical-relative:paragraph;z-index:16209920" from="54.714001pt,6.400975pt" to="59.047001pt,6.400975pt" stroked="true" strokeweight=".5pt" strokecolor="#000000">
            <v:stroke dashstyle="solid"/>
            <w10:wrap type="none"/>
          </v:line>
        </w:pict>
      </w:r>
      <w:r>
        <w:rPr>
          <w:w w:val="115"/>
          <w:sz w:val="12"/>
        </w:rPr>
        <w:t>1.10</w:t>
      </w:r>
    </w:p>
    <w:p>
      <w:pPr>
        <w:pStyle w:val="BodyText"/>
        <w:rPr>
          <w:sz w:val="12"/>
        </w:rPr>
      </w:pPr>
    </w:p>
    <w:p>
      <w:pPr>
        <w:pStyle w:val="BodyText"/>
        <w:rPr>
          <w:sz w:val="12"/>
        </w:rPr>
      </w:pPr>
    </w:p>
    <w:p>
      <w:pPr>
        <w:spacing w:before="1"/>
        <w:ind w:left="172" w:right="0" w:firstLine="0"/>
        <w:jc w:val="left"/>
        <w:rPr>
          <w:sz w:val="12"/>
        </w:rPr>
      </w:pPr>
      <w:r>
        <w:rPr/>
        <w:pict>
          <v:line style="position:absolute;mso-position-horizontal-relative:page;mso-position-vertical-relative:paragraph;z-index:16210432" from="54.714001pt,3.651189pt" to="59.047001pt,3.651189pt" stroked="true" strokeweight=".5pt" strokecolor="#000000">
            <v:stroke dashstyle="solid"/>
            <w10:wrap type="none"/>
          </v:line>
        </w:pict>
      </w:r>
      <w:r>
        <w:rPr>
          <w:w w:val="115"/>
          <w:sz w:val="12"/>
        </w:rPr>
        <w:t>1.05</w:t>
      </w:r>
    </w:p>
    <w:p>
      <w:pPr>
        <w:pStyle w:val="BodyText"/>
        <w:rPr>
          <w:sz w:val="12"/>
        </w:rPr>
      </w:pPr>
    </w:p>
    <w:p>
      <w:pPr>
        <w:pStyle w:val="BodyText"/>
        <w:spacing w:before="3"/>
        <w:rPr>
          <w:sz w:val="12"/>
        </w:rPr>
      </w:pPr>
    </w:p>
    <w:p>
      <w:pPr>
        <w:spacing w:before="0"/>
        <w:ind w:left="172" w:right="0" w:firstLine="0"/>
        <w:jc w:val="left"/>
        <w:rPr>
          <w:sz w:val="12"/>
        </w:rPr>
      </w:pPr>
      <w:r>
        <w:rPr/>
        <w:pict>
          <v:line style="position:absolute;mso-position-horizontal-relative:page;mso-position-vertical-relative:paragraph;z-index:16211456" from="54.714001pt,3.600991pt" to="59.047001pt,3.600991pt" stroked="true" strokeweight=".5pt" strokecolor="#000000">
            <v:stroke dashstyle="solid"/>
            <w10:wrap type="none"/>
          </v:line>
        </w:pict>
      </w:r>
      <w:r>
        <w:rPr>
          <w:w w:val="115"/>
          <w:sz w:val="12"/>
        </w:rPr>
        <w:t>1.00</w:t>
      </w:r>
    </w:p>
    <w:p>
      <w:pPr>
        <w:pStyle w:val="BodyText"/>
        <w:rPr>
          <w:sz w:val="12"/>
        </w:rPr>
      </w:pPr>
    </w:p>
    <w:p>
      <w:pPr>
        <w:pStyle w:val="BodyText"/>
        <w:spacing w:before="6"/>
        <w:rPr>
          <w:sz w:val="10"/>
        </w:rPr>
      </w:pPr>
    </w:p>
    <w:p>
      <w:pPr>
        <w:spacing w:before="1"/>
        <w:ind w:left="172" w:right="0" w:firstLine="0"/>
        <w:jc w:val="left"/>
        <w:rPr>
          <w:sz w:val="12"/>
        </w:rPr>
      </w:pPr>
      <w:r>
        <w:rPr/>
        <w:pict>
          <v:line style="position:absolute;mso-position-horizontal-relative:page;mso-position-vertical-relative:paragraph;z-index:16210944" from="54.714001pt,3.77599pt" to="59.047001pt,3.77599pt" stroked="true" strokeweight=".5pt" strokecolor="#000000">
            <v:stroke dashstyle="solid"/>
            <w10:wrap type="none"/>
          </v:line>
        </w:pict>
      </w:r>
      <w:r>
        <w:rPr>
          <w:w w:val="115"/>
          <w:sz w:val="12"/>
        </w:rPr>
        <w:t>0.95</w:t>
      </w:r>
    </w:p>
    <w:p>
      <w:pPr>
        <w:pStyle w:val="BodyText"/>
        <w:rPr>
          <w:sz w:val="12"/>
        </w:rPr>
      </w:pPr>
    </w:p>
    <w:p>
      <w:pPr>
        <w:pStyle w:val="BodyText"/>
        <w:spacing w:before="3"/>
        <w:rPr>
          <w:sz w:val="12"/>
        </w:rPr>
      </w:pPr>
    </w:p>
    <w:p>
      <w:pPr>
        <w:spacing w:line="111" w:lineRule="exact" w:before="0"/>
        <w:ind w:left="172" w:right="0" w:firstLine="0"/>
        <w:jc w:val="left"/>
        <w:rPr>
          <w:sz w:val="12"/>
        </w:rPr>
      </w:pPr>
      <w:r>
        <w:rPr/>
        <w:pict>
          <v:shape style="position:absolute;margin-left:54.714001pt;margin-top:3.222792pt;width:164.05pt;height:7.45pt;mso-position-horizontal-relative:page;mso-position-vertical-relative:paragraph;z-index:-23121408" coordorigin="1094,64" coordsize="3281,149" path="m4268,72l4354,72m4355,67l4355,94,4335,110,4375,124,4335,144,4375,161,4351,171,4351,210m1094,72l1181,72m1183,64l1183,91,1163,107,1203,121,1163,141,1203,158,1179,168,1179,208m1094,208l4351,208m1263,146l1263,213m2710,146l2710,213m3425,146l3425,213m4153,146l4153,213m1985,146l1985,213e" filled="false" stroked="true" strokeweight=".5pt" strokecolor="#000000">
            <v:path arrowok="t"/>
            <v:stroke dashstyle="solid"/>
            <w10:wrap type="none"/>
          </v:shape>
        </w:pict>
      </w:r>
      <w:r>
        <w:rPr>
          <w:w w:val="115"/>
          <w:sz w:val="12"/>
        </w:rPr>
        <w:t>0.90</w:t>
      </w:r>
    </w:p>
    <w:p>
      <w:pPr>
        <w:tabs>
          <w:tab w:pos="1487" w:val="left" w:leader="none"/>
          <w:tab w:pos="1725" w:val="left" w:leader="none"/>
        </w:tabs>
        <w:spacing w:line="126" w:lineRule="exact" w:before="0"/>
        <w:ind w:left="980" w:right="0" w:firstLine="0"/>
        <w:jc w:val="left"/>
        <w:rPr>
          <w:sz w:val="12"/>
        </w:rPr>
      </w:pPr>
      <w:r>
        <w:rPr/>
        <w:br w:type="column"/>
      </w:r>
      <w:r>
        <w:rPr>
          <w:sz w:val="12"/>
          <w:u w:val="thick" w:color="00A2A0"/>
        </w:rPr>
        <w:t> </w:t>
        <w:tab/>
      </w:r>
      <w:r>
        <w:rPr>
          <w:sz w:val="12"/>
        </w:rPr>
        <w:tab/>
      </w:r>
      <w:r>
        <w:rPr>
          <w:w w:val="110"/>
          <w:sz w:val="12"/>
        </w:rPr>
        <w:t>December 2000</w:t>
      </w:r>
      <w:r>
        <w:rPr>
          <w:spacing w:val="-1"/>
          <w:w w:val="110"/>
          <w:sz w:val="12"/>
        </w:rPr>
        <w:t> </w:t>
      </w:r>
      <w:r>
        <w:rPr>
          <w:spacing w:val="-7"/>
          <w:w w:val="110"/>
          <w:sz w:val="12"/>
        </w:rPr>
        <w:t>(b)</w:t>
      </w:r>
    </w:p>
    <w:p>
      <w:pPr>
        <w:pStyle w:val="BodyText"/>
        <w:rPr>
          <w:sz w:val="14"/>
        </w:rPr>
      </w:pPr>
    </w:p>
    <w:p>
      <w:pPr>
        <w:pStyle w:val="BodyText"/>
        <w:rPr>
          <w:sz w:val="14"/>
        </w:rPr>
      </w:pPr>
    </w:p>
    <w:p>
      <w:pPr>
        <w:pStyle w:val="BodyText"/>
        <w:rPr>
          <w:sz w:val="14"/>
        </w:rPr>
      </w:pPr>
    </w:p>
    <w:p>
      <w:pPr>
        <w:pStyle w:val="BodyText"/>
        <w:spacing w:before="7"/>
        <w:rPr>
          <w:sz w:val="17"/>
        </w:rPr>
      </w:pPr>
    </w:p>
    <w:p>
      <w:pPr>
        <w:spacing w:before="0"/>
        <w:ind w:left="172" w:right="0" w:firstLine="0"/>
        <w:jc w:val="left"/>
        <w:rPr>
          <w:sz w:val="12"/>
        </w:rPr>
      </w:pPr>
      <w:r>
        <w:rPr>
          <w:w w:val="110"/>
          <w:sz w:val="12"/>
        </w:rPr>
        <w:t>HMT panel of independent</w:t>
      </w:r>
    </w:p>
    <w:p>
      <w:pPr>
        <w:tabs>
          <w:tab w:pos="1942" w:val="left" w:leader="none"/>
          <w:tab w:pos="2210" w:val="left" w:leader="none"/>
        </w:tabs>
        <w:spacing w:before="2"/>
        <w:ind w:left="233" w:right="0" w:firstLine="0"/>
        <w:jc w:val="left"/>
        <w:rPr>
          <w:sz w:val="12"/>
        </w:rPr>
      </w:pPr>
      <w:r>
        <w:rPr>
          <w:w w:val="105"/>
          <w:sz w:val="12"/>
        </w:rPr>
        <w:t>forecasters</w:t>
      </w:r>
      <w:r>
        <w:rPr>
          <w:spacing w:val="13"/>
          <w:w w:val="105"/>
          <w:sz w:val="12"/>
        </w:rPr>
        <w:t> </w:t>
      </w:r>
      <w:r>
        <w:rPr>
          <w:w w:val="105"/>
          <w:sz w:val="12"/>
        </w:rPr>
        <w:t>(c)</w:t>
      </w:r>
      <w:r>
        <w:rPr>
          <w:sz w:val="12"/>
        </w:rPr>
        <w:tab/>
      </w:r>
      <w:r>
        <w:rPr>
          <w:sz w:val="12"/>
          <w:u w:val="thick" w:color="006CAA"/>
        </w:rPr>
        <w:t> </w:t>
        <w:tab/>
      </w:r>
    </w:p>
    <w:p>
      <w:pPr>
        <w:spacing w:before="2"/>
        <w:ind w:left="233" w:right="0" w:firstLine="0"/>
        <w:jc w:val="left"/>
        <w:rPr>
          <w:sz w:val="12"/>
        </w:rPr>
      </w:pPr>
      <w:r>
        <w:rPr>
          <w:w w:val="105"/>
          <w:sz w:val="12"/>
        </w:rPr>
        <w:t>(left-hand scale)</w:t>
      </w:r>
    </w:p>
    <w:p>
      <w:pPr>
        <w:pStyle w:val="BodyText"/>
        <w:rPr>
          <w:sz w:val="12"/>
        </w:rPr>
      </w:pPr>
      <w:r>
        <w:rPr/>
        <w:br w:type="column"/>
      </w:r>
      <w:r>
        <w:rPr>
          <w:sz w:val="12"/>
        </w:rPr>
      </w:r>
    </w:p>
    <w:p>
      <w:pPr>
        <w:spacing w:before="108"/>
        <w:ind w:left="125" w:right="0" w:firstLine="0"/>
        <w:jc w:val="left"/>
        <w:rPr>
          <w:sz w:val="12"/>
        </w:rPr>
      </w:pPr>
      <w:r>
        <w:rPr>
          <w:w w:val="115"/>
          <w:sz w:val="12"/>
        </w:rPr>
        <w:t>3.7</w:t>
      </w:r>
    </w:p>
    <w:p>
      <w:pPr>
        <w:pStyle w:val="BodyText"/>
        <w:rPr>
          <w:sz w:val="12"/>
        </w:rPr>
      </w:pPr>
    </w:p>
    <w:p>
      <w:pPr>
        <w:pStyle w:val="BodyText"/>
        <w:spacing w:before="10"/>
        <w:rPr>
          <w:sz w:val="17"/>
        </w:rPr>
      </w:pPr>
    </w:p>
    <w:p>
      <w:pPr>
        <w:spacing w:before="1"/>
        <w:ind w:left="125" w:right="0" w:firstLine="0"/>
        <w:jc w:val="left"/>
        <w:rPr>
          <w:sz w:val="12"/>
        </w:rPr>
      </w:pPr>
      <w:r>
        <w:rPr>
          <w:w w:val="115"/>
          <w:sz w:val="12"/>
        </w:rPr>
        <w:t>3.5</w:t>
      </w:r>
    </w:p>
    <w:p>
      <w:pPr>
        <w:pStyle w:val="BodyText"/>
        <w:rPr>
          <w:sz w:val="12"/>
        </w:rPr>
      </w:pPr>
    </w:p>
    <w:p>
      <w:pPr>
        <w:pStyle w:val="BodyText"/>
        <w:spacing w:before="10"/>
        <w:rPr>
          <w:sz w:val="17"/>
        </w:rPr>
      </w:pPr>
    </w:p>
    <w:p>
      <w:pPr>
        <w:pStyle w:val="ListParagraph"/>
        <w:numPr>
          <w:ilvl w:val="1"/>
          <w:numId w:val="19"/>
        </w:numPr>
        <w:tabs>
          <w:tab w:pos="299" w:val="left" w:leader="none"/>
        </w:tabs>
        <w:spacing w:line="240" w:lineRule="auto" w:before="1" w:after="0"/>
        <w:ind w:left="298" w:right="0" w:hanging="174"/>
        <w:jc w:val="left"/>
        <w:rPr>
          <w:sz w:val="10"/>
        </w:rPr>
      </w:pPr>
      <w:r>
        <w:rPr/>
        <w:pict>
          <v:line style="position:absolute;mso-position-horizontal-relative:page;mso-position-vertical-relative:paragraph;z-index:16207872" from="213.380005pt,4.026357pt" to="217.713005pt,4.026357pt" stroked="true" strokeweight=".5pt" strokecolor="#000000">
            <v:stroke dashstyle="solid"/>
            <w10:wrap type="none"/>
          </v:line>
        </w:pict>
      </w:r>
    </w:p>
    <w:p>
      <w:pPr>
        <w:pStyle w:val="BodyText"/>
        <w:rPr>
          <w:sz w:val="12"/>
        </w:rPr>
      </w:pPr>
    </w:p>
    <w:p>
      <w:pPr>
        <w:pStyle w:val="BodyText"/>
        <w:spacing w:before="11"/>
        <w:rPr>
          <w:sz w:val="17"/>
        </w:rPr>
      </w:pPr>
    </w:p>
    <w:p>
      <w:pPr>
        <w:spacing w:line="121" w:lineRule="exact" w:before="0"/>
        <w:ind w:left="125" w:right="0" w:firstLine="0"/>
        <w:jc w:val="left"/>
        <w:rPr>
          <w:sz w:val="12"/>
        </w:rPr>
      </w:pPr>
      <w:r>
        <w:rPr>
          <w:w w:val="115"/>
          <w:sz w:val="12"/>
        </w:rPr>
        <w:t>3.1</w:t>
      </w:r>
    </w:p>
    <w:p>
      <w:pPr>
        <w:pStyle w:val="BodyText"/>
        <w:spacing w:line="292" w:lineRule="auto" w:before="96"/>
        <w:ind w:left="172" w:right="171"/>
      </w:pPr>
      <w:r>
        <w:rPr/>
        <w:br w:type="column"/>
      </w:r>
      <w:r>
        <w:rPr>
          <w:w w:val="105"/>
        </w:rPr>
        <w:t>is uncertainty surrounding the impact  of  </w:t>
      </w:r>
      <w:r>
        <w:rPr>
          <w:spacing w:val="-3"/>
          <w:w w:val="105"/>
        </w:rPr>
        <w:t>temporary </w:t>
      </w:r>
      <w:r>
        <w:rPr>
          <w:w w:val="105"/>
        </w:rPr>
        <w:t>disruptions. In recent GfK consumer confidence surveys, the balance of households expecting unemployment </w:t>
      </w:r>
      <w:r>
        <w:rPr>
          <w:spacing w:val="-4"/>
          <w:w w:val="105"/>
        </w:rPr>
        <w:t>to </w:t>
      </w:r>
      <w:r>
        <w:rPr>
          <w:w w:val="105"/>
        </w:rPr>
        <w:t>rise has edged up </w:t>
      </w:r>
      <w:r>
        <w:rPr>
          <w:spacing w:val="-3"/>
          <w:w w:val="105"/>
        </w:rPr>
        <w:t>slightly. </w:t>
      </w:r>
      <w:r>
        <w:rPr>
          <w:w w:val="105"/>
        </w:rPr>
        <w:t>And </w:t>
      </w:r>
      <w:r>
        <w:rPr>
          <w:spacing w:val="-3"/>
          <w:w w:val="105"/>
        </w:rPr>
        <w:t>forecasters surveyed by </w:t>
      </w:r>
      <w:r>
        <w:rPr>
          <w:w w:val="105"/>
        </w:rPr>
        <w:t>Consensus Economics and members of the </w:t>
      </w:r>
      <w:r>
        <w:rPr>
          <w:spacing w:val="-4"/>
          <w:w w:val="105"/>
        </w:rPr>
        <w:t>Treasury </w:t>
      </w:r>
      <w:r>
        <w:rPr>
          <w:w w:val="105"/>
        </w:rPr>
        <w:t>panel of independent forecasters now expect little change in unemployment </w:t>
      </w:r>
      <w:r>
        <w:rPr>
          <w:spacing w:val="-3"/>
          <w:w w:val="105"/>
        </w:rPr>
        <w:t>over</w:t>
      </w:r>
      <w:r>
        <w:rPr>
          <w:spacing w:val="18"/>
          <w:w w:val="105"/>
        </w:rPr>
        <w:t> </w:t>
      </w:r>
      <w:r>
        <w:rPr>
          <w:w w:val="105"/>
        </w:rPr>
        <w:t>the</w:t>
      </w:r>
    </w:p>
    <w:p>
      <w:pPr>
        <w:spacing w:after="0" w:line="292" w:lineRule="auto"/>
        <w:sectPr>
          <w:type w:val="continuous"/>
          <w:pgSz w:w="11900" w:h="16840"/>
          <w:pgMar w:top="1260" w:bottom="280" w:left="640" w:right="640"/>
          <w:cols w:num="4" w:equalWidth="0">
            <w:col w:w="458" w:space="375"/>
            <w:col w:w="2753" w:space="39"/>
            <w:col w:w="338" w:space="969"/>
            <w:col w:w="5688"/>
          </w:cols>
        </w:sectPr>
      </w:pPr>
    </w:p>
    <w:p>
      <w:pPr>
        <w:tabs>
          <w:tab w:pos="3750" w:val="left" w:leader="none"/>
        </w:tabs>
        <w:spacing w:line="129" w:lineRule="exact" w:before="17"/>
        <w:ind w:left="172" w:right="0" w:firstLine="0"/>
        <w:jc w:val="left"/>
        <w:rPr>
          <w:sz w:val="12"/>
        </w:rPr>
      </w:pPr>
      <w:r>
        <w:rPr>
          <w:w w:val="115"/>
          <w:sz w:val="12"/>
        </w:rPr>
        <w:t>0.00</w:t>
        <w:tab/>
        <w:t>0.0</w:t>
      </w:r>
    </w:p>
    <w:p>
      <w:pPr>
        <w:tabs>
          <w:tab w:pos="1252" w:val="left" w:leader="none"/>
          <w:tab w:pos="1992" w:val="left" w:leader="none"/>
          <w:tab w:pos="2662" w:val="left" w:leader="none"/>
          <w:tab w:pos="3420" w:val="left" w:leader="none"/>
        </w:tabs>
        <w:spacing w:line="134" w:lineRule="exact" w:before="0"/>
        <w:ind w:left="164" w:right="0" w:firstLine="0"/>
        <w:jc w:val="left"/>
        <w:rPr>
          <w:sz w:val="12"/>
        </w:rPr>
      </w:pPr>
      <w:r>
        <w:rPr>
          <w:position w:val="1"/>
          <w:sz w:val="12"/>
        </w:rPr>
        <w:t>Survey</w:t>
      </w:r>
      <w:r>
        <w:rPr>
          <w:spacing w:val="16"/>
          <w:position w:val="1"/>
          <w:sz w:val="12"/>
        </w:rPr>
        <w:t> </w:t>
      </w:r>
      <w:r>
        <w:rPr>
          <w:sz w:val="12"/>
        </w:rPr>
        <w:t>Jan.</w:t>
        <w:tab/>
        <w:t>Apr.</w:t>
        <w:tab/>
        <w:t>July</w:t>
        <w:tab/>
        <w:t>Oct.</w:t>
        <w:tab/>
        <w:t>Jan.</w:t>
      </w:r>
    </w:p>
    <w:p>
      <w:pPr>
        <w:pStyle w:val="BodyText"/>
        <w:spacing w:line="191" w:lineRule="exact"/>
        <w:ind w:left="164"/>
      </w:pPr>
      <w:r>
        <w:rPr/>
        <w:br w:type="column"/>
      </w:r>
      <w:r>
        <w:rPr>
          <w:w w:val="105"/>
        </w:rPr>
        <w:t>next year, whereas previously they were forecasting further</w:t>
      </w:r>
    </w:p>
    <w:p>
      <w:pPr>
        <w:spacing w:after="0" w:line="191" w:lineRule="exact"/>
        <w:sectPr>
          <w:type w:val="continuous"/>
          <w:pgSz w:w="11900" w:h="16840"/>
          <w:pgMar w:top="1260" w:bottom="280" w:left="640" w:right="640"/>
          <w:cols w:num="2" w:equalWidth="0">
            <w:col w:w="3962" w:space="978"/>
            <w:col w:w="5680"/>
          </w:cols>
        </w:sectPr>
      </w:pPr>
    </w:p>
    <w:p>
      <w:pPr>
        <w:spacing w:before="1"/>
        <w:ind w:left="164" w:right="0" w:firstLine="0"/>
        <w:jc w:val="left"/>
        <w:rPr>
          <w:sz w:val="12"/>
        </w:rPr>
      </w:pPr>
      <w:r>
        <w:rPr>
          <w:w w:val="105"/>
          <w:sz w:val="12"/>
        </w:rPr>
        <w:t>date:</w:t>
      </w:r>
    </w:p>
    <w:p>
      <w:pPr>
        <w:spacing w:before="7"/>
        <w:ind w:left="77" w:right="0" w:firstLine="0"/>
        <w:jc w:val="left"/>
        <w:rPr>
          <w:sz w:val="12"/>
        </w:rPr>
      </w:pPr>
      <w:r>
        <w:rPr/>
        <w:br w:type="column"/>
      </w:r>
      <w:r>
        <w:rPr>
          <w:w w:val="120"/>
          <w:sz w:val="12"/>
        </w:rPr>
        <w:t>2000</w:t>
      </w:r>
    </w:p>
    <w:p>
      <w:pPr>
        <w:spacing w:before="7"/>
        <w:ind w:left="164" w:right="0" w:firstLine="0"/>
        <w:jc w:val="left"/>
        <w:rPr>
          <w:sz w:val="12"/>
        </w:rPr>
      </w:pPr>
      <w:r>
        <w:rPr/>
        <w:br w:type="column"/>
      </w:r>
      <w:r>
        <w:rPr>
          <w:w w:val="120"/>
          <w:sz w:val="12"/>
        </w:rPr>
        <w:t>2001</w:t>
      </w:r>
    </w:p>
    <w:p>
      <w:pPr>
        <w:pStyle w:val="BodyText"/>
        <w:spacing w:line="192" w:lineRule="exact"/>
        <w:ind w:left="164"/>
      </w:pPr>
      <w:r>
        <w:rPr/>
        <w:br w:type="column"/>
      </w:r>
      <w:r>
        <w:rPr>
          <w:w w:val="110"/>
        </w:rPr>
        <w:t>falls (see Chart 3.13). So although the desire to set wages to</w:t>
      </w:r>
    </w:p>
    <w:p>
      <w:pPr>
        <w:spacing w:after="0" w:line="192" w:lineRule="exact"/>
        <w:sectPr>
          <w:type w:val="continuous"/>
          <w:pgSz w:w="11900" w:h="16840"/>
          <w:pgMar w:top="1260" w:bottom="280" w:left="640" w:right="640"/>
          <w:cols w:num="4" w:equalWidth="0">
            <w:col w:w="416" w:space="40"/>
            <w:col w:w="409" w:space="2391"/>
            <w:col w:w="496" w:space="1188"/>
            <w:col w:w="5680"/>
          </w:cols>
        </w:sectPr>
      </w:pPr>
    </w:p>
    <w:p>
      <w:pPr>
        <w:pStyle w:val="BodyText"/>
        <w:spacing w:before="8"/>
        <w:rPr>
          <w:sz w:val="9"/>
        </w:rPr>
      </w:pPr>
    </w:p>
    <w:p>
      <w:pPr>
        <w:spacing w:before="0"/>
        <w:ind w:left="182" w:right="0" w:firstLine="0"/>
        <w:jc w:val="left"/>
        <w:rPr>
          <w:sz w:val="12"/>
        </w:rPr>
      </w:pPr>
      <w:r>
        <w:rPr>
          <w:w w:val="105"/>
          <w:sz w:val="12"/>
        </w:rPr>
        <w:t>Sources: Consensus Economics and HM Treasury.</w:t>
      </w:r>
    </w:p>
    <w:p>
      <w:pPr>
        <w:pStyle w:val="ListParagraph"/>
        <w:numPr>
          <w:ilvl w:val="0"/>
          <w:numId w:val="24"/>
        </w:numPr>
        <w:tabs>
          <w:tab w:pos="423" w:val="left" w:leader="none"/>
        </w:tabs>
        <w:spacing w:line="129" w:lineRule="exact" w:before="102" w:after="0"/>
        <w:ind w:left="422" w:right="0" w:hanging="241"/>
        <w:jc w:val="left"/>
        <w:rPr>
          <w:sz w:val="12"/>
        </w:rPr>
      </w:pPr>
      <w:r>
        <w:rPr>
          <w:w w:val="110"/>
          <w:sz w:val="12"/>
        </w:rPr>
        <w:t>Claimant count unemployment </w:t>
      </w:r>
      <w:r>
        <w:rPr>
          <w:spacing w:val="-3"/>
          <w:w w:val="110"/>
          <w:sz w:val="12"/>
        </w:rPr>
        <w:t>rate </w:t>
      </w:r>
      <w:r>
        <w:rPr>
          <w:w w:val="110"/>
          <w:sz w:val="12"/>
        </w:rPr>
        <w:t>for</w:t>
      </w:r>
      <w:r>
        <w:rPr>
          <w:spacing w:val="-18"/>
          <w:w w:val="110"/>
          <w:sz w:val="12"/>
        </w:rPr>
        <w:t> </w:t>
      </w:r>
      <w:r>
        <w:rPr>
          <w:spacing w:val="-6"/>
          <w:w w:val="110"/>
          <w:sz w:val="12"/>
        </w:rPr>
        <w:t>2001.</w:t>
      </w:r>
    </w:p>
    <w:p>
      <w:pPr>
        <w:pStyle w:val="ListParagraph"/>
        <w:numPr>
          <w:ilvl w:val="0"/>
          <w:numId w:val="24"/>
        </w:numPr>
        <w:tabs>
          <w:tab w:pos="423" w:val="left" w:leader="none"/>
        </w:tabs>
        <w:spacing w:line="208" w:lineRule="auto" w:before="6" w:after="0"/>
        <w:ind w:left="422" w:right="38" w:hanging="240"/>
        <w:jc w:val="left"/>
        <w:rPr>
          <w:sz w:val="12"/>
        </w:rPr>
      </w:pPr>
      <w:r>
        <w:rPr>
          <w:w w:val="110"/>
          <w:sz w:val="12"/>
        </w:rPr>
        <w:t>Claimant</w:t>
      </w:r>
      <w:r>
        <w:rPr>
          <w:spacing w:val="-18"/>
          <w:w w:val="110"/>
          <w:sz w:val="12"/>
        </w:rPr>
        <w:t> </w:t>
      </w:r>
      <w:r>
        <w:rPr>
          <w:w w:val="110"/>
          <w:sz w:val="12"/>
        </w:rPr>
        <w:t>count</w:t>
      </w:r>
      <w:r>
        <w:rPr>
          <w:spacing w:val="-18"/>
          <w:w w:val="110"/>
          <w:sz w:val="12"/>
        </w:rPr>
        <w:t> </w:t>
      </w:r>
      <w:r>
        <w:rPr>
          <w:w w:val="110"/>
          <w:sz w:val="12"/>
        </w:rPr>
        <w:t>unemployment</w:t>
      </w:r>
      <w:r>
        <w:rPr>
          <w:spacing w:val="-17"/>
          <w:w w:val="110"/>
          <w:sz w:val="12"/>
        </w:rPr>
        <w:t> </w:t>
      </w:r>
      <w:r>
        <w:rPr>
          <w:w w:val="110"/>
          <w:sz w:val="12"/>
        </w:rPr>
        <w:t>was</w:t>
      </w:r>
      <w:r>
        <w:rPr>
          <w:spacing w:val="-18"/>
          <w:w w:val="110"/>
          <w:sz w:val="12"/>
        </w:rPr>
        <w:t> </w:t>
      </w:r>
      <w:r>
        <w:rPr>
          <w:w w:val="110"/>
          <w:sz w:val="12"/>
        </w:rPr>
        <w:t>1.04</w:t>
      </w:r>
      <w:r>
        <w:rPr>
          <w:spacing w:val="-17"/>
          <w:w w:val="110"/>
          <w:sz w:val="12"/>
        </w:rPr>
        <w:t> </w:t>
      </w:r>
      <w:r>
        <w:rPr>
          <w:w w:val="110"/>
          <w:sz w:val="12"/>
        </w:rPr>
        <w:t>million</w:t>
      </w:r>
      <w:r>
        <w:rPr>
          <w:spacing w:val="-18"/>
          <w:w w:val="110"/>
          <w:sz w:val="12"/>
        </w:rPr>
        <w:t> </w:t>
      </w:r>
      <w:r>
        <w:rPr>
          <w:w w:val="110"/>
          <w:sz w:val="12"/>
        </w:rPr>
        <w:t>(3.6%)</w:t>
      </w:r>
      <w:r>
        <w:rPr>
          <w:spacing w:val="-18"/>
          <w:w w:val="110"/>
          <w:sz w:val="12"/>
        </w:rPr>
        <w:t> </w:t>
      </w:r>
      <w:r>
        <w:rPr>
          <w:w w:val="110"/>
          <w:sz w:val="12"/>
        </w:rPr>
        <w:t>in December</w:t>
      </w:r>
      <w:r>
        <w:rPr>
          <w:spacing w:val="-3"/>
          <w:w w:val="110"/>
          <w:sz w:val="12"/>
        </w:rPr>
        <w:t> 2000.</w:t>
      </w:r>
    </w:p>
    <w:p>
      <w:pPr>
        <w:pStyle w:val="ListParagraph"/>
        <w:numPr>
          <w:ilvl w:val="0"/>
          <w:numId w:val="24"/>
        </w:numPr>
        <w:tabs>
          <w:tab w:pos="423" w:val="left" w:leader="none"/>
        </w:tabs>
        <w:spacing w:line="123" w:lineRule="exact" w:before="0" w:after="0"/>
        <w:ind w:left="422" w:right="0" w:hanging="241"/>
        <w:jc w:val="left"/>
        <w:rPr>
          <w:sz w:val="12"/>
        </w:rPr>
      </w:pPr>
      <w:r>
        <w:rPr>
          <w:w w:val="110"/>
          <w:sz w:val="12"/>
        </w:rPr>
        <w:t>Claimant count level for </w:t>
      </w:r>
      <w:r>
        <w:rPr>
          <w:spacing w:val="-7"/>
          <w:w w:val="110"/>
          <w:sz w:val="12"/>
        </w:rPr>
        <w:t>2001</w:t>
      </w:r>
      <w:r>
        <w:rPr>
          <w:spacing w:val="-19"/>
          <w:w w:val="110"/>
          <w:sz w:val="12"/>
        </w:rPr>
        <w:t> </w:t>
      </w:r>
      <w:r>
        <w:rPr>
          <w:w w:val="110"/>
          <w:sz w:val="12"/>
        </w:rPr>
        <w:t>Q4.</w:t>
      </w:r>
    </w:p>
    <w:p>
      <w:pPr>
        <w:pStyle w:val="BodyText"/>
        <w:spacing w:line="292" w:lineRule="auto" w:before="50"/>
        <w:ind w:left="182" w:right="195"/>
      </w:pPr>
      <w:r>
        <w:rPr/>
        <w:br w:type="column"/>
      </w:r>
      <w:r>
        <w:rPr>
          <w:w w:val="105"/>
        </w:rPr>
        <w:t>reflect current and prospective retention and recruitment difficulties in a tight market may be a strong upward influence on wages for some time, these pressures may no longer be intensifying.</w:t>
      </w:r>
    </w:p>
    <w:p>
      <w:pPr>
        <w:pStyle w:val="BodyText"/>
        <w:spacing w:before="4"/>
        <w:rPr>
          <w:sz w:val="29"/>
        </w:rPr>
      </w:pPr>
    </w:p>
    <w:p>
      <w:pPr>
        <w:pStyle w:val="BodyText"/>
        <w:spacing w:line="292" w:lineRule="auto"/>
        <w:ind w:left="182" w:right="357"/>
      </w:pPr>
      <w:r>
        <w:rPr>
          <w:spacing w:val="-6"/>
          <w:w w:val="110"/>
        </w:rPr>
        <w:t>Wage </w:t>
      </w:r>
      <w:r>
        <w:rPr>
          <w:w w:val="110"/>
        </w:rPr>
        <w:t>negotiations </w:t>
      </w:r>
      <w:r>
        <w:rPr>
          <w:spacing w:val="-3"/>
          <w:w w:val="110"/>
        </w:rPr>
        <w:t>may </w:t>
      </w:r>
      <w:r>
        <w:rPr>
          <w:w w:val="110"/>
        </w:rPr>
        <w:t>also be affected </w:t>
      </w:r>
      <w:r>
        <w:rPr>
          <w:spacing w:val="-3"/>
          <w:w w:val="110"/>
        </w:rPr>
        <w:t>by </w:t>
      </w:r>
      <w:r>
        <w:rPr>
          <w:w w:val="110"/>
        </w:rPr>
        <w:t>current and expected</w:t>
      </w:r>
      <w:r>
        <w:rPr>
          <w:spacing w:val="-15"/>
          <w:w w:val="110"/>
        </w:rPr>
        <w:t> </w:t>
      </w:r>
      <w:r>
        <w:rPr>
          <w:spacing w:val="-4"/>
          <w:w w:val="110"/>
        </w:rPr>
        <w:t>rates</w:t>
      </w:r>
      <w:r>
        <w:rPr>
          <w:spacing w:val="-15"/>
          <w:w w:val="110"/>
        </w:rPr>
        <w:t> </w:t>
      </w:r>
      <w:r>
        <w:rPr>
          <w:w w:val="110"/>
        </w:rPr>
        <w:t>of</w:t>
      </w:r>
      <w:r>
        <w:rPr>
          <w:spacing w:val="-15"/>
          <w:w w:val="110"/>
        </w:rPr>
        <w:t> </w:t>
      </w:r>
      <w:r>
        <w:rPr>
          <w:w w:val="110"/>
        </w:rPr>
        <w:t>inflation.</w:t>
      </w:r>
      <w:r>
        <w:rPr>
          <w:spacing w:val="26"/>
          <w:w w:val="110"/>
        </w:rPr>
        <w:t> </w:t>
      </w:r>
      <w:r>
        <w:rPr>
          <w:w w:val="110"/>
        </w:rPr>
        <w:t>Employers</w:t>
      </w:r>
      <w:r>
        <w:rPr>
          <w:spacing w:val="-14"/>
          <w:w w:val="110"/>
        </w:rPr>
        <w:t> </w:t>
      </w:r>
      <w:r>
        <w:rPr>
          <w:w w:val="110"/>
        </w:rPr>
        <w:t>need</w:t>
      </w:r>
      <w:r>
        <w:rPr>
          <w:spacing w:val="-15"/>
          <w:w w:val="110"/>
        </w:rPr>
        <w:t> </w:t>
      </w:r>
      <w:r>
        <w:rPr>
          <w:spacing w:val="-4"/>
          <w:w w:val="110"/>
        </w:rPr>
        <w:t>to</w:t>
      </w:r>
      <w:r>
        <w:rPr>
          <w:spacing w:val="-15"/>
          <w:w w:val="110"/>
        </w:rPr>
        <w:t> </w:t>
      </w:r>
      <w:r>
        <w:rPr>
          <w:w w:val="110"/>
        </w:rPr>
        <w:t>control</w:t>
      </w:r>
      <w:r>
        <w:rPr>
          <w:spacing w:val="-15"/>
          <w:w w:val="110"/>
        </w:rPr>
        <w:t> </w:t>
      </w:r>
      <w:r>
        <w:rPr>
          <w:w w:val="110"/>
        </w:rPr>
        <w:t>their labour</w:t>
      </w:r>
      <w:r>
        <w:rPr>
          <w:spacing w:val="-15"/>
          <w:w w:val="110"/>
        </w:rPr>
        <w:t> </w:t>
      </w:r>
      <w:r>
        <w:rPr>
          <w:w w:val="110"/>
        </w:rPr>
        <w:t>costs</w:t>
      </w:r>
      <w:r>
        <w:rPr>
          <w:spacing w:val="-14"/>
          <w:w w:val="110"/>
        </w:rPr>
        <w:t> </w:t>
      </w:r>
      <w:r>
        <w:rPr>
          <w:w w:val="110"/>
        </w:rPr>
        <w:t>per</w:t>
      </w:r>
      <w:r>
        <w:rPr>
          <w:spacing w:val="-15"/>
          <w:w w:val="110"/>
        </w:rPr>
        <w:t> </w:t>
      </w:r>
      <w:r>
        <w:rPr>
          <w:w w:val="110"/>
        </w:rPr>
        <w:t>employee</w:t>
      </w:r>
      <w:r>
        <w:rPr>
          <w:spacing w:val="-14"/>
          <w:w w:val="110"/>
        </w:rPr>
        <w:t> </w:t>
      </w:r>
      <w:r>
        <w:rPr>
          <w:w w:val="110"/>
        </w:rPr>
        <w:t>relative</w:t>
      </w:r>
      <w:r>
        <w:rPr>
          <w:spacing w:val="-14"/>
          <w:w w:val="110"/>
        </w:rPr>
        <w:t> </w:t>
      </w:r>
      <w:r>
        <w:rPr>
          <w:spacing w:val="-4"/>
          <w:w w:val="110"/>
        </w:rPr>
        <w:t>to</w:t>
      </w:r>
      <w:r>
        <w:rPr>
          <w:spacing w:val="-15"/>
          <w:w w:val="110"/>
        </w:rPr>
        <w:t> </w:t>
      </w:r>
      <w:r>
        <w:rPr>
          <w:w w:val="110"/>
        </w:rPr>
        <w:t>the</w:t>
      </w:r>
      <w:r>
        <w:rPr>
          <w:spacing w:val="-14"/>
          <w:w w:val="110"/>
        </w:rPr>
        <w:t> </w:t>
      </w:r>
      <w:r>
        <w:rPr>
          <w:w w:val="110"/>
        </w:rPr>
        <w:t>prices</w:t>
      </w:r>
      <w:r>
        <w:rPr>
          <w:spacing w:val="-14"/>
          <w:w w:val="110"/>
        </w:rPr>
        <w:t> </w:t>
      </w:r>
      <w:r>
        <w:rPr>
          <w:w w:val="110"/>
        </w:rPr>
        <w:t>of</w:t>
      </w:r>
      <w:r>
        <w:rPr>
          <w:spacing w:val="-15"/>
          <w:w w:val="110"/>
        </w:rPr>
        <w:t> </w:t>
      </w:r>
      <w:r>
        <w:rPr>
          <w:w w:val="110"/>
        </w:rPr>
        <w:t>the</w:t>
      </w:r>
      <w:r>
        <w:rPr>
          <w:spacing w:val="-14"/>
          <w:w w:val="110"/>
        </w:rPr>
        <w:t> </w:t>
      </w:r>
      <w:r>
        <w:rPr>
          <w:w w:val="110"/>
        </w:rPr>
        <w:t>goods</w:t>
      </w:r>
    </w:p>
    <w:p>
      <w:pPr>
        <w:spacing w:after="0" w:line="292" w:lineRule="auto"/>
        <w:sectPr>
          <w:type w:val="continuous"/>
          <w:pgSz w:w="11900" w:h="16840"/>
          <w:pgMar w:top="1260" w:bottom="280" w:left="640" w:right="640"/>
          <w:cols w:num="2" w:equalWidth="0">
            <w:col w:w="3442" w:space="1480"/>
            <w:col w:w="5698"/>
          </w:cols>
        </w:sectPr>
      </w:pPr>
    </w:p>
    <w:p>
      <w:pPr>
        <w:pStyle w:val="BodyText"/>
      </w:pPr>
    </w:p>
    <w:p>
      <w:pPr>
        <w:pStyle w:val="BodyText"/>
        <w:spacing w:before="6"/>
        <w:rPr>
          <w:sz w:val="19"/>
        </w:rPr>
      </w:pPr>
    </w:p>
    <w:p>
      <w:pPr>
        <w:pStyle w:val="BodyText"/>
        <w:spacing w:line="292" w:lineRule="auto"/>
        <w:ind w:left="5094" w:right="245"/>
      </w:pPr>
      <w:r>
        <w:rPr>
          <w:w w:val="110"/>
        </w:rPr>
        <w:t>and services they sell domestically and </w:t>
      </w:r>
      <w:r>
        <w:rPr>
          <w:spacing w:val="-3"/>
          <w:w w:val="110"/>
        </w:rPr>
        <w:t>overseas. </w:t>
      </w:r>
      <w:r>
        <w:rPr>
          <w:w w:val="110"/>
        </w:rPr>
        <w:t>Recent </w:t>
      </w:r>
      <w:r>
        <w:rPr>
          <w:spacing w:val="-3"/>
          <w:w w:val="110"/>
        </w:rPr>
        <w:t>surveys</w:t>
      </w:r>
      <w:r>
        <w:rPr>
          <w:spacing w:val="-24"/>
          <w:w w:val="110"/>
        </w:rPr>
        <w:t> </w:t>
      </w:r>
      <w:r>
        <w:rPr>
          <w:w w:val="110"/>
        </w:rPr>
        <w:t>and</w:t>
      </w:r>
      <w:r>
        <w:rPr>
          <w:spacing w:val="-23"/>
          <w:w w:val="110"/>
        </w:rPr>
        <w:t> </w:t>
      </w:r>
      <w:r>
        <w:rPr>
          <w:w w:val="110"/>
        </w:rPr>
        <w:t>reports</w:t>
      </w:r>
      <w:r>
        <w:rPr>
          <w:spacing w:val="-24"/>
          <w:w w:val="110"/>
        </w:rPr>
        <w:t> </w:t>
      </w:r>
      <w:r>
        <w:rPr>
          <w:w w:val="110"/>
        </w:rPr>
        <w:t>from</w:t>
      </w:r>
      <w:r>
        <w:rPr>
          <w:spacing w:val="-23"/>
          <w:w w:val="110"/>
        </w:rPr>
        <w:t> </w:t>
      </w:r>
      <w:r>
        <w:rPr>
          <w:w w:val="110"/>
        </w:rPr>
        <w:t>the</w:t>
      </w:r>
      <w:r>
        <w:rPr>
          <w:spacing w:val="-24"/>
          <w:w w:val="110"/>
        </w:rPr>
        <w:t> </w:t>
      </w:r>
      <w:r>
        <w:rPr>
          <w:spacing w:val="-3"/>
          <w:w w:val="110"/>
        </w:rPr>
        <w:t>Bank’s</w:t>
      </w:r>
      <w:r>
        <w:rPr>
          <w:spacing w:val="-23"/>
          <w:w w:val="110"/>
        </w:rPr>
        <w:t> </w:t>
      </w:r>
      <w:r>
        <w:rPr>
          <w:w w:val="110"/>
        </w:rPr>
        <w:t>regional</w:t>
      </w:r>
      <w:r>
        <w:rPr>
          <w:spacing w:val="-23"/>
          <w:w w:val="110"/>
        </w:rPr>
        <w:t> </w:t>
      </w:r>
      <w:r>
        <w:rPr>
          <w:w w:val="110"/>
        </w:rPr>
        <w:t>Agents</w:t>
      </w:r>
      <w:r>
        <w:rPr>
          <w:spacing w:val="-24"/>
          <w:w w:val="110"/>
        </w:rPr>
        <w:t> </w:t>
      </w:r>
      <w:r>
        <w:rPr>
          <w:w w:val="110"/>
        </w:rPr>
        <w:t>suggest that</w:t>
      </w:r>
      <w:r>
        <w:rPr>
          <w:spacing w:val="-11"/>
          <w:w w:val="110"/>
        </w:rPr>
        <w:t> </w:t>
      </w:r>
      <w:r>
        <w:rPr>
          <w:w w:val="110"/>
        </w:rPr>
        <w:t>competitive</w:t>
      </w:r>
      <w:r>
        <w:rPr>
          <w:spacing w:val="-10"/>
          <w:w w:val="110"/>
        </w:rPr>
        <w:t> </w:t>
      </w:r>
      <w:r>
        <w:rPr>
          <w:spacing w:val="-3"/>
          <w:w w:val="110"/>
        </w:rPr>
        <w:t>pressures</w:t>
      </w:r>
      <w:r>
        <w:rPr>
          <w:spacing w:val="-10"/>
          <w:w w:val="110"/>
        </w:rPr>
        <w:t> </w:t>
      </w:r>
      <w:r>
        <w:rPr>
          <w:w w:val="110"/>
        </w:rPr>
        <w:t>remain</w:t>
      </w:r>
      <w:r>
        <w:rPr>
          <w:spacing w:val="-10"/>
          <w:w w:val="110"/>
        </w:rPr>
        <w:t> </w:t>
      </w:r>
      <w:r>
        <w:rPr>
          <w:w w:val="110"/>
        </w:rPr>
        <w:t>an</w:t>
      </w:r>
      <w:r>
        <w:rPr>
          <w:spacing w:val="-10"/>
          <w:w w:val="110"/>
        </w:rPr>
        <w:t> </w:t>
      </w:r>
      <w:r>
        <w:rPr>
          <w:w w:val="110"/>
        </w:rPr>
        <w:t>important</w:t>
      </w:r>
      <w:r>
        <w:rPr>
          <w:spacing w:val="-10"/>
          <w:w w:val="110"/>
        </w:rPr>
        <w:t> </w:t>
      </w:r>
      <w:r>
        <w:rPr>
          <w:w w:val="110"/>
        </w:rPr>
        <w:t>constraint</w:t>
      </w:r>
      <w:r>
        <w:rPr>
          <w:spacing w:val="-10"/>
          <w:w w:val="110"/>
        </w:rPr>
        <w:t> </w:t>
      </w:r>
      <w:r>
        <w:rPr>
          <w:w w:val="110"/>
        </w:rPr>
        <w:t>on firms’ pricing behaviour and consequently a </w:t>
      </w:r>
      <w:r>
        <w:rPr>
          <w:spacing w:val="-3"/>
          <w:w w:val="110"/>
        </w:rPr>
        <w:t>downward </w:t>
      </w:r>
      <w:r>
        <w:rPr>
          <w:w w:val="110"/>
        </w:rPr>
        <w:t>influence</w:t>
      </w:r>
      <w:r>
        <w:rPr>
          <w:spacing w:val="-18"/>
          <w:w w:val="110"/>
        </w:rPr>
        <w:t> </w:t>
      </w:r>
      <w:r>
        <w:rPr>
          <w:w w:val="110"/>
        </w:rPr>
        <w:t>on</w:t>
      </w:r>
      <w:r>
        <w:rPr>
          <w:spacing w:val="-18"/>
          <w:w w:val="110"/>
        </w:rPr>
        <w:t> </w:t>
      </w:r>
      <w:r>
        <w:rPr>
          <w:spacing w:val="-3"/>
          <w:w w:val="110"/>
        </w:rPr>
        <w:t>pay</w:t>
      </w:r>
      <w:r>
        <w:rPr>
          <w:spacing w:val="-18"/>
          <w:w w:val="110"/>
        </w:rPr>
        <w:t> </w:t>
      </w:r>
      <w:r>
        <w:rPr>
          <w:w w:val="110"/>
        </w:rPr>
        <w:t>settlements.</w:t>
      </w:r>
      <w:r>
        <w:rPr>
          <w:spacing w:val="20"/>
          <w:w w:val="110"/>
        </w:rPr>
        <w:t> </w:t>
      </w:r>
      <w:r>
        <w:rPr>
          <w:spacing w:val="-4"/>
          <w:w w:val="110"/>
        </w:rPr>
        <w:t>However,</w:t>
      </w:r>
      <w:r>
        <w:rPr>
          <w:spacing w:val="-18"/>
          <w:w w:val="110"/>
        </w:rPr>
        <w:t> </w:t>
      </w:r>
      <w:r>
        <w:rPr>
          <w:w w:val="110"/>
        </w:rPr>
        <w:t>as</w:t>
      </w:r>
      <w:r>
        <w:rPr>
          <w:spacing w:val="-18"/>
          <w:w w:val="110"/>
        </w:rPr>
        <w:t> </w:t>
      </w:r>
      <w:r>
        <w:rPr>
          <w:w w:val="110"/>
        </w:rPr>
        <w:t>noted</w:t>
      </w:r>
      <w:r>
        <w:rPr>
          <w:spacing w:val="-18"/>
          <w:w w:val="110"/>
        </w:rPr>
        <w:t> </w:t>
      </w:r>
      <w:r>
        <w:rPr>
          <w:w w:val="110"/>
        </w:rPr>
        <w:t>in</w:t>
      </w:r>
      <w:r>
        <w:rPr>
          <w:spacing w:val="-18"/>
          <w:w w:val="110"/>
        </w:rPr>
        <w:t> </w:t>
      </w:r>
      <w:r>
        <w:rPr>
          <w:w w:val="110"/>
        </w:rPr>
        <w:t>Section</w:t>
      </w:r>
      <w:r>
        <w:rPr>
          <w:spacing w:val="-18"/>
          <w:w w:val="110"/>
        </w:rPr>
        <w:t> </w:t>
      </w:r>
      <w:r>
        <w:rPr>
          <w:w w:val="110"/>
        </w:rPr>
        <w:t>4, some,</w:t>
      </w:r>
      <w:r>
        <w:rPr>
          <w:spacing w:val="-14"/>
          <w:w w:val="110"/>
        </w:rPr>
        <w:t> </w:t>
      </w:r>
      <w:r>
        <w:rPr>
          <w:w w:val="110"/>
        </w:rPr>
        <w:t>but</w:t>
      </w:r>
      <w:r>
        <w:rPr>
          <w:spacing w:val="-14"/>
          <w:w w:val="110"/>
        </w:rPr>
        <w:t> </w:t>
      </w:r>
      <w:r>
        <w:rPr>
          <w:w w:val="110"/>
        </w:rPr>
        <w:t>not</w:t>
      </w:r>
      <w:r>
        <w:rPr>
          <w:spacing w:val="-14"/>
          <w:w w:val="110"/>
        </w:rPr>
        <w:t> </w:t>
      </w:r>
      <w:r>
        <w:rPr>
          <w:w w:val="110"/>
        </w:rPr>
        <w:t>all,</w:t>
      </w:r>
      <w:r>
        <w:rPr>
          <w:spacing w:val="-14"/>
          <w:w w:val="110"/>
        </w:rPr>
        <w:t> </w:t>
      </w:r>
      <w:r>
        <w:rPr>
          <w:spacing w:val="-3"/>
          <w:w w:val="110"/>
        </w:rPr>
        <w:t>surveys</w:t>
      </w:r>
      <w:r>
        <w:rPr>
          <w:spacing w:val="-14"/>
          <w:w w:val="110"/>
        </w:rPr>
        <w:t> </w:t>
      </w:r>
      <w:r>
        <w:rPr>
          <w:spacing w:val="-3"/>
          <w:w w:val="110"/>
        </w:rPr>
        <w:t>have</w:t>
      </w:r>
      <w:r>
        <w:rPr>
          <w:spacing w:val="-14"/>
          <w:w w:val="110"/>
        </w:rPr>
        <w:t> </w:t>
      </w:r>
      <w:r>
        <w:rPr>
          <w:w w:val="110"/>
        </w:rPr>
        <w:t>suggested</w:t>
      </w:r>
      <w:r>
        <w:rPr>
          <w:spacing w:val="-14"/>
          <w:w w:val="110"/>
        </w:rPr>
        <w:t> </w:t>
      </w:r>
      <w:r>
        <w:rPr>
          <w:w w:val="110"/>
        </w:rPr>
        <w:t>that</w:t>
      </w:r>
      <w:r>
        <w:rPr>
          <w:spacing w:val="-14"/>
          <w:w w:val="110"/>
        </w:rPr>
        <w:t> </w:t>
      </w:r>
      <w:r>
        <w:rPr>
          <w:w w:val="110"/>
        </w:rPr>
        <w:t>the</w:t>
      </w:r>
      <w:r>
        <w:rPr>
          <w:spacing w:val="-14"/>
          <w:w w:val="110"/>
        </w:rPr>
        <w:t> </w:t>
      </w:r>
      <w:r>
        <w:rPr>
          <w:w w:val="110"/>
        </w:rPr>
        <w:t>proportion of</w:t>
      </w:r>
      <w:r>
        <w:rPr>
          <w:spacing w:val="-18"/>
          <w:w w:val="110"/>
        </w:rPr>
        <w:t> </w:t>
      </w:r>
      <w:r>
        <w:rPr>
          <w:w w:val="110"/>
        </w:rPr>
        <w:t>firms</w:t>
      </w:r>
      <w:r>
        <w:rPr>
          <w:spacing w:val="-17"/>
          <w:w w:val="110"/>
        </w:rPr>
        <w:t> </w:t>
      </w:r>
      <w:r>
        <w:rPr>
          <w:w w:val="110"/>
        </w:rPr>
        <w:t>planning</w:t>
      </w:r>
      <w:r>
        <w:rPr>
          <w:spacing w:val="-18"/>
          <w:w w:val="110"/>
        </w:rPr>
        <w:t> </w:t>
      </w:r>
      <w:r>
        <w:rPr>
          <w:spacing w:val="-4"/>
          <w:w w:val="110"/>
        </w:rPr>
        <w:t>to</w:t>
      </w:r>
      <w:r>
        <w:rPr>
          <w:spacing w:val="-17"/>
          <w:w w:val="110"/>
        </w:rPr>
        <w:t> </w:t>
      </w:r>
      <w:r>
        <w:rPr>
          <w:w w:val="110"/>
        </w:rPr>
        <w:t>raise</w:t>
      </w:r>
      <w:r>
        <w:rPr>
          <w:spacing w:val="-18"/>
          <w:w w:val="110"/>
        </w:rPr>
        <w:t> </w:t>
      </w:r>
      <w:r>
        <w:rPr>
          <w:w w:val="110"/>
        </w:rPr>
        <w:t>prices</w:t>
      </w:r>
      <w:r>
        <w:rPr>
          <w:spacing w:val="-17"/>
          <w:w w:val="110"/>
        </w:rPr>
        <w:t> </w:t>
      </w:r>
      <w:r>
        <w:rPr>
          <w:w w:val="110"/>
        </w:rPr>
        <w:t>has</w:t>
      </w:r>
      <w:r>
        <w:rPr>
          <w:spacing w:val="-18"/>
          <w:w w:val="110"/>
        </w:rPr>
        <w:t> </w:t>
      </w:r>
      <w:r>
        <w:rPr>
          <w:w w:val="110"/>
        </w:rPr>
        <w:t>risen</w:t>
      </w:r>
      <w:r>
        <w:rPr>
          <w:spacing w:val="-17"/>
          <w:w w:val="110"/>
        </w:rPr>
        <w:t> </w:t>
      </w:r>
      <w:r>
        <w:rPr>
          <w:w w:val="110"/>
        </w:rPr>
        <w:t>somewhat</w:t>
      </w:r>
      <w:r>
        <w:rPr>
          <w:spacing w:val="-17"/>
          <w:w w:val="110"/>
        </w:rPr>
        <w:t> </w:t>
      </w:r>
      <w:r>
        <w:rPr>
          <w:w w:val="110"/>
        </w:rPr>
        <w:t>in</w:t>
      </w:r>
      <w:r>
        <w:rPr>
          <w:spacing w:val="-18"/>
          <w:w w:val="110"/>
        </w:rPr>
        <w:t> </w:t>
      </w:r>
      <w:r>
        <w:rPr>
          <w:w w:val="110"/>
        </w:rPr>
        <w:t>recent months.</w:t>
      </w:r>
    </w:p>
    <w:p>
      <w:pPr>
        <w:pStyle w:val="BodyText"/>
        <w:spacing w:before="2"/>
        <w:rPr>
          <w:sz w:val="15"/>
        </w:rPr>
      </w:pPr>
    </w:p>
    <w:p>
      <w:pPr>
        <w:spacing w:after="0"/>
        <w:rPr>
          <w:sz w:val="15"/>
        </w:rPr>
        <w:sectPr>
          <w:pgSz w:w="11900" w:h="16840"/>
          <w:pgMar w:header="601" w:footer="575" w:top="800" w:bottom="760" w:left="640" w:right="640"/>
        </w:sectPr>
      </w:pPr>
    </w:p>
    <w:p>
      <w:pPr>
        <w:pStyle w:val="BodyText"/>
        <w:rPr>
          <w:sz w:val="22"/>
        </w:rPr>
      </w:pPr>
    </w:p>
    <w:p>
      <w:pPr>
        <w:pStyle w:val="BodyText"/>
        <w:rPr>
          <w:sz w:val="22"/>
        </w:rPr>
      </w:pPr>
    </w:p>
    <w:p>
      <w:pPr>
        <w:pStyle w:val="BodyText"/>
        <w:spacing w:before="8"/>
      </w:pPr>
    </w:p>
    <w:p>
      <w:pPr>
        <w:pStyle w:val="Heading6"/>
        <w:ind w:left="168"/>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3.14</w:t>
      </w:r>
    </w:p>
    <w:p>
      <w:pPr>
        <w:spacing w:before="8"/>
        <w:ind w:left="168" w:right="0" w:firstLine="0"/>
        <w:jc w:val="left"/>
        <w:rPr>
          <w:rFonts w:ascii="Trebuchet MS"/>
          <w:b/>
          <w:sz w:val="20"/>
        </w:rPr>
      </w:pPr>
      <w:r>
        <w:rPr>
          <w:rFonts w:ascii="Trebuchet MS"/>
          <w:b/>
          <w:color w:val="89C6DC"/>
          <w:sz w:val="20"/>
        </w:rPr>
        <w:t>Actual and expected inflation</w:t>
      </w:r>
    </w:p>
    <w:p>
      <w:pPr>
        <w:spacing w:before="54"/>
        <w:ind w:left="1519" w:right="0" w:firstLine="0"/>
        <w:jc w:val="left"/>
        <w:rPr>
          <w:sz w:val="12"/>
        </w:rPr>
      </w:pPr>
      <w:r>
        <w:rPr/>
        <w:pict>
          <v:group style="position:absolute;margin-left:49.215pt;margin-top:11.057361pt;width:152.3pt;height:136.15pt;mso-position-horizontal-relative:page;mso-position-vertical-relative:paragraph;z-index:16218624" coordorigin="984,221" coordsize="3046,2723">
            <v:shape style="position:absolute;left:994;top:231;width:2505;height:2703" coordorigin="994,231" coordsize="2505,2703" path="m994,1779l1089,1574,1174,1871,1269,1574,1367,809,1422,810,1450,811,1460,811,1462,810,1475,766,1504,670,1534,575,1547,531,1642,996,1737,1386,1832,1964,1917,2059,2014,1574,2109,1481,2204,1574,2289,716,2384,531,2482,809,2577,231,2662,904,2757,1201,2947,2729,3032,2934,3129,2636,3319,1109,3404,996,3499,1109e" filled="false" stroked="true" strokeweight="1pt" strokecolor="#006caa">
              <v:path arrowok="t"/>
              <v:stroke dashstyle="solid"/>
            </v:shape>
            <v:shape style="position:absolute;left:994;top:996;width:2505;height:1065" coordorigin="994,996" coordsize="2505,1065" path="m994,1481l1089,1779,1174,1964,1269,1871,1367,1481,1422,1483,1450,1483,1460,1483,1462,1482,1475,1452,1504,1388,1534,1323,1547,1294,1602,1295,1630,1296,1640,1296,1642,1295,1657,1295,1689,1295,1722,1295,1737,1295,1752,1309,1784,1340,1817,1372,1832,1386,1917,1294,2014,996,2109,1294,2204,1574,2289,1386,2344,1388,2372,1388,2383,1388,2384,1387,2400,1416,2433,1480,2467,1544,2482,1574,2577,1294,2662,1686,2717,1688,2745,1688,2755,1688,2757,1687,2772,1687,2804,1687,2837,1688,2852,1687,2867,1716,2899,1779,2932,1842,2947,1871,3032,1964,3088,1965,3117,1966,3128,1966,3129,1965,3144,1979,3177,2011,3209,2044,3224,2059,3279,2060,3307,2061,3318,2061,3319,2060,3333,2060,3362,2060,3391,2060,3404,2060,3419,2060,3452,2060,3484,2061,3499,2061e" filled="false" stroked="true" strokeweight="1pt" strokecolor="#de0035">
              <v:path arrowok="t"/>
              <v:stroke dashstyle="solid"/>
            </v:shape>
            <v:shape style="position:absolute;left:994;top:326;width:2878;height:1415" coordorigin="994,326" coordsize="2878,1415" path="m994,624l1089,809,1174,716,1269,904,1326,905,1355,906,1365,906,1367,905,1382,846,1414,718,1447,589,1462,531,1547,326,1642,996,1737,624,1832,326,1917,531,2014,624,2109,996,2204,1109,2289,624,2384,531,2482,904,2577,809,2662,531,2717,533,2745,533,2755,533,2757,532,2772,561,2804,624,2837,687,2852,716,2947,904,3032,996,3129,1201,3224,1481,3319,1686,3404,1724,3499,1574,3594,1741,3692,1554,3777,1294,3872,1444e" filled="false" stroked="true" strokeweight="1pt" strokecolor="#f6bd61">
              <v:path arrowok="t"/>
              <v:stroke dashstyle="solid"/>
            </v:shape>
            <v:shape style="position:absolute;left:2202;top:233;width:1828;height:2405" coordorigin="2203,234" coordsize="1828,2405" path="m3943,719l4030,719m3943,1204l4030,1204m3943,1689l4030,1689m3943,2154l4030,2154m3943,2639l4030,2639m3943,234l4030,234m2890,989l2203,2269e" filled="false" stroked="true" strokeweight=".5pt" strokecolor="#000000">
              <v:path arrowok="t"/>
              <v:stroke dashstyle="solid"/>
            </v:shape>
            <v:shape style="position:absolute;left:2859;top:928;width:63;height:87" coordorigin="2859,929" coordsize="63,87" path="m2922,929l2859,992,2904,1015,2916,948,2919,937,2922,929xe" filled="true" fillcolor="#000000" stroked="false">
              <v:path arrowok="t"/>
              <v:fill type="solid"/>
            </v:shape>
            <v:shape style="position:absolute;left:3193;top:858;width:671;height:121" type="#_x0000_t202" filled="false" stroked="false">
              <v:textbox inset="0,0,0,0">
                <w:txbxContent>
                  <w:p>
                    <w:pPr>
                      <w:spacing w:line="115" w:lineRule="exact" w:before="0"/>
                      <w:ind w:left="0" w:right="0" w:firstLine="0"/>
                      <w:jc w:val="left"/>
                      <w:rPr>
                        <w:sz w:val="12"/>
                      </w:rPr>
                    </w:pPr>
                    <w:r>
                      <w:rPr>
                        <w:w w:val="105"/>
                        <w:sz w:val="12"/>
                      </w:rPr>
                      <w:t>RPI inflation</w:t>
                    </w:r>
                  </w:p>
                </w:txbxContent>
              </v:textbox>
              <w10:wrap type="none"/>
            </v:shape>
            <v:shape style="position:absolute;left:1307;top:2263;width:1451;height:241" type="#_x0000_t202" filled="false" stroked="false">
              <v:textbox inset="0,0,0,0">
                <w:txbxContent>
                  <w:p>
                    <w:pPr>
                      <w:spacing w:line="106" w:lineRule="exact" w:before="0"/>
                      <w:ind w:left="0" w:right="0" w:firstLine="0"/>
                      <w:jc w:val="left"/>
                      <w:rPr>
                        <w:sz w:val="12"/>
                      </w:rPr>
                    </w:pPr>
                    <w:r>
                      <w:rPr>
                        <w:w w:val="105"/>
                        <w:sz w:val="12"/>
                      </w:rPr>
                      <w:t>Trade unions’ one-year</w:t>
                    </w:r>
                  </w:p>
                  <w:p>
                    <w:pPr>
                      <w:spacing w:line="129" w:lineRule="exact" w:before="0"/>
                      <w:ind w:left="60" w:right="0" w:firstLine="0"/>
                      <w:jc w:val="left"/>
                      <w:rPr>
                        <w:sz w:val="12"/>
                      </w:rPr>
                    </w:pPr>
                    <w:r>
                      <w:rPr>
                        <w:w w:val="105"/>
                        <w:sz w:val="12"/>
                      </w:rPr>
                      <w:t>ahead RPI expectations (a)</w:t>
                    </w:r>
                  </w:p>
                </w:txbxContent>
              </v:textbox>
              <w10:wrap type="none"/>
            </v:shape>
            <v:shape style="position:absolute;left:3399;top:2100;width:515;height:251" type="#_x0000_t202" filled="false" stroked="false">
              <v:textbox inset="0,0,0,0">
                <w:txbxContent>
                  <w:p>
                    <w:pPr>
                      <w:spacing w:line="111" w:lineRule="exact" w:before="0"/>
                      <w:ind w:left="0" w:right="0" w:firstLine="0"/>
                      <w:jc w:val="left"/>
                      <w:rPr>
                        <w:sz w:val="12"/>
                      </w:rPr>
                    </w:pPr>
                    <w:r>
                      <w:rPr>
                        <w:sz w:val="12"/>
                      </w:rPr>
                      <w:t>RPIX</w:t>
                    </w:r>
                  </w:p>
                  <w:p>
                    <w:pPr>
                      <w:spacing w:line="134" w:lineRule="exact" w:before="0"/>
                      <w:ind w:left="55" w:right="0" w:firstLine="0"/>
                      <w:jc w:val="left"/>
                      <w:rPr>
                        <w:sz w:val="12"/>
                      </w:rPr>
                    </w:pPr>
                    <w:r>
                      <w:rPr>
                        <w:w w:val="110"/>
                        <w:sz w:val="12"/>
                      </w:rPr>
                      <w:t>inflation</w:t>
                    </w:r>
                  </w:p>
                </w:txbxContent>
              </v:textbox>
              <w10:wrap type="none"/>
            </v:shape>
            <w10:wrap type="none"/>
          </v:group>
        </w:pict>
      </w:r>
      <w:r>
        <w:rPr/>
        <w:pict>
          <v:line style="position:absolute;mso-position-horizontal-relative:page;mso-position-vertical-relative:paragraph;z-index:16219136" from="41.174pt,35.932362pt" to="45.506pt,35.932362pt" stroked="true" strokeweight=".5pt" strokecolor="#000000">
            <v:stroke dashstyle="solid"/>
            <w10:wrap type="none"/>
          </v:line>
        </w:pict>
      </w:r>
      <w:r>
        <w:rPr/>
        <w:pict>
          <v:line style="position:absolute;mso-position-horizontal-relative:page;mso-position-vertical-relative:paragraph;z-index:16219648" from="41.174pt,60.182362pt" to="45.506pt,60.182362pt" stroked="true" strokeweight=".5pt" strokecolor="#000000">
            <v:stroke dashstyle="solid"/>
            <w10:wrap type="none"/>
          </v:line>
        </w:pict>
      </w:r>
      <w:r>
        <w:rPr/>
        <w:pict>
          <v:line style="position:absolute;mso-position-horizontal-relative:page;mso-position-vertical-relative:paragraph;z-index:16220160" from="41.174pt,84.432358pt" to="45.506pt,84.432358pt" stroked="true" strokeweight=".5pt" strokecolor="#000000">
            <v:stroke dashstyle="solid"/>
            <w10:wrap type="none"/>
          </v:line>
        </w:pict>
      </w:r>
      <w:r>
        <w:rPr/>
        <w:pict>
          <v:line style="position:absolute;mso-position-horizontal-relative:page;mso-position-vertical-relative:paragraph;z-index:16221696" from="41.174pt,11.682361pt" to="45.506pt,11.682361pt" stroked="true" strokeweight=".5pt" strokecolor="#000000">
            <v:stroke dashstyle="solid"/>
            <w10:wrap type="none"/>
          </v:line>
        </w:pict>
      </w:r>
      <w:r>
        <w:rPr>
          <w:w w:val="110"/>
          <w:sz w:val="12"/>
        </w:rPr>
        <w:t>Percentage</w:t>
      </w:r>
      <w:r>
        <w:rPr>
          <w:spacing w:val="-6"/>
          <w:w w:val="110"/>
          <w:sz w:val="12"/>
        </w:rPr>
        <w:t> </w:t>
      </w:r>
      <w:r>
        <w:rPr>
          <w:w w:val="110"/>
          <w:sz w:val="12"/>
        </w:rPr>
        <w:t>changes</w:t>
      </w:r>
      <w:r>
        <w:rPr>
          <w:spacing w:val="-6"/>
          <w:w w:val="110"/>
          <w:sz w:val="12"/>
        </w:rPr>
        <w:t> </w:t>
      </w:r>
      <w:r>
        <w:rPr>
          <w:w w:val="110"/>
          <w:sz w:val="12"/>
        </w:rPr>
        <w:t>on</w:t>
      </w:r>
      <w:r>
        <w:rPr>
          <w:spacing w:val="-6"/>
          <w:w w:val="110"/>
          <w:sz w:val="12"/>
        </w:rPr>
        <w:t> </w:t>
      </w:r>
      <w:r>
        <w:rPr>
          <w:w w:val="110"/>
          <w:sz w:val="12"/>
        </w:rPr>
        <w:t>a</w:t>
      </w:r>
      <w:r>
        <w:rPr>
          <w:spacing w:val="-6"/>
          <w:w w:val="110"/>
          <w:sz w:val="12"/>
        </w:rPr>
        <w:t> </w:t>
      </w:r>
      <w:r>
        <w:rPr>
          <w:w w:val="110"/>
          <w:sz w:val="12"/>
        </w:rPr>
        <w:t>year</w:t>
      </w:r>
      <w:r>
        <w:rPr>
          <w:spacing w:val="-6"/>
          <w:w w:val="110"/>
          <w:sz w:val="12"/>
        </w:rPr>
        <w:t> </w:t>
      </w:r>
      <w:r>
        <w:rPr>
          <w:spacing w:val="-3"/>
          <w:w w:val="110"/>
          <w:sz w:val="12"/>
        </w:rPr>
        <w:t>earlier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4"/>
        </w:rPr>
      </w:pPr>
    </w:p>
    <w:p>
      <w:pPr>
        <w:pStyle w:val="BodyText"/>
        <w:spacing w:line="144" w:lineRule="exact"/>
        <w:ind w:left="178" w:right="-87"/>
        <w:rPr>
          <w:sz w:val="14"/>
        </w:rPr>
      </w:pPr>
      <w:r>
        <w:rPr>
          <w:position w:val="-2"/>
          <w:sz w:val="14"/>
        </w:rPr>
        <w:pict>
          <v:group style="width:162.050pt;height:7pt;mso-position-horizontal-relative:char;mso-position-vertical-relative:line" coordorigin="0,0" coordsize="3241,140">
            <v:shape style="position:absolute;left:0;top:5;width:3236;height:135" coordorigin="0,5" coordsize="3236,135" path="m0,5l87,5m3120,5l3207,5m0,134l3213,134m3216,8l3216,35,3196,51,3236,65,3196,85,3236,102,3213,112,3212,135m90,6l90,33,70,49,110,63,70,83,110,99,87,109,87,133m173,72l173,139m546,72l546,139m916,72l916,139m1288,72l1288,139m1661,72l1661,139m2031,72l2031,139m2403,72l2403,139m2773,72l2773,139e" filled="false" stroked="true" strokeweight=".5pt" strokecolor="#000000">
              <v:path arrowok="t"/>
              <v:stroke dashstyle="solid"/>
            </v:shape>
          </v:group>
        </w:pict>
      </w:r>
      <w:r>
        <w:rPr>
          <w:position w:val="-2"/>
          <w:sz w:val="14"/>
        </w:rPr>
      </w:r>
    </w:p>
    <w:p>
      <w:pPr>
        <w:tabs>
          <w:tab w:pos="1216" w:val="left" w:leader="none"/>
          <w:tab w:pos="1589" w:val="left" w:leader="none"/>
          <w:tab w:pos="1961" w:val="left" w:leader="none"/>
          <w:tab w:pos="2331" w:val="left" w:leader="none"/>
        </w:tabs>
        <w:spacing w:before="31"/>
        <w:ind w:left="374" w:right="0" w:firstLine="0"/>
        <w:jc w:val="left"/>
        <w:rPr>
          <w:sz w:val="12"/>
        </w:rPr>
      </w:pPr>
      <w:r>
        <w:rPr/>
        <w:pict>
          <v:line style="position:absolute;mso-position-horizontal-relative:page;mso-position-vertical-relative:paragraph;z-index:16220672" from="41.174pt,-55.474293pt" to="45.506pt,-55.474293pt" stroked="true" strokeweight=".5pt" strokecolor="#000000">
            <v:stroke dashstyle="solid"/>
            <w10:wrap type="none"/>
          </v:line>
        </w:pict>
      </w:r>
      <w:r>
        <w:rPr/>
        <w:pict>
          <v:line style="position:absolute;mso-position-horizontal-relative:page;mso-position-vertical-relative:paragraph;z-index:16221184" from="41.174pt,-31.224293pt" to="45.506pt,-31.224293pt" stroked="true" strokeweight=".5pt" strokecolor="#000000">
            <v:stroke dashstyle="solid"/>
            <w10:wrap type="none"/>
          </v:line>
        </w:pict>
      </w:r>
      <w:r>
        <w:rPr>
          <w:w w:val="120"/>
          <w:sz w:val="12"/>
        </w:rPr>
        <w:t>1994    </w:t>
      </w:r>
      <w:r>
        <w:rPr>
          <w:spacing w:val="4"/>
          <w:w w:val="120"/>
          <w:sz w:val="12"/>
        </w:rPr>
        <w:t> </w:t>
      </w:r>
      <w:r>
        <w:rPr>
          <w:w w:val="120"/>
          <w:sz w:val="12"/>
        </w:rPr>
        <w:t>95</w:t>
        <w:tab/>
        <w:t>96</w:t>
        <w:tab/>
        <w:t>97</w:t>
        <w:tab/>
        <w:t>98</w:t>
        <w:tab/>
        <w:t>99 2000</w:t>
      </w:r>
      <w:r>
        <w:rPr>
          <w:spacing w:val="21"/>
          <w:w w:val="120"/>
          <w:sz w:val="12"/>
        </w:rPr>
        <w:t> </w:t>
      </w:r>
      <w:r>
        <w:rPr>
          <w:w w:val="120"/>
          <w:sz w:val="12"/>
        </w:rPr>
        <w:t>01</w:t>
      </w:r>
    </w:p>
    <w:p>
      <w:pPr>
        <w:pStyle w:val="BodyText"/>
        <w:spacing w:before="10"/>
        <w:rPr>
          <w:sz w:val="10"/>
        </w:rPr>
      </w:pPr>
    </w:p>
    <w:p>
      <w:pPr>
        <w:spacing w:before="0"/>
        <w:ind w:left="160" w:right="0" w:firstLine="0"/>
        <w:jc w:val="left"/>
        <w:rPr>
          <w:sz w:val="12"/>
        </w:rPr>
      </w:pPr>
      <w:r>
        <w:rPr>
          <w:sz w:val="12"/>
        </w:rPr>
        <w:t>Sources: ONS and Barclays Basix survey.</w:t>
      </w:r>
    </w:p>
    <w:p>
      <w:pPr>
        <w:spacing w:before="102"/>
        <w:ind w:left="160" w:right="0" w:firstLine="0"/>
        <w:jc w:val="left"/>
        <w:rPr>
          <w:sz w:val="12"/>
        </w:rPr>
      </w:pPr>
      <w:r>
        <w:rPr>
          <w:w w:val="105"/>
          <w:sz w:val="12"/>
        </w:rPr>
        <w:t>(a) Lagged by one year.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5"/>
        </w:rPr>
      </w:pPr>
    </w:p>
    <w:p>
      <w:pPr>
        <w:pStyle w:val="Heading6"/>
        <w:ind w:left="180"/>
      </w:pPr>
      <w:r>
        <w:rPr>
          <w:color w:val="89C6DC"/>
        </w:rPr>
        <w:t>Table 3.B</w:t>
      </w:r>
    </w:p>
    <w:p>
      <w:pPr>
        <w:spacing w:before="8"/>
        <w:ind w:left="180" w:right="0" w:firstLine="0"/>
        <w:jc w:val="left"/>
        <w:rPr>
          <w:sz w:val="12"/>
        </w:rPr>
      </w:pPr>
      <w:r>
        <w:rPr>
          <w:rFonts w:ascii="Trebuchet MS"/>
          <w:b/>
          <w:color w:val="89C6DC"/>
          <w:sz w:val="20"/>
        </w:rPr>
        <w:t>Influences</w:t>
      </w:r>
      <w:r>
        <w:rPr>
          <w:rFonts w:ascii="Trebuchet MS"/>
          <w:b/>
          <w:color w:val="89C6DC"/>
          <w:spacing w:val="-36"/>
          <w:sz w:val="20"/>
        </w:rPr>
        <w:t> </w:t>
      </w:r>
      <w:r>
        <w:rPr>
          <w:rFonts w:ascii="Trebuchet MS"/>
          <w:b/>
          <w:color w:val="89C6DC"/>
          <w:sz w:val="20"/>
        </w:rPr>
        <w:t>on</w:t>
      </w:r>
      <w:r>
        <w:rPr>
          <w:rFonts w:ascii="Trebuchet MS"/>
          <w:b/>
          <w:color w:val="89C6DC"/>
          <w:spacing w:val="-35"/>
          <w:sz w:val="20"/>
        </w:rPr>
        <w:t> </w:t>
      </w:r>
      <w:r>
        <w:rPr>
          <w:rFonts w:ascii="Trebuchet MS"/>
          <w:b/>
          <w:color w:val="89C6DC"/>
          <w:sz w:val="20"/>
        </w:rPr>
        <w:t>CBI</w:t>
      </w:r>
      <w:r>
        <w:rPr>
          <w:rFonts w:ascii="Trebuchet MS"/>
          <w:b/>
          <w:color w:val="89C6DC"/>
          <w:spacing w:val="-36"/>
          <w:sz w:val="20"/>
        </w:rPr>
        <w:t> </w:t>
      </w:r>
      <w:r>
        <w:rPr>
          <w:rFonts w:ascii="Trebuchet MS"/>
          <w:b/>
          <w:color w:val="89C6DC"/>
          <w:sz w:val="20"/>
        </w:rPr>
        <w:t>pay</w:t>
      </w:r>
      <w:r>
        <w:rPr>
          <w:rFonts w:ascii="Trebuchet MS"/>
          <w:b/>
          <w:color w:val="89C6DC"/>
          <w:spacing w:val="-35"/>
          <w:sz w:val="20"/>
        </w:rPr>
        <w:t> </w:t>
      </w:r>
      <w:r>
        <w:rPr>
          <w:rFonts w:ascii="Trebuchet MS"/>
          <w:b/>
          <w:color w:val="89C6DC"/>
          <w:sz w:val="20"/>
        </w:rPr>
        <w:t>settlements</w:t>
      </w:r>
      <w:r>
        <w:rPr>
          <w:position w:val="4"/>
          <w:sz w:val="12"/>
        </w:rPr>
        <w:t>(a)</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1"/>
        </w:rPr>
      </w:pPr>
    </w:p>
    <w:p>
      <w:pPr>
        <w:spacing w:before="0"/>
        <w:ind w:left="-11" w:right="0" w:firstLine="0"/>
        <w:jc w:val="left"/>
        <w:rPr>
          <w:sz w:val="12"/>
        </w:rPr>
      </w:pPr>
      <w:r>
        <w:rPr>
          <w:w w:val="115"/>
          <w:sz w:val="12"/>
        </w:rPr>
        <w:t>4.0</w:t>
      </w:r>
    </w:p>
    <w:p>
      <w:pPr>
        <w:pStyle w:val="BodyText"/>
        <w:rPr>
          <w:sz w:val="12"/>
        </w:rPr>
      </w:pPr>
    </w:p>
    <w:p>
      <w:pPr>
        <w:pStyle w:val="BodyText"/>
        <w:spacing w:before="8"/>
        <w:rPr>
          <w:sz w:val="16"/>
        </w:rPr>
      </w:pPr>
    </w:p>
    <w:p>
      <w:pPr>
        <w:spacing w:before="1"/>
        <w:ind w:left="-11" w:right="0" w:firstLine="0"/>
        <w:jc w:val="left"/>
        <w:rPr>
          <w:sz w:val="12"/>
        </w:rPr>
      </w:pPr>
      <w:r>
        <w:rPr>
          <w:w w:val="115"/>
          <w:sz w:val="12"/>
        </w:rPr>
        <w:t>3.5</w:t>
      </w:r>
    </w:p>
    <w:p>
      <w:pPr>
        <w:pStyle w:val="BodyText"/>
        <w:rPr>
          <w:sz w:val="12"/>
        </w:rPr>
      </w:pPr>
    </w:p>
    <w:p>
      <w:pPr>
        <w:pStyle w:val="BodyText"/>
        <w:rPr>
          <w:sz w:val="12"/>
        </w:rPr>
      </w:pPr>
    </w:p>
    <w:p>
      <w:pPr>
        <w:spacing w:before="91"/>
        <w:ind w:left="-11" w:right="0" w:firstLine="0"/>
        <w:jc w:val="left"/>
        <w:rPr>
          <w:sz w:val="12"/>
        </w:rPr>
      </w:pPr>
      <w:r>
        <w:rPr>
          <w:w w:val="115"/>
          <w:sz w:val="12"/>
        </w:rPr>
        <w:t>3.0</w:t>
      </w:r>
    </w:p>
    <w:p>
      <w:pPr>
        <w:pStyle w:val="BodyText"/>
        <w:rPr>
          <w:sz w:val="12"/>
        </w:rPr>
      </w:pPr>
    </w:p>
    <w:p>
      <w:pPr>
        <w:pStyle w:val="BodyText"/>
        <w:spacing w:before="10"/>
        <w:rPr>
          <w:sz w:val="17"/>
        </w:rPr>
      </w:pPr>
    </w:p>
    <w:p>
      <w:pPr>
        <w:spacing w:before="1"/>
        <w:ind w:left="-11" w:right="0" w:firstLine="0"/>
        <w:jc w:val="left"/>
        <w:rPr>
          <w:sz w:val="12"/>
        </w:rPr>
      </w:pPr>
      <w:r>
        <w:rPr>
          <w:w w:val="115"/>
          <w:sz w:val="12"/>
        </w:rPr>
        <w:t>2.5</w:t>
      </w:r>
    </w:p>
    <w:p>
      <w:pPr>
        <w:pStyle w:val="BodyText"/>
        <w:rPr>
          <w:sz w:val="12"/>
        </w:rPr>
      </w:pPr>
    </w:p>
    <w:p>
      <w:pPr>
        <w:pStyle w:val="BodyText"/>
        <w:spacing w:before="8"/>
        <w:rPr>
          <w:sz w:val="15"/>
        </w:rPr>
      </w:pPr>
    </w:p>
    <w:p>
      <w:pPr>
        <w:spacing w:before="1"/>
        <w:ind w:left="-11" w:right="0" w:firstLine="0"/>
        <w:jc w:val="left"/>
        <w:rPr>
          <w:sz w:val="12"/>
        </w:rPr>
      </w:pPr>
      <w:r>
        <w:rPr>
          <w:w w:val="115"/>
          <w:sz w:val="12"/>
        </w:rPr>
        <w:t>2.0</w:t>
      </w:r>
    </w:p>
    <w:p>
      <w:pPr>
        <w:pStyle w:val="BodyText"/>
        <w:rPr>
          <w:sz w:val="12"/>
        </w:rPr>
      </w:pPr>
    </w:p>
    <w:p>
      <w:pPr>
        <w:pStyle w:val="BodyText"/>
        <w:spacing w:before="3"/>
        <w:rPr>
          <w:sz w:val="17"/>
        </w:rPr>
      </w:pPr>
    </w:p>
    <w:p>
      <w:pPr>
        <w:spacing w:before="0"/>
        <w:ind w:left="-11" w:right="0" w:firstLine="0"/>
        <w:jc w:val="left"/>
        <w:rPr>
          <w:sz w:val="12"/>
        </w:rPr>
      </w:pPr>
      <w:r>
        <w:rPr>
          <w:w w:val="115"/>
          <w:sz w:val="12"/>
        </w:rPr>
        <w:t>1.5</w:t>
      </w:r>
    </w:p>
    <w:p>
      <w:pPr>
        <w:pStyle w:val="BodyText"/>
        <w:rPr>
          <w:sz w:val="12"/>
        </w:rPr>
      </w:pPr>
    </w:p>
    <w:p>
      <w:pPr>
        <w:pStyle w:val="BodyText"/>
        <w:rPr>
          <w:sz w:val="12"/>
        </w:rPr>
      </w:pPr>
    </w:p>
    <w:p>
      <w:pPr>
        <w:spacing w:line="136" w:lineRule="exact" w:before="69"/>
        <w:ind w:left="-11" w:right="0" w:firstLine="0"/>
        <w:jc w:val="left"/>
        <w:rPr>
          <w:sz w:val="12"/>
        </w:rPr>
      </w:pPr>
      <w:r>
        <w:rPr>
          <w:w w:val="115"/>
          <w:sz w:val="12"/>
        </w:rPr>
        <w:t>1.0</w:t>
      </w:r>
    </w:p>
    <w:p>
      <w:pPr>
        <w:spacing w:line="136" w:lineRule="exact" w:before="0"/>
        <w:ind w:left="-11" w:right="0" w:firstLine="0"/>
        <w:jc w:val="left"/>
        <w:rPr>
          <w:sz w:val="12"/>
        </w:rPr>
      </w:pPr>
      <w:r>
        <w:rPr>
          <w:w w:val="115"/>
          <w:sz w:val="12"/>
        </w:rPr>
        <w:t>0.0</w:t>
      </w:r>
    </w:p>
    <w:p>
      <w:pPr>
        <w:pStyle w:val="BodyText"/>
        <w:spacing w:line="292" w:lineRule="auto" w:before="61"/>
        <w:ind w:left="160" w:right="134"/>
      </w:pPr>
      <w:r>
        <w:rPr/>
        <w:br w:type="column"/>
      </w:r>
      <w:r>
        <w:rPr>
          <w:w w:val="110"/>
        </w:rPr>
        <w:t>Employees and trade unions, on the other hand, are concerned with maintaining (or enhancing) the quantity of goods</w:t>
      </w:r>
      <w:r>
        <w:rPr>
          <w:spacing w:val="-15"/>
          <w:w w:val="110"/>
        </w:rPr>
        <w:t> </w:t>
      </w:r>
      <w:r>
        <w:rPr>
          <w:w w:val="110"/>
        </w:rPr>
        <w:t>and</w:t>
      </w:r>
      <w:r>
        <w:rPr>
          <w:spacing w:val="-14"/>
          <w:w w:val="110"/>
        </w:rPr>
        <w:t> </w:t>
      </w:r>
      <w:r>
        <w:rPr>
          <w:w w:val="110"/>
        </w:rPr>
        <w:t>services</w:t>
      </w:r>
      <w:r>
        <w:rPr>
          <w:spacing w:val="-15"/>
          <w:w w:val="110"/>
        </w:rPr>
        <w:t> </w:t>
      </w:r>
      <w:r>
        <w:rPr>
          <w:w w:val="110"/>
        </w:rPr>
        <w:t>that</w:t>
      </w:r>
      <w:r>
        <w:rPr>
          <w:spacing w:val="-14"/>
          <w:w w:val="110"/>
        </w:rPr>
        <w:t> </w:t>
      </w:r>
      <w:r>
        <w:rPr>
          <w:w w:val="110"/>
        </w:rPr>
        <w:t>can</w:t>
      </w:r>
      <w:r>
        <w:rPr>
          <w:spacing w:val="-14"/>
          <w:w w:val="110"/>
        </w:rPr>
        <w:t> </w:t>
      </w:r>
      <w:r>
        <w:rPr>
          <w:w w:val="110"/>
        </w:rPr>
        <w:t>be</w:t>
      </w:r>
      <w:r>
        <w:rPr>
          <w:spacing w:val="-15"/>
          <w:w w:val="110"/>
        </w:rPr>
        <w:t> </w:t>
      </w:r>
      <w:r>
        <w:rPr>
          <w:w w:val="110"/>
        </w:rPr>
        <w:t>purchased</w:t>
      </w:r>
      <w:r>
        <w:rPr>
          <w:spacing w:val="-14"/>
          <w:w w:val="110"/>
        </w:rPr>
        <w:t> </w:t>
      </w:r>
      <w:r>
        <w:rPr>
          <w:w w:val="110"/>
        </w:rPr>
        <w:t>with</w:t>
      </w:r>
      <w:r>
        <w:rPr>
          <w:spacing w:val="-14"/>
          <w:w w:val="110"/>
        </w:rPr>
        <w:t> </w:t>
      </w:r>
      <w:r>
        <w:rPr>
          <w:w w:val="110"/>
        </w:rPr>
        <w:t>their</w:t>
      </w:r>
      <w:r>
        <w:rPr>
          <w:spacing w:val="-15"/>
          <w:w w:val="110"/>
        </w:rPr>
        <w:t> </w:t>
      </w:r>
      <w:r>
        <w:rPr>
          <w:w w:val="110"/>
        </w:rPr>
        <w:t>earnings. So they will be concerned about growth in nominal wages relative</w:t>
      </w:r>
      <w:r>
        <w:rPr>
          <w:spacing w:val="-15"/>
          <w:w w:val="110"/>
        </w:rPr>
        <w:t> </w:t>
      </w:r>
      <w:r>
        <w:rPr>
          <w:spacing w:val="-4"/>
          <w:w w:val="110"/>
        </w:rPr>
        <w:t>to</w:t>
      </w:r>
      <w:r>
        <w:rPr>
          <w:spacing w:val="-14"/>
          <w:w w:val="110"/>
        </w:rPr>
        <w:t> </w:t>
      </w:r>
      <w:r>
        <w:rPr>
          <w:w w:val="110"/>
        </w:rPr>
        <w:t>their</w:t>
      </w:r>
      <w:r>
        <w:rPr>
          <w:spacing w:val="-14"/>
          <w:w w:val="110"/>
        </w:rPr>
        <w:t> </w:t>
      </w:r>
      <w:r>
        <w:rPr>
          <w:w w:val="110"/>
        </w:rPr>
        <w:t>expectations</w:t>
      </w:r>
      <w:r>
        <w:rPr>
          <w:spacing w:val="-14"/>
          <w:w w:val="110"/>
        </w:rPr>
        <w:t> </w:t>
      </w:r>
      <w:r>
        <w:rPr>
          <w:w w:val="110"/>
        </w:rPr>
        <w:t>of</w:t>
      </w:r>
      <w:r>
        <w:rPr>
          <w:spacing w:val="-14"/>
          <w:w w:val="110"/>
        </w:rPr>
        <w:t> </w:t>
      </w:r>
      <w:r>
        <w:rPr>
          <w:w w:val="110"/>
        </w:rPr>
        <w:t>future</w:t>
      </w:r>
      <w:r>
        <w:rPr>
          <w:spacing w:val="-15"/>
          <w:w w:val="110"/>
        </w:rPr>
        <w:t> </w:t>
      </w:r>
      <w:r>
        <w:rPr>
          <w:w w:val="110"/>
        </w:rPr>
        <w:t>retail</w:t>
      </w:r>
      <w:r>
        <w:rPr>
          <w:spacing w:val="-14"/>
          <w:w w:val="110"/>
        </w:rPr>
        <w:t> </w:t>
      </w:r>
      <w:r>
        <w:rPr>
          <w:w w:val="110"/>
        </w:rPr>
        <w:t>price</w:t>
      </w:r>
      <w:r>
        <w:rPr>
          <w:spacing w:val="-14"/>
          <w:w w:val="110"/>
        </w:rPr>
        <w:t> </w:t>
      </w:r>
      <w:r>
        <w:rPr>
          <w:w w:val="110"/>
        </w:rPr>
        <w:t>inflation.</w:t>
      </w:r>
    </w:p>
    <w:p>
      <w:pPr>
        <w:pStyle w:val="BodyText"/>
        <w:spacing w:line="292" w:lineRule="auto"/>
        <w:ind w:left="160" w:right="183"/>
      </w:pPr>
      <w:r>
        <w:rPr>
          <w:w w:val="110"/>
        </w:rPr>
        <w:t>According</w:t>
      </w:r>
      <w:r>
        <w:rPr>
          <w:spacing w:val="-30"/>
          <w:w w:val="110"/>
        </w:rPr>
        <w:t> </w:t>
      </w:r>
      <w:r>
        <w:rPr>
          <w:spacing w:val="-4"/>
          <w:w w:val="110"/>
        </w:rPr>
        <w:t>to</w:t>
      </w:r>
      <w:r>
        <w:rPr>
          <w:spacing w:val="-29"/>
          <w:w w:val="110"/>
        </w:rPr>
        <w:t> </w:t>
      </w:r>
      <w:r>
        <w:rPr>
          <w:w w:val="110"/>
        </w:rPr>
        <w:t>the</w:t>
      </w:r>
      <w:r>
        <w:rPr>
          <w:spacing w:val="-30"/>
          <w:w w:val="110"/>
        </w:rPr>
        <w:t> </w:t>
      </w:r>
      <w:r>
        <w:rPr>
          <w:spacing w:val="-3"/>
          <w:w w:val="110"/>
        </w:rPr>
        <w:t>Barclays</w:t>
      </w:r>
      <w:r>
        <w:rPr>
          <w:spacing w:val="-29"/>
          <w:w w:val="110"/>
        </w:rPr>
        <w:t> </w:t>
      </w:r>
      <w:r>
        <w:rPr>
          <w:w w:val="110"/>
        </w:rPr>
        <w:t>Basix</w:t>
      </w:r>
      <w:r>
        <w:rPr>
          <w:spacing w:val="-30"/>
          <w:w w:val="110"/>
        </w:rPr>
        <w:t> </w:t>
      </w:r>
      <w:r>
        <w:rPr>
          <w:spacing w:val="-4"/>
          <w:w w:val="110"/>
        </w:rPr>
        <w:t>survey,</w:t>
      </w:r>
      <w:r>
        <w:rPr>
          <w:spacing w:val="-29"/>
          <w:w w:val="110"/>
        </w:rPr>
        <w:t> </w:t>
      </w:r>
      <w:r>
        <w:rPr>
          <w:w w:val="110"/>
        </w:rPr>
        <w:t>inflation</w:t>
      </w:r>
      <w:r>
        <w:rPr>
          <w:spacing w:val="-30"/>
          <w:w w:val="110"/>
        </w:rPr>
        <w:t> </w:t>
      </w:r>
      <w:r>
        <w:rPr>
          <w:w w:val="110"/>
        </w:rPr>
        <w:t>expectations of trade unions leaders </w:t>
      </w:r>
      <w:r>
        <w:rPr>
          <w:spacing w:val="-3"/>
          <w:w w:val="110"/>
        </w:rPr>
        <w:t>have </w:t>
      </w:r>
      <w:r>
        <w:rPr>
          <w:w w:val="110"/>
        </w:rPr>
        <w:t>fallen markedly </w:t>
      </w:r>
      <w:r>
        <w:rPr>
          <w:spacing w:val="-3"/>
          <w:w w:val="110"/>
        </w:rPr>
        <w:t>over </w:t>
      </w:r>
      <w:r>
        <w:rPr>
          <w:w w:val="110"/>
        </w:rPr>
        <w:t>the past three</w:t>
      </w:r>
      <w:r>
        <w:rPr>
          <w:spacing w:val="-21"/>
          <w:w w:val="110"/>
        </w:rPr>
        <w:t> </w:t>
      </w:r>
      <w:r>
        <w:rPr>
          <w:spacing w:val="-3"/>
          <w:w w:val="110"/>
        </w:rPr>
        <w:t>years,</w:t>
      </w:r>
      <w:r>
        <w:rPr>
          <w:spacing w:val="-21"/>
          <w:w w:val="110"/>
        </w:rPr>
        <w:t> </w:t>
      </w:r>
      <w:r>
        <w:rPr>
          <w:w w:val="110"/>
        </w:rPr>
        <w:t>perhaps</w:t>
      </w:r>
      <w:r>
        <w:rPr>
          <w:spacing w:val="-20"/>
          <w:w w:val="110"/>
        </w:rPr>
        <w:t> </w:t>
      </w:r>
      <w:r>
        <w:rPr>
          <w:w w:val="110"/>
        </w:rPr>
        <w:t>reflecting</w:t>
      </w:r>
      <w:r>
        <w:rPr>
          <w:spacing w:val="-21"/>
          <w:w w:val="110"/>
        </w:rPr>
        <w:t> </w:t>
      </w:r>
      <w:r>
        <w:rPr>
          <w:w w:val="110"/>
        </w:rPr>
        <w:t>both</w:t>
      </w:r>
      <w:r>
        <w:rPr>
          <w:spacing w:val="-20"/>
          <w:w w:val="110"/>
        </w:rPr>
        <w:t> </w:t>
      </w:r>
      <w:r>
        <w:rPr>
          <w:w w:val="110"/>
        </w:rPr>
        <w:t>increased</w:t>
      </w:r>
      <w:r>
        <w:rPr>
          <w:spacing w:val="-21"/>
          <w:w w:val="110"/>
        </w:rPr>
        <w:t> </w:t>
      </w:r>
      <w:r>
        <w:rPr>
          <w:w w:val="110"/>
        </w:rPr>
        <w:t>monetary</w:t>
      </w:r>
      <w:r>
        <w:rPr>
          <w:spacing w:val="-20"/>
          <w:w w:val="110"/>
        </w:rPr>
        <w:t> </w:t>
      </w:r>
      <w:r>
        <w:rPr>
          <w:w w:val="110"/>
        </w:rPr>
        <w:t>policy </w:t>
      </w:r>
      <w:r>
        <w:rPr>
          <w:spacing w:val="-3"/>
          <w:w w:val="110"/>
        </w:rPr>
        <w:t>credibility </w:t>
      </w:r>
      <w:r>
        <w:rPr>
          <w:w w:val="110"/>
        </w:rPr>
        <w:t>and </w:t>
      </w:r>
      <w:r>
        <w:rPr>
          <w:spacing w:val="-3"/>
          <w:w w:val="110"/>
        </w:rPr>
        <w:t>lower </w:t>
      </w:r>
      <w:r>
        <w:rPr>
          <w:w w:val="110"/>
        </w:rPr>
        <w:t>actual </w:t>
      </w:r>
      <w:r>
        <w:rPr>
          <w:spacing w:val="-4"/>
          <w:w w:val="110"/>
        </w:rPr>
        <w:t>rates </w:t>
      </w:r>
      <w:r>
        <w:rPr>
          <w:w w:val="110"/>
        </w:rPr>
        <w:t>of inflation (see Chart </w:t>
      </w:r>
      <w:r>
        <w:rPr>
          <w:spacing w:val="-7"/>
          <w:w w:val="110"/>
        </w:rPr>
        <w:t>3.14). </w:t>
      </w:r>
      <w:r>
        <w:rPr>
          <w:spacing w:val="-4"/>
          <w:w w:val="110"/>
        </w:rPr>
        <w:t>However, </w:t>
      </w:r>
      <w:r>
        <w:rPr>
          <w:w w:val="110"/>
        </w:rPr>
        <w:t>these expectations </w:t>
      </w:r>
      <w:r>
        <w:rPr>
          <w:spacing w:val="-3"/>
          <w:w w:val="110"/>
        </w:rPr>
        <w:t>have </w:t>
      </w:r>
      <w:r>
        <w:rPr>
          <w:w w:val="110"/>
        </w:rPr>
        <w:t>risen slightly </w:t>
      </w:r>
      <w:r>
        <w:rPr>
          <w:spacing w:val="-3"/>
          <w:w w:val="110"/>
        </w:rPr>
        <w:t>over </w:t>
      </w:r>
      <w:r>
        <w:rPr>
          <w:w w:val="110"/>
        </w:rPr>
        <w:t>the past </w:t>
      </w:r>
      <w:r>
        <w:rPr>
          <w:spacing w:val="-4"/>
          <w:w w:val="110"/>
        </w:rPr>
        <w:t>year, </w:t>
      </w:r>
      <w:r>
        <w:rPr>
          <w:w w:val="110"/>
        </w:rPr>
        <w:t>possibly due </w:t>
      </w:r>
      <w:r>
        <w:rPr>
          <w:spacing w:val="-4"/>
          <w:w w:val="110"/>
        </w:rPr>
        <w:t>to </w:t>
      </w:r>
      <w:r>
        <w:rPr>
          <w:w w:val="110"/>
        </w:rPr>
        <w:t>rising oil prices and higher outturns for headline RPI inflation. And recently RPI inflation has been higher</w:t>
      </w:r>
      <w:r>
        <w:rPr>
          <w:spacing w:val="-11"/>
          <w:w w:val="110"/>
        </w:rPr>
        <w:t> </w:t>
      </w:r>
      <w:r>
        <w:rPr>
          <w:w w:val="110"/>
        </w:rPr>
        <w:t>than</w:t>
      </w:r>
      <w:r>
        <w:rPr>
          <w:spacing w:val="-10"/>
          <w:w w:val="110"/>
        </w:rPr>
        <w:t> </w:t>
      </w:r>
      <w:r>
        <w:rPr>
          <w:w w:val="110"/>
        </w:rPr>
        <w:t>trade</w:t>
      </w:r>
      <w:r>
        <w:rPr>
          <w:spacing w:val="-11"/>
          <w:w w:val="110"/>
        </w:rPr>
        <w:t> </w:t>
      </w:r>
      <w:r>
        <w:rPr>
          <w:w w:val="110"/>
        </w:rPr>
        <w:t>unions</w:t>
      </w:r>
      <w:r>
        <w:rPr>
          <w:spacing w:val="-10"/>
          <w:w w:val="110"/>
        </w:rPr>
        <w:t> </w:t>
      </w:r>
      <w:r>
        <w:rPr>
          <w:w w:val="110"/>
        </w:rPr>
        <w:t>had</w:t>
      </w:r>
      <w:r>
        <w:rPr>
          <w:spacing w:val="-10"/>
          <w:w w:val="110"/>
        </w:rPr>
        <w:t> </w:t>
      </w:r>
      <w:r>
        <w:rPr>
          <w:w w:val="110"/>
        </w:rPr>
        <w:t>anticipated</w:t>
      </w:r>
      <w:r>
        <w:rPr>
          <w:spacing w:val="-11"/>
          <w:w w:val="110"/>
        </w:rPr>
        <w:t> </w:t>
      </w:r>
      <w:r>
        <w:rPr>
          <w:w w:val="110"/>
        </w:rPr>
        <w:t>a</w:t>
      </w:r>
      <w:r>
        <w:rPr>
          <w:spacing w:val="-10"/>
          <w:w w:val="110"/>
        </w:rPr>
        <w:t> </w:t>
      </w:r>
      <w:r>
        <w:rPr>
          <w:w w:val="110"/>
        </w:rPr>
        <w:t>year</w:t>
      </w:r>
      <w:r>
        <w:rPr>
          <w:spacing w:val="-10"/>
          <w:w w:val="110"/>
        </w:rPr>
        <w:t> </w:t>
      </w:r>
      <w:r>
        <w:rPr>
          <w:w w:val="110"/>
        </w:rPr>
        <w:t>ago,</w:t>
      </w:r>
      <w:r>
        <w:rPr>
          <w:spacing w:val="-11"/>
          <w:w w:val="110"/>
        </w:rPr>
        <w:t> </w:t>
      </w:r>
      <w:r>
        <w:rPr>
          <w:w w:val="110"/>
        </w:rPr>
        <w:t>reducing real wages relative </w:t>
      </w:r>
      <w:r>
        <w:rPr>
          <w:spacing w:val="-4"/>
          <w:w w:val="110"/>
        </w:rPr>
        <w:t>to </w:t>
      </w:r>
      <w:r>
        <w:rPr>
          <w:w w:val="110"/>
        </w:rPr>
        <w:t>expectations at that time. Expectations of higher future inflation and </w:t>
      </w:r>
      <w:r>
        <w:rPr>
          <w:spacing w:val="-3"/>
          <w:w w:val="110"/>
        </w:rPr>
        <w:t>attempts by </w:t>
      </w:r>
      <w:r>
        <w:rPr>
          <w:w w:val="110"/>
        </w:rPr>
        <w:t>employees </w:t>
      </w:r>
      <w:r>
        <w:rPr>
          <w:spacing w:val="-4"/>
          <w:w w:val="110"/>
        </w:rPr>
        <w:t>to </w:t>
      </w:r>
      <w:r>
        <w:rPr>
          <w:w w:val="110"/>
        </w:rPr>
        <w:t>compensate for </w:t>
      </w:r>
      <w:r>
        <w:rPr>
          <w:spacing w:val="-3"/>
          <w:w w:val="110"/>
        </w:rPr>
        <w:t>lower-than-expected </w:t>
      </w:r>
      <w:r>
        <w:rPr>
          <w:w w:val="110"/>
        </w:rPr>
        <w:t>real income in the past might</w:t>
      </w:r>
      <w:r>
        <w:rPr>
          <w:spacing w:val="-19"/>
          <w:w w:val="110"/>
        </w:rPr>
        <w:t> </w:t>
      </w:r>
      <w:r>
        <w:rPr>
          <w:w w:val="110"/>
        </w:rPr>
        <w:t>place</w:t>
      </w:r>
      <w:r>
        <w:rPr>
          <w:spacing w:val="-18"/>
          <w:w w:val="110"/>
        </w:rPr>
        <w:t> </w:t>
      </w:r>
      <w:r>
        <w:rPr>
          <w:spacing w:val="-3"/>
          <w:w w:val="110"/>
        </w:rPr>
        <w:t>upward</w:t>
      </w:r>
      <w:r>
        <w:rPr>
          <w:spacing w:val="-18"/>
          <w:w w:val="110"/>
        </w:rPr>
        <w:t> </w:t>
      </w:r>
      <w:r>
        <w:rPr>
          <w:spacing w:val="-3"/>
          <w:w w:val="110"/>
        </w:rPr>
        <w:t>pressure</w:t>
      </w:r>
      <w:r>
        <w:rPr>
          <w:spacing w:val="-18"/>
          <w:w w:val="110"/>
        </w:rPr>
        <w:t> </w:t>
      </w:r>
      <w:r>
        <w:rPr>
          <w:w w:val="110"/>
        </w:rPr>
        <w:t>on</w:t>
      </w:r>
      <w:r>
        <w:rPr>
          <w:spacing w:val="-18"/>
          <w:w w:val="110"/>
        </w:rPr>
        <w:t> </w:t>
      </w:r>
      <w:r>
        <w:rPr>
          <w:w w:val="110"/>
        </w:rPr>
        <w:t>forthcoming</w:t>
      </w:r>
      <w:r>
        <w:rPr>
          <w:spacing w:val="-18"/>
          <w:w w:val="110"/>
        </w:rPr>
        <w:t> </w:t>
      </w:r>
      <w:r>
        <w:rPr>
          <w:w w:val="110"/>
        </w:rPr>
        <w:t>settlements.</w:t>
      </w:r>
      <w:r>
        <w:rPr>
          <w:spacing w:val="19"/>
          <w:w w:val="110"/>
        </w:rPr>
        <w:t> </w:t>
      </w:r>
      <w:r>
        <w:rPr>
          <w:w w:val="110"/>
        </w:rPr>
        <w:t>But in the absence of further rises in </w:t>
      </w:r>
      <w:r>
        <w:rPr>
          <w:spacing w:val="-3"/>
          <w:w w:val="110"/>
        </w:rPr>
        <w:t>interest </w:t>
      </w:r>
      <w:r>
        <w:rPr>
          <w:spacing w:val="-4"/>
          <w:w w:val="110"/>
        </w:rPr>
        <w:t>rates, </w:t>
      </w:r>
      <w:r>
        <w:rPr>
          <w:w w:val="110"/>
        </w:rPr>
        <w:t>RPI inflation will decline relative </w:t>
      </w:r>
      <w:r>
        <w:rPr>
          <w:spacing w:val="-4"/>
          <w:w w:val="110"/>
        </w:rPr>
        <w:t>to </w:t>
      </w:r>
      <w:r>
        <w:rPr>
          <w:w w:val="110"/>
        </w:rPr>
        <w:t>RPIX inflation as previous rises in mortgage </w:t>
      </w:r>
      <w:r>
        <w:rPr>
          <w:spacing w:val="-3"/>
          <w:w w:val="110"/>
        </w:rPr>
        <w:t>interest </w:t>
      </w:r>
      <w:r>
        <w:rPr>
          <w:w w:val="110"/>
        </w:rPr>
        <w:t>payments (following increases in official </w:t>
      </w:r>
      <w:r>
        <w:rPr>
          <w:spacing w:val="-3"/>
          <w:w w:val="110"/>
        </w:rPr>
        <w:t>interest </w:t>
      </w:r>
      <w:r>
        <w:rPr>
          <w:spacing w:val="-4"/>
          <w:w w:val="110"/>
        </w:rPr>
        <w:t>rates </w:t>
      </w:r>
      <w:r>
        <w:rPr>
          <w:w w:val="110"/>
        </w:rPr>
        <w:t>from September </w:t>
      </w:r>
      <w:r>
        <w:rPr>
          <w:spacing w:val="-15"/>
          <w:w w:val="110"/>
        </w:rPr>
        <w:t>1999 </w:t>
      </w:r>
      <w:r>
        <w:rPr>
          <w:spacing w:val="-4"/>
          <w:w w:val="110"/>
        </w:rPr>
        <w:t>to </w:t>
      </w:r>
      <w:r>
        <w:rPr>
          <w:w w:val="110"/>
        </w:rPr>
        <w:t>February </w:t>
      </w:r>
      <w:r>
        <w:rPr>
          <w:spacing w:val="-4"/>
          <w:w w:val="110"/>
        </w:rPr>
        <w:t>2000) </w:t>
      </w:r>
      <w:r>
        <w:rPr>
          <w:w w:val="110"/>
        </w:rPr>
        <w:t>drop out</w:t>
      </w:r>
      <w:r>
        <w:rPr>
          <w:spacing w:val="-18"/>
          <w:w w:val="110"/>
        </w:rPr>
        <w:t> </w:t>
      </w:r>
      <w:r>
        <w:rPr>
          <w:w w:val="110"/>
        </w:rPr>
        <w:t>of</w:t>
      </w:r>
      <w:r>
        <w:rPr>
          <w:spacing w:val="-17"/>
          <w:w w:val="110"/>
        </w:rPr>
        <w:t> </w:t>
      </w:r>
      <w:r>
        <w:rPr>
          <w:w w:val="110"/>
        </w:rPr>
        <w:t>annual</w:t>
      </w:r>
      <w:r>
        <w:rPr>
          <w:spacing w:val="-17"/>
          <w:w w:val="110"/>
        </w:rPr>
        <w:t> </w:t>
      </w:r>
      <w:r>
        <w:rPr>
          <w:w w:val="110"/>
        </w:rPr>
        <w:t>comparisons.</w:t>
      </w:r>
      <w:r>
        <w:rPr>
          <w:spacing w:val="21"/>
          <w:w w:val="110"/>
        </w:rPr>
        <w:t> </w:t>
      </w:r>
      <w:r>
        <w:rPr>
          <w:w w:val="110"/>
        </w:rPr>
        <w:t>So</w:t>
      </w:r>
      <w:r>
        <w:rPr>
          <w:spacing w:val="-17"/>
          <w:w w:val="110"/>
        </w:rPr>
        <w:t> </w:t>
      </w:r>
      <w:r>
        <w:rPr>
          <w:w w:val="110"/>
        </w:rPr>
        <w:t>it</w:t>
      </w:r>
      <w:r>
        <w:rPr>
          <w:spacing w:val="-17"/>
          <w:w w:val="110"/>
        </w:rPr>
        <w:t> </w:t>
      </w:r>
      <w:r>
        <w:rPr>
          <w:w w:val="110"/>
        </w:rPr>
        <w:t>is</w:t>
      </w:r>
      <w:r>
        <w:rPr>
          <w:spacing w:val="-17"/>
          <w:w w:val="110"/>
        </w:rPr>
        <w:t> </w:t>
      </w:r>
      <w:r>
        <w:rPr>
          <w:w w:val="110"/>
        </w:rPr>
        <w:t>possible</w:t>
      </w:r>
      <w:r>
        <w:rPr>
          <w:spacing w:val="-18"/>
          <w:w w:val="110"/>
        </w:rPr>
        <w:t> </w:t>
      </w:r>
      <w:r>
        <w:rPr>
          <w:w w:val="110"/>
        </w:rPr>
        <w:t>that</w:t>
      </w:r>
      <w:r>
        <w:rPr>
          <w:spacing w:val="-17"/>
          <w:w w:val="110"/>
        </w:rPr>
        <w:t> </w:t>
      </w:r>
      <w:r>
        <w:rPr>
          <w:w w:val="110"/>
        </w:rPr>
        <w:t>cost</w:t>
      </w:r>
      <w:r>
        <w:rPr>
          <w:spacing w:val="-17"/>
          <w:w w:val="110"/>
        </w:rPr>
        <w:t> </w:t>
      </w:r>
      <w:r>
        <w:rPr>
          <w:w w:val="110"/>
        </w:rPr>
        <w:t>of</w:t>
      </w:r>
      <w:r>
        <w:rPr>
          <w:spacing w:val="-17"/>
          <w:w w:val="110"/>
        </w:rPr>
        <w:t> </w:t>
      </w:r>
      <w:r>
        <w:rPr>
          <w:w w:val="110"/>
        </w:rPr>
        <w:t>living </w:t>
      </w:r>
      <w:r>
        <w:rPr>
          <w:spacing w:val="-3"/>
          <w:w w:val="110"/>
        </w:rPr>
        <w:t>pressures </w:t>
      </w:r>
      <w:r>
        <w:rPr>
          <w:w w:val="110"/>
        </w:rPr>
        <w:t>on nominal wage agreements will decline further ahead.</w:t>
      </w:r>
    </w:p>
    <w:p>
      <w:pPr>
        <w:pStyle w:val="BodyText"/>
        <w:spacing w:before="8"/>
        <w:rPr>
          <w:sz w:val="19"/>
        </w:rPr>
      </w:pPr>
    </w:p>
    <w:p>
      <w:pPr>
        <w:pStyle w:val="BodyText"/>
        <w:spacing w:line="292" w:lineRule="auto"/>
        <w:ind w:left="160" w:right="450"/>
      </w:pPr>
      <w:r>
        <w:rPr>
          <w:w w:val="110"/>
        </w:rPr>
        <w:t>Data </w:t>
      </w:r>
      <w:r>
        <w:rPr>
          <w:spacing w:val="-3"/>
          <w:w w:val="110"/>
        </w:rPr>
        <w:t>over </w:t>
      </w:r>
      <w:r>
        <w:rPr>
          <w:w w:val="110"/>
        </w:rPr>
        <w:t>coming months will help </w:t>
      </w:r>
      <w:r>
        <w:rPr>
          <w:spacing w:val="-4"/>
          <w:w w:val="110"/>
        </w:rPr>
        <w:t>to </w:t>
      </w:r>
      <w:r>
        <w:rPr>
          <w:spacing w:val="-3"/>
          <w:w w:val="110"/>
        </w:rPr>
        <w:t>resolve </w:t>
      </w:r>
      <w:r>
        <w:rPr>
          <w:w w:val="110"/>
        </w:rPr>
        <w:t>some of the uncertainty about the relative importance of these </w:t>
      </w:r>
      <w:r>
        <w:rPr>
          <w:spacing w:val="-3"/>
          <w:w w:val="110"/>
        </w:rPr>
        <w:t>factors.</w:t>
      </w:r>
    </w:p>
    <w:p>
      <w:pPr>
        <w:spacing w:after="0" w:line="292" w:lineRule="auto"/>
        <w:sectPr>
          <w:type w:val="continuous"/>
          <w:pgSz w:w="11900" w:h="16840"/>
          <w:pgMar w:top="1260" w:bottom="280" w:left="640" w:right="640"/>
          <w:cols w:num="3" w:equalWidth="0">
            <w:col w:w="3411" w:space="40"/>
            <w:col w:w="201" w:space="1281"/>
            <w:col w:w="5687"/>
          </w:cols>
        </w:sectPr>
      </w:pPr>
    </w:p>
    <w:p>
      <w:pPr>
        <w:spacing w:line="208" w:lineRule="auto" w:before="0"/>
        <w:ind w:left="180" w:right="0" w:firstLine="0"/>
        <w:jc w:val="left"/>
        <w:rPr>
          <w:sz w:val="14"/>
        </w:rPr>
      </w:pPr>
      <w:r>
        <w:rPr>
          <w:w w:val="105"/>
          <w:sz w:val="14"/>
        </w:rPr>
        <w:t>Percentage balance reporting factor as a ‘very important’ upward pressure, unless otherwise indicated</w:t>
      </w:r>
    </w:p>
    <w:p>
      <w:pPr>
        <w:pStyle w:val="BodyText"/>
        <w:spacing w:before="1"/>
        <w:rPr>
          <w:sz w:val="11"/>
        </w:rPr>
      </w:pPr>
    </w:p>
    <w:p>
      <w:pPr>
        <w:tabs>
          <w:tab w:pos="3075" w:val="left" w:leader="none"/>
          <w:tab w:pos="3156" w:val="left" w:leader="none"/>
          <w:tab w:pos="4415" w:val="left" w:leader="none"/>
        </w:tabs>
        <w:spacing w:line="223" w:lineRule="auto" w:before="0"/>
        <w:ind w:left="1795" w:right="38" w:firstLine="0"/>
        <w:jc w:val="both"/>
        <w:rPr>
          <w:sz w:val="14"/>
        </w:rPr>
      </w:pPr>
      <w:r>
        <w:rPr>
          <w:w w:val="110"/>
          <w:sz w:val="14"/>
          <w:u w:val="single"/>
        </w:rPr>
        <w:t>Services</w:t>
        <w:tab/>
        <w:t> Manufacturing</w:t>
        <w:tab/>
      </w:r>
      <w:r>
        <w:rPr>
          <w:w w:val="110"/>
          <w:sz w:val="14"/>
        </w:rPr>
        <w:t> </w:t>
      </w:r>
      <w:r>
        <w:rPr>
          <w:w w:val="110"/>
          <w:sz w:val="14"/>
          <w:u w:val="single"/>
        </w:rPr>
        <w:t>Level</w:t>
      </w:r>
      <w:r>
        <w:rPr>
          <w:w w:val="110"/>
          <w:sz w:val="14"/>
        </w:rPr>
        <w:t> </w:t>
      </w:r>
      <w:r>
        <w:rPr>
          <w:spacing w:val="38"/>
          <w:w w:val="110"/>
          <w:sz w:val="14"/>
        </w:rPr>
        <w:t> </w:t>
      </w:r>
      <w:r>
        <w:rPr>
          <w:w w:val="110"/>
          <w:sz w:val="14"/>
          <w:u w:val="single"/>
        </w:rPr>
        <w:t>Change since</w:t>
      </w:r>
      <w:r>
        <w:rPr>
          <w:w w:val="110"/>
          <w:sz w:val="14"/>
        </w:rPr>
        <w:t>  </w:t>
      </w:r>
      <w:r>
        <w:rPr>
          <w:w w:val="110"/>
          <w:sz w:val="14"/>
          <w:u w:val="single"/>
        </w:rPr>
        <w:t>Level</w:t>
      </w:r>
      <w:r>
        <w:rPr>
          <w:w w:val="110"/>
          <w:sz w:val="14"/>
        </w:rPr>
        <w:t> </w:t>
      </w:r>
      <w:r>
        <w:rPr>
          <w:w w:val="110"/>
          <w:sz w:val="14"/>
          <w:u w:val="single"/>
        </w:rPr>
        <w:t>Change since</w:t>
      </w:r>
      <w:r>
        <w:rPr>
          <w:w w:val="110"/>
          <w:sz w:val="14"/>
        </w:rPr>
        <w:t> </w:t>
      </w:r>
      <w:r>
        <w:rPr>
          <w:spacing w:val="-3"/>
          <w:w w:val="110"/>
          <w:sz w:val="14"/>
          <w:u w:val="single"/>
        </w:rPr>
        <w:t>2000</w:t>
      </w:r>
      <w:r>
        <w:rPr>
          <w:spacing w:val="-3"/>
          <w:w w:val="110"/>
          <w:sz w:val="14"/>
        </w:rPr>
        <w:t>    </w:t>
      </w:r>
      <w:r>
        <w:rPr>
          <w:spacing w:val="5"/>
          <w:w w:val="110"/>
          <w:sz w:val="14"/>
        </w:rPr>
        <w:t> </w:t>
      </w:r>
      <w:r>
        <w:rPr>
          <w:spacing w:val="-11"/>
          <w:w w:val="110"/>
          <w:sz w:val="14"/>
          <w:u w:val="single"/>
        </w:rPr>
        <w:t>1999</w:t>
      </w:r>
      <w:r>
        <w:rPr>
          <w:spacing w:val="-11"/>
          <w:w w:val="110"/>
          <w:sz w:val="14"/>
        </w:rPr>
        <w:tab/>
        <w:tab/>
      </w:r>
      <w:r>
        <w:rPr>
          <w:spacing w:val="-3"/>
          <w:w w:val="110"/>
          <w:sz w:val="14"/>
          <w:u w:val="single"/>
        </w:rPr>
        <w:t>2000</w:t>
      </w:r>
      <w:r>
        <w:rPr>
          <w:spacing w:val="1"/>
          <w:w w:val="110"/>
          <w:sz w:val="14"/>
        </w:rPr>
        <w:t> </w:t>
      </w:r>
      <w:r>
        <w:rPr>
          <w:spacing w:val="-11"/>
          <w:w w:val="110"/>
          <w:sz w:val="14"/>
          <w:u w:val="single"/>
        </w:rPr>
        <w:t>1999</w:t>
      </w:r>
    </w:p>
    <w:p>
      <w:pPr>
        <w:tabs>
          <w:tab w:pos="3156" w:val="left" w:leader="none"/>
        </w:tabs>
        <w:spacing w:before="2"/>
        <w:ind w:left="1795" w:right="0" w:firstLine="0"/>
        <w:jc w:val="both"/>
        <w:rPr>
          <w:sz w:val="14"/>
        </w:rPr>
      </w:pPr>
      <w:r>
        <w:rPr>
          <w:w w:val="115"/>
          <w:sz w:val="14"/>
          <w:u w:val="single"/>
        </w:rPr>
        <w:t>H2   </w:t>
      </w:r>
      <w:r>
        <w:rPr>
          <w:w w:val="115"/>
          <w:sz w:val="14"/>
        </w:rPr>
        <w:t>  </w:t>
      </w:r>
      <w:r>
        <w:rPr>
          <w:spacing w:val="30"/>
          <w:w w:val="115"/>
          <w:sz w:val="14"/>
        </w:rPr>
        <w:t> </w:t>
      </w:r>
      <w:r>
        <w:rPr>
          <w:w w:val="115"/>
          <w:sz w:val="14"/>
          <w:u w:val="single"/>
        </w:rPr>
        <w:t>H2</w:t>
      </w:r>
      <w:r>
        <w:rPr>
          <w:w w:val="115"/>
          <w:sz w:val="14"/>
        </w:rPr>
        <w:tab/>
      </w:r>
      <w:r>
        <w:rPr>
          <w:w w:val="115"/>
          <w:sz w:val="14"/>
          <w:u w:val="single"/>
        </w:rPr>
        <w:t>Q3</w:t>
      </w:r>
      <w:r>
        <w:rPr>
          <w:spacing w:val="27"/>
          <w:w w:val="115"/>
          <w:sz w:val="14"/>
        </w:rPr>
        <w:t> </w:t>
      </w:r>
      <w:r>
        <w:rPr>
          <w:w w:val="115"/>
          <w:sz w:val="14"/>
          <w:u w:val="single"/>
        </w:rPr>
        <w:t>Q3</w:t>
      </w:r>
      <w:r>
        <w:rPr>
          <w:sz w:val="14"/>
          <w:u w:val="single"/>
        </w:rPr>
        <w:t>  </w:t>
      </w:r>
      <w:r>
        <w:rPr>
          <w:spacing w:val="4"/>
          <w:sz w:val="14"/>
          <w:u w:val="single"/>
        </w:rPr>
        <w:t> </w:t>
      </w:r>
    </w:p>
    <w:p>
      <w:pPr>
        <w:tabs>
          <w:tab w:pos="1856" w:val="left" w:leader="none"/>
          <w:tab w:pos="2294" w:val="left" w:leader="none"/>
          <w:tab w:pos="3230" w:val="left" w:leader="none"/>
          <w:tab w:pos="3652" w:val="left" w:leader="none"/>
        </w:tabs>
        <w:spacing w:line="150" w:lineRule="exact" w:before="119"/>
        <w:ind w:left="180" w:right="0" w:firstLine="0"/>
        <w:jc w:val="left"/>
        <w:rPr>
          <w:sz w:val="14"/>
        </w:rPr>
      </w:pPr>
      <w:r>
        <w:rPr>
          <w:w w:val="110"/>
          <w:sz w:val="14"/>
        </w:rPr>
        <w:t>Cost</w:t>
      </w:r>
      <w:r>
        <w:rPr>
          <w:spacing w:val="-17"/>
          <w:w w:val="110"/>
          <w:sz w:val="14"/>
        </w:rPr>
        <w:t> </w:t>
      </w:r>
      <w:r>
        <w:rPr>
          <w:w w:val="110"/>
          <w:sz w:val="14"/>
        </w:rPr>
        <w:t>of</w:t>
      </w:r>
      <w:r>
        <w:rPr>
          <w:spacing w:val="-16"/>
          <w:w w:val="110"/>
          <w:sz w:val="14"/>
        </w:rPr>
        <w:t> </w:t>
      </w:r>
      <w:r>
        <w:rPr>
          <w:w w:val="110"/>
          <w:sz w:val="14"/>
        </w:rPr>
        <w:t>living</w:t>
        <w:tab/>
      </w:r>
      <w:r>
        <w:rPr>
          <w:spacing w:val="-9"/>
          <w:w w:val="110"/>
          <w:sz w:val="14"/>
        </w:rPr>
        <w:t>37</w:t>
        <w:tab/>
      </w:r>
      <w:r>
        <w:rPr>
          <w:spacing w:val="-6"/>
          <w:w w:val="110"/>
          <w:sz w:val="14"/>
        </w:rPr>
        <w:t>+39</w:t>
        <w:tab/>
      </w:r>
      <w:r>
        <w:rPr>
          <w:spacing w:val="-9"/>
          <w:w w:val="110"/>
          <w:sz w:val="14"/>
        </w:rPr>
        <w:t>37</w:t>
        <w:tab/>
      </w:r>
      <w:r>
        <w:rPr>
          <w:spacing w:val="-6"/>
          <w:w w:val="110"/>
          <w:sz w:val="14"/>
        </w:rPr>
        <w:t>+36</w:t>
      </w:r>
    </w:p>
    <w:p>
      <w:pPr>
        <w:tabs>
          <w:tab w:pos="1856" w:val="left" w:leader="none"/>
          <w:tab w:pos="2362" w:val="left" w:leader="none"/>
          <w:tab w:pos="3229" w:val="left" w:leader="none"/>
          <w:tab w:pos="3660" w:val="left" w:leader="none"/>
        </w:tabs>
        <w:spacing w:line="140" w:lineRule="exact" w:before="0"/>
        <w:ind w:left="180" w:right="0" w:firstLine="0"/>
        <w:jc w:val="left"/>
        <w:rPr>
          <w:sz w:val="14"/>
        </w:rPr>
      </w:pPr>
      <w:r>
        <w:rPr>
          <w:w w:val="110"/>
          <w:sz w:val="14"/>
        </w:rPr>
        <w:t>Recruitment/retention</w:t>
        <w:tab/>
      </w:r>
      <w:r>
        <w:rPr>
          <w:spacing w:val="-9"/>
          <w:w w:val="115"/>
          <w:sz w:val="14"/>
        </w:rPr>
        <w:t>27</w:t>
        <w:tab/>
      </w:r>
      <w:r>
        <w:rPr>
          <w:w w:val="115"/>
          <w:sz w:val="14"/>
        </w:rPr>
        <w:t>+4</w:t>
        <w:tab/>
      </w:r>
      <w:r>
        <w:rPr>
          <w:spacing w:val="-9"/>
          <w:w w:val="115"/>
          <w:sz w:val="14"/>
        </w:rPr>
        <w:t>12</w:t>
        <w:tab/>
      </w:r>
      <w:r>
        <w:rPr>
          <w:spacing w:val="-8"/>
          <w:w w:val="115"/>
          <w:sz w:val="14"/>
        </w:rPr>
        <w:t>+19</w:t>
      </w:r>
    </w:p>
    <w:p>
      <w:pPr>
        <w:tabs>
          <w:tab w:pos="1924" w:val="left" w:leader="none"/>
          <w:tab w:pos="2398" w:val="left" w:leader="none"/>
          <w:tab w:pos="3229" w:val="left" w:leader="none"/>
          <w:tab w:pos="3723" w:val="left" w:leader="none"/>
        </w:tabs>
        <w:spacing w:line="140" w:lineRule="exact" w:before="0"/>
        <w:ind w:left="180" w:right="0" w:firstLine="0"/>
        <w:jc w:val="left"/>
        <w:rPr>
          <w:sz w:val="14"/>
        </w:rPr>
      </w:pPr>
      <w:r>
        <w:rPr>
          <w:w w:val="110"/>
          <w:sz w:val="14"/>
        </w:rPr>
        <w:t>Productivity</w:t>
        <w:tab/>
        <w:t>1</w:t>
        <w:tab/>
        <w:t>-9</w:t>
        <w:tab/>
      </w:r>
      <w:r>
        <w:rPr>
          <w:spacing w:val="-9"/>
          <w:w w:val="110"/>
          <w:sz w:val="14"/>
        </w:rPr>
        <w:t>12</w:t>
        <w:tab/>
      </w:r>
      <w:r>
        <w:rPr>
          <w:w w:val="110"/>
          <w:sz w:val="14"/>
        </w:rPr>
        <w:t>+8</w:t>
      </w:r>
    </w:p>
    <w:p>
      <w:pPr>
        <w:tabs>
          <w:tab w:pos="1812" w:val="left" w:leader="none"/>
          <w:tab w:pos="2398" w:val="left" w:leader="none"/>
          <w:tab w:pos="3176" w:val="left" w:leader="none"/>
          <w:tab w:pos="3808" w:val="left" w:leader="none"/>
        </w:tabs>
        <w:spacing w:line="140" w:lineRule="exact" w:before="0"/>
        <w:ind w:left="180" w:right="0" w:firstLine="0"/>
        <w:jc w:val="left"/>
        <w:rPr>
          <w:sz w:val="14"/>
        </w:rPr>
      </w:pPr>
      <w:r>
        <w:rPr>
          <w:w w:val="110"/>
          <w:sz w:val="14"/>
        </w:rPr>
        <w:t>Ability </w:t>
      </w:r>
      <w:r>
        <w:rPr>
          <w:spacing w:val="-3"/>
          <w:w w:val="110"/>
          <w:sz w:val="14"/>
        </w:rPr>
        <w:t>to</w:t>
      </w:r>
      <w:r>
        <w:rPr>
          <w:spacing w:val="-31"/>
          <w:w w:val="110"/>
          <w:sz w:val="14"/>
        </w:rPr>
        <w:t> </w:t>
      </w:r>
      <w:r>
        <w:rPr>
          <w:w w:val="110"/>
          <w:sz w:val="14"/>
        </w:rPr>
        <w:t>adjust</w:t>
      </w:r>
      <w:r>
        <w:rPr>
          <w:spacing w:val="-16"/>
          <w:w w:val="110"/>
          <w:sz w:val="14"/>
        </w:rPr>
        <w:t> </w:t>
      </w:r>
      <w:r>
        <w:rPr>
          <w:w w:val="110"/>
          <w:sz w:val="14"/>
        </w:rPr>
        <w:t>prices</w:t>
        <w:tab/>
      </w:r>
      <w:r>
        <w:rPr>
          <w:spacing w:val="-8"/>
          <w:w w:val="110"/>
          <w:sz w:val="14"/>
        </w:rPr>
        <w:t>-19</w:t>
        <w:tab/>
      </w:r>
      <w:r>
        <w:rPr>
          <w:w w:val="110"/>
          <w:sz w:val="14"/>
        </w:rPr>
        <w:t>-5</w:t>
        <w:tab/>
      </w:r>
      <w:r>
        <w:rPr>
          <w:spacing w:val="-5"/>
          <w:w w:val="110"/>
          <w:sz w:val="14"/>
        </w:rPr>
        <w:t>-49</w:t>
        <w:tab/>
      </w:r>
      <w:r>
        <w:rPr>
          <w:w w:val="110"/>
          <w:sz w:val="14"/>
        </w:rPr>
        <w:t>0</w:t>
      </w:r>
    </w:p>
    <w:p>
      <w:pPr>
        <w:tabs>
          <w:tab w:pos="1875" w:val="left" w:leader="none"/>
          <w:tab w:pos="2447" w:val="left" w:leader="none"/>
          <w:tab w:pos="3175" w:val="left" w:leader="none"/>
          <w:tab w:pos="3647" w:val="left" w:leader="none"/>
        </w:tabs>
        <w:spacing w:line="140" w:lineRule="exact" w:before="0"/>
        <w:ind w:left="180" w:right="0" w:firstLine="0"/>
        <w:jc w:val="left"/>
        <w:rPr>
          <w:sz w:val="14"/>
        </w:rPr>
      </w:pPr>
      <w:r>
        <w:rPr>
          <w:w w:val="115"/>
          <w:sz w:val="14"/>
        </w:rPr>
        <w:t>Profits</w:t>
        <w:tab/>
        <w:t>-5</w:t>
        <w:tab/>
        <w:t>3</w:t>
        <w:tab/>
      </w:r>
      <w:r>
        <w:rPr>
          <w:spacing w:val="-5"/>
          <w:w w:val="115"/>
          <w:sz w:val="14"/>
        </w:rPr>
        <w:t>-22</w:t>
        <w:tab/>
      </w:r>
      <w:r>
        <w:rPr>
          <w:spacing w:val="-4"/>
          <w:w w:val="115"/>
          <w:sz w:val="14"/>
        </w:rPr>
        <w:t>+20</w:t>
      </w:r>
    </w:p>
    <w:p>
      <w:pPr>
        <w:tabs>
          <w:tab w:pos="1875" w:val="left" w:leader="none"/>
          <w:tab w:pos="2362" w:val="left" w:leader="none"/>
          <w:tab w:pos="3248" w:val="left" w:leader="none"/>
          <w:tab w:pos="3656" w:val="left" w:leader="none"/>
        </w:tabs>
        <w:spacing w:line="140" w:lineRule="exact" w:before="0"/>
        <w:ind w:left="180" w:right="0" w:firstLine="0"/>
        <w:jc w:val="left"/>
        <w:rPr>
          <w:sz w:val="14"/>
        </w:rPr>
      </w:pPr>
      <w:r>
        <w:rPr>
          <w:w w:val="115"/>
          <w:sz w:val="14"/>
        </w:rPr>
        <w:t>Orders</w:t>
        <w:tab/>
        <w:t>-1</w:t>
        <w:tab/>
        <w:t>+2</w:t>
        <w:tab/>
        <w:t>-5</w:t>
        <w:tab/>
      </w:r>
      <w:r>
        <w:rPr>
          <w:spacing w:val="-7"/>
          <w:w w:val="115"/>
          <w:sz w:val="14"/>
        </w:rPr>
        <w:t>+17</w:t>
      </w:r>
    </w:p>
    <w:p>
      <w:pPr>
        <w:tabs>
          <w:tab w:pos="2362" w:val="left" w:leader="none"/>
          <w:tab w:pos="3221" w:val="left" w:leader="none"/>
          <w:tab w:pos="3759" w:val="left" w:leader="none"/>
        </w:tabs>
        <w:spacing w:line="150" w:lineRule="exact" w:before="0"/>
        <w:ind w:left="180" w:right="0" w:firstLine="0"/>
        <w:jc w:val="left"/>
        <w:rPr>
          <w:sz w:val="14"/>
        </w:rPr>
      </w:pPr>
      <w:r>
        <w:rPr>
          <w:w w:val="110"/>
          <w:sz w:val="14"/>
        </w:rPr>
        <w:t>Industry comparisons</w:t>
      </w:r>
      <w:r>
        <w:rPr>
          <w:spacing w:val="-14"/>
          <w:w w:val="110"/>
          <w:sz w:val="14"/>
        </w:rPr>
        <w:t> </w:t>
      </w:r>
      <w:r>
        <w:rPr>
          <w:w w:val="110"/>
          <w:sz w:val="12"/>
        </w:rPr>
        <w:t>(b)    </w:t>
      </w:r>
      <w:r>
        <w:rPr>
          <w:spacing w:val="10"/>
          <w:w w:val="110"/>
          <w:sz w:val="12"/>
        </w:rPr>
        <w:t> </w:t>
      </w:r>
      <w:r>
        <w:rPr>
          <w:spacing w:val="-10"/>
          <w:w w:val="110"/>
          <w:sz w:val="14"/>
        </w:rPr>
        <w:t>38</w:t>
        <w:tab/>
      </w:r>
      <w:r>
        <w:rPr>
          <w:w w:val="110"/>
          <w:sz w:val="14"/>
        </w:rPr>
        <w:t>+7</w:t>
        <w:tab/>
      </w:r>
      <w:r>
        <w:rPr>
          <w:spacing w:val="-5"/>
          <w:w w:val="110"/>
          <w:sz w:val="14"/>
        </w:rPr>
        <w:t>20</w:t>
        <w:tab/>
      </w:r>
      <w:r>
        <w:rPr>
          <w:w w:val="110"/>
          <w:sz w:val="14"/>
        </w:rPr>
        <w:t>-5</w:t>
      </w:r>
    </w:p>
    <w:p>
      <w:pPr>
        <w:spacing w:before="118"/>
        <w:ind w:left="180" w:right="0" w:firstLine="0"/>
        <w:jc w:val="left"/>
        <w:rPr>
          <w:sz w:val="12"/>
        </w:rPr>
      </w:pPr>
      <w:r>
        <w:rPr>
          <w:w w:val="105"/>
          <w:sz w:val="12"/>
        </w:rPr>
        <w:t>Source: CBI </w:t>
      </w:r>
      <w:r>
        <w:rPr>
          <w:i/>
          <w:w w:val="105"/>
          <w:sz w:val="12"/>
        </w:rPr>
        <w:t>Pay Databank Report</w:t>
      </w:r>
      <w:r>
        <w:rPr>
          <w:w w:val="105"/>
          <w:sz w:val="12"/>
        </w:rPr>
        <w:t>, January 2001.</w:t>
      </w:r>
    </w:p>
    <w:p>
      <w:pPr>
        <w:pStyle w:val="ListParagraph"/>
        <w:numPr>
          <w:ilvl w:val="0"/>
          <w:numId w:val="25"/>
        </w:numPr>
        <w:tabs>
          <w:tab w:pos="420" w:val="left" w:leader="none"/>
        </w:tabs>
        <w:spacing w:line="129" w:lineRule="exact" w:before="102" w:after="0"/>
        <w:ind w:left="419" w:right="0" w:hanging="240"/>
        <w:jc w:val="left"/>
        <w:rPr>
          <w:sz w:val="12"/>
        </w:rPr>
      </w:pPr>
      <w:r>
        <w:rPr>
          <w:w w:val="105"/>
          <w:sz w:val="12"/>
        </w:rPr>
        <w:t>Provisional.</w:t>
      </w:r>
    </w:p>
    <w:p>
      <w:pPr>
        <w:pStyle w:val="ListParagraph"/>
        <w:numPr>
          <w:ilvl w:val="0"/>
          <w:numId w:val="25"/>
        </w:numPr>
        <w:tabs>
          <w:tab w:pos="420" w:val="left" w:leader="none"/>
        </w:tabs>
        <w:spacing w:line="129" w:lineRule="exact" w:before="0" w:after="0"/>
        <w:ind w:left="419" w:right="0" w:hanging="240"/>
        <w:jc w:val="left"/>
        <w:rPr>
          <w:sz w:val="12"/>
        </w:rPr>
      </w:pPr>
      <w:r>
        <w:rPr>
          <w:w w:val="105"/>
          <w:sz w:val="12"/>
        </w:rPr>
        <w:t>Percentage citing industry comparisons as ‘very</w:t>
      </w:r>
      <w:r>
        <w:rPr>
          <w:spacing w:val="-8"/>
          <w:w w:val="105"/>
          <w:sz w:val="12"/>
        </w:rPr>
        <w:t> </w:t>
      </w:r>
      <w:r>
        <w:rPr>
          <w:spacing w:val="-3"/>
          <w:w w:val="105"/>
          <w:sz w:val="12"/>
        </w:rPr>
        <w:t>important’.</w:t>
      </w:r>
    </w:p>
    <w:p>
      <w:pPr>
        <w:pStyle w:val="BodyText"/>
        <w:spacing w:line="292" w:lineRule="auto"/>
        <w:ind w:left="180" w:right="156"/>
      </w:pPr>
      <w:r>
        <w:rPr/>
        <w:br w:type="column"/>
      </w:r>
      <w:r>
        <w:rPr>
          <w:spacing w:val="-4"/>
          <w:w w:val="110"/>
        </w:rPr>
        <w:t>However,</w:t>
      </w:r>
      <w:r>
        <w:rPr>
          <w:spacing w:val="-29"/>
          <w:w w:val="110"/>
        </w:rPr>
        <w:t> </w:t>
      </w:r>
      <w:r>
        <w:rPr>
          <w:w w:val="110"/>
        </w:rPr>
        <w:t>the</w:t>
      </w:r>
      <w:r>
        <w:rPr>
          <w:spacing w:val="-28"/>
          <w:w w:val="110"/>
        </w:rPr>
        <w:t> </w:t>
      </w:r>
      <w:r>
        <w:rPr>
          <w:spacing w:val="-3"/>
          <w:w w:val="110"/>
        </w:rPr>
        <w:t>latest</w:t>
      </w:r>
      <w:r>
        <w:rPr>
          <w:spacing w:val="-28"/>
          <w:w w:val="110"/>
        </w:rPr>
        <w:t> </w:t>
      </w:r>
      <w:r>
        <w:rPr>
          <w:w w:val="110"/>
        </w:rPr>
        <w:t>CBI</w:t>
      </w:r>
      <w:r>
        <w:rPr>
          <w:spacing w:val="-28"/>
          <w:w w:val="110"/>
        </w:rPr>
        <w:t> </w:t>
      </w:r>
      <w:r>
        <w:rPr>
          <w:i/>
          <w:w w:val="110"/>
        </w:rPr>
        <w:t>Pay</w:t>
      </w:r>
      <w:r>
        <w:rPr>
          <w:i/>
          <w:spacing w:val="-29"/>
          <w:w w:val="110"/>
        </w:rPr>
        <w:t> </w:t>
      </w:r>
      <w:r>
        <w:rPr>
          <w:i/>
          <w:w w:val="110"/>
        </w:rPr>
        <w:t>Databank</w:t>
      </w:r>
      <w:r>
        <w:rPr>
          <w:i/>
          <w:spacing w:val="-28"/>
          <w:w w:val="110"/>
        </w:rPr>
        <w:t> </w:t>
      </w:r>
      <w:r>
        <w:rPr>
          <w:i/>
          <w:w w:val="110"/>
        </w:rPr>
        <w:t>Report</w:t>
      </w:r>
      <w:r>
        <w:rPr>
          <w:i/>
          <w:spacing w:val="-28"/>
          <w:w w:val="110"/>
        </w:rPr>
        <w:t> </w:t>
      </w:r>
      <w:r>
        <w:rPr>
          <w:w w:val="110"/>
        </w:rPr>
        <w:t>on</w:t>
      </w:r>
      <w:r>
        <w:rPr>
          <w:spacing w:val="-28"/>
          <w:w w:val="110"/>
        </w:rPr>
        <w:t> </w:t>
      </w:r>
      <w:r>
        <w:rPr>
          <w:w w:val="110"/>
        </w:rPr>
        <w:t>their</w:t>
      </w:r>
      <w:r>
        <w:rPr>
          <w:spacing w:val="-29"/>
          <w:w w:val="110"/>
        </w:rPr>
        <w:t> </w:t>
      </w:r>
      <w:r>
        <w:rPr>
          <w:w w:val="110"/>
        </w:rPr>
        <w:t>sample of settlements provides some </w:t>
      </w:r>
      <w:r>
        <w:rPr>
          <w:spacing w:val="-3"/>
          <w:w w:val="110"/>
        </w:rPr>
        <w:t>survey </w:t>
      </w:r>
      <w:r>
        <w:rPr>
          <w:w w:val="110"/>
        </w:rPr>
        <w:t>evidence on important influences</w:t>
      </w:r>
      <w:r>
        <w:rPr>
          <w:spacing w:val="-14"/>
          <w:w w:val="110"/>
        </w:rPr>
        <w:t> </w:t>
      </w:r>
      <w:r>
        <w:rPr>
          <w:w w:val="110"/>
        </w:rPr>
        <w:t>in</w:t>
      </w:r>
      <w:r>
        <w:rPr>
          <w:spacing w:val="-14"/>
          <w:w w:val="110"/>
        </w:rPr>
        <w:t> </w:t>
      </w:r>
      <w:r>
        <w:rPr>
          <w:w w:val="110"/>
        </w:rPr>
        <w:t>recent</w:t>
      </w:r>
      <w:r>
        <w:rPr>
          <w:spacing w:val="-14"/>
          <w:w w:val="110"/>
        </w:rPr>
        <w:t> </w:t>
      </w:r>
      <w:r>
        <w:rPr>
          <w:w w:val="110"/>
        </w:rPr>
        <w:t>wage</w:t>
      </w:r>
      <w:r>
        <w:rPr>
          <w:spacing w:val="-14"/>
          <w:w w:val="110"/>
        </w:rPr>
        <w:t> </w:t>
      </w:r>
      <w:r>
        <w:rPr>
          <w:w w:val="110"/>
        </w:rPr>
        <w:t>negotiations</w:t>
      </w:r>
      <w:r>
        <w:rPr>
          <w:spacing w:val="-14"/>
          <w:w w:val="110"/>
        </w:rPr>
        <w:t> </w:t>
      </w:r>
      <w:r>
        <w:rPr>
          <w:w w:val="110"/>
        </w:rPr>
        <w:t>(see</w:t>
      </w:r>
      <w:r>
        <w:rPr>
          <w:spacing w:val="-14"/>
          <w:w w:val="110"/>
        </w:rPr>
        <w:t> </w:t>
      </w:r>
      <w:r>
        <w:rPr>
          <w:spacing w:val="-5"/>
          <w:w w:val="110"/>
        </w:rPr>
        <w:t>Table</w:t>
      </w:r>
      <w:r>
        <w:rPr>
          <w:spacing w:val="-13"/>
          <w:w w:val="110"/>
        </w:rPr>
        <w:t> </w:t>
      </w:r>
      <w:r>
        <w:rPr>
          <w:w w:val="110"/>
        </w:rPr>
        <w:t>3.B).</w:t>
      </w:r>
    </w:p>
    <w:p>
      <w:pPr>
        <w:pStyle w:val="BodyText"/>
        <w:spacing w:line="292" w:lineRule="auto"/>
        <w:ind w:left="180" w:right="177"/>
      </w:pPr>
      <w:r>
        <w:rPr>
          <w:spacing w:val="-3"/>
          <w:w w:val="110"/>
        </w:rPr>
        <w:t>Upward pressures </w:t>
      </w:r>
      <w:r>
        <w:rPr>
          <w:w w:val="110"/>
        </w:rPr>
        <w:t>on settlements from recruitment and retention</w:t>
      </w:r>
      <w:r>
        <w:rPr>
          <w:spacing w:val="-13"/>
          <w:w w:val="110"/>
        </w:rPr>
        <w:t> </w:t>
      </w:r>
      <w:r>
        <w:rPr>
          <w:w w:val="110"/>
        </w:rPr>
        <w:t>considerations</w:t>
      </w:r>
      <w:r>
        <w:rPr>
          <w:spacing w:val="-12"/>
          <w:w w:val="110"/>
        </w:rPr>
        <w:t> </w:t>
      </w:r>
      <w:r>
        <w:rPr>
          <w:w w:val="110"/>
        </w:rPr>
        <w:t>appear</w:t>
      </w:r>
      <w:r>
        <w:rPr>
          <w:spacing w:val="-13"/>
          <w:w w:val="110"/>
        </w:rPr>
        <w:t> </w:t>
      </w:r>
      <w:r>
        <w:rPr>
          <w:w w:val="110"/>
        </w:rPr>
        <w:t>more</w:t>
      </w:r>
      <w:r>
        <w:rPr>
          <w:spacing w:val="-12"/>
          <w:w w:val="110"/>
        </w:rPr>
        <w:t> </w:t>
      </w:r>
      <w:r>
        <w:rPr>
          <w:w w:val="110"/>
        </w:rPr>
        <w:t>important</w:t>
      </w:r>
      <w:r>
        <w:rPr>
          <w:spacing w:val="-13"/>
          <w:w w:val="110"/>
        </w:rPr>
        <w:t> </w:t>
      </w:r>
      <w:r>
        <w:rPr>
          <w:w w:val="110"/>
        </w:rPr>
        <w:t>in</w:t>
      </w:r>
      <w:r>
        <w:rPr>
          <w:spacing w:val="-12"/>
          <w:w w:val="110"/>
        </w:rPr>
        <w:t> </w:t>
      </w:r>
      <w:r>
        <w:rPr>
          <w:w w:val="110"/>
        </w:rPr>
        <w:t>the</w:t>
      </w:r>
      <w:r>
        <w:rPr>
          <w:spacing w:val="-12"/>
          <w:w w:val="110"/>
        </w:rPr>
        <w:t> </w:t>
      </w:r>
      <w:r>
        <w:rPr>
          <w:w w:val="110"/>
        </w:rPr>
        <w:t>service sector</w:t>
      </w:r>
      <w:r>
        <w:rPr>
          <w:spacing w:val="-18"/>
          <w:w w:val="110"/>
        </w:rPr>
        <w:t> </w:t>
      </w:r>
      <w:r>
        <w:rPr>
          <w:w w:val="110"/>
        </w:rPr>
        <w:t>than</w:t>
      </w:r>
      <w:r>
        <w:rPr>
          <w:spacing w:val="-18"/>
          <w:w w:val="110"/>
        </w:rPr>
        <w:t> </w:t>
      </w:r>
      <w:r>
        <w:rPr>
          <w:w w:val="110"/>
        </w:rPr>
        <w:t>in</w:t>
      </w:r>
      <w:r>
        <w:rPr>
          <w:spacing w:val="-18"/>
          <w:w w:val="110"/>
        </w:rPr>
        <w:t> </w:t>
      </w:r>
      <w:r>
        <w:rPr>
          <w:w w:val="110"/>
        </w:rPr>
        <w:t>manufacturing</w:t>
      </w:r>
      <w:r>
        <w:rPr>
          <w:spacing w:val="-18"/>
          <w:w w:val="110"/>
        </w:rPr>
        <w:t> </w:t>
      </w:r>
      <w:r>
        <w:rPr>
          <w:w w:val="110"/>
        </w:rPr>
        <w:t>firms.</w:t>
      </w:r>
      <w:r>
        <w:rPr>
          <w:spacing w:val="21"/>
          <w:w w:val="110"/>
        </w:rPr>
        <w:t> </w:t>
      </w:r>
      <w:r>
        <w:rPr>
          <w:w w:val="110"/>
        </w:rPr>
        <w:t>In</w:t>
      </w:r>
      <w:r>
        <w:rPr>
          <w:spacing w:val="-18"/>
          <w:w w:val="110"/>
        </w:rPr>
        <w:t> </w:t>
      </w:r>
      <w:r>
        <w:rPr>
          <w:w w:val="110"/>
        </w:rPr>
        <w:t>addition,</w:t>
      </w:r>
      <w:r>
        <w:rPr>
          <w:spacing w:val="-18"/>
          <w:w w:val="110"/>
        </w:rPr>
        <w:t> </w:t>
      </w:r>
      <w:r>
        <w:rPr>
          <w:w w:val="110"/>
        </w:rPr>
        <w:t>cost</w:t>
      </w:r>
      <w:r>
        <w:rPr>
          <w:spacing w:val="-18"/>
          <w:w w:val="110"/>
        </w:rPr>
        <w:t> </w:t>
      </w:r>
      <w:r>
        <w:rPr>
          <w:w w:val="110"/>
        </w:rPr>
        <w:t>of</w:t>
      </w:r>
      <w:r>
        <w:rPr>
          <w:spacing w:val="-18"/>
          <w:w w:val="110"/>
        </w:rPr>
        <w:t> </w:t>
      </w:r>
      <w:r>
        <w:rPr>
          <w:w w:val="110"/>
        </w:rPr>
        <w:t>living concerns </w:t>
      </w:r>
      <w:r>
        <w:rPr>
          <w:spacing w:val="-3"/>
          <w:w w:val="110"/>
        </w:rPr>
        <w:t>have </w:t>
      </w:r>
      <w:r>
        <w:rPr>
          <w:w w:val="110"/>
        </w:rPr>
        <w:t>become a particularly important </w:t>
      </w:r>
      <w:r>
        <w:rPr>
          <w:spacing w:val="-3"/>
          <w:w w:val="110"/>
        </w:rPr>
        <w:t>upward pressure </w:t>
      </w:r>
      <w:r>
        <w:rPr>
          <w:w w:val="110"/>
        </w:rPr>
        <w:t>in recent negotiations in both </w:t>
      </w:r>
      <w:r>
        <w:rPr>
          <w:spacing w:val="-3"/>
          <w:w w:val="110"/>
        </w:rPr>
        <w:t>sectors. </w:t>
      </w:r>
      <w:r>
        <w:rPr>
          <w:spacing w:val="-4"/>
          <w:w w:val="110"/>
        </w:rPr>
        <w:t>However, </w:t>
      </w:r>
      <w:r>
        <w:rPr>
          <w:w w:val="110"/>
        </w:rPr>
        <w:t>price competition and weak profits continue </w:t>
      </w:r>
      <w:r>
        <w:rPr>
          <w:spacing w:val="-4"/>
          <w:w w:val="110"/>
        </w:rPr>
        <w:t>to </w:t>
      </w:r>
      <w:r>
        <w:rPr>
          <w:w w:val="110"/>
        </w:rPr>
        <w:t>exert </w:t>
      </w:r>
      <w:r>
        <w:rPr>
          <w:spacing w:val="-3"/>
          <w:w w:val="110"/>
        </w:rPr>
        <w:t>downward pressure </w:t>
      </w:r>
      <w:r>
        <w:rPr>
          <w:w w:val="110"/>
        </w:rPr>
        <w:t>on settlements, particularly in manufacturing firms. The </w:t>
      </w:r>
      <w:r>
        <w:rPr>
          <w:spacing w:val="-3"/>
          <w:w w:val="110"/>
        </w:rPr>
        <w:t>survey </w:t>
      </w:r>
      <w:r>
        <w:rPr>
          <w:w w:val="110"/>
        </w:rPr>
        <w:t>also </w:t>
      </w:r>
      <w:r>
        <w:rPr>
          <w:spacing w:val="-3"/>
          <w:w w:val="110"/>
        </w:rPr>
        <w:t>notes </w:t>
      </w:r>
      <w:r>
        <w:rPr>
          <w:w w:val="110"/>
        </w:rPr>
        <w:t>that comparisons with other firms in the same industry remain an important consideration in wage</w:t>
      </w:r>
      <w:r>
        <w:rPr>
          <w:spacing w:val="-20"/>
          <w:w w:val="110"/>
        </w:rPr>
        <w:t> </w:t>
      </w:r>
      <w:r>
        <w:rPr>
          <w:w w:val="110"/>
        </w:rPr>
        <w:t>negotiations.</w:t>
      </w:r>
    </w:p>
    <w:p>
      <w:pPr>
        <w:pStyle w:val="BodyText"/>
        <w:spacing w:before="1"/>
      </w:pPr>
    </w:p>
    <w:p>
      <w:pPr>
        <w:pStyle w:val="BodyText"/>
        <w:spacing w:line="292" w:lineRule="auto"/>
        <w:ind w:left="180" w:right="156"/>
      </w:pPr>
      <w:r>
        <w:rPr>
          <w:w w:val="105"/>
        </w:rPr>
        <w:t>Forward-looking surveys provide mixed evidence on forthcoming settlements. The IRS survey of pay prospects for</w:t>
      </w:r>
    </w:p>
    <w:p>
      <w:pPr>
        <w:spacing w:after="0" w:line="292" w:lineRule="auto"/>
        <w:sectPr>
          <w:type w:val="continuous"/>
          <w:pgSz w:w="11900" w:h="16840"/>
          <w:pgMar w:top="1260" w:bottom="280" w:left="640" w:right="640"/>
          <w:cols w:num="2" w:equalWidth="0">
            <w:col w:w="4468" w:space="447"/>
            <w:col w:w="5705"/>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ind w:left="176"/>
      </w:pPr>
      <w:bookmarkStart w:name="Labour productivity and unit wage costs" w:id="66"/>
      <w:bookmarkEnd w:id="66"/>
      <w:r>
        <w:rPr>
          <w:b w:val="0"/>
        </w:rPr>
      </w:r>
      <w:bookmarkStart w:name="_bookmark32" w:id="67"/>
      <w:bookmarkEnd w:id="67"/>
      <w:r>
        <w:rPr>
          <w:b w:val="0"/>
        </w:rPr>
      </w:r>
      <w:bookmarkStart w:name="_bookmark33" w:id="68"/>
      <w:bookmarkEnd w:id="68"/>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3.15</w:t>
      </w:r>
    </w:p>
    <w:p>
      <w:pPr>
        <w:spacing w:line="247" w:lineRule="auto" w:before="8"/>
        <w:ind w:left="176" w:right="858" w:firstLine="0"/>
        <w:jc w:val="left"/>
        <w:rPr>
          <w:sz w:val="12"/>
        </w:rPr>
      </w:pPr>
      <w:r>
        <w:rPr>
          <w:rFonts w:ascii="Trebuchet MS" w:hAnsi="Trebuchet MS"/>
          <w:b/>
          <w:color w:val="89C6DC"/>
          <w:w w:val="95"/>
          <w:sz w:val="20"/>
        </w:rPr>
        <w:t>Bank regional Agents’ surveys of </w:t>
      </w:r>
      <w:r>
        <w:rPr>
          <w:rFonts w:ascii="Trebuchet MS" w:hAnsi="Trebuchet MS"/>
          <w:b/>
          <w:color w:val="89C6DC"/>
          <w:sz w:val="20"/>
        </w:rPr>
        <w:t>settlements prospects</w:t>
      </w:r>
      <w:r>
        <w:rPr>
          <w:position w:val="4"/>
          <w:sz w:val="12"/>
        </w:rPr>
        <w:t>(a)</w:t>
      </w:r>
    </w:p>
    <w:p>
      <w:pPr>
        <w:spacing w:before="115"/>
        <w:ind w:left="415" w:right="0" w:firstLine="0"/>
        <w:jc w:val="left"/>
        <w:rPr>
          <w:sz w:val="12"/>
        </w:rPr>
      </w:pPr>
      <w:r>
        <w:rPr/>
        <w:drawing>
          <wp:anchor distT="0" distB="0" distL="0" distR="0" allowOverlap="1" layoutInCell="1" locked="0" behindDoc="0" simplePos="0" relativeHeight="16223744">
            <wp:simplePos x="0" y="0"/>
            <wp:positionH relativeFrom="page">
              <wp:posOffset>547547</wp:posOffset>
            </wp:positionH>
            <wp:positionV relativeFrom="paragraph">
              <wp:posOffset>76521</wp:posOffset>
            </wp:positionV>
            <wp:extent cx="103720" cy="303758"/>
            <wp:effectExtent l="0" t="0" r="0" b="0"/>
            <wp:wrapNone/>
            <wp:docPr id="463" name="image73.png"/>
            <wp:cNvGraphicFramePr>
              <a:graphicFrameLocks noChangeAspect="1"/>
            </wp:cNvGraphicFramePr>
            <a:graphic>
              <a:graphicData uri="http://schemas.openxmlformats.org/drawingml/2006/picture">
                <pic:pic>
                  <pic:nvPicPr>
                    <pic:cNvPr id="464" name="image73.png"/>
                    <pic:cNvPicPr/>
                  </pic:nvPicPr>
                  <pic:blipFill>
                    <a:blip r:embed="rId127" cstate="print"/>
                    <a:stretch>
                      <a:fillRect/>
                    </a:stretch>
                  </pic:blipFill>
                  <pic:spPr>
                    <a:xfrm>
                      <a:off x="0" y="0"/>
                      <a:ext cx="103720" cy="303758"/>
                    </a:xfrm>
                    <a:prstGeom prst="rect">
                      <a:avLst/>
                    </a:prstGeom>
                  </pic:spPr>
                </pic:pic>
              </a:graphicData>
            </a:graphic>
          </wp:anchor>
        </w:drawing>
      </w:r>
      <w:r>
        <w:rPr>
          <w:w w:val="110"/>
          <w:sz w:val="12"/>
        </w:rPr>
        <w:t>1999</w:t>
      </w:r>
      <w:r>
        <w:rPr>
          <w:spacing w:val="2"/>
          <w:w w:val="110"/>
          <w:sz w:val="12"/>
        </w:rPr>
        <w:t> </w:t>
      </w:r>
      <w:r>
        <w:rPr>
          <w:w w:val="110"/>
          <w:sz w:val="12"/>
        </w:rPr>
        <w:t>survey</w:t>
      </w:r>
    </w:p>
    <w:p>
      <w:pPr>
        <w:spacing w:before="23"/>
        <w:ind w:left="415" w:right="0" w:firstLine="0"/>
        <w:jc w:val="left"/>
        <w:rPr>
          <w:sz w:val="12"/>
        </w:rPr>
      </w:pPr>
      <w:r>
        <w:rPr>
          <w:w w:val="110"/>
          <w:sz w:val="12"/>
        </w:rPr>
        <w:t>2000</w:t>
      </w:r>
      <w:r>
        <w:rPr>
          <w:spacing w:val="2"/>
          <w:w w:val="110"/>
          <w:sz w:val="12"/>
        </w:rPr>
        <w:t> </w:t>
      </w:r>
      <w:r>
        <w:rPr>
          <w:w w:val="110"/>
          <w:sz w:val="12"/>
        </w:rPr>
        <w:t>survey</w:t>
      </w:r>
    </w:p>
    <w:p>
      <w:pPr>
        <w:tabs>
          <w:tab w:pos="2983" w:val="left" w:leader="none"/>
        </w:tabs>
        <w:spacing w:line="187" w:lineRule="auto" w:before="31"/>
        <w:ind w:left="415" w:right="0" w:firstLine="0"/>
        <w:jc w:val="left"/>
        <w:rPr>
          <w:sz w:val="12"/>
        </w:rPr>
      </w:pPr>
      <w:r>
        <w:rPr>
          <w:w w:val="110"/>
          <w:sz w:val="12"/>
        </w:rPr>
        <w:t>2001</w:t>
      </w:r>
      <w:r>
        <w:rPr>
          <w:spacing w:val="-2"/>
          <w:w w:val="110"/>
          <w:sz w:val="12"/>
        </w:rPr>
        <w:t> </w:t>
      </w:r>
      <w:r>
        <w:rPr>
          <w:w w:val="110"/>
          <w:sz w:val="12"/>
        </w:rPr>
        <w:t>survey</w:t>
        <w:tab/>
      </w:r>
      <w:r>
        <w:rPr>
          <w:w w:val="110"/>
          <w:position w:val="-6"/>
          <w:sz w:val="12"/>
        </w:rPr>
        <w:t>Per</w:t>
      </w:r>
      <w:r>
        <w:rPr>
          <w:spacing w:val="-3"/>
          <w:w w:val="110"/>
          <w:position w:val="-6"/>
          <w:sz w:val="12"/>
        </w:rPr>
        <w:t> </w:t>
      </w:r>
      <w:r>
        <w:rPr>
          <w:w w:val="110"/>
          <w:position w:val="-6"/>
          <w:sz w:val="12"/>
        </w:rPr>
        <w:t>cent</w:t>
      </w:r>
    </w:p>
    <w:p>
      <w:pPr>
        <w:spacing w:line="118" w:lineRule="exact" w:before="0"/>
        <w:ind w:left="3467" w:right="0" w:firstLine="0"/>
        <w:jc w:val="left"/>
        <w:rPr>
          <w:sz w:val="12"/>
        </w:rPr>
      </w:pPr>
      <w:r>
        <w:rPr/>
        <w:pict>
          <v:shape style="position:absolute;margin-left:43.113998pt;margin-top:2.644676pt;width:4.350pt;height:.1pt;mso-position-horizontal-relative:page;mso-position-vertical-relative:paragraph;z-index:16222720" coordorigin="862,53" coordsize="87,0" path="m862,53l949,53m862,53l949,53e" filled="false" stroked="true" strokeweight=".5pt" strokecolor="#000000">
            <v:path arrowok="t"/>
            <v:stroke dashstyle="solid"/>
            <w10:wrap type="none"/>
          </v:shape>
        </w:pict>
      </w:r>
      <w:r>
        <w:rPr/>
        <w:pict>
          <v:line style="position:absolute;mso-position-horizontal-relative:page;mso-position-vertical-relative:paragraph;z-index:16223232" from="198.248993pt,2.280676pt" to="202.582993pt,2.280676pt" stroked="true" strokeweight=".5pt" strokecolor="#000000">
            <v:stroke dashstyle="solid"/>
            <w10:wrap type="none"/>
          </v:line>
        </w:pict>
      </w:r>
      <w:r>
        <w:rPr>
          <w:w w:val="120"/>
          <w:sz w:val="12"/>
        </w:rPr>
        <w:t>60</w:t>
      </w:r>
    </w:p>
    <w:p>
      <w:pPr>
        <w:pStyle w:val="BodyText"/>
        <w:rPr>
          <w:sz w:val="12"/>
        </w:rPr>
      </w:pPr>
    </w:p>
    <w:p>
      <w:pPr>
        <w:pStyle w:val="BodyText"/>
        <w:spacing w:before="10"/>
        <w:rPr>
          <w:sz w:val="17"/>
        </w:rPr>
      </w:pPr>
    </w:p>
    <w:p>
      <w:pPr>
        <w:spacing w:before="1"/>
        <w:ind w:left="0" w:right="328" w:firstLine="0"/>
        <w:jc w:val="right"/>
        <w:rPr>
          <w:sz w:val="12"/>
        </w:rPr>
      </w:pPr>
      <w:r>
        <w:rPr/>
        <w:pict>
          <v:group style="position:absolute;margin-left:43.113998pt;margin-top:3.10482pt;width:159.5pt;height:121.3pt;mso-position-horizontal-relative:page;mso-position-vertical-relative:paragraph;z-index:16222208" coordorigin="862,62" coordsize="3190,2426">
            <v:rect style="position:absolute;left:1135;top:1945;width:156;height:530" filled="true" fillcolor="#c0a2c7" stroked="false">
              <v:fill type="solid"/>
            </v:rect>
            <v:rect style="position:absolute;left:1135;top:1945;width:158;height:530" filled="false" stroked="true" strokeweight=".5pt" strokecolor="#000000">
              <v:stroke dashstyle="solid"/>
            </v:rect>
            <v:rect style="position:absolute;left:1291;top:1600;width:165;height:875" filled="true" fillcolor="#cee7e8" stroked="false">
              <v:fill type="solid"/>
            </v:rect>
            <v:rect style="position:absolute;left:1291;top:1600;width:168;height:875" filled="false" stroked="true" strokeweight=".5pt" strokecolor="#000000">
              <v:stroke dashstyle="solid"/>
            </v:rect>
            <v:rect style="position:absolute;left:1455;top:1120;width:160;height:1355" filled="true" fillcolor="#610e7a" stroked="false">
              <v:fill type="solid"/>
            </v:rect>
            <v:rect style="position:absolute;left:1455;top:1120;width:160;height:1355" filled="false" stroked="true" strokeweight=".5pt" strokecolor="#000000">
              <v:stroke dashstyle="solid"/>
            </v:rect>
            <v:rect style="position:absolute;left:1855;top:547;width:158;height:1928" filled="true" fillcolor="#c0a2c7" stroked="false">
              <v:fill type="solid"/>
            </v:rect>
            <v:rect style="position:absolute;left:1855;top:547;width:158;height:1928" filled="false" stroked="true" strokeweight=".5pt" strokecolor="#000000">
              <v:stroke dashstyle="solid"/>
            </v:rect>
            <v:rect style="position:absolute;left:2010;top:592;width:168;height:1883" filled="true" fillcolor="#cee7e8" stroked="false">
              <v:fill type="solid"/>
            </v:rect>
            <v:rect style="position:absolute;left:2010;top:592;width:170;height:1883" filled="false" stroked="true" strokeweight=".5pt" strokecolor="#000000">
              <v:stroke dashstyle="solid"/>
            </v:rect>
            <v:rect style="position:absolute;left:2177;top:101;width:158;height:2374" filled="true" fillcolor="#610e7a" stroked="false">
              <v:fill type="solid"/>
            </v:rect>
            <v:rect style="position:absolute;left:2177;top:101;width:158;height:2374" filled="false" stroked="true" strokeweight=".5pt" strokecolor="#000000">
              <v:stroke dashstyle="solid"/>
            </v:rect>
            <v:rect style="position:absolute;left:2575;top:797;width:158;height:1678" filled="true" fillcolor="#c0a2c7" stroked="false">
              <v:fill type="solid"/>
            </v:rect>
            <v:rect style="position:absolute;left:2575;top:797;width:158;height:1678" filled="false" stroked="true" strokeweight=".5pt" strokecolor="#000000">
              <v:stroke dashstyle="solid"/>
            </v:rect>
            <v:rect style="position:absolute;left:2730;top:1075;width:170;height:1400" filled="true" fillcolor="#cee7e8" stroked="false">
              <v:fill type="solid"/>
            </v:rect>
            <v:rect style="position:absolute;left:2730;top:1075;width:170;height:1400" filled="false" stroked="true" strokeweight=".5pt" strokecolor="#000000">
              <v:stroke dashstyle="solid"/>
            </v:rect>
            <v:rect style="position:absolute;left:2897;top:1990;width:158;height:485" filled="true" fillcolor="#610e7a" stroked="false">
              <v:fill type="solid"/>
            </v:rect>
            <v:rect style="position:absolute;left:2897;top:1990;width:158;height:485" filled="false" stroked="true" strokeweight=".5pt" strokecolor="#000000">
              <v:stroke dashstyle="solid"/>
            </v:rect>
            <v:rect style="position:absolute;left:3295;top:1807;width:157;height:668" filled="true" fillcolor="#c0a2c7" stroked="false">
              <v:fill type="solid"/>
            </v:rect>
            <v:rect style="position:absolute;left:3295;top:1807;width:160;height:668" filled="false" stroked="true" strokeweight=".5pt" strokecolor="#000000">
              <v:stroke dashstyle="solid"/>
            </v:rect>
            <v:rect style="position:absolute;left:3452;top:1807;width:168;height:668" filled="true" fillcolor="#cee7e8" stroked="false">
              <v:fill type="solid"/>
            </v:rect>
            <v:rect style="position:absolute;left:3452;top:1807;width:168;height:668" filled="false" stroked="true" strokeweight=".5pt" strokecolor="#000000">
              <v:stroke dashstyle="solid"/>
            </v:rect>
            <v:rect style="position:absolute;left:3617;top:1900;width:158;height:575" filled="true" fillcolor="#610e7a" stroked="false">
              <v:fill type="solid"/>
            </v:rect>
            <v:shape style="position:absolute;left:862;top:67;width:3190;height:2416" coordorigin="862,67" coordsize="3190,2416" path="m3618,1900l3775,1900,3775,2475,3618,2475,3618,1900xm1015,2475l3900,2475m1013,2408l1013,2475m1735,2408l1735,2475m2458,2408l2458,2475m3180,2408l3180,2475m3903,2408l3903,2475m862,74l949,74m862,556l949,556m862,1038l949,1038m862,2001l949,2001m862,1519l949,1519m862,2483l949,2483m862,74l949,74m862,556l949,556m862,1038l949,1038m862,2001l949,2001m862,1519l949,1519m862,2483l949,2483m3965,67l4052,67m3965,549l4052,549m3965,1030l4052,1030m3965,1994l4052,1994m3965,1512l4052,1512m3965,2475l4052,2475e" filled="false" stroked="true" strokeweight=".5pt" strokecolor="#000000">
              <v:path arrowok="t"/>
              <v:stroke dashstyle="solid"/>
            </v:shape>
            <w10:wrap type="none"/>
          </v:group>
        </w:pict>
      </w:r>
      <w:r>
        <w:rPr>
          <w:w w:val="120"/>
          <w:sz w:val="12"/>
        </w:rPr>
        <w:t>50</w:t>
      </w:r>
    </w:p>
    <w:p>
      <w:pPr>
        <w:pStyle w:val="BodyText"/>
        <w:rPr>
          <w:sz w:val="12"/>
        </w:rPr>
      </w:pPr>
    </w:p>
    <w:p>
      <w:pPr>
        <w:pStyle w:val="BodyText"/>
        <w:spacing w:before="10"/>
        <w:rPr>
          <w:sz w:val="17"/>
        </w:rPr>
      </w:pPr>
    </w:p>
    <w:p>
      <w:pPr>
        <w:spacing w:before="0"/>
        <w:ind w:left="0" w:right="328" w:firstLine="0"/>
        <w:jc w:val="right"/>
        <w:rPr>
          <w:sz w:val="12"/>
        </w:rPr>
      </w:pPr>
      <w:r>
        <w:rPr>
          <w:w w:val="120"/>
          <w:sz w:val="12"/>
        </w:rPr>
        <w:t>40</w:t>
      </w:r>
    </w:p>
    <w:p>
      <w:pPr>
        <w:pStyle w:val="BodyText"/>
        <w:rPr>
          <w:sz w:val="12"/>
        </w:rPr>
      </w:pPr>
    </w:p>
    <w:p>
      <w:pPr>
        <w:pStyle w:val="BodyText"/>
        <w:spacing w:before="10"/>
        <w:rPr>
          <w:sz w:val="17"/>
        </w:rPr>
      </w:pPr>
    </w:p>
    <w:p>
      <w:pPr>
        <w:spacing w:before="0"/>
        <w:ind w:left="0" w:right="328" w:firstLine="0"/>
        <w:jc w:val="right"/>
        <w:rPr>
          <w:sz w:val="12"/>
        </w:rPr>
      </w:pPr>
      <w:r>
        <w:rPr>
          <w:w w:val="120"/>
          <w:sz w:val="12"/>
        </w:rPr>
        <w:t>30</w:t>
      </w:r>
    </w:p>
    <w:p>
      <w:pPr>
        <w:pStyle w:val="BodyText"/>
        <w:rPr>
          <w:sz w:val="12"/>
        </w:rPr>
      </w:pPr>
    </w:p>
    <w:p>
      <w:pPr>
        <w:pStyle w:val="BodyText"/>
        <w:spacing w:before="10"/>
        <w:rPr>
          <w:sz w:val="17"/>
        </w:rPr>
      </w:pPr>
    </w:p>
    <w:p>
      <w:pPr>
        <w:spacing w:before="0"/>
        <w:ind w:left="0" w:right="328" w:firstLine="0"/>
        <w:jc w:val="right"/>
        <w:rPr>
          <w:sz w:val="12"/>
        </w:rPr>
      </w:pPr>
      <w:r>
        <w:rPr>
          <w:w w:val="120"/>
          <w:sz w:val="12"/>
        </w:rPr>
        <w:t>20</w:t>
      </w:r>
    </w:p>
    <w:p>
      <w:pPr>
        <w:pStyle w:val="BodyText"/>
        <w:rPr>
          <w:sz w:val="12"/>
        </w:rPr>
      </w:pPr>
    </w:p>
    <w:p>
      <w:pPr>
        <w:pStyle w:val="BodyText"/>
        <w:spacing w:before="10"/>
        <w:rPr>
          <w:sz w:val="17"/>
        </w:rPr>
      </w:pPr>
    </w:p>
    <w:p>
      <w:pPr>
        <w:spacing w:before="0"/>
        <w:ind w:left="0" w:right="328" w:firstLine="0"/>
        <w:jc w:val="right"/>
        <w:rPr>
          <w:sz w:val="12"/>
        </w:rPr>
      </w:pPr>
      <w:r>
        <w:rPr>
          <w:w w:val="120"/>
          <w:sz w:val="12"/>
        </w:rPr>
        <w:t>10</w:t>
      </w:r>
    </w:p>
    <w:p>
      <w:pPr>
        <w:pStyle w:val="BodyText"/>
        <w:rPr>
          <w:sz w:val="12"/>
        </w:rPr>
      </w:pPr>
    </w:p>
    <w:p>
      <w:pPr>
        <w:pStyle w:val="BodyText"/>
        <w:spacing w:before="10"/>
        <w:rPr>
          <w:sz w:val="17"/>
        </w:rPr>
      </w:pPr>
    </w:p>
    <w:p>
      <w:pPr>
        <w:spacing w:line="113" w:lineRule="exact" w:before="1"/>
        <w:ind w:left="3539" w:right="0" w:firstLine="0"/>
        <w:jc w:val="left"/>
        <w:rPr>
          <w:sz w:val="12"/>
        </w:rPr>
      </w:pPr>
      <w:r>
        <w:rPr>
          <w:w w:val="121"/>
          <w:sz w:val="12"/>
        </w:rPr>
        <w:t>0</w:t>
      </w:r>
    </w:p>
    <w:p>
      <w:pPr>
        <w:tabs>
          <w:tab w:pos="1337" w:val="left" w:leader="none"/>
          <w:tab w:pos="2008" w:val="left" w:leader="none"/>
          <w:tab w:pos="2567" w:val="left" w:leader="none"/>
        </w:tabs>
        <w:spacing w:line="111" w:lineRule="exact" w:before="0"/>
        <w:ind w:left="564" w:right="0" w:firstLine="0"/>
        <w:jc w:val="left"/>
        <w:rPr>
          <w:sz w:val="12"/>
        </w:rPr>
      </w:pPr>
      <w:r>
        <w:rPr>
          <w:w w:val="105"/>
          <w:sz w:val="12"/>
        </w:rPr>
        <w:t>Higher</w:t>
        <w:tab/>
      </w:r>
      <w:r>
        <w:rPr>
          <w:w w:val="105"/>
          <w:position w:val="1"/>
          <w:sz w:val="12"/>
        </w:rPr>
        <w:t>Same</w:t>
        <w:tab/>
      </w:r>
      <w:r>
        <w:rPr>
          <w:w w:val="105"/>
          <w:sz w:val="12"/>
        </w:rPr>
        <w:t>Lower</w:t>
        <w:tab/>
      </w:r>
      <w:r>
        <w:rPr>
          <w:w w:val="105"/>
          <w:position w:val="1"/>
          <w:sz w:val="12"/>
        </w:rPr>
        <w:t>No</w:t>
      </w:r>
    </w:p>
    <w:p>
      <w:pPr>
        <w:spacing w:line="208" w:lineRule="auto" w:before="2"/>
        <w:ind w:left="2567" w:right="607" w:firstLine="0"/>
        <w:jc w:val="left"/>
        <w:rPr>
          <w:sz w:val="12"/>
        </w:rPr>
      </w:pPr>
      <w:r>
        <w:rPr>
          <w:w w:val="105"/>
          <w:sz w:val="12"/>
        </w:rPr>
        <w:t>company-wide</w:t>
      </w:r>
      <w:r>
        <w:rPr>
          <w:w w:val="104"/>
          <w:sz w:val="12"/>
        </w:rPr>
        <w:t> </w:t>
      </w:r>
      <w:r>
        <w:rPr>
          <w:w w:val="110"/>
          <w:sz w:val="12"/>
        </w:rPr>
        <w:t>settlement</w:t>
      </w:r>
    </w:p>
    <w:p>
      <w:pPr>
        <w:spacing w:before="72"/>
        <w:ind w:left="176" w:right="0" w:firstLine="0"/>
        <w:jc w:val="left"/>
        <w:rPr>
          <w:sz w:val="12"/>
        </w:rPr>
      </w:pPr>
      <w:r>
        <w:rPr>
          <w:w w:val="105"/>
          <w:sz w:val="12"/>
        </w:rPr>
        <w:t>Source: Bank of England’s regional Agents.</w:t>
      </w:r>
    </w:p>
    <w:p>
      <w:pPr>
        <w:pStyle w:val="BodyText"/>
        <w:spacing w:before="2"/>
        <w:rPr>
          <w:sz w:val="10"/>
        </w:rPr>
      </w:pPr>
    </w:p>
    <w:p>
      <w:pPr>
        <w:spacing w:line="208" w:lineRule="auto" w:before="0"/>
        <w:ind w:left="416" w:right="15" w:hanging="240"/>
        <w:jc w:val="left"/>
        <w:rPr>
          <w:sz w:val="12"/>
        </w:rPr>
      </w:pPr>
      <w:r>
        <w:rPr>
          <w:w w:val="110"/>
          <w:sz w:val="12"/>
        </w:rPr>
        <w:t>(a) Percentage of respondents reporting that settlements were expected to be higher, same or lower than in the previous year.</w:t>
      </w:r>
    </w:p>
    <w:p>
      <w:pPr>
        <w:pStyle w:val="BodyText"/>
        <w:rPr>
          <w:sz w:val="12"/>
        </w:rPr>
      </w:pPr>
    </w:p>
    <w:p>
      <w:pPr>
        <w:pStyle w:val="BodyText"/>
        <w:rPr>
          <w:sz w:val="12"/>
        </w:rPr>
      </w:pPr>
    </w:p>
    <w:p>
      <w:pPr>
        <w:pStyle w:val="Heading6"/>
        <w:spacing w:before="79"/>
        <w:ind w:left="183"/>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3.16</w:t>
      </w:r>
    </w:p>
    <w:p>
      <w:pPr>
        <w:spacing w:before="8"/>
        <w:ind w:left="183" w:right="0" w:firstLine="0"/>
        <w:jc w:val="left"/>
        <w:rPr>
          <w:rFonts w:ascii="Trebuchet MS"/>
          <w:b/>
          <w:sz w:val="20"/>
        </w:rPr>
      </w:pPr>
      <w:r>
        <w:rPr>
          <w:rFonts w:ascii="Trebuchet MS"/>
          <w:b/>
          <w:color w:val="89C6DC"/>
          <w:sz w:val="20"/>
        </w:rPr>
        <w:t>Public sector wage bill</w:t>
      </w:r>
    </w:p>
    <w:p>
      <w:pPr>
        <w:pStyle w:val="BodyText"/>
        <w:spacing w:before="4"/>
        <w:rPr>
          <w:rFonts w:ascii="Trebuchet MS"/>
          <w:b/>
          <w:sz w:val="19"/>
        </w:rPr>
      </w:pPr>
      <w:r>
        <w:rPr/>
        <w:br w:type="column"/>
      </w:r>
      <w:r>
        <w:rPr>
          <w:rFonts w:ascii="Trebuchet MS"/>
          <w:b/>
          <w:sz w:val="19"/>
        </w:rPr>
      </w:r>
    </w:p>
    <w:p>
      <w:pPr>
        <w:pStyle w:val="BodyText"/>
        <w:spacing w:line="292" w:lineRule="auto"/>
        <w:ind w:left="296" w:right="104"/>
      </w:pPr>
      <w:r>
        <w:rPr>
          <w:spacing w:val="-11"/>
          <w:w w:val="110"/>
        </w:rPr>
        <w:t>2001</w:t>
      </w:r>
      <w:r>
        <w:rPr>
          <w:spacing w:val="-19"/>
          <w:w w:val="110"/>
        </w:rPr>
        <w:t> </w:t>
      </w:r>
      <w:r>
        <w:rPr>
          <w:w w:val="110"/>
        </w:rPr>
        <w:t>suggested</w:t>
      </w:r>
      <w:r>
        <w:rPr>
          <w:spacing w:val="-18"/>
          <w:w w:val="110"/>
        </w:rPr>
        <w:t> </w:t>
      </w:r>
      <w:r>
        <w:rPr>
          <w:w w:val="110"/>
        </w:rPr>
        <w:t>that</w:t>
      </w:r>
      <w:r>
        <w:rPr>
          <w:spacing w:val="-18"/>
          <w:w w:val="110"/>
        </w:rPr>
        <w:t> </w:t>
      </w:r>
      <w:r>
        <w:rPr>
          <w:w w:val="110"/>
        </w:rPr>
        <w:t>settlements</w:t>
      </w:r>
      <w:r>
        <w:rPr>
          <w:spacing w:val="-18"/>
          <w:w w:val="110"/>
        </w:rPr>
        <w:t> </w:t>
      </w:r>
      <w:r>
        <w:rPr>
          <w:w w:val="110"/>
        </w:rPr>
        <w:t>would</w:t>
      </w:r>
      <w:r>
        <w:rPr>
          <w:spacing w:val="-18"/>
          <w:w w:val="110"/>
        </w:rPr>
        <w:t> </w:t>
      </w:r>
      <w:r>
        <w:rPr>
          <w:w w:val="110"/>
        </w:rPr>
        <w:t>remain</w:t>
      </w:r>
      <w:r>
        <w:rPr>
          <w:spacing w:val="-19"/>
          <w:w w:val="110"/>
        </w:rPr>
        <w:t> </w:t>
      </w:r>
      <w:r>
        <w:rPr>
          <w:w w:val="110"/>
        </w:rPr>
        <w:t>broadly</w:t>
      </w:r>
      <w:r>
        <w:rPr>
          <w:spacing w:val="-18"/>
          <w:w w:val="110"/>
        </w:rPr>
        <w:t> </w:t>
      </w:r>
      <w:r>
        <w:rPr>
          <w:w w:val="110"/>
        </w:rPr>
        <w:t>stable. By contrast, the IDS </w:t>
      </w:r>
      <w:r>
        <w:rPr>
          <w:spacing w:val="-3"/>
          <w:w w:val="110"/>
        </w:rPr>
        <w:t>survey projected </w:t>
      </w:r>
      <w:r>
        <w:rPr>
          <w:w w:val="110"/>
        </w:rPr>
        <w:t>that most settlements would be in the 3% </w:t>
      </w:r>
      <w:r>
        <w:rPr>
          <w:spacing w:val="-4"/>
          <w:w w:val="110"/>
        </w:rPr>
        <w:t>to </w:t>
      </w:r>
      <w:r>
        <w:rPr>
          <w:w w:val="110"/>
        </w:rPr>
        <w:t>4.5% range, somewhat higher than recent </w:t>
      </w:r>
      <w:r>
        <w:rPr>
          <w:spacing w:val="-4"/>
          <w:w w:val="110"/>
        </w:rPr>
        <w:t>rates. </w:t>
      </w:r>
      <w:r>
        <w:rPr>
          <w:w w:val="110"/>
        </w:rPr>
        <w:t>In addition, the </w:t>
      </w:r>
      <w:r>
        <w:rPr>
          <w:spacing w:val="-3"/>
          <w:w w:val="110"/>
        </w:rPr>
        <w:t>Bank’s </w:t>
      </w:r>
      <w:r>
        <w:rPr>
          <w:w w:val="110"/>
        </w:rPr>
        <w:t>regional Agents conducted a </w:t>
      </w:r>
      <w:r>
        <w:rPr>
          <w:spacing w:val="-3"/>
          <w:w w:val="110"/>
        </w:rPr>
        <w:t>survey </w:t>
      </w:r>
      <w:r>
        <w:rPr>
          <w:w w:val="110"/>
        </w:rPr>
        <w:t>of around </w:t>
      </w:r>
      <w:r>
        <w:rPr>
          <w:spacing w:val="-17"/>
          <w:w w:val="110"/>
        </w:rPr>
        <w:t>170 </w:t>
      </w:r>
      <w:r>
        <w:rPr>
          <w:w w:val="110"/>
        </w:rPr>
        <w:t>contacts (covering about </w:t>
      </w:r>
      <w:r>
        <w:rPr>
          <w:spacing w:val="-7"/>
          <w:w w:val="110"/>
        </w:rPr>
        <w:t>350,000 </w:t>
      </w:r>
      <w:r>
        <w:rPr>
          <w:w w:val="110"/>
        </w:rPr>
        <w:t>employees) in December </w:t>
      </w:r>
      <w:r>
        <w:rPr>
          <w:spacing w:val="-4"/>
          <w:w w:val="110"/>
        </w:rPr>
        <w:t>2000. </w:t>
      </w:r>
      <w:r>
        <w:rPr>
          <w:w w:val="110"/>
        </w:rPr>
        <w:t>Around half the respondents </w:t>
      </w:r>
      <w:r>
        <w:rPr>
          <w:spacing w:val="-3"/>
          <w:w w:val="110"/>
        </w:rPr>
        <w:t>expected </w:t>
      </w:r>
      <w:r>
        <w:rPr>
          <w:w w:val="110"/>
        </w:rPr>
        <w:t>settlements </w:t>
      </w:r>
      <w:r>
        <w:rPr>
          <w:spacing w:val="-4"/>
          <w:w w:val="110"/>
        </w:rPr>
        <w:t>to </w:t>
      </w:r>
      <w:r>
        <w:rPr>
          <w:w w:val="110"/>
        </w:rPr>
        <w:t>be at the same </w:t>
      </w:r>
      <w:r>
        <w:rPr>
          <w:spacing w:val="-2"/>
          <w:w w:val="110"/>
        </w:rPr>
        <w:t>levels </w:t>
      </w:r>
      <w:r>
        <w:rPr>
          <w:w w:val="110"/>
        </w:rPr>
        <w:t>as last</w:t>
      </w:r>
      <w:r>
        <w:rPr>
          <w:spacing w:val="-8"/>
          <w:w w:val="110"/>
        </w:rPr>
        <w:t> </w:t>
      </w:r>
      <w:r>
        <w:rPr>
          <w:spacing w:val="-4"/>
          <w:w w:val="110"/>
        </w:rPr>
        <w:t>year,</w:t>
      </w:r>
      <w:r>
        <w:rPr>
          <w:spacing w:val="-7"/>
          <w:w w:val="110"/>
        </w:rPr>
        <w:t> </w:t>
      </w:r>
      <w:r>
        <w:rPr>
          <w:w w:val="110"/>
        </w:rPr>
        <w:t>and</w:t>
      </w:r>
      <w:r>
        <w:rPr>
          <w:spacing w:val="-7"/>
          <w:w w:val="110"/>
        </w:rPr>
        <w:t> </w:t>
      </w:r>
      <w:r>
        <w:rPr>
          <w:w w:val="110"/>
        </w:rPr>
        <w:t>a</w:t>
      </w:r>
      <w:r>
        <w:rPr>
          <w:spacing w:val="-7"/>
          <w:w w:val="110"/>
        </w:rPr>
        <w:t> </w:t>
      </w:r>
      <w:r>
        <w:rPr>
          <w:w w:val="110"/>
        </w:rPr>
        <w:t>quarter</w:t>
      </w:r>
      <w:r>
        <w:rPr>
          <w:spacing w:val="-8"/>
          <w:w w:val="110"/>
        </w:rPr>
        <w:t> </w:t>
      </w:r>
      <w:r>
        <w:rPr>
          <w:spacing w:val="-3"/>
          <w:w w:val="110"/>
        </w:rPr>
        <w:t>expected</w:t>
      </w:r>
      <w:r>
        <w:rPr>
          <w:spacing w:val="-7"/>
          <w:w w:val="110"/>
        </w:rPr>
        <w:t> </w:t>
      </w:r>
      <w:r>
        <w:rPr>
          <w:w w:val="110"/>
        </w:rPr>
        <w:t>them</w:t>
      </w:r>
      <w:r>
        <w:rPr>
          <w:spacing w:val="-7"/>
          <w:w w:val="110"/>
        </w:rPr>
        <w:t> </w:t>
      </w:r>
      <w:r>
        <w:rPr>
          <w:spacing w:val="-4"/>
          <w:w w:val="110"/>
        </w:rPr>
        <w:t>to</w:t>
      </w:r>
      <w:r>
        <w:rPr>
          <w:spacing w:val="-7"/>
          <w:w w:val="110"/>
        </w:rPr>
        <w:t> </w:t>
      </w:r>
      <w:r>
        <w:rPr>
          <w:w w:val="110"/>
        </w:rPr>
        <w:t>be</w:t>
      </w:r>
      <w:r>
        <w:rPr>
          <w:spacing w:val="-7"/>
          <w:w w:val="110"/>
        </w:rPr>
        <w:t> </w:t>
      </w:r>
      <w:r>
        <w:rPr>
          <w:w w:val="110"/>
        </w:rPr>
        <w:t>higher</w:t>
      </w:r>
      <w:r>
        <w:rPr>
          <w:spacing w:val="-8"/>
          <w:w w:val="110"/>
        </w:rPr>
        <w:t> </w:t>
      </w:r>
      <w:r>
        <w:rPr>
          <w:w w:val="110"/>
        </w:rPr>
        <w:t>(see</w:t>
      </w:r>
    </w:p>
    <w:p>
      <w:pPr>
        <w:pStyle w:val="BodyText"/>
        <w:spacing w:line="292" w:lineRule="auto"/>
        <w:ind w:left="296" w:right="104"/>
      </w:pPr>
      <w:r>
        <w:rPr>
          <w:w w:val="110"/>
        </w:rPr>
        <w:t>Chart </w:t>
      </w:r>
      <w:r>
        <w:rPr>
          <w:spacing w:val="-7"/>
          <w:w w:val="110"/>
        </w:rPr>
        <w:t>3.15). </w:t>
      </w:r>
      <w:r>
        <w:rPr>
          <w:w w:val="110"/>
        </w:rPr>
        <w:t>Recruitment difficulties </w:t>
      </w:r>
      <w:r>
        <w:rPr>
          <w:spacing w:val="-3"/>
          <w:w w:val="110"/>
        </w:rPr>
        <w:t>were </w:t>
      </w:r>
      <w:r>
        <w:rPr>
          <w:w w:val="110"/>
        </w:rPr>
        <w:t>reportedly the most important </w:t>
      </w:r>
      <w:r>
        <w:rPr>
          <w:spacing w:val="-3"/>
          <w:w w:val="110"/>
        </w:rPr>
        <w:t>upward pressure </w:t>
      </w:r>
      <w:r>
        <w:rPr>
          <w:w w:val="110"/>
        </w:rPr>
        <w:t>on </w:t>
      </w:r>
      <w:r>
        <w:rPr>
          <w:spacing w:val="-6"/>
          <w:w w:val="110"/>
        </w:rPr>
        <w:t>pay.</w:t>
      </w:r>
    </w:p>
    <w:p>
      <w:pPr>
        <w:pStyle w:val="BodyText"/>
        <w:spacing w:before="10"/>
        <w:rPr>
          <w:sz w:val="23"/>
        </w:rPr>
      </w:pPr>
    </w:p>
    <w:p>
      <w:pPr>
        <w:pStyle w:val="BodyText"/>
        <w:spacing w:line="292" w:lineRule="auto"/>
        <w:ind w:left="296" w:right="149"/>
      </w:pPr>
      <w:r>
        <w:rPr>
          <w:w w:val="110"/>
        </w:rPr>
        <w:t>In the public </w:t>
      </w:r>
      <w:r>
        <w:rPr>
          <w:spacing w:val="-3"/>
          <w:w w:val="110"/>
        </w:rPr>
        <w:t>sector, </w:t>
      </w:r>
      <w:r>
        <w:rPr>
          <w:w w:val="110"/>
        </w:rPr>
        <w:t>recently announced settlements for NHS staff and </w:t>
      </w:r>
      <w:r>
        <w:rPr>
          <w:spacing w:val="-3"/>
          <w:w w:val="110"/>
        </w:rPr>
        <w:t>teachers have </w:t>
      </w:r>
      <w:r>
        <w:rPr>
          <w:w w:val="110"/>
        </w:rPr>
        <w:t>been somewhat higher than a year </w:t>
      </w:r>
      <w:r>
        <w:rPr>
          <w:spacing w:val="-3"/>
          <w:w w:val="110"/>
        </w:rPr>
        <w:t>earlier.</w:t>
      </w:r>
      <w:r>
        <w:rPr>
          <w:spacing w:val="16"/>
          <w:w w:val="110"/>
        </w:rPr>
        <w:t> </w:t>
      </w:r>
      <w:r>
        <w:rPr>
          <w:spacing w:val="-3"/>
          <w:w w:val="110"/>
        </w:rPr>
        <w:t>However</w:t>
      </w:r>
      <w:r>
        <w:rPr>
          <w:spacing w:val="-20"/>
          <w:w w:val="110"/>
        </w:rPr>
        <w:t> </w:t>
      </w:r>
      <w:r>
        <w:rPr>
          <w:w w:val="110"/>
        </w:rPr>
        <w:t>these</w:t>
      </w:r>
      <w:r>
        <w:rPr>
          <w:spacing w:val="-19"/>
          <w:w w:val="110"/>
        </w:rPr>
        <w:t> </w:t>
      </w:r>
      <w:r>
        <w:rPr>
          <w:w w:val="110"/>
        </w:rPr>
        <w:t>settlements</w:t>
      </w:r>
      <w:r>
        <w:rPr>
          <w:spacing w:val="-20"/>
          <w:w w:val="110"/>
        </w:rPr>
        <w:t> </w:t>
      </w:r>
      <w:r>
        <w:rPr>
          <w:w w:val="110"/>
        </w:rPr>
        <w:t>alone</w:t>
      </w:r>
      <w:r>
        <w:rPr>
          <w:spacing w:val="-20"/>
          <w:w w:val="110"/>
        </w:rPr>
        <w:t> </w:t>
      </w:r>
      <w:r>
        <w:rPr>
          <w:w w:val="110"/>
        </w:rPr>
        <w:t>are</w:t>
      </w:r>
      <w:r>
        <w:rPr>
          <w:spacing w:val="-19"/>
          <w:w w:val="110"/>
        </w:rPr>
        <w:t> </w:t>
      </w:r>
      <w:r>
        <w:rPr>
          <w:w w:val="110"/>
        </w:rPr>
        <w:t>unlikely</w:t>
      </w:r>
      <w:r>
        <w:rPr>
          <w:spacing w:val="-20"/>
          <w:w w:val="110"/>
        </w:rPr>
        <w:t> </w:t>
      </w:r>
      <w:r>
        <w:rPr>
          <w:spacing w:val="-4"/>
          <w:w w:val="110"/>
        </w:rPr>
        <w:t>to</w:t>
      </w:r>
      <w:r>
        <w:rPr>
          <w:spacing w:val="-20"/>
          <w:w w:val="110"/>
        </w:rPr>
        <w:t> </w:t>
      </w:r>
      <w:r>
        <w:rPr>
          <w:spacing w:val="-3"/>
          <w:w w:val="110"/>
        </w:rPr>
        <w:t>have</w:t>
      </w:r>
      <w:r>
        <w:rPr>
          <w:spacing w:val="-19"/>
          <w:w w:val="110"/>
        </w:rPr>
        <w:t> </w:t>
      </w:r>
      <w:r>
        <w:rPr>
          <w:w w:val="110"/>
        </w:rPr>
        <w:t>a marked</w:t>
      </w:r>
      <w:r>
        <w:rPr>
          <w:spacing w:val="-31"/>
          <w:w w:val="110"/>
        </w:rPr>
        <w:t> </w:t>
      </w:r>
      <w:r>
        <w:rPr>
          <w:w w:val="110"/>
        </w:rPr>
        <w:t>impact</w:t>
      </w:r>
      <w:r>
        <w:rPr>
          <w:spacing w:val="-30"/>
          <w:w w:val="110"/>
        </w:rPr>
        <w:t> </w:t>
      </w:r>
      <w:r>
        <w:rPr>
          <w:w w:val="110"/>
        </w:rPr>
        <w:t>on</w:t>
      </w:r>
      <w:r>
        <w:rPr>
          <w:spacing w:val="-30"/>
          <w:w w:val="110"/>
        </w:rPr>
        <w:t> </w:t>
      </w:r>
      <w:r>
        <w:rPr>
          <w:spacing w:val="-3"/>
          <w:w w:val="110"/>
        </w:rPr>
        <w:t>overall</w:t>
      </w:r>
      <w:r>
        <w:rPr>
          <w:spacing w:val="-30"/>
          <w:w w:val="110"/>
        </w:rPr>
        <w:t> </w:t>
      </w:r>
      <w:r>
        <w:rPr>
          <w:w w:val="110"/>
        </w:rPr>
        <w:t>earnings</w:t>
      </w:r>
      <w:r>
        <w:rPr>
          <w:spacing w:val="-30"/>
          <w:w w:val="110"/>
        </w:rPr>
        <w:t> </w:t>
      </w:r>
      <w:r>
        <w:rPr>
          <w:w w:val="110"/>
        </w:rPr>
        <w:t>growth.</w:t>
      </w:r>
      <w:r>
        <w:rPr>
          <w:spacing w:val="-5"/>
          <w:w w:val="110"/>
        </w:rPr>
        <w:t> </w:t>
      </w:r>
      <w:r>
        <w:rPr>
          <w:w w:val="110"/>
        </w:rPr>
        <w:t>Employees</w:t>
      </w:r>
      <w:r>
        <w:rPr>
          <w:spacing w:val="-30"/>
          <w:w w:val="110"/>
        </w:rPr>
        <w:t> </w:t>
      </w:r>
      <w:r>
        <w:rPr>
          <w:spacing w:val="-3"/>
          <w:w w:val="110"/>
        </w:rPr>
        <w:t>covered by </w:t>
      </w:r>
      <w:r>
        <w:rPr>
          <w:w w:val="110"/>
        </w:rPr>
        <w:t>these agreements account for slightly less than a third of the public sector wage bill (see Chart </w:t>
      </w:r>
      <w:r>
        <w:rPr>
          <w:spacing w:val="-7"/>
          <w:w w:val="110"/>
        </w:rPr>
        <w:t>3.16), </w:t>
      </w:r>
      <w:r>
        <w:rPr>
          <w:w w:val="110"/>
        </w:rPr>
        <w:t>and in turn the public</w:t>
      </w:r>
      <w:r>
        <w:rPr>
          <w:spacing w:val="-14"/>
          <w:w w:val="110"/>
        </w:rPr>
        <w:t> </w:t>
      </w:r>
      <w:r>
        <w:rPr>
          <w:w w:val="110"/>
        </w:rPr>
        <w:t>sector</w:t>
      </w:r>
      <w:r>
        <w:rPr>
          <w:spacing w:val="-13"/>
          <w:w w:val="110"/>
        </w:rPr>
        <w:t> </w:t>
      </w:r>
      <w:r>
        <w:rPr>
          <w:w w:val="110"/>
        </w:rPr>
        <w:t>accounts</w:t>
      </w:r>
      <w:r>
        <w:rPr>
          <w:spacing w:val="-13"/>
          <w:w w:val="110"/>
        </w:rPr>
        <w:t> </w:t>
      </w:r>
      <w:r>
        <w:rPr>
          <w:w w:val="110"/>
        </w:rPr>
        <w:t>for</w:t>
      </w:r>
      <w:r>
        <w:rPr>
          <w:spacing w:val="-14"/>
          <w:w w:val="110"/>
        </w:rPr>
        <w:t> </w:t>
      </w:r>
      <w:r>
        <w:rPr>
          <w:w w:val="110"/>
        </w:rPr>
        <w:t>only</w:t>
      </w:r>
      <w:r>
        <w:rPr>
          <w:spacing w:val="-13"/>
          <w:w w:val="110"/>
        </w:rPr>
        <w:t> </w:t>
      </w:r>
      <w:r>
        <w:rPr>
          <w:w w:val="110"/>
        </w:rPr>
        <w:t>around</w:t>
      </w:r>
      <w:r>
        <w:rPr>
          <w:spacing w:val="-13"/>
          <w:w w:val="110"/>
        </w:rPr>
        <w:t> </w:t>
      </w:r>
      <w:r>
        <w:rPr>
          <w:w w:val="110"/>
        </w:rPr>
        <w:t>a</w:t>
      </w:r>
      <w:r>
        <w:rPr>
          <w:spacing w:val="-14"/>
          <w:w w:val="110"/>
        </w:rPr>
        <w:t> </w:t>
      </w:r>
      <w:r>
        <w:rPr>
          <w:w w:val="110"/>
        </w:rPr>
        <w:t>fifth</w:t>
      </w:r>
      <w:r>
        <w:rPr>
          <w:spacing w:val="-13"/>
          <w:w w:val="110"/>
        </w:rPr>
        <w:t> </w:t>
      </w:r>
      <w:r>
        <w:rPr>
          <w:w w:val="110"/>
        </w:rPr>
        <w:t>of</w:t>
      </w:r>
      <w:r>
        <w:rPr>
          <w:spacing w:val="-13"/>
          <w:w w:val="110"/>
        </w:rPr>
        <w:t> </w:t>
      </w:r>
      <w:r>
        <w:rPr>
          <w:w w:val="110"/>
        </w:rPr>
        <w:t>the</w:t>
      </w:r>
      <w:r>
        <w:rPr>
          <w:spacing w:val="-14"/>
          <w:w w:val="110"/>
        </w:rPr>
        <w:t> </w:t>
      </w:r>
      <w:r>
        <w:rPr>
          <w:w w:val="110"/>
        </w:rPr>
        <w:t>aggregate AEI.</w:t>
      </w:r>
    </w:p>
    <w:p>
      <w:pPr>
        <w:pStyle w:val="Heading3"/>
        <w:numPr>
          <w:ilvl w:val="1"/>
          <w:numId w:val="26"/>
        </w:numPr>
        <w:tabs>
          <w:tab w:pos="776" w:val="left" w:leader="none"/>
          <w:tab w:pos="777" w:val="left" w:leader="none"/>
        </w:tabs>
        <w:spacing w:line="240" w:lineRule="auto" w:before="179" w:after="0"/>
        <w:ind w:left="776" w:right="0" w:hanging="601"/>
        <w:jc w:val="left"/>
        <w:rPr>
          <w:u w:val="none"/>
        </w:rPr>
      </w:pPr>
      <w:r>
        <w:rPr>
          <w:color w:val="89C6DC"/>
          <w:w w:val="95"/>
          <w:u w:val="single" w:color="006CB4"/>
        </w:rPr>
        <w:t>Labour</w:t>
      </w:r>
      <w:r>
        <w:rPr>
          <w:color w:val="89C6DC"/>
          <w:spacing w:val="-22"/>
          <w:w w:val="95"/>
          <w:u w:val="single" w:color="006CB4"/>
        </w:rPr>
        <w:t> </w:t>
      </w:r>
      <w:r>
        <w:rPr>
          <w:color w:val="89C6DC"/>
          <w:w w:val="95"/>
          <w:u w:val="single" w:color="006CB4"/>
        </w:rPr>
        <w:t>productivity</w:t>
      </w:r>
      <w:r>
        <w:rPr>
          <w:color w:val="89C6DC"/>
          <w:spacing w:val="-22"/>
          <w:w w:val="95"/>
          <w:u w:val="single" w:color="006CB4"/>
        </w:rPr>
        <w:t> </w:t>
      </w:r>
      <w:r>
        <w:rPr>
          <w:color w:val="89C6DC"/>
          <w:w w:val="95"/>
          <w:u w:val="single" w:color="006CB4"/>
        </w:rPr>
        <w:t>and</w:t>
      </w:r>
      <w:r>
        <w:rPr>
          <w:color w:val="89C6DC"/>
          <w:spacing w:val="-21"/>
          <w:w w:val="95"/>
          <w:u w:val="single" w:color="006CB4"/>
        </w:rPr>
        <w:t> </w:t>
      </w:r>
      <w:r>
        <w:rPr>
          <w:color w:val="89C6DC"/>
          <w:w w:val="95"/>
          <w:u w:val="single" w:color="006CB4"/>
        </w:rPr>
        <w:t>unit</w:t>
      </w:r>
      <w:r>
        <w:rPr>
          <w:color w:val="89C6DC"/>
          <w:spacing w:val="-22"/>
          <w:w w:val="95"/>
          <w:u w:val="single" w:color="006CB4"/>
        </w:rPr>
        <w:t> </w:t>
      </w:r>
      <w:r>
        <w:rPr>
          <w:color w:val="89C6DC"/>
          <w:w w:val="95"/>
          <w:u w:val="single" w:color="006CB4"/>
        </w:rPr>
        <w:t>wage</w:t>
      </w:r>
      <w:r>
        <w:rPr>
          <w:color w:val="89C6DC"/>
          <w:spacing w:val="-21"/>
          <w:w w:val="95"/>
          <w:u w:val="single" w:color="006CB4"/>
        </w:rPr>
        <w:t> </w:t>
      </w:r>
      <w:r>
        <w:rPr>
          <w:color w:val="89C6DC"/>
          <w:w w:val="95"/>
          <w:u w:val="single" w:color="006CB4"/>
        </w:rPr>
        <w:t>costs</w:t>
      </w:r>
    </w:p>
    <w:p>
      <w:pPr>
        <w:spacing w:after="0" w:line="240" w:lineRule="auto"/>
        <w:jc w:val="left"/>
        <w:sectPr>
          <w:type w:val="continuous"/>
          <w:pgSz w:w="11900" w:h="16840"/>
          <w:pgMar w:top="1260" w:bottom="280" w:left="640" w:right="640"/>
          <w:cols w:num="2" w:equalWidth="0">
            <w:col w:w="3943" w:space="865"/>
            <w:col w:w="5812"/>
          </w:cols>
        </w:sect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1"/>
        <w:rPr>
          <w:rFonts w:ascii="Trebuchet MS"/>
          <w:b/>
          <w:sz w:val="10"/>
        </w:rPr>
      </w:pPr>
    </w:p>
    <w:p>
      <w:pPr>
        <w:spacing w:line="242" w:lineRule="auto" w:before="1"/>
        <w:ind w:left="399" w:right="-17" w:hanging="192"/>
        <w:jc w:val="left"/>
        <w:rPr>
          <w:sz w:val="12"/>
        </w:rPr>
      </w:pPr>
      <w:r>
        <w:rPr>
          <w:w w:val="105"/>
          <w:sz w:val="12"/>
        </w:rPr>
        <w:t>Civil </w:t>
      </w:r>
      <w:r>
        <w:rPr>
          <w:spacing w:val="-3"/>
          <w:w w:val="105"/>
          <w:sz w:val="12"/>
        </w:rPr>
        <w:t>service </w:t>
      </w:r>
      <w:r>
        <w:rPr>
          <w:w w:val="105"/>
          <w:sz w:val="12"/>
        </w:rPr>
        <w:t>12%</w:t>
      </w:r>
    </w:p>
    <w:p>
      <w:pPr>
        <w:pStyle w:val="BodyText"/>
        <w:rPr>
          <w:sz w:val="12"/>
        </w:rPr>
      </w:pPr>
      <w:r>
        <w:rPr/>
        <w:br w:type="column"/>
      </w:r>
      <w:r>
        <w:rPr>
          <w:sz w:val="12"/>
        </w:rPr>
      </w:r>
    </w:p>
    <w:p>
      <w:pPr>
        <w:pStyle w:val="BodyText"/>
        <w:rPr>
          <w:sz w:val="12"/>
        </w:rPr>
      </w:pPr>
    </w:p>
    <w:p>
      <w:pPr>
        <w:pStyle w:val="BodyText"/>
        <w:spacing w:before="3"/>
        <w:rPr>
          <w:sz w:val="17"/>
        </w:rPr>
      </w:pPr>
    </w:p>
    <w:p>
      <w:pPr>
        <w:spacing w:line="242" w:lineRule="auto" w:before="0"/>
        <w:ind w:left="90" w:right="29" w:hanging="125"/>
        <w:jc w:val="left"/>
        <w:rPr>
          <w:sz w:val="12"/>
        </w:rPr>
      </w:pPr>
      <w:r>
        <w:rPr>
          <w:w w:val="110"/>
          <w:sz w:val="12"/>
        </w:rPr>
        <w:t>Other </w:t>
      </w:r>
      <w:r>
        <w:rPr>
          <w:w w:val="105"/>
          <w:sz w:val="12"/>
        </w:rPr>
        <w:t>22%</w:t>
      </w:r>
    </w:p>
    <w:p>
      <w:pPr>
        <w:pStyle w:val="BodyText"/>
        <w:spacing w:before="9"/>
        <w:rPr>
          <w:sz w:val="9"/>
        </w:rPr>
      </w:pPr>
      <w:r>
        <w:rPr/>
        <w:br w:type="column"/>
      </w:r>
      <w:r>
        <w:rPr>
          <w:sz w:val="9"/>
        </w:rPr>
      </w:r>
    </w:p>
    <w:p>
      <w:pPr>
        <w:spacing w:line="242" w:lineRule="auto" w:before="0"/>
        <w:ind w:left="267" w:right="-11" w:hanging="60"/>
        <w:jc w:val="left"/>
        <w:rPr>
          <w:sz w:val="12"/>
        </w:rPr>
      </w:pPr>
      <w:r>
        <w:rPr>
          <w:w w:val="105"/>
          <w:sz w:val="12"/>
        </w:rPr>
        <w:t>Nurses </w:t>
      </w:r>
      <w:r>
        <w:rPr>
          <w:w w:val="110"/>
          <w:sz w:val="12"/>
        </w:rPr>
        <w:t>10%</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2"/>
        <w:rPr>
          <w:sz w:val="15"/>
        </w:rPr>
      </w:pPr>
    </w:p>
    <w:p>
      <w:pPr>
        <w:spacing w:line="242" w:lineRule="auto" w:before="1"/>
        <w:ind w:left="313" w:right="-8" w:hanging="122"/>
        <w:jc w:val="left"/>
        <w:rPr>
          <w:sz w:val="12"/>
        </w:rPr>
      </w:pPr>
      <w:r>
        <w:rPr>
          <w:w w:val="105"/>
          <w:sz w:val="12"/>
        </w:rPr>
        <w:t>Doctors 7%</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7"/>
        </w:rPr>
      </w:pPr>
    </w:p>
    <w:p>
      <w:pPr>
        <w:spacing w:line="242" w:lineRule="auto" w:before="0"/>
        <w:ind w:left="92" w:right="30" w:hanging="113"/>
        <w:jc w:val="left"/>
        <w:rPr>
          <w:sz w:val="12"/>
        </w:rPr>
      </w:pPr>
      <w:r>
        <w:rPr>
          <w:w w:val="105"/>
          <w:sz w:val="12"/>
        </w:rPr>
        <w:t>Teachers </w:t>
      </w:r>
      <w:r>
        <w:rPr>
          <w:w w:val="110"/>
          <w:sz w:val="12"/>
        </w:rPr>
        <w:t>13%</w:t>
      </w:r>
    </w:p>
    <w:p>
      <w:pPr>
        <w:pStyle w:val="BodyText"/>
        <w:spacing w:line="292" w:lineRule="auto"/>
        <w:ind w:left="208" w:right="113"/>
      </w:pPr>
      <w:r>
        <w:rPr/>
        <w:br w:type="column"/>
      </w:r>
      <w:r>
        <w:rPr>
          <w:w w:val="110"/>
        </w:rPr>
        <w:t>The</w:t>
      </w:r>
      <w:r>
        <w:rPr>
          <w:spacing w:val="-20"/>
          <w:w w:val="110"/>
        </w:rPr>
        <w:t> </w:t>
      </w:r>
      <w:r>
        <w:rPr>
          <w:w w:val="110"/>
        </w:rPr>
        <w:t>supply</w:t>
      </w:r>
      <w:r>
        <w:rPr>
          <w:spacing w:val="-20"/>
          <w:w w:val="110"/>
        </w:rPr>
        <w:t> </w:t>
      </w:r>
      <w:r>
        <w:rPr>
          <w:w w:val="110"/>
        </w:rPr>
        <w:t>capacity</w:t>
      </w:r>
      <w:r>
        <w:rPr>
          <w:spacing w:val="-20"/>
          <w:w w:val="110"/>
        </w:rPr>
        <w:t> </w:t>
      </w:r>
      <w:r>
        <w:rPr>
          <w:w w:val="110"/>
        </w:rPr>
        <w:t>of</w:t>
      </w:r>
      <w:r>
        <w:rPr>
          <w:spacing w:val="-20"/>
          <w:w w:val="110"/>
        </w:rPr>
        <w:t> </w:t>
      </w:r>
      <w:r>
        <w:rPr>
          <w:w w:val="110"/>
        </w:rPr>
        <w:t>the</w:t>
      </w:r>
      <w:r>
        <w:rPr>
          <w:spacing w:val="-19"/>
          <w:w w:val="110"/>
        </w:rPr>
        <w:t> </w:t>
      </w:r>
      <w:r>
        <w:rPr>
          <w:w w:val="110"/>
        </w:rPr>
        <w:t>economy</w:t>
      </w:r>
      <w:r>
        <w:rPr>
          <w:spacing w:val="-20"/>
          <w:w w:val="110"/>
        </w:rPr>
        <w:t> </w:t>
      </w:r>
      <w:r>
        <w:rPr>
          <w:w w:val="110"/>
        </w:rPr>
        <w:t>is</w:t>
      </w:r>
      <w:r>
        <w:rPr>
          <w:spacing w:val="-20"/>
          <w:w w:val="110"/>
        </w:rPr>
        <w:t> </w:t>
      </w:r>
      <w:r>
        <w:rPr>
          <w:w w:val="110"/>
        </w:rPr>
        <w:t>increased</w:t>
      </w:r>
      <w:r>
        <w:rPr>
          <w:spacing w:val="-20"/>
          <w:w w:val="110"/>
        </w:rPr>
        <w:t> </w:t>
      </w:r>
      <w:r>
        <w:rPr>
          <w:spacing w:val="-3"/>
          <w:w w:val="110"/>
        </w:rPr>
        <w:t>by</w:t>
      </w:r>
      <w:r>
        <w:rPr>
          <w:spacing w:val="-19"/>
          <w:w w:val="110"/>
        </w:rPr>
        <w:t> </w:t>
      </w:r>
      <w:r>
        <w:rPr>
          <w:spacing w:val="-2"/>
          <w:w w:val="110"/>
        </w:rPr>
        <w:t>growth</w:t>
      </w:r>
      <w:r>
        <w:rPr>
          <w:spacing w:val="-20"/>
          <w:w w:val="110"/>
        </w:rPr>
        <w:t> </w:t>
      </w:r>
      <w:r>
        <w:rPr>
          <w:w w:val="110"/>
        </w:rPr>
        <w:t>in </w:t>
      </w:r>
      <w:r>
        <w:rPr>
          <w:spacing w:val="-3"/>
          <w:w w:val="110"/>
        </w:rPr>
        <w:t>productivity, </w:t>
      </w:r>
      <w:r>
        <w:rPr>
          <w:w w:val="110"/>
        </w:rPr>
        <w:t>as well as growth in the labour force. And productivity growth, alongside growth in real earnings, determines</w:t>
      </w:r>
      <w:r>
        <w:rPr>
          <w:spacing w:val="-9"/>
          <w:w w:val="110"/>
        </w:rPr>
        <w:t> </w:t>
      </w:r>
      <w:r>
        <w:rPr>
          <w:w w:val="110"/>
        </w:rPr>
        <w:t>the</w:t>
      </w:r>
      <w:r>
        <w:rPr>
          <w:spacing w:val="-9"/>
          <w:w w:val="110"/>
        </w:rPr>
        <w:t> </w:t>
      </w:r>
      <w:r>
        <w:rPr>
          <w:spacing w:val="-3"/>
          <w:w w:val="110"/>
        </w:rPr>
        <w:t>extent</w:t>
      </w:r>
      <w:r>
        <w:rPr>
          <w:spacing w:val="-8"/>
          <w:w w:val="110"/>
        </w:rPr>
        <w:t> </w:t>
      </w:r>
      <w:r>
        <w:rPr>
          <w:w w:val="110"/>
        </w:rPr>
        <w:t>of</w:t>
      </w:r>
      <w:r>
        <w:rPr>
          <w:spacing w:val="-9"/>
          <w:w w:val="110"/>
        </w:rPr>
        <w:t> </w:t>
      </w:r>
      <w:r>
        <w:rPr>
          <w:w w:val="110"/>
        </w:rPr>
        <w:t>inflationary</w:t>
      </w:r>
      <w:r>
        <w:rPr>
          <w:spacing w:val="-9"/>
          <w:w w:val="110"/>
        </w:rPr>
        <w:t> </w:t>
      </w:r>
      <w:r>
        <w:rPr>
          <w:spacing w:val="-3"/>
          <w:w w:val="110"/>
        </w:rPr>
        <w:t>pressure</w:t>
      </w:r>
      <w:r>
        <w:rPr>
          <w:spacing w:val="-8"/>
          <w:w w:val="110"/>
        </w:rPr>
        <w:t> </w:t>
      </w:r>
      <w:r>
        <w:rPr>
          <w:spacing w:val="-3"/>
          <w:w w:val="110"/>
        </w:rPr>
        <w:t>generated</w:t>
      </w:r>
      <w:r>
        <w:rPr>
          <w:spacing w:val="-9"/>
          <w:w w:val="110"/>
        </w:rPr>
        <w:t> </w:t>
      </w:r>
      <w:r>
        <w:rPr>
          <w:w w:val="110"/>
        </w:rPr>
        <w:t>in</w:t>
      </w:r>
      <w:r>
        <w:rPr>
          <w:spacing w:val="-9"/>
          <w:w w:val="110"/>
        </w:rPr>
        <w:t> </w:t>
      </w:r>
      <w:r>
        <w:rPr>
          <w:w w:val="110"/>
        </w:rPr>
        <w:t>the labour</w:t>
      </w:r>
      <w:r>
        <w:rPr>
          <w:spacing w:val="-6"/>
          <w:w w:val="110"/>
        </w:rPr>
        <w:t> </w:t>
      </w:r>
      <w:r>
        <w:rPr>
          <w:w w:val="110"/>
        </w:rPr>
        <w:t>market.</w:t>
      </w:r>
    </w:p>
    <w:p>
      <w:pPr>
        <w:pStyle w:val="BodyText"/>
        <w:spacing w:before="3"/>
        <w:rPr>
          <w:sz w:val="21"/>
        </w:rPr>
      </w:pPr>
    </w:p>
    <w:p>
      <w:pPr>
        <w:pStyle w:val="BodyText"/>
        <w:spacing w:line="292" w:lineRule="auto"/>
        <w:ind w:left="208" w:right="113"/>
      </w:pPr>
      <w:r>
        <w:rPr>
          <w:w w:val="105"/>
        </w:rPr>
        <w:t>The official ONS measure of productivity per job, based on the Workforce Jobs measure of employment, rose by 2.6% in the</w:t>
      </w:r>
    </w:p>
    <w:p>
      <w:pPr>
        <w:spacing w:after="0" w:line="292" w:lineRule="auto"/>
        <w:sectPr>
          <w:type w:val="continuous"/>
          <w:pgSz w:w="11900" w:h="16840"/>
          <w:pgMar w:top="1260" w:bottom="280" w:left="640" w:right="640"/>
          <w:cols w:num="6" w:equalWidth="0">
            <w:col w:w="830" w:space="40"/>
            <w:col w:w="370" w:space="1323"/>
            <w:col w:w="566" w:space="40"/>
            <w:col w:w="602" w:space="39"/>
            <w:col w:w="484" w:space="603"/>
            <w:col w:w="5723"/>
          </w:cols>
        </w:sectPr>
      </w:pPr>
    </w:p>
    <w:p>
      <w:pPr>
        <w:pStyle w:val="BodyText"/>
        <w:rPr>
          <w:sz w:val="12"/>
        </w:rPr>
      </w:pPr>
    </w:p>
    <w:p>
      <w:pPr>
        <w:pStyle w:val="BodyText"/>
        <w:rPr>
          <w:sz w:val="12"/>
        </w:rPr>
      </w:pPr>
    </w:p>
    <w:p>
      <w:pPr>
        <w:pStyle w:val="BodyText"/>
        <w:spacing w:before="6"/>
        <w:rPr>
          <w:sz w:val="15"/>
        </w:rPr>
      </w:pPr>
    </w:p>
    <w:p>
      <w:pPr>
        <w:spacing w:line="242" w:lineRule="auto" w:before="0"/>
        <w:ind w:left="498" w:right="13" w:firstLine="0"/>
        <w:jc w:val="center"/>
        <w:rPr>
          <w:sz w:val="12"/>
        </w:rPr>
      </w:pPr>
      <w:r>
        <w:rPr>
          <w:w w:val="110"/>
          <w:sz w:val="12"/>
        </w:rPr>
        <w:t>Other review bodies</w:t>
      </w:r>
    </w:p>
    <w:p>
      <w:pPr>
        <w:spacing w:before="1"/>
        <w:ind w:left="496" w:right="13" w:firstLine="0"/>
        <w:jc w:val="center"/>
        <w:rPr>
          <w:sz w:val="12"/>
        </w:rPr>
      </w:pPr>
      <w:r>
        <w:rPr>
          <w:w w:val="105"/>
          <w:sz w:val="12"/>
        </w:rPr>
        <w:t>6%</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3"/>
        </w:rPr>
      </w:pPr>
    </w:p>
    <w:p>
      <w:pPr>
        <w:spacing w:line="242" w:lineRule="auto" w:before="0"/>
        <w:ind w:left="949" w:right="-1" w:hanging="426"/>
        <w:jc w:val="left"/>
        <w:rPr>
          <w:sz w:val="12"/>
        </w:rPr>
      </w:pPr>
      <w:r>
        <w:rPr/>
        <w:pict>
          <v:group style="position:absolute;margin-left:75.298058pt;margin-top:-144.112442pt;width:144.2pt;height:143.9pt;mso-position-horizontal-relative:page;mso-position-vertical-relative:paragraph;z-index:-23098368" coordorigin="1506,-2882" coordsize="2884,2878">
            <v:shape style="position:absolute;left:1538;top:-2878;width:1408;height:1434" coordorigin="1539,-2877" coordsize="1408,1434" path="m2946,-2877l2870,-2875,2794,-2869,2719,-2860,2646,-2847,2574,-2830,2503,-2809,2434,-2785,2366,-2758,2301,-2727,2237,-2694,2175,-2657,2116,-2617,2058,-2574,2003,-2528,1950,-2480,1900,-2429,1852,-2375,1807,-2319,1764,-2260,1725,-2199,1689,-2135,1655,-2070,1625,-2002,1598,-1933,1575,-1861,1555,-1788,1539,-1712,2946,-1444,2946,-2877xe" filled="true" fillcolor="#ebf3da" stroked="false">
              <v:path arrowok="t"/>
              <v:fill type="solid"/>
            </v:shape>
            <v:shape style="position:absolute;left:1538;top:-2878;width:1408;height:1434" coordorigin="1539,-2877" coordsize="1408,1434" path="m2946,-1444l1539,-1712,1555,-1788,1575,-1861,1598,-1933,1625,-2002,1655,-2070,1689,-2135,1725,-2199,1764,-2260,1807,-2319,1852,-2375,1900,-2429,1950,-2480,2003,-2528,2058,-2574,2116,-2617,2175,-2657,2237,-2694,2301,-2727,2366,-2758,2434,-2785,2503,-2809,2574,-2830,2646,-2847,2719,-2860,2794,-2869,2870,-2875,2946,-2877,2946,-1444xe" filled="false" stroked="true" strokeweight=".5pt" strokecolor="#000000">
              <v:path arrowok="t"/>
              <v:stroke dashstyle="solid"/>
            </v:shape>
            <v:shape style="position:absolute;left:1510;top:-1713;width:1436;height:1037" coordorigin="1511,-1712" coordsize="1436,1037" path="m1539,-1712l1525,-1633,1516,-1554,1512,-1477,1511,-1400,1515,-1324,1522,-1249,1534,-1175,1551,-1101,1571,-1028,1596,-956,1624,-885,1657,-815,1695,-745,1736,-676,2946,-1444,1539,-1712xe" filled="true" fillcolor="#b3dabb" stroked="false">
              <v:path arrowok="t"/>
              <v:fill type="solid"/>
            </v:shape>
            <v:shape style="position:absolute;left:1510;top:-1713;width:1436;height:1037" coordorigin="1511,-1712" coordsize="1436,1037" path="m2946,-1444l1736,-676,1695,-745,1657,-815,1624,-885,1596,-956,1571,-1028,1551,-1101,1534,-1175,1522,-1249,1515,-1324,1511,-1400,1512,-1477,1516,-1554,1525,-1633,1539,-1712,2946,-1444xe" filled="false" stroked="true" strokeweight=".5pt" strokecolor="#000000">
              <v:path arrowok="t"/>
              <v:stroke dashstyle="solid"/>
            </v:shape>
            <v:shape style="position:absolute;left:1736;top:-1444;width:1211;height:1160" coordorigin="1736,-1444" coordsize="1211,1160" path="m2946,-1444l1736,-676,1781,-610,1827,-548,1875,-490,1927,-435,1982,-383,2041,-333,2104,-284,2946,-1444xe" filled="true" fillcolor="#f6bd61" stroked="false">
              <v:path arrowok="t"/>
              <v:fill type="solid"/>
            </v:shape>
            <v:shape style="position:absolute;left:1736;top:-1444;width:1211;height:1160" coordorigin="1736,-1444" coordsize="1211,1160" path="m2946,-1444l2104,-284,2041,-333,1982,-383,1927,-435,1875,-490,1827,-548,1781,-610,1736,-676,2946,-1444xe" filled="false" stroked="true" strokeweight=".5pt" strokecolor="#000000">
              <v:path arrowok="t"/>
              <v:stroke dashstyle="solid"/>
            </v:shape>
            <v:shape style="position:absolute;left:2103;top:-1444;width:1947;height:1435" coordorigin="2104,-1444" coordsize="1947,1435" path="m2946,-1444l2104,-284,2166,-241,2230,-202,2295,-167,2361,-135,2428,-107,2496,-82,2565,-61,2634,-44,2704,-30,2774,-19,2845,-13,2915,-9,2986,-9,3056,-13,3126,-20,3196,-31,3265,-45,3333,-62,3401,-83,3467,-107,3533,-134,3597,-165,3660,-199,3721,-237,3781,-278,3839,-322,3895,-369,3949,-420,4001,-473,4051,-530,2946,-1444xe" filled="true" fillcolor="#009391" stroked="false">
              <v:path arrowok="t"/>
              <v:fill type="solid"/>
            </v:shape>
            <v:shape style="position:absolute;left:2103;top:-1444;width:1947;height:1435" coordorigin="2104,-1444" coordsize="1947,1435" path="m2104,-284l2166,-241,2230,-202,2295,-167,2361,-135,2428,-107,2496,-82,2565,-61,2634,-44,2704,-30,2774,-19,2845,-13,2915,-9,2986,-9,3056,-13,3126,-20,3196,-31,3265,-45,3333,-62,3401,-83,3467,-107,3533,-134,3597,-165,3660,-199,3721,-237,3781,-278,3839,-322,3895,-369,3949,-420,4001,-473,4051,-530,2946,-1444,2104,-284xe" filled="false" stroked="true" strokeweight=".5pt" strokecolor="#000000">
              <v:path arrowok="t"/>
              <v:stroke dashstyle="solid"/>
            </v:shape>
            <v:shape style="position:absolute;left:2946;top:-1444;width:1364;height:914" coordorigin="2946,-1444" coordsize="1364,914" path="m2946,-1444l4051,-530,4100,-593,4145,-656,4185,-720,4221,-786,4254,-854,4283,-926,4310,-1001,2946,-1444xe" filled="true" fillcolor="#acbc4a" stroked="false">
              <v:path arrowok="t"/>
              <v:fill type="solid"/>
            </v:shape>
            <v:shape style="position:absolute;left:2946;top:-1444;width:1364;height:914" coordorigin="2946,-1444" coordsize="1364,914" path="m4051,-530l4100,-593,4145,-656,4185,-720,4221,-786,4254,-854,4283,-926,4310,-1001,2946,-1444,4051,-530xe" filled="false" stroked="true" strokeweight=".5pt" strokecolor="#000000">
              <v:path arrowok="t"/>
              <v:stroke dashstyle="solid"/>
            </v:shape>
            <v:shape style="position:absolute;left:2946;top:-2135;width:1438;height:1134" coordorigin="2946,-2134" coordsize="1438,1134" path="m4203,-2134l2946,-1444,4310,-1001,4333,-1079,4352,-1157,4366,-1235,4377,-1312,4383,-1389,4384,-1465,4381,-1541,4374,-1617,4363,-1692,4347,-1767,4327,-1842,4302,-1916,4273,-1989,4240,-2062,4203,-2134xe" filled="true" fillcolor="#f6d200" stroked="false">
              <v:path arrowok="t"/>
              <v:fill type="solid"/>
            </v:shape>
            <v:shape style="position:absolute;left:2946;top:-2135;width:1438;height:1134" coordorigin="2946,-2134" coordsize="1438,1134" path="m4310,-1001l4333,-1079,4352,-1157,4366,-1235,4377,-1312,4383,-1389,4384,-1465,4381,-1541,4374,-1617,4363,-1692,4347,-1767,4327,-1842,4302,-1916,4273,-1989,4240,-2062,4203,-2134,2946,-1444,4310,-1001xe" filled="false" stroked="true" strokeweight=".5pt" strokecolor="#000000">
              <v:path arrowok="t"/>
              <v:stroke dashstyle="solid"/>
            </v:shape>
            <v:shape style="position:absolute;left:2946;top:-2604;width:1257;height:1160" coordorigin="2946,-2604" coordsize="1257,1160" path="m3789,-2604l2946,-1444,4203,-2134,4161,-2205,4118,-2271,4072,-2334,4023,-2393,3970,-2449,3914,-2503,3854,-2554,3789,-2604xe" filled="true" fillcolor="#006caa" stroked="false">
              <v:path arrowok="t"/>
              <v:fill type="solid"/>
            </v:shape>
            <v:shape style="position:absolute;left:2946;top:-2604;width:1257;height:1160" coordorigin="2946,-2604" coordsize="1257,1160" path="m4203,-2134l4161,-2205,4118,-2271,4072,-2334,4023,-2393,3970,-2449,3914,-2503,3854,-2554,3789,-2604,2946,-1444,4203,-2134xe" filled="false" stroked="true" strokeweight=".5pt" strokecolor="#000000">
              <v:path arrowok="t"/>
              <v:stroke dashstyle="solid"/>
            </v:shape>
            <v:shape style="position:absolute;left:2946;top:-2878;width:843;height:1434" coordorigin="2946,-2877" coordsize="843,1434" path="m2946,-2877l2946,-1444,3789,-2604,3719,-2652,3648,-2695,3576,-2734,3503,-2768,3428,-2797,3352,-2822,3275,-2842,3196,-2857,3115,-2868,3032,-2875,2946,-2877xe" filled="true" fillcolor="#0099d9" stroked="false">
              <v:path arrowok="t"/>
              <v:fill type="solid"/>
            </v:shape>
            <v:shape style="position:absolute;left:2946;top:-2878;width:843;height:1434" coordorigin="2946,-2877" coordsize="843,1434" path="m3789,-2604l3719,-2652,3648,-2695,3576,-2734,3503,-2768,3428,-2797,3352,-2822,3275,-2842,3196,-2857,3115,-2868,3032,-2875,2946,-2877,2946,-1444,3789,-2604xe" filled="false" stroked="true" strokeweight=".5pt" strokecolor="#000000">
              <v:path arrowok="t"/>
              <v:stroke dashstyle="solid"/>
            </v:shape>
            <w10:wrap type="none"/>
          </v:group>
        </w:pict>
      </w:r>
      <w:r>
        <w:rPr>
          <w:w w:val="110"/>
          <w:sz w:val="12"/>
        </w:rPr>
        <w:t>Other local </w:t>
      </w:r>
      <w:r>
        <w:rPr>
          <w:spacing w:val="-3"/>
          <w:w w:val="110"/>
          <w:sz w:val="12"/>
        </w:rPr>
        <w:t>authority </w:t>
      </w:r>
      <w:r>
        <w:rPr>
          <w:w w:val="110"/>
          <w:sz w:val="12"/>
        </w:rPr>
        <w:t>24%</w:t>
      </w:r>
    </w:p>
    <w:p>
      <w:pPr>
        <w:pStyle w:val="BodyText"/>
        <w:rPr>
          <w:sz w:val="11"/>
        </w:rPr>
      </w:pPr>
      <w:r>
        <w:rPr/>
        <w:br w:type="column"/>
      </w:r>
      <w:r>
        <w:rPr>
          <w:sz w:val="11"/>
        </w:rPr>
      </w:r>
    </w:p>
    <w:p>
      <w:pPr>
        <w:spacing w:line="242" w:lineRule="auto" w:before="1"/>
        <w:ind w:left="700" w:right="30" w:hanging="289"/>
        <w:jc w:val="left"/>
        <w:rPr>
          <w:sz w:val="12"/>
        </w:rPr>
      </w:pPr>
      <w:r>
        <w:rPr>
          <w:w w:val="105"/>
          <w:sz w:val="12"/>
        </w:rPr>
        <w:t>Police and fire 6%</w:t>
      </w:r>
    </w:p>
    <w:p>
      <w:pPr>
        <w:pStyle w:val="BodyText"/>
        <w:spacing w:line="292" w:lineRule="auto"/>
        <w:ind w:left="523" w:right="119"/>
      </w:pPr>
      <w:r>
        <w:rPr/>
        <w:br w:type="column"/>
      </w:r>
      <w:r>
        <w:rPr>
          <w:w w:val="110"/>
        </w:rPr>
        <w:t>year </w:t>
      </w:r>
      <w:r>
        <w:rPr>
          <w:spacing w:val="-4"/>
          <w:w w:val="110"/>
        </w:rPr>
        <w:t>to 2000 </w:t>
      </w:r>
      <w:r>
        <w:rPr>
          <w:w w:val="110"/>
        </w:rPr>
        <w:t>Q3 (see Chart </w:t>
      </w:r>
      <w:r>
        <w:rPr>
          <w:spacing w:val="-6"/>
          <w:w w:val="110"/>
        </w:rPr>
        <w:t>3.17), </w:t>
      </w:r>
      <w:r>
        <w:rPr>
          <w:w w:val="110"/>
        </w:rPr>
        <w:t>somewhat </w:t>
      </w:r>
      <w:r>
        <w:rPr>
          <w:spacing w:val="-3"/>
          <w:w w:val="110"/>
        </w:rPr>
        <w:t>lower </w:t>
      </w:r>
      <w:r>
        <w:rPr>
          <w:w w:val="110"/>
        </w:rPr>
        <w:t>than in the second quarter but still </w:t>
      </w:r>
      <w:r>
        <w:rPr>
          <w:spacing w:val="-3"/>
          <w:w w:val="110"/>
        </w:rPr>
        <w:t>above </w:t>
      </w:r>
      <w:r>
        <w:rPr>
          <w:w w:val="110"/>
        </w:rPr>
        <w:t>its </w:t>
      </w:r>
      <w:r>
        <w:rPr>
          <w:spacing w:val="-3"/>
          <w:w w:val="110"/>
        </w:rPr>
        <w:t>average </w:t>
      </w:r>
      <w:r>
        <w:rPr>
          <w:w w:val="110"/>
        </w:rPr>
        <w:t>growth </w:t>
      </w:r>
      <w:r>
        <w:rPr>
          <w:spacing w:val="-4"/>
          <w:w w:val="110"/>
        </w:rPr>
        <w:t>rate </w:t>
      </w:r>
      <w:r>
        <w:rPr>
          <w:spacing w:val="-3"/>
          <w:w w:val="110"/>
        </w:rPr>
        <w:t>over </w:t>
      </w:r>
      <w:r>
        <w:rPr>
          <w:w w:val="110"/>
        </w:rPr>
        <w:t>the past </w:t>
      </w:r>
      <w:r>
        <w:rPr>
          <w:spacing w:val="-6"/>
          <w:w w:val="110"/>
        </w:rPr>
        <w:t>40 </w:t>
      </w:r>
      <w:r>
        <w:rPr>
          <w:spacing w:val="-3"/>
          <w:w w:val="110"/>
        </w:rPr>
        <w:t>years. </w:t>
      </w:r>
      <w:r>
        <w:rPr>
          <w:spacing w:val="-4"/>
          <w:w w:val="110"/>
        </w:rPr>
        <w:t>However, </w:t>
      </w:r>
      <w:r>
        <w:rPr>
          <w:spacing w:val="-3"/>
          <w:w w:val="110"/>
        </w:rPr>
        <w:t>upward </w:t>
      </w:r>
      <w:r>
        <w:rPr>
          <w:w w:val="110"/>
        </w:rPr>
        <w:t>revisions </w:t>
      </w:r>
      <w:r>
        <w:rPr>
          <w:spacing w:val="-4"/>
          <w:w w:val="110"/>
        </w:rPr>
        <w:t>to </w:t>
      </w:r>
      <w:r>
        <w:rPr>
          <w:w w:val="110"/>
        </w:rPr>
        <w:t>output data, discussed in </w:t>
      </w:r>
      <w:hyperlink w:history="true" w:anchor="_bookmark18">
        <w:r>
          <w:rPr>
            <w:color w:val="FF0000"/>
            <w:w w:val="110"/>
          </w:rPr>
          <w:t>Section 2</w:t>
        </w:r>
        <w:r>
          <w:rPr>
            <w:w w:val="110"/>
          </w:rPr>
          <w:t>, </w:t>
        </w:r>
      </w:hyperlink>
      <w:r>
        <w:rPr>
          <w:w w:val="110"/>
        </w:rPr>
        <w:t>mean that the recent recovery in productivity growth has been a little stronger than previously</w:t>
      </w:r>
    </w:p>
    <w:p>
      <w:pPr>
        <w:spacing w:after="0" w:line="292" w:lineRule="auto"/>
        <w:sectPr>
          <w:type w:val="continuous"/>
          <w:pgSz w:w="11900" w:h="16840"/>
          <w:pgMar w:top="1260" w:bottom="280" w:left="640" w:right="640"/>
          <w:cols w:num="4" w:equalWidth="0">
            <w:col w:w="1230" w:space="324"/>
            <w:col w:w="1615" w:space="39"/>
            <w:col w:w="1196" w:space="177"/>
            <w:col w:w="6039"/>
          </w:cols>
        </w:sectPr>
      </w:pPr>
    </w:p>
    <w:p>
      <w:pPr>
        <w:spacing w:line="83" w:lineRule="exact" w:before="0"/>
        <w:ind w:left="80" w:right="125" w:firstLine="0"/>
        <w:jc w:val="center"/>
        <w:rPr>
          <w:sz w:val="12"/>
        </w:rPr>
      </w:pPr>
      <w:r>
        <w:rPr>
          <w:w w:val="110"/>
          <w:sz w:val="12"/>
        </w:rPr>
        <w:t>Source: HM Treasury. Pay bill shares shown relate to 1997, the latest</w:t>
      </w:r>
    </w:p>
    <w:p>
      <w:pPr>
        <w:spacing w:line="129" w:lineRule="exact" w:before="0"/>
        <w:ind w:left="93" w:right="59" w:firstLine="0"/>
        <w:jc w:val="center"/>
        <w:rPr>
          <w:sz w:val="12"/>
        </w:rPr>
      </w:pPr>
      <w:r>
        <w:rPr>
          <w:w w:val="110"/>
          <w:sz w:val="12"/>
        </w:rPr>
        <w:t>year for which complete data are currently available.</w:t>
      </w:r>
    </w:p>
    <w:p>
      <w:pPr>
        <w:pStyle w:val="BodyText"/>
        <w:rPr>
          <w:sz w:val="12"/>
        </w:rPr>
      </w:pPr>
    </w:p>
    <w:p>
      <w:pPr>
        <w:pStyle w:val="BodyText"/>
        <w:rPr>
          <w:sz w:val="12"/>
        </w:rPr>
      </w:pPr>
    </w:p>
    <w:p>
      <w:pPr>
        <w:pStyle w:val="Heading6"/>
        <w:spacing w:before="107"/>
        <w:ind w:left="192"/>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3.17</w:t>
      </w:r>
    </w:p>
    <w:p>
      <w:pPr>
        <w:spacing w:before="8"/>
        <w:ind w:left="192" w:right="0" w:firstLine="0"/>
        <w:jc w:val="left"/>
        <w:rPr>
          <w:rFonts w:ascii="Trebuchet MS"/>
          <w:b/>
          <w:sz w:val="20"/>
        </w:rPr>
      </w:pPr>
      <w:r>
        <w:rPr>
          <w:rFonts w:ascii="Trebuchet MS"/>
          <w:b/>
          <w:color w:val="89C6DC"/>
          <w:w w:val="90"/>
          <w:sz w:val="20"/>
        </w:rPr>
        <w:t>Whole-economy labour productivity growth</w:t>
      </w:r>
    </w:p>
    <w:p>
      <w:pPr>
        <w:spacing w:line="109" w:lineRule="exact" w:before="126"/>
        <w:ind w:left="1506" w:right="0" w:firstLine="0"/>
        <w:jc w:val="left"/>
        <w:rPr>
          <w:sz w:val="12"/>
        </w:rPr>
      </w:pPr>
      <w:r>
        <w:rPr>
          <w:w w:val="110"/>
          <w:sz w:val="12"/>
        </w:rPr>
        <w:t>Percentage changes on a year earli</w:t>
      </w:r>
      <w:r>
        <w:rPr>
          <w:w w:val="110"/>
          <w:sz w:val="12"/>
          <w:u w:val="single"/>
        </w:rPr>
        <w:t>er</w:t>
      </w:r>
    </w:p>
    <w:p>
      <w:pPr>
        <w:spacing w:line="109" w:lineRule="exact" w:before="0"/>
        <w:ind w:left="3451" w:right="0" w:firstLine="0"/>
        <w:jc w:val="left"/>
        <w:rPr>
          <w:sz w:val="12"/>
        </w:rPr>
      </w:pPr>
      <w:r>
        <w:rPr/>
        <w:pict>
          <v:line style="position:absolute;mso-position-horizontal-relative:page;mso-position-vertical-relative:paragraph;z-index:16230912" from="42.014pt,2.279721pt" to="46.347pt,2.279721pt" stroked="true" strokeweight=".5pt" strokecolor="#000000">
            <v:stroke dashstyle="solid"/>
            <w10:wrap type="none"/>
          </v:line>
        </w:pict>
      </w:r>
      <w:r>
        <w:rPr>
          <w:w w:val="115"/>
          <w:sz w:val="12"/>
        </w:rPr>
        <w:t>4.5</w:t>
      </w:r>
    </w:p>
    <w:p>
      <w:pPr>
        <w:pStyle w:val="BodyText"/>
        <w:spacing w:before="10"/>
        <w:rPr>
          <w:sz w:val="15"/>
        </w:rPr>
      </w:pPr>
    </w:p>
    <w:p>
      <w:pPr>
        <w:spacing w:before="1"/>
        <w:ind w:left="0" w:right="308" w:firstLine="0"/>
        <w:jc w:val="right"/>
        <w:rPr>
          <w:sz w:val="12"/>
        </w:rPr>
      </w:pPr>
      <w:r>
        <w:rPr/>
        <w:pict>
          <v:group style="position:absolute;margin-left:50.025002pt;margin-top:-.25739pt;width:151.9pt;height:132.75pt;mso-position-horizontal-relative:page;mso-position-vertical-relative:paragraph;z-index:16225792" coordorigin="1001,-5" coordsize="3038,2655">
            <v:shape style="position:absolute;left:1000;top:192;width:720;height:468" type="#_x0000_t75" stroked="false">
              <v:imagedata r:id="rId128" o:title=""/>
            </v:shape>
            <v:shape style="position:absolute;left:1710;top:529;width:798;height:1923" coordorigin="1711,530" coordsize="798,1923" path="m1711,530l1808,1612m1808,1612l1906,2057m1906,2057l2006,2452m2006,2452l2103,2195m2103,2195l2201,1800m2201,1800l2301,1560m2301,1560l2398,1355m2398,1355l2508,1870e" filled="false" stroked="true" strokeweight="1pt" strokecolor="#de8508">
              <v:path arrowok="t"/>
              <v:stroke dashstyle="solid"/>
            </v:shape>
            <v:line style="position:absolute" from="2498,1871" to="2616,1871" stroked="true" strokeweight="1.125pt" strokecolor="#de8508">
              <v:stroke dashstyle="solid"/>
            </v:line>
            <v:line style="position:absolute" from="2606,1870" to="2703,1560" stroked="true" strokeweight="1pt" strokecolor="#de8508">
              <v:stroke dashstyle="solid"/>
            </v:line>
            <v:line style="position:absolute" from="2693,1561" to="2813,1561" stroked="true" strokeweight="1.125pt" strokecolor="#de8508">
              <v:stroke dashstyle="solid"/>
            </v:line>
            <v:shape style="position:absolute;left:2803;top:1044;width:1093;height:1408" coordorigin="2803,1045" coordsize="1093,1408" path="m2803,1560l2901,1355m2901,1355l2998,1045m2998,1045l3098,1422m3098,1422l3196,1750m3196,1750l3293,2265m3293,2265l3393,2452m3393,2452l3503,2007m3503,2007l3601,1560m3601,1560l3698,1302m3698,1302l3798,1097m3798,1097l3896,1355e" filled="false" stroked="true" strokeweight="1pt" strokecolor="#de8508">
              <v:path arrowok="t"/>
              <v:stroke dashstyle="solid"/>
            </v:shape>
            <v:shape style="position:absolute;left:1010;top:82;width:2885;height:1975" coordorigin="1011,82" coordsize="2885,1975" path="m1011,82l1108,392m1108,392l1208,787m1208,787l1306,907m1306,907l1403,597m1403,597l1513,907m1513,907l1611,1612m1611,1612l1711,1045m1711,1045l1808,2007m1808,2007l1906,2057m1906,2057l2006,2007m2006,2007l2103,1937m2103,1937l2201,1870m2201,1870l2301,1750m2301,1750l2398,1355m2398,1355l2508,1870m2508,1870l2606,1612m2606,1612l2703,1492m2703,1492l2803,1302m2803,1302l2901,1680m2901,1680l2998,1165m2998,1165l3098,1355m3098,1355l3196,1302m3196,1302l3293,1560m3293,1560l3393,2007m3393,2007l3503,1612m3503,1612l3601,1680m3601,1680l3698,392m3698,392l3798,597m3798,597l3896,717e" filled="false" stroked="true" strokeweight="1pt" strokecolor="#006caa">
              <v:path arrowok="t"/>
              <v:stroke dashstyle="solid"/>
            </v:shape>
            <v:shape style="position:absolute;left:1010;top:82;width:503;height:1015" coordorigin="1011,82" coordsize="503,1015" path="m1011,202l1108,717m1108,717l1208,1097m1208,1097l1306,787m1306,787l1403,82m1403,82l1513,135e" filled="false" stroked="true" strokeweight="1pt" strokecolor="#44af34">
              <v:path arrowok="t"/>
              <v:stroke dashstyle="solid"/>
            </v:shape>
            <v:line style="position:absolute" from="1503,136" to="1621,136" stroked="true" strokeweight="1.125pt" strokecolor="#44af34">
              <v:stroke dashstyle="solid"/>
            </v:line>
            <v:shape style="position:absolute;left:1610;top:134;width:1990;height:2060" coordorigin="1611,135" coordsize="1990,2060" path="m1611,135l1711,650m1711,650l1808,1560m1808,1560l1906,1800m1906,1800l2006,2007m2006,2007l2103,1680m2103,1680l2201,1612m2201,1612l2301,1750m2301,1750l2398,1560m2398,1560l2508,1750m2508,1750l2606,1800m2606,1800l2703,1492m2703,1492l2803,1750m2803,1750l2901,1937m2901,1937l2998,1492m2998,1492l3098,1750m3098,1750l3196,1937m3196,1937l3293,1870m3293,1870l3393,2195m3393,2195l3503,1612m3503,1612l3601,1235e" filled="false" stroked="true" strokeweight="1pt" strokecolor="#44af34">
              <v:path arrowok="t"/>
              <v:stroke dashstyle="solid"/>
            </v:shape>
            <v:line style="position:absolute" from="3591,1236" to="3708,1236" stroked="true" strokeweight="1.125pt" strokecolor="#44af34">
              <v:stroke dashstyle="solid"/>
            </v:line>
            <v:shape style="position:absolute;left:3698;top:787;width:198;height:448" coordorigin="3698,787" coordsize="198,448" path="m3698,1235l3798,787m3798,787l3896,975e" filled="false" stroked="true" strokeweight="1pt" strokecolor="#44af34">
              <v:path arrowok="t"/>
              <v:stroke dashstyle="solid"/>
            </v:shape>
            <v:shape style="position:absolute;left:1009;top:75;width:3029;height:2569" coordorigin="1009,75" coordsize="3029,2569" path="m3951,75l4038,75m3951,396l4038,396m3951,717l4038,717m3951,1038l4038,1038m3951,1359l4038,1359m3951,1681l4038,1681m3951,2002l4038,2002m3951,2323l4038,2323m3951,2644l4038,2644m1009,2644l3895,2644m1010,2528l1010,2644m1110,2597l1110,2644m1209,2597l1209,2644m1308,2597l1308,2644m1407,2528l1407,2644m1507,2597l1507,2644m1606,2597l1606,2644m1705,2597l1705,2644m1805,2528l1805,2644m1904,2597l1904,2644m2003,2597l2003,2644m2102,2597l2102,2644m2202,2528l2202,2644m2301,2597l2301,2644m2400,2597l2400,2644m2500,2597l2500,2644m2599,2528l2599,2644m2698,2597l2698,2644m2797,2597l2797,2644m2897,2597l2897,2644m2996,2528l2996,2644m3095,2597l3095,2644m3194,2597l3194,2644m3294,2597l3294,2644m3393,2528l3393,2644m3492,2597l3492,2644m3592,2597l3592,2644m3691,2597l3691,2644m3790,2528l3790,2644m3889,2597l3889,2644e" filled="false" stroked="true" strokeweight=".5pt" strokecolor="#000000">
              <v:path arrowok="t"/>
              <v:stroke dashstyle="solid"/>
            </v:shape>
            <v:shape style="position:absolute;left:1588;top:-6;width:1051;height:241" type="#_x0000_t202" filled="false" stroked="false">
              <v:textbox inset="0,0,0,0">
                <w:txbxContent>
                  <w:p>
                    <w:pPr>
                      <w:spacing w:line="106" w:lineRule="exact" w:before="0"/>
                      <w:ind w:left="0" w:right="0" w:firstLine="0"/>
                      <w:jc w:val="left"/>
                      <w:rPr>
                        <w:sz w:val="12"/>
                      </w:rPr>
                    </w:pPr>
                    <w:r>
                      <w:rPr>
                        <w:w w:val="110"/>
                        <w:sz w:val="12"/>
                      </w:rPr>
                      <w:t>Productivity per</w:t>
                    </w:r>
                    <w:r>
                      <w:rPr>
                        <w:spacing w:val="-21"/>
                        <w:w w:val="110"/>
                        <w:sz w:val="12"/>
                      </w:rPr>
                      <w:t> </w:t>
                    </w:r>
                    <w:r>
                      <w:rPr>
                        <w:w w:val="110"/>
                        <w:sz w:val="12"/>
                      </w:rPr>
                      <w:t>job</w:t>
                    </w:r>
                  </w:p>
                  <w:p>
                    <w:pPr>
                      <w:spacing w:line="129" w:lineRule="exact" w:before="0"/>
                      <w:ind w:left="60" w:right="0" w:firstLine="0"/>
                      <w:jc w:val="left"/>
                      <w:rPr>
                        <w:sz w:val="12"/>
                      </w:rPr>
                    </w:pPr>
                    <w:r>
                      <w:rPr>
                        <w:w w:val="105"/>
                        <w:sz w:val="12"/>
                      </w:rPr>
                      <w:t>(official measure)</w:t>
                    </w:r>
                  </w:p>
                </w:txbxContent>
              </v:textbox>
              <w10:wrap type="none"/>
            </v:shape>
            <v:shape style="position:absolute;left:2733;top:294;width:961;height:241" type="#_x0000_t202" filled="false" stroked="false">
              <v:textbox inset="0,0,0,0">
                <w:txbxContent>
                  <w:p>
                    <w:pPr>
                      <w:spacing w:line="106" w:lineRule="exact" w:before="0"/>
                      <w:ind w:left="0" w:right="0" w:firstLine="0"/>
                      <w:jc w:val="left"/>
                      <w:rPr>
                        <w:sz w:val="12"/>
                      </w:rPr>
                    </w:pPr>
                    <w:r>
                      <w:rPr>
                        <w:w w:val="110"/>
                        <w:sz w:val="12"/>
                      </w:rPr>
                      <w:t>Productivity per</w:t>
                    </w:r>
                  </w:p>
                  <w:p>
                    <w:pPr>
                      <w:spacing w:line="129" w:lineRule="exact" w:before="0"/>
                      <w:ind w:left="60" w:right="0" w:firstLine="0"/>
                      <w:jc w:val="left"/>
                      <w:rPr>
                        <w:sz w:val="12"/>
                      </w:rPr>
                    </w:pPr>
                    <w:r>
                      <w:rPr>
                        <w:w w:val="105"/>
                        <w:sz w:val="12"/>
                      </w:rPr>
                      <w:t>hour (LFS-based)</w:t>
                    </w:r>
                  </w:p>
                </w:txbxContent>
              </v:textbox>
              <w10:wrap type="none"/>
            </v:shape>
            <v:shape style="position:absolute;left:2084;top:2271;width:1238;height:241" type="#_x0000_t202" filled="false" stroked="false">
              <v:textbox inset="0,0,0,0">
                <w:txbxContent>
                  <w:p>
                    <w:pPr>
                      <w:spacing w:line="106" w:lineRule="exact" w:before="0"/>
                      <w:ind w:left="0" w:right="0" w:firstLine="0"/>
                      <w:jc w:val="left"/>
                      <w:rPr>
                        <w:sz w:val="12"/>
                      </w:rPr>
                    </w:pPr>
                    <w:r>
                      <w:rPr>
                        <w:w w:val="105"/>
                        <w:sz w:val="12"/>
                      </w:rPr>
                      <w:t>Productivity per worker</w:t>
                    </w:r>
                  </w:p>
                  <w:p>
                    <w:pPr>
                      <w:spacing w:line="129" w:lineRule="exact" w:before="0"/>
                      <w:ind w:left="60" w:right="0" w:firstLine="0"/>
                      <w:jc w:val="left"/>
                      <w:rPr>
                        <w:sz w:val="12"/>
                      </w:rPr>
                    </w:pPr>
                    <w:r>
                      <w:rPr>
                        <w:sz w:val="12"/>
                      </w:rPr>
                      <w:t>(LFS-based)</w:t>
                    </w:r>
                  </w:p>
                </w:txbxContent>
              </v:textbox>
              <w10:wrap type="none"/>
            </v:shape>
            <w10:wrap type="none"/>
          </v:group>
        </w:pict>
      </w:r>
      <w:r>
        <w:rPr/>
        <w:pict>
          <v:line style="position:absolute;mso-position-horizontal-relative:page;mso-position-vertical-relative:paragraph;z-index:16226304" from="42.014pt,3.79326pt" to="46.347pt,3.79326pt" stroked="true" strokeweight=".5pt" strokecolor="#000000">
            <v:stroke dashstyle="solid"/>
            <w10:wrap type="none"/>
          </v:line>
        </w:pict>
      </w:r>
      <w:r>
        <w:rPr>
          <w:spacing w:val="-1"/>
          <w:w w:val="115"/>
          <w:sz w:val="12"/>
        </w:rPr>
        <w:t>4.0</w:t>
      </w:r>
    </w:p>
    <w:p>
      <w:pPr>
        <w:pStyle w:val="BodyText"/>
        <w:spacing w:before="10"/>
        <w:rPr>
          <w:sz w:val="15"/>
        </w:rPr>
      </w:pPr>
    </w:p>
    <w:p>
      <w:pPr>
        <w:spacing w:before="0"/>
        <w:ind w:left="0" w:right="308" w:firstLine="0"/>
        <w:jc w:val="right"/>
        <w:rPr>
          <w:sz w:val="12"/>
        </w:rPr>
      </w:pPr>
      <w:r>
        <w:rPr/>
        <w:pict>
          <v:line style="position:absolute;mso-position-horizontal-relative:page;mso-position-vertical-relative:paragraph;z-index:16226816" from="42.014pt,3.756054pt" to="46.347pt,3.756054pt" stroked="true" strokeweight=".5pt" strokecolor="#000000">
            <v:stroke dashstyle="solid"/>
            <w10:wrap type="none"/>
          </v:line>
        </w:pict>
      </w:r>
      <w:r>
        <w:rPr>
          <w:spacing w:val="-1"/>
          <w:w w:val="115"/>
          <w:sz w:val="12"/>
        </w:rPr>
        <w:t>3.5</w:t>
      </w:r>
    </w:p>
    <w:p>
      <w:pPr>
        <w:pStyle w:val="BodyText"/>
        <w:spacing w:before="10"/>
        <w:rPr>
          <w:sz w:val="15"/>
        </w:rPr>
      </w:pPr>
    </w:p>
    <w:p>
      <w:pPr>
        <w:spacing w:before="0"/>
        <w:ind w:left="0" w:right="308" w:firstLine="0"/>
        <w:jc w:val="right"/>
        <w:rPr>
          <w:sz w:val="12"/>
        </w:rPr>
      </w:pPr>
      <w:r>
        <w:rPr/>
        <w:pict>
          <v:line style="position:absolute;mso-position-horizontal-relative:page;mso-position-vertical-relative:paragraph;z-index:16227328" from="42.014pt,3.768848pt" to="46.347pt,3.768848pt" stroked="true" strokeweight=".5pt" strokecolor="#000000">
            <v:stroke dashstyle="solid"/>
            <w10:wrap type="none"/>
          </v:line>
        </w:pict>
      </w:r>
      <w:r>
        <w:rPr>
          <w:spacing w:val="-1"/>
          <w:w w:val="115"/>
          <w:sz w:val="12"/>
        </w:rPr>
        <w:t>3.0</w:t>
      </w:r>
    </w:p>
    <w:p>
      <w:pPr>
        <w:pStyle w:val="BodyText"/>
        <w:spacing w:before="11"/>
        <w:rPr>
          <w:sz w:val="15"/>
        </w:rPr>
      </w:pPr>
    </w:p>
    <w:p>
      <w:pPr>
        <w:spacing w:before="0"/>
        <w:ind w:left="0" w:right="308" w:firstLine="0"/>
        <w:jc w:val="right"/>
        <w:rPr>
          <w:sz w:val="12"/>
        </w:rPr>
      </w:pPr>
      <w:r>
        <w:rPr/>
        <w:pict>
          <v:line style="position:absolute;mso-position-horizontal-relative:page;mso-position-vertical-relative:paragraph;z-index:16227840" from="42.014pt,3.782658pt" to="46.347pt,3.782658pt" stroked="true" strokeweight=".5pt" strokecolor="#000000">
            <v:stroke dashstyle="solid"/>
            <w10:wrap type="none"/>
          </v:line>
        </w:pict>
      </w:r>
      <w:r>
        <w:rPr>
          <w:spacing w:val="-1"/>
          <w:w w:val="115"/>
          <w:sz w:val="12"/>
        </w:rPr>
        <w:t>2.5</w:t>
      </w:r>
    </w:p>
    <w:p>
      <w:pPr>
        <w:pStyle w:val="BodyText"/>
        <w:spacing w:before="10"/>
        <w:rPr>
          <w:sz w:val="15"/>
        </w:rPr>
      </w:pPr>
    </w:p>
    <w:p>
      <w:pPr>
        <w:spacing w:before="0"/>
        <w:ind w:left="0" w:right="308" w:firstLine="0"/>
        <w:jc w:val="right"/>
        <w:rPr>
          <w:sz w:val="12"/>
        </w:rPr>
      </w:pPr>
      <w:r>
        <w:rPr/>
        <w:pict>
          <v:line style="position:absolute;mso-position-horizontal-relative:page;mso-position-vertical-relative:paragraph;z-index:16228352" from="42.014pt,3.796452pt" to="46.347pt,3.796452pt" stroked="true" strokeweight=".5pt" strokecolor="#000000">
            <v:stroke dashstyle="solid"/>
            <w10:wrap type="none"/>
          </v:line>
        </w:pict>
      </w:r>
      <w:r>
        <w:rPr>
          <w:spacing w:val="-1"/>
          <w:w w:val="115"/>
          <w:sz w:val="12"/>
        </w:rPr>
        <w:t>2.0</w:t>
      </w:r>
    </w:p>
    <w:p>
      <w:pPr>
        <w:pStyle w:val="BodyText"/>
        <w:spacing w:before="10"/>
        <w:rPr>
          <w:sz w:val="15"/>
        </w:rPr>
      </w:pPr>
    </w:p>
    <w:p>
      <w:pPr>
        <w:spacing w:before="0"/>
        <w:ind w:left="0" w:right="308" w:firstLine="0"/>
        <w:jc w:val="right"/>
        <w:rPr>
          <w:sz w:val="12"/>
        </w:rPr>
      </w:pPr>
      <w:r>
        <w:rPr/>
        <w:pict>
          <v:line style="position:absolute;mso-position-horizontal-relative:page;mso-position-vertical-relative:paragraph;z-index:16228864" from="42.014pt,3.809262pt" to="46.347pt,3.809262pt" stroked="true" strokeweight=".5pt" strokecolor="#000000">
            <v:stroke dashstyle="solid"/>
            <w10:wrap type="none"/>
          </v:line>
        </w:pict>
      </w:r>
      <w:r>
        <w:rPr>
          <w:spacing w:val="-1"/>
          <w:w w:val="115"/>
          <w:sz w:val="12"/>
        </w:rPr>
        <w:t>1.5</w:t>
      </w:r>
    </w:p>
    <w:p>
      <w:pPr>
        <w:pStyle w:val="BodyText"/>
        <w:spacing w:before="11"/>
        <w:rPr>
          <w:sz w:val="15"/>
        </w:rPr>
      </w:pPr>
    </w:p>
    <w:p>
      <w:pPr>
        <w:spacing w:before="0"/>
        <w:ind w:left="0" w:right="308" w:firstLine="0"/>
        <w:jc w:val="right"/>
        <w:rPr>
          <w:sz w:val="12"/>
        </w:rPr>
      </w:pPr>
      <w:r>
        <w:rPr/>
        <w:pict>
          <v:line style="position:absolute;mso-position-horizontal-relative:page;mso-position-vertical-relative:paragraph;z-index:16229376" from="42.014pt,3.823056pt" to="46.347pt,3.823056pt" stroked="true" strokeweight=".5pt" strokecolor="#000000">
            <v:stroke dashstyle="solid"/>
            <w10:wrap type="none"/>
          </v:line>
        </w:pict>
      </w:r>
      <w:r>
        <w:rPr>
          <w:spacing w:val="-1"/>
          <w:w w:val="115"/>
          <w:sz w:val="12"/>
        </w:rPr>
        <w:t>1.0</w:t>
      </w:r>
    </w:p>
    <w:p>
      <w:pPr>
        <w:pStyle w:val="BodyText"/>
        <w:spacing w:before="10"/>
        <w:rPr>
          <w:sz w:val="15"/>
        </w:rPr>
      </w:pPr>
    </w:p>
    <w:p>
      <w:pPr>
        <w:spacing w:before="0"/>
        <w:ind w:left="0" w:right="308" w:firstLine="0"/>
        <w:jc w:val="right"/>
        <w:rPr>
          <w:sz w:val="12"/>
        </w:rPr>
      </w:pPr>
      <w:r>
        <w:rPr/>
        <w:pict>
          <v:line style="position:absolute;mso-position-horizontal-relative:page;mso-position-vertical-relative:paragraph;z-index:16229888" from="42.014pt,3.837055pt" to="46.347pt,3.837055pt" stroked="true" strokeweight=".5pt" strokecolor="#000000">
            <v:stroke dashstyle="solid"/>
            <w10:wrap type="none"/>
          </v:line>
        </w:pict>
      </w:r>
      <w:r>
        <w:rPr>
          <w:spacing w:val="-1"/>
          <w:w w:val="115"/>
          <w:sz w:val="12"/>
        </w:rPr>
        <w:t>0.5</w:t>
      </w:r>
    </w:p>
    <w:p>
      <w:pPr>
        <w:pStyle w:val="BodyText"/>
        <w:spacing w:before="10"/>
        <w:rPr>
          <w:sz w:val="15"/>
        </w:rPr>
      </w:pPr>
    </w:p>
    <w:p>
      <w:pPr>
        <w:spacing w:line="123" w:lineRule="exact" w:before="1"/>
        <w:ind w:left="3451" w:right="0" w:firstLine="0"/>
        <w:jc w:val="left"/>
        <w:rPr>
          <w:sz w:val="12"/>
        </w:rPr>
      </w:pPr>
      <w:r>
        <w:rPr/>
        <w:pict>
          <v:line style="position:absolute;mso-position-horizontal-relative:page;mso-position-vertical-relative:paragraph;z-index:16230400" from="42.014pt,3.900857pt" to="46.347pt,3.900857pt" stroked="true" strokeweight=".5pt" strokecolor="#000000">
            <v:stroke dashstyle="solid"/>
            <w10:wrap type="none"/>
          </v:line>
        </w:pict>
      </w:r>
      <w:r>
        <w:rPr>
          <w:w w:val="115"/>
          <w:sz w:val="12"/>
        </w:rPr>
        <w:t>0.0</w:t>
      </w:r>
    </w:p>
    <w:p>
      <w:pPr>
        <w:tabs>
          <w:tab w:pos="878" w:val="left" w:leader="none"/>
          <w:tab w:pos="1280" w:val="left" w:leader="none"/>
          <w:tab w:pos="1682" w:val="left" w:leader="none"/>
          <w:tab w:pos="2083" w:val="left" w:leader="none"/>
          <w:tab w:pos="2485" w:val="left" w:leader="none"/>
        </w:tabs>
        <w:spacing w:line="123" w:lineRule="exact" w:before="0"/>
        <w:ind w:left="0" w:right="125" w:firstLine="0"/>
        <w:jc w:val="center"/>
        <w:rPr>
          <w:sz w:val="12"/>
        </w:rPr>
      </w:pPr>
      <w:r>
        <w:rPr>
          <w:w w:val="120"/>
          <w:sz w:val="12"/>
        </w:rPr>
        <w:t>1993    </w:t>
      </w:r>
      <w:r>
        <w:rPr>
          <w:spacing w:val="9"/>
          <w:w w:val="120"/>
          <w:sz w:val="12"/>
        </w:rPr>
        <w:t> </w:t>
      </w:r>
      <w:r>
        <w:rPr>
          <w:w w:val="120"/>
          <w:sz w:val="12"/>
        </w:rPr>
        <w:t>94</w:t>
        <w:tab/>
        <w:t>95</w:t>
        <w:tab/>
        <w:t>96</w:t>
        <w:tab/>
        <w:t>97</w:t>
        <w:tab/>
        <w:t>98</w:t>
        <w:tab/>
        <w:t>99</w:t>
      </w:r>
      <w:r>
        <w:rPr>
          <w:spacing w:val="28"/>
          <w:w w:val="120"/>
          <w:sz w:val="12"/>
        </w:rPr>
        <w:t> </w:t>
      </w:r>
      <w:r>
        <w:rPr>
          <w:w w:val="120"/>
          <w:sz w:val="12"/>
        </w:rPr>
        <w:t>2000</w:t>
      </w:r>
    </w:p>
    <w:p>
      <w:pPr>
        <w:pStyle w:val="BodyText"/>
        <w:spacing w:before="9"/>
        <w:rPr>
          <w:sz w:val="9"/>
        </w:rPr>
      </w:pPr>
    </w:p>
    <w:p>
      <w:pPr>
        <w:spacing w:before="0"/>
        <w:ind w:left="165" w:right="0" w:firstLine="0"/>
        <w:jc w:val="left"/>
        <w:rPr>
          <w:sz w:val="12"/>
        </w:rPr>
      </w:pPr>
      <w:r>
        <w:rPr>
          <w:w w:val="105"/>
          <w:sz w:val="12"/>
        </w:rPr>
        <w:t>Sources: ONS and Bank of England.</w:t>
      </w:r>
    </w:p>
    <w:p>
      <w:pPr>
        <w:pStyle w:val="BodyText"/>
        <w:spacing w:line="227" w:lineRule="exact"/>
        <w:ind w:left="165"/>
      </w:pPr>
      <w:r>
        <w:rPr/>
        <w:br w:type="column"/>
      </w:r>
      <w:r>
        <w:rPr>
          <w:w w:val="110"/>
        </w:rPr>
        <w:t>thought.</w:t>
      </w:r>
    </w:p>
    <w:p>
      <w:pPr>
        <w:pStyle w:val="BodyText"/>
        <w:spacing w:before="11"/>
        <w:rPr>
          <w:sz w:val="26"/>
        </w:rPr>
      </w:pPr>
    </w:p>
    <w:p>
      <w:pPr>
        <w:pStyle w:val="BodyText"/>
        <w:spacing w:line="292" w:lineRule="auto"/>
        <w:ind w:left="165" w:right="148"/>
      </w:pPr>
      <w:r>
        <w:rPr>
          <w:w w:val="110"/>
        </w:rPr>
        <w:t>Productivity</w:t>
      </w:r>
      <w:r>
        <w:rPr>
          <w:spacing w:val="-31"/>
          <w:w w:val="110"/>
        </w:rPr>
        <w:t> </w:t>
      </w:r>
      <w:r>
        <w:rPr>
          <w:w w:val="110"/>
        </w:rPr>
        <w:t>calculated</w:t>
      </w:r>
      <w:r>
        <w:rPr>
          <w:spacing w:val="-31"/>
          <w:w w:val="110"/>
        </w:rPr>
        <w:t> </w:t>
      </w:r>
      <w:r>
        <w:rPr>
          <w:w w:val="110"/>
        </w:rPr>
        <w:t>using</w:t>
      </w:r>
      <w:r>
        <w:rPr>
          <w:spacing w:val="-30"/>
          <w:w w:val="110"/>
        </w:rPr>
        <w:t> </w:t>
      </w:r>
      <w:r>
        <w:rPr>
          <w:w w:val="110"/>
        </w:rPr>
        <w:t>LFS</w:t>
      </w:r>
      <w:r>
        <w:rPr>
          <w:spacing w:val="-31"/>
          <w:w w:val="110"/>
        </w:rPr>
        <w:t> </w:t>
      </w:r>
      <w:r>
        <w:rPr>
          <w:w w:val="110"/>
        </w:rPr>
        <w:t>estimates</w:t>
      </w:r>
      <w:r>
        <w:rPr>
          <w:spacing w:val="-31"/>
          <w:w w:val="110"/>
        </w:rPr>
        <w:t> </w:t>
      </w:r>
      <w:r>
        <w:rPr>
          <w:w w:val="110"/>
        </w:rPr>
        <w:t>of</w:t>
      </w:r>
      <w:r>
        <w:rPr>
          <w:spacing w:val="-30"/>
          <w:w w:val="110"/>
        </w:rPr>
        <w:t> </w:t>
      </w:r>
      <w:r>
        <w:rPr>
          <w:w w:val="110"/>
        </w:rPr>
        <w:t>employment rose</w:t>
      </w:r>
      <w:r>
        <w:rPr>
          <w:spacing w:val="-30"/>
          <w:w w:val="110"/>
        </w:rPr>
        <w:t> </w:t>
      </w:r>
      <w:r>
        <w:rPr>
          <w:w w:val="110"/>
        </w:rPr>
        <w:t>less</w:t>
      </w:r>
      <w:r>
        <w:rPr>
          <w:spacing w:val="-30"/>
          <w:w w:val="110"/>
        </w:rPr>
        <w:t> </w:t>
      </w:r>
      <w:r>
        <w:rPr>
          <w:spacing w:val="-4"/>
          <w:w w:val="110"/>
        </w:rPr>
        <w:t>rapidly,</w:t>
      </w:r>
      <w:r>
        <w:rPr>
          <w:spacing w:val="-29"/>
          <w:w w:val="110"/>
        </w:rPr>
        <w:t> </w:t>
      </w:r>
      <w:r>
        <w:rPr>
          <w:w w:val="110"/>
        </w:rPr>
        <w:t>reflecting</w:t>
      </w:r>
      <w:r>
        <w:rPr>
          <w:spacing w:val="-30"/>
          <w:w w:val="110"/>
        </w:rPr>
        <w:t> </w:t>
      </w:r>
      <w:r>
        <w:rPr>
          <w:spacing w:val="-3"/>
          <w:w w:val="110"/>
        </w:rPr>
        <w:t>faster</w:t>
      </w:r>
      <w:r>
        <w:rPr>
          <w:spacing w:val="-30"/>
          <w:w w:val="110"/>
        </w:rPr>
        <w:t> </w:t>
      </w:r>
      <w:r>
        <w:rPr>
          <w:w w:val="110"/>
        </w:rPr>
        <w:t>growth</w:t>
      </w:r>
      <w:r>
        <w:rPr>
          <w:spacing w:val="-29"/>
          <w:w w:val="110"/>
        </w:rPr>
        <w:t> </w:t>
      </w:r>
      <w:r>
        <w:rPr>
          <w:w w:val="110"/>
        </w:rPr>
        <w:t>in</w:t>
      </w:r>
      <w:r>
        <w:rPr>
          <w:spacing w:val="-30"/>
          <w:w w:val="110"/>
        </w:rPr>
        <w:t> </w:t>
      </w:r>
      <w:r>
        <w:rPr>
          <w:w w:val="110"/>
        </w:rPr>
        <w:t>LFS</w:t>
      </w:r>
      <w:r>
        <w:rPr>
          <w:spacing w:val="-30"/>
          <w:w w:val="110"/>
        </w:rPr>
        <w:t> </w:t>
      </w:r>
      <w:r>
        <w:rPr>
          <w:w w:val="110"/>
        </w:rPr>
        <w:t>employment than</w:t>
      </w:r>
      <w:r>
        <w:rPr>
          <w:spacing w:val="-20"/>
          <w:w w:val="110"/>
        </w:rPr>
        <w:t> </w:t>
      </w:r>
      <w:r>
        <w:rPr>
          <w:spacing w:val="-3"/>
          <w:w w:val="110"/>
        </w:rPr>
        <w:t>Workforce</w:t>
      </w:r>
      <w:r>
        <w:rPr>
          <w:spacing w:val="-19"/>
          <w:w w:val="110"/>
        </w:rPr>
        <w:t> </w:t>
      </w:r>
      <w:r>
        <w:rPr>
          <w:w w:val="110"/>
        </w:rPr>
        <w:t>Jobs</w:t>
      </w:r>
      <w:r>
        <w:rPr>
          <w:spacing w:val="-20"/>
          <w:w w:val="110"/>
        </w:rPr>
        <w:t> </w:t>
      </w:r>
      <w:r>
        <w:rPr>
          <w:spacing w:val="-3"/>
          <w:w w:val="110"/>
        </w:rPr>
        <w:t>over</w:t>
      </w:r>
      <w:r>
        <w:rPr>
          <w:spacing w:val="-19"/>
          <w:w w:val="110"/>
        </w:rPr>
        <w:t> </w:t>
      </w:r>
      <w:r>
        <w:rPr>
          <w:w w:val="110"/>
        </w:rPr>
        <w:t>the</w:t>
      </w:r>
      <w:r>
        <w:rPr>
          <w:spacing w:val="-19"/>
          <w:w w:val="110"/>
        </w:rPr>
        <w:t> </w:t>
      </w:r>
      <w:r>
        <w:rPr>
          <w:w w:val="110"/>
        </w:rPr>
        <w:t>past</w:t>
      </w:r>
      <w:r>
        <w:rPr>
          <w:spacing w:val="-20"/>
          <w:w w:val="110"/>
        </w:rPr>
        <w:t> </w:t>
      </w:r>
      <w:r>
        <w:rPr>
          <w:spacing w:val="-4"/>
          <w:w w:val="110"/>
        </w:rPr>
        <w:t>year.</w:t>
      </w:r>
      <w:r>
        <w:rPr>
          <w:spacing w:val="17"/>
          <w:w w:val="110"/>
        </w:rPr>
        <w:t> </w:t>
      </w:r>
      <w:r>
        <w:rPr>
          <w:w w:val="110"/>
        </w:rPr>
        <w:t>But</w:t>
      </w:r>
      <w:r>
        <w:rPr>
          <w:spacing w:val="-19"/>
          <w:w w:val="110"/>
        </w:rPr>
        <w:t> </w:t>
      </w:r>
      <w:r>
        <w:rPr>
          <w:w w:val="110"/>
        </w:rPr>
        <w:t>productivity</w:t>
      </w:r>
      <w:r>
        <w:rPr>
          <w:spacing w:val="-20"/>
          <w:w w:val="110"/>
        </w:rPr>
        <w:t> </w:t>
      </w:r>
      <w:r>
        <w:rPr>
          <w:w w:val="110"/>
        </w:rPr>
        <w:t>per hour increased </w:t>
      </w:r>
      <w:r>
        <w:rPr>
          <w:spacing w:val="-4"/>
          <w:w w:val="110"/>
        </w:rPr>
        <w:t>strongly, </w:t>
      </w:r>
      <w:r>
        <w:rPr>
          <w:w w:val="110"/>
        </w:rPr>
        <w:t>reflecting declining </w:t>
      </w:r>
      <w:r>
        <w:rPr>
          <w:spacing w:val="-3"/>
          <w:w w:val="110"/>
        </w:rPr>
        <w:t>average </w:t>
      </w:r>
      <w:r>
        <w:rPr>
          <w:w w:val="110"/>
        </w:rPr>
        <w:t>hours </w:t>
      </w:r>
      <w:r>
        <w:rPr>
          <w:spacing w:val="-3"/>
          <w:w w:val="110"/>
        </w:rPr>
        <w:t>worked,</w:t>
      </w:r>
      <w:r>
        <w:rPr>
          <w:spacing w:val="-18"/>
          <w:w w:val="110"/>
        </w:rPr>
        <w:t> </w:t>
      </w:r>
      <w:r>
        <w:rPr>
          <w:w w:val="110"/>
        </w:rPr>
        <w:t>although</w:t>
      </w:r>
      <w:r>
        <w:rPr>
          <w:spacing w:val="-18"/>
          <w:w w:val="110"/>
        </w:rPr>
        <w:t> </w:t>
      </w:r>
      <w:r>
        <w:rPr>
          <w:w w:val="110"/>
        </w:rPr>
        <w:t>that</w:t>
      </w:r>
      <w:r>
        <w:rPr>
          <w:spacing w:val="-18"/>
          <w:w w:val="110"/>
        </w:rPr>
        <w:t> </w:t>
      </w:r>
      <w:r>
        <w:rPr>
          <w:w w:val="110"/>
        </w:rPr>
        <w:t>might</w:t>
      </w:r>
      <w:r>
        <w:rPr>
          <w:spacing w:val="-18"/>
          <w:w w:val="110"/>
        </w:rPr>
        <w:t> </w:t>
      </w:r>
      <w:r>
        <w:rPr>
          <w:w w:val="110"/>
        </w:rPr>
        <w:t>partly</w:t>
      </w:r>
      <w:r>
        <w:rPr>
          <w:spacing w:val="-18"/>
          <w:w w:val="110"/>
        </w:rPr>
        <w:t> </w:t>
      </w:r>
      <w:r>
        <w:rPr>
          <w:w w:val="110"/>
        </w:rPr>
        <w:t>reflect</w:t>
      </w:r>
      <w:r>
        <w:rPr>
          <w:spacing w:val="-18"/>
          <w:w w:val="110"/>
        </w:rPr>
        <w:t> </w:t>
      </w:r>
      <w:r>
        <w:rPr>
          <w:w w:val="110"/>
        </w:rPr>
        <w:t>a</w:t>
      </w:r>
      <w:r>
        <w:rPr>
          <w:spacing w:val="-18"/>
          <w:w w:val="110"/>
        </w:rPr>
        <w:t> </w:t>
      </w:r>
      <w:r>
        <w:rPr>
          <w:w w:val="110"/>
        </w:rPr>
        <w:t>larger</w:t>
      </w:r>
      <w:r>
        <w:rPr>
          <w:spacing w:val="-18"/>
          <w:w w:val="110"/>
        </w:rPr>
        <w:t> </w:t>
      </w:r>
      <w:r>
        <w:rPr>
          <w:spacing w:val="-3"/>
          <w:w w:val="110"/>
        </w:rPr>
        <w:t>temporary </w:t>
      </w:r>
      <w:r>
        <w:rPr>
          <w:w w:val="110"/>
        </w:rPr>
        <w:t>impact</w:t>
      </w:r>
      <w:r>
        <w:rPr>
          <w:spacing w:val="-17"/>
          <w:w w:val="110"/>
        </w:rPr>
        <w:t> </w:t>
      </w:r>
      <w:r>
        <w:rPr>
          <w:w w:val="110"/>
        </w:rPr>
        <w:t>of</w:t>
      </w:r>
      <w:r>
        <w:rPr>
          <w:spacing w:val="-17"/>
          <w:w w:val="110"/>
        </w:rPr>
        <w:t> </w:t>
      </w:r>
      <w:r>
        <w:rPr>
          <w:w w:val="110"/>
        </w:rPr>
        <w:t>fuel</w:t>
      </w:r>
      <w:r>
        <w:rPr>
          <w:spacing w:val="-17"/>
          <w:w w:val="110"/>
        </w:rPr>
        <w:t> </w:t>
      </w:r>
      <w:r>
        <w:rPr>
          <w:w w:val="110"/>
        </w:rPr>
        <w:t>supply</w:t>
      </w:r>
      <w:r>
        <w:rPr>
          <w:spacing w:val="-17"/>
          <w:w w:val="110"/>
        </w:rPr>
        <w:t> </w:t>
      </w:r>
      <w:r>
        <w:rPr>
          <w:w w:val="110"/>
        </w:rPr>
        <w:t>and</w:t>
      </w:r>
      <w:r>
        <w:rPr>
          <w:spacing w:val="-17"/>
          <w:w w:val="110"/>
        </w:rPr>
        <w:t> </w:t>
      </w:r>
      <w:r>
        <w:rPr>
          <w:w w:val="110"/>
        </w:rPr>
        <w:t>other</w:t>
      </w:r>
      <w:r>
        <w:rPr>
          <w:spacing w:val="-17"/>
          <w:w w:val="110"/>
        </w:rPr>
        <w:t> </w:t>
      </w:r>
      <w:r>
        <w:rPr>
          <w:w w:val="110"/>
        </w:rPr>
        <w:t>disruptions</w:t>
      </w:r>
      <w:r>
        <w:rPr>
          <w:spacing w:val="-16"/>
          <w:w w:val="110"/>
        </w:rPr>
        <w:t> </w:t>
      </w:r>
      <w:r>
        <w:rPr>
          <w:w w:val="110"/>
        </w:rPr>
        <w:t>on</w:t>
      </w:r>
      <w:r>
        <w:rPr>
          <w:spacing w:val="-17"/>
          <w:w w:val="110"/>
        </w:rPr>
        <w:t> </w:t>
      </w:r>
      <w:r>
        <w:rPr>
          <w:w w:val="110"/>
        </w:rPr>
        <w:t>hours</w:t>
      </w:r>
      <w:r>
        <w:rPr>
          <w:spacing w:val="-17"/>
          <w:w w:val="110"/>
        </w:rPr>
        <w:t> </w:t>
      </w:r>
      <w:r>
        <w:rPr>
          <w:spacing w:val="-3"/>
          <w:w w:val="110"/>
        </w:rPr>
        <w:t>worked </w:t>
      </w:r>
      <w:r>
        <w:rPr>
          <w:w w:val="110"/>
        </w:rPr>
        <w:t>than on output. It is also possible that LFS-based estimates </w:t>
      </w:r>
      <w:r>
        <w:rPr>
          <w:spacing w:val="-3"/>
          <w:w w:val="110"/>
        </w:rPr>
        <w:t>may </w:t>
      </w:r>
      <w:r>
        <w:rPr>
          <w:w w:val="110"/>
        </w:rPr>
        <w:t>slightly </w:t>
      </w:r>
      <w:r>
        <w:rPr>
          <w:spacing w:val="-3"/>
          <w:w w:val="110"/>
        </w:rPr>
        <w:t>understate </w:t>
      </w:r>
      <w:r>
        <w:rPr>
          <w:w w:val="110"/>
        </w:rPr>
        <w:t>recent productivity growth because LFS employment data do not yet fully reflect the latest information</w:t>
      </w:r>
      <w:r>
        <w:rPr>
          <w:spacing w:val="-13"/>
          <w:w w:val="110"/>
        </w:rPr>
        <w:t> </w:t>
      </w:r>
      <w:r>
        <w:rPr>
          <w:w w:val="110"/>
        </w:rPr>
        <w:t>on</w:t>
      </w:r>
      <w:r>
        <w:rPr>
          <w:spacing w:val="-13"/>
          <w:w w:val="110"/>
        </w:rPr>
        <w:t> </w:t>
      </w:r>
      <w:r>
        <w:rPr>
          <w:w w:val="110"/>
        </w:rPr>
        <w:t>population</w:t>
      </w:r>
      <w:r>
        <w:rPr>
          <w:spacing w:val="-13"/>
          <w:w w:val="110"/>
        </w:rPr>
        <w:t> </w:t>
      </w:r>
      <w:r>
        <w:rPr>
          <w:w w:val="110"/>
        </w:rPr>
        <w:t>growth,</w:t>
      </w:r>
      <w:r>
        <w:rPr>
          <w:spacing w:val="-12"/>
          <w:w w:val="110"/>
        </w:rPr>
        <w:t> </w:t>
      </w:r>
      <w:r>
        <w:rPr>
          <w:w w:val="110"/>
        </w:rPr>
        <w:t>as</w:t>
      </w:r>
      <w:r>
        <w:rPr>
          <w:spacing w:val="-13"/>
          <w:w w:val="110"/>
        </w:rPr>
        <w:t> </w:t>
      </w:r>
      <w:r>
        <w:rPr>
          <w:w w:val="110"/>
        </w:rPr>
        <w:t>discussed</w:t>
      </w:r>
      <w:r>
        <w:rPr>
          <w:spacing w:val="-13"/>
          <w:w w:val="110"/>
        </w:rPr>
        <w:t> </w:t>
      </w:r>
      <w:r>
        <w:rPr>
          <w:spacing w:val="-3"/>
          <w:w w:val="110"/>
        </w:rPr>
        <w:t>earlier.</w:t>
      </w:r>
    </w:p>
    <w:p>
      <w:pPr>
        <w:pStyle w:val="BodyText"/>
        <w:spacing w:line="292" w:lineRule="auto"/>
        <w:ind w:left="165" w:right="148"/>
      </w:pPr>
      <w:r>
        <w:rPr>
          <w:spacing w:val="-3"/>
          <w:w w:val="110"/>
        </w:rPr>
        <w:t>Moreover,</w:t>
      </w:r>
      <w:r>
        <w:rPr>
          <w:spacing w:val="-19"/>
          <w:w w:val="110"/>
        </w:rPr>
        <w:t> </w:t>
      </w:r>
      <w:r>
        <w:rPr>
          <w:w w:val="110"/>
        </w:rPr>
        <w:t>the</w:t>
      </w:r>
      <w:r>
        <w:rPr>
          <w:spacing w:val="-18"/>
          <w:w w:val="110"/>
        </w:rPr>
        <w:t> </w:t>
      </w:r>
      <w:r>
        <w:rPr>
          <w:w w:val="110"/>
        </w:rPr>
        <w:t>previous</w:t>
      </w:r>
      <w:r>
        <w:rPr>
          <w:spacing w:val="-18"/>
          <w:w w:val="110"/>
        </w:rPr>
        <w:t> </w:t>
      </w:r>
      <w:r>
        <w:rPr>
          <w:i/>
          <w:w w:val="110"/>
        </w:rPr>
        <w:t>Report</w:t>
      </w:r>
      <w:r>
        <w:rPr>
          <w:i/>
          <w:spacing w:val="-18"/>
          <w:w w:val="110"/>
        </w:rPr>
        <w:t> </w:t>
      </w:r>
      <w:r>
        <w:rPr>
          <w:w w:val="110"/>
        </w:rPr>
        <w:t>noted</w:t>
      </w:r>
      <w:r>
        <w:rPr>
          <w:spacing w:val="-18"/>
          <w:w w:val="110"/>
        </w:rPr>
        <w:t> </w:t>
      </w:r>
      <w:r>
        <w:rPr>
          <w:w w:val="110"/>
        </w:rPr>
        <w:t>that</w:t>
      </w:r>
      <w:r>
        <w:rPr>
          <w:spacing w:val="-18"/>
          <w:w w:val="110"/>
        </w:rPr>
        <w:t> </w:t>
      </w:r>
      <w:r>
        <w:rPr>
          <w:w w:val="110"/>
        </w:rPr>
        <w:t>increased</w:t>
      </w:r>
      <w:r>
        <w:rPr>
          <w:spacing w:val="-18"/>
          <w:w w:val="110"/>
        </w:rPr>
        <w:t> </w:t>
      </w:r>
      <w:r>
        <w:rPr>
          <w:w w:val="110"/>
        </w:rPr>
        <w:t>activity</w:t>
      </w:r>
      <w:r>
        <w:rPr>
          <w:spacing w:val="-18"/>
          <w:w w:val="110"/>
        </w:rPr>
        <w:t> </w:t>
      </w:r>
      <w:r>
        <w:rPr>
          <w:w w:val="110"/>
        </w:rPr>
        <w:t>in sectors of the economy using information and communications technology (ICT) had made output and productivity harder </w:t>
      </w:r>
      <w:r>
        <w:rPr>
          <w:spacing w:val="-4"/>
          <w:w w:val="110"/>
        </w:rPr>
        <w:t>to </w:t>
      </w:r>
      <w:r>
        <w:rPr>
          <w:w w:val="110"/>
        </w:rPr>
        <w:t>measure in recent </w:t>
      </w:r>
      <w:r>
        <w:rPr>
          <w:spacing w:val="-3"/>
          <w:w w:val="110"/>
        </w:rPr>
        <w:t>years. </w:t>
      </w:r>
      <w:r>
        <w:rPr>
          <w:w w:val="110"/>
        </w:rPr>
        <w:t>In particular, it</w:t>
      </w:r>
      <w:r>
        <w:rPr>
          <w:spacing w:val="-19"/>
          <w:w w:val="110"/>
        </w:rPr>
        <w:t> </w:t>
      </w:r>
      <w:r>
        <w:rPr>
          <w:w w:val="110"/>
        </w:rPr>
        <w:t>is</w:t>
      </w:r>
      <w:r>
        <w:rPr>
          <w:spacing w:val="-19"/>
          <w:w w:val="110"/>
        </w:rPr>
        <w:t> </w:t>
      </w:r>
      <w:r>
        <w:rPr>
          <w:w w:val="110"/>
        </w:rPr>
        <w:t>difficult</w:t>
      </w:r>
      <w:r>
        <w:rPr>
          <w:spacing w:val="-18"/>
          <w:w w:val="110"/>
        </w:rPr>
        <w:t> </w:t>
      </w:r>
      <w:r>
        <w:rPr>
          <w:spacing w:val="-4"/>
          <w:w w:val="110"/>
        </w:rPr>
        <w:t>to</w:t>
      </w:r>
      <w:r>
        <w:rPr>
          <w:spacing w:val="-19"/>
          <w:w w:val="110"/>
        </w:rPr>
        <w:t> </w:t>
      </w:r>
      <w:r>
        <w:rPr>
          <w:w w:val="110"/>
        </w:rPr>
        <w:t>capture</w:t>
      </w:r>
      <w:r>
        <w:rPr>
          <w:spacing w:val="-18"/>
          <w:w w:val="110"/>
        </w:rPr>
        <w:t> </w:t>
      </w:r>
      <w:r>
        <w:rPr>
          <w:w w:val="110"/>
        </w:rPr>
        <w:t>improvements</w:t>
      </w:r>
      <w:r>
        <w:rPr>
          <w:spacing w:val="-19"/>
          <w:w w:val="110"/>
        </w:rPr>
        <w:t> </w:t>
      </w:r>
      <w:r>
        <w:rPr>
          <w:w w:val="110"/>
        </w:rPr>
        <w:t>in</w:t>
      </w:r>
      <w:r>
        <w:rPr>
          <w:spacing w:val="-18"/>
          <w:w w:val="110"/>
        </w:rPr>
        <w:t> </w:t>
      </w:r>
      <w:r>
        <w:rPr>
          <w:w w:val="110"/>
        </w:rPr>
        <w:t>the</w:t>
      </w:r>
      <w:r>
        <w:rPr>
          <w:spacing w:val="-19"/>
          <w:w w:val="110"/>
        </w:rPr>
        <w:t> </w:t>
      </w:r>
      <w:r>
        <w:rPr>
          <w:spacing w:val="-3"/>
          <w:w w:val="110"/>
        </w:rPr>
        <w:t>quality</w:t>
      </w:r>
      <w:r>
        <w:rPr>
          <w:spacing w:val="-18"/>
          <w:w w:val="110"/>
        </w:rPr>
        <w:t> </w:t>
      </w:r>
      <w:r>
        <w:rPr>
          <w:w w:val="110"/>
        </w:rPr>
        <w:t>of</w:t>
      </w:r>
      <w:r>
        <w:rPr>
          <w:spacing w:val="-19"/>
          <w:w w:val="110"/>
        </w:rPr>
        <w:t> </w:t>
      </w:r>
      <w:r>
        <w:rPr>
          <w:w w:val="110"/>
        </w:rPr>
        <w:t>ICT</w:t>
      </w:r>
      <w:r>
        <w:rPr>
          <w:spacing w:val="-18"/>
          <w:w w:val="110"/>
        </w:rPr>
        <w:t> </w:t>
      </w:r>
      <w:r>
        <w:rPr>
          <w:w w:val="110"/>
        </w:rPr>
        <w:t>and</w:t>
      </w:r>
    </w:p>
    <w:p>
      <w:pPr>
        <w:spacing w:after="0" w:line="292" w:lineRule="auto"/>
        <w:sectPr>
          <w:type w:val="continuous"/>
          <w:pgSz w:w="11900" w:h="16840"/>
          <w:pgMar w:top="1260" w:bottom="280" w:left="640" w:right="640"/>
          <w:cols w:num="2" w:equalWidth="0">
            <w:col w:w="3934" w:space="1006"/>
            <w:col w:w="5680"/>
          </w:cols>
        </w:sectPr>
      </w:pPr>
    </w:p>
    <w:p>
      <w:pPr>
        <w:pStyle w:val="BodyText"/>
      </w:pPr>
    </w:p>
    <w:p>
      <w:pPr>
        <w:spacing w:after="0"/>
        <w:sectPr>
          <w:pgSz w:w="11900" w:h="16840"/>
          <w:pgMar w:header="601" w:footer="575" w:top="800" w:bottom="760" w:left="640" w:right="640"/>
        </w:sectPr>
      </w:pPr>
    </w:p>
    <w:p>
      <w:pPr>
        <w:pStyle w:val="BodyText"/>
        <w:spacing w:before="1"/>
        <w:rPr>
          <w:sz w:val="22"/>
        </w:rPr>
      </w:pPr>
    </w:p>
    <w:p>
      <w:pPr>
        <w:pStyle w:val="Heading6"/>
        <w:ind w:left="184"/>
      </w:pPr>
      <w:bookmarkStart w:name="Summary" w:id="69"/>
      <w:bookmarkEnd w:id="69"/>
      <w:r>
        <w:rPr>
          <w:b w:val="0"/>
        </w:rPr>
      </w:r>
      <w:bookmarkStart w:name="_bookmark34" w:id="70"/>
      <w:bookmarkEnd w:id="70"/>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3.18</w:t>
      </w:r>
    </w:p>
    <w:p>
      <w:pPr>
        <w:spacing w:before="8"/>
        <w:ind w:left="184" w:right="0" w:firstLine="0"/>
        <w:jc w:val="left"/>
        <w:rPr>
          <w:rFonts w:ascii="Trebuchet MS"/>
          <w:b/>
          <w:sz w:val="20"/>
        </w:rPr>
      </w:pPr>
      <w:r>
        <w:rPr>
          <w:rFonts w:ascii="Trebuchet MS"/>
          <w:b/>
          <w:color w:val="89C6DC"/>
          <w:sz w:val="20"/>
        </w:rPr>
        <w:t>Unit wage cost growth</w:t>
      </w:r>
    </w:p>
    <w:p>
      <w:pPr>
        <w:spacing w:before="96"/>
        <w:ind w:left="1493" w:right="0" w:firstLine="0"/>
        <w:jc w:val="left"/>
        <w:rPr>
          <w:sz w:val="12"/>
        </w:rPr>
      </w:pPr>
      <w:r>
        <w:rPr/>
        <w:pict>
          <v:line style="position:absolute;mso-position-horizontal-relative:page;mso-position-vertical-relative:paragraph;z-index:16237056" from="42.772999pt,12.733565pt" to="47.105999pt,12.733565pt" stroked="true" strokeweight=".5pt" strokecolor="#000000">
            <v:stroke dashstyle="solid"/>
            <w10:wrap type="none"/>
          </v:line>
        </w:pict>
      </w:r>
      <w:r>
        <w:rPr>
          <w:w w:val="110"/>
          <w:sz w:val="12"/>
        </w:rPr>
        <w:t>Percentage changes on a year earli</w:t>
      </w:r>
      <w:r>
        <w:rPr>
          <w:w w:val="110"/>
          <w:sz w:val="12"/>
          <w:u w:val="single"/>
        </w:rPr>
        <w:t>er</w:t>
      </w:r>
      <w:r>
        <w:rPr>
          <w:w w:val="110"/>
          <w:sz w:val="12"/>
        </w:rPr>
        <w:t> </w:t>
      </w:r>
      <w:r>
        <w:rPr>
          <w:w w:val="110"/>
          <w:position w:val="-6"/>
          <w:sz w:val="12"/>
        </w:rPr>
        <w:t>8</w:t>
      </w:r>
    </w:p>
    <w:p>
      <w:pPr>
        <w:pStyle w:val="BodyText"/>
        <w:rPr>
          <w:sz w:val="18"/>
        </w:rPr>
      </w:pPr>
    </w:p>
    <w:p>
      <w:pPr>
        <w:spacing w:before="133"/>
        <w:ind w:left="0" w:right="38" w:firstLine="0"/>
        <w:jc w:val="right"/>
        <w:rPr>
          <w:sz w:val="12"/>
        </w:rPr>
      </w:pPr>
      <w:r>
        <w:rPr/>
        <w:pict>
          <v:group style="position:absolute;margin-left:50.709999pt;margin-top:-1.811604pt;width:155.450pt;height:113.95pt;mso-position-horizontal-relative:page;mso-position-vertical-relative:paragraph;z-index:-23094272" coordorigin="1014,-36" coordsize="3109,2279">
            <v:line style="position:absolute" from="1024,1715" to="1117,1668" stroked="true" strokeweight="1pt" strokecolor="#de0035">
              <v:stroke dashstyle="solid"/>
            </v:line>
            <v:line style="position:absolute" from="1107,1669" to="1227,1669" stroked="true" strokeweight="1.125pt" strokecolor="#de0035">
              <v:stroke dashstyle="solid"/>
            </v:line>
            <v:shape style="position:absolute;left:1216;top:937;width:1633;height:973" coordorigin="1217,938" coordsize="1633,973" path="m1217,1668l1309,1570m1309,1570l1412,1618m1412,1618l1504,1910m1504,1910l1594,1828m1594,1828l1697,1733m1697,1733l1789,1488m1789,1488l1892,1245m1892,1245l1982,1198m1982,1198l2074,1278m2074,1278l2177,1343m2177,1343l2269,1278m2269,1278l2369,1230m2369,1230l2462,1118m2462,1118l2554,938m2554,938l2654,970m2654,970l2747,938m2747,938l2849,970e" filled="false" stroked="true" strokeweight="1pt" strokecolor="#de0035">
              <v:path arrowok="t"/>
              <v:stroke dashstyle="solid"/>
            </v:shape>
            <v:line style="position:absolute" from="2839,971" to="2952,971" stroked="true" strokeweight="1.125pt" strokecolor="#de0035">
              <v:stroke dashstyle="solid"/>
            </v:line>
            <v:shape style="position:absolute;left:2941;top:582;width:958;height:858" coordorigin="2942,583" coordsize="958,858" path="m2942,970l3032,1118m3032,1118l3134,970m3134,970l3227,825m3227,825l3329,793m3329,793l3419,583m3419,583l3512,890m3512,890l3614,1035m3614,1035l3704,923m3704,923l3807,1440m3807,1440l3899,1328e" filled="false" stroked="true" strokeweight="1pt" strokecolor="#de0035">
              <v:path arrowok="t"/>
              <v:stroke dashstyle="solid"/>
            </v:shape>
            <v:shape style="position:absolute;left:1024;top:47;width:2875;height:2185" coordorigin="1024,48" coordsize="2875,2185" path="m1024,2233l1117,1910m1117,1910l1217,1473m1217,1473l1309,1198m1309,1198l1412,1165m1412,1165l1504,1488m1504,1488l1594,1763m1594,1763l1697,1683m1697,1683l1789,875m1789,875l1892,503m1892,503l1982,485m1982,485l2074,48m2074,48l2177,438m2177,438l2269,323m2269,323l2369,145m2369,145l2462,598m2462,598l2554,875m2554,875l2654,728m2654,728l2747,923m2747,923l2849,583m2849,583l2942,145m2942,145l3032,503m3032,503l3134,420m3134,420l3227,825m3227,825l3329,1165m3329,1165l3419,1425m3419,1425l3512,1910m3512,1910l3614,1828m3614,1828l3704,1585m3704,1585l3807,1570m3807,1570l3899,1473e" filled="false" stroked="true" strokeweight="1pt" strokecolor="#006caa">
              <v:path arrowok="t"/>
              <v:stroke dashstyle="solid"/>
            </v:shape>
            <v:shape style="position:absolute;left:1024;top:420;width:2875;height:1555" coordorigin="1024,420" coordsize="2875,1555" path="m1024,1603l1117,1618m1117,1618l1217,1700m1217,1700l1309,1635m1309,1635l1412,1700m1412,1700l1504,1975m1504,1975l1594,1845m1594,1845l1697,1733m1697,1733l1789,1618m1789,1618l1892,1408m1892,1408l1982,1343m1982,1343l2074,1520m2074,1520l2177,1538m2177,1538l2269,1473m2269,1473l2369,1440m2369,1440l2462,1213m2462,1213l2554,955m2554,955l2654,1003m2654,1003l2747,938m2747,938l2849,1035m2849,1035l2942,1118m2942,1118l3032,1230m3032,1230l3134,1068m3134,1068l3227,825m3227,825l3329,728m3329,728l3419,420m3419,420l3512,695m3512,695l3614,890m3614,890l3704,793m3704,793l3807,1425m3807,1425l3899,1295e" filled="false" stroked="true" strokeweight="1pt" strokecolor="#f5b37a">
              <v:path arrowok="t"/>
              <v:stroke dashstyle="solid"/>
            </v:shape>
            <v:shape style="position:absolute;left:1535;top:224;width:2502;height:1920" coordorigin="1536,225" coordsize="2502,1920" path="m3951,225l4038,225m3951,705l4038,705m3951,1184l4038,1184m3951,2144l4038,2144m3951,1664l4038,1664m1536,324l1949,1104e" filled="false" stroked="true" strokeweight=".5pt" strokecolor="#000000">
              <v:path arrowok="t"/>
              <v:stroke dashstyle="solid"/>
            </v:shape>
            <v:shape style="position:absolute;left:1918;top:1077;width:62;height:87" coordorigin="1919,1077" coordsize="62,87" path="m1963,1077l1919,1101,1932,1112,1941,1121,1981,1164,1978,1156,1975,1145,1972,1133,1969,1120,1967,1108,1963,1077xe" filled="true" fillcolor="#000000" stroked="false">
              <v:path arrowok="t"/>
              <v:fill type="solid"/>
            </v:shape>
            <v:shape style="position:absolute;left:2105;top:-37;width:786;height:121" type="#_x0000_t202" filled="false" stroked="false">
              <v:textbox inset="0,0,0,0">
                <w:txbxContent>
                  <w:p>
                    <w:pPr>
                      <w:spacing w:line="115" w:lineRule="exact" w:before="0"/>
                      <w:ind w:left="0" w:right="0" w:firstLine="0"/>
                      <w:jc w:val="left"/>
                      <w:rPr>
                        <w:sz w:val="12"/>
                      </w:rPr>
                    </w:pPr>
                    <w:r>
                      <w:rPr>
                        <w:w w:val="105"/>
                        <w:sz w:val="12"/>
                      </w:rPr>
                      <w:t>Manufacturing</w:t>
                    </w:r>
                  </w:p>
                </w:txbxContent>
              </v:textbox>
              <w10:wrap type="none"/>
            </v:shape>
            <v:shape style="position:absolute;left:1074;top:200;width:858;height:121" type="#_x0000_t202" filled="false" stroked="false">
              <v:textbox inset="0,0,0,0">
                <w:txbxContent>
                  <w:p>
                    <w:pPr>
                      <w:spacing w:line="115" w:lineRule="exact" w:before="0"/>
                      <w:ind w:left="0" w:right="0" w:firstLine="0"/>
                      <w:jc w:val="left"/>
                      <w:rPr>
                        <w:sz w:val="12"/>
                      </w:rPr>
                    </w:pPr>
                    <w:r>
                      <w:rPr>
                        <w:w w:val="105"/>
                        <w:sz w:val="12"/>
                      </w:rPr>
                      <w:t>Whole-economy</w:t>
                    </w:r>
                  </w:p>
                </w:txbxContent>
              </v:textbox>
              <w10:wrap type="none"/>
            </v:shape>
            <v:shape style="position:absolute;left:1014;top:1416;width:3109;height:670" type="#_x0000_t202" filled="false" stroked="false">
              <v:textbox inset="0,0,0,0">
                <w:txbxContent>
                  <w:p>
                    <w:pPr>
                      <w:spacing w:line="153" w:lineRule="exact" w:before="0"/>
                      <w:ind w:left="2991" w:right="0" w:firstLine="0"/>
                      <w:jc w:val="left"/>
                      <w:rPr>
                        <w:sz w:val="16"/>
                      </w:rPr>
                    </w:pPr>
                    <w:r>
                      <w:rPr>
                        <w:w w:val="107"/>
                        <w:sz w:val="16"/>
                      </w:rPr>
                      <w:t>+</w:t>
                    </w:r>
                  </w:p>
                  <w:p>
                    <w:pPr>
                      <w:tabs>
                        <w:tab w:pos="2879" w:val="left" w:leader="none"/>
                      </w:tabs>
                      <w:spacing w:line="126" w:lineRule="exact" w:before="3"/>
                      <w:ind w:left="0" w:right="0" w:firstLine="0"/>
                      <w:jc w:val="left"/>
                      <w:rPr>
                        <w:sz w:val="12"/>
                      </w:rPr>
                    </w:pPr>
                    <w:r>
                      <w:rPr>
                        <w:sz w:val="12"/>
                        <w:u w:val="single"/>
                      </w:rPr>
                      <w:t> </w:t>
                      <w:tab/>
                    </w:r>
                  </w:p>
                  <w:p>
                    <w:pPr>
                      <w:spacing w:line="172" w:lineRule="exact" w:before="0"/>
                      <w:ind w:left="2993" w:right="0" w:firstLine="0"/>
                      <w:jc w:val="left"/>
                      <w:rPr>
                        <w:sz w:val="16"/>
                      </w:rPr>
                    </w:pPr>
                    <w:r>
                      <w:rPr>
                        <w:w w:val="117"/>
                        <w:sz w:val="16"/>
                      </w:rPr>
                      <w:t>–</w:t>
                    </w:r>
                  </w:p>
                  <w:p>
                    <w:pPr>
                      <w:spacing w:before="73"/>
                      <w:ind w:left="518" w:right="0" w:firstLine="0"/>
                      <w:jc w:val="left"/>
                      <w:rPr>
                        <w:sz w:val="12"/>
                      </w:rPr>
                    </w:pPr>
                    <w:r>
                      <w:rPr>
                        <w:w w:val="105"/>
                        <w:sz w:val="12"/>
                      </w:rPr>
                      <w:t>Non-manufacturing (a)</w:t>
                    </w:r>
                  </w:p>
                </w:txbxContent>
              </v:textbox>
              <w10:wrap type="none"/>
            </v:shape>
            <w10:wrap type="none"/>
          </v:group>
        </w:pict>
      </w:r>
      <w:r>
        <w:rPr/>
        <w:pict>
          <v:line style="position:absolute;mso-position-horizontal-relative:page;mso-position-vertical-relative:paragraph;z-index:16236032" from="42.772999pt,11.209843pt" to="47.105999pt,11.209843pt" stroked="true" strokeweight=".5pt" strokecolor="#000000">
            <v:stroke dashstyle="solid"/>
            <w10:wrap type="none"/>
          </v:line>
        </w:pict>
      </w:r>
      <w:r>
        <w:rPr>
          <w:w w:val="121"/>
          <w:sz w:val="12"/>
        </w:rPr>
        <w:t>6</w:t>
      </w:r>
    </w:p>
    <w:p>
      <w:pPr>
        <w:pStyle w:val="BodyText"/>
        <w:spacing w:before="6"/>
        <w:rPr>
          <w:sz w:val="19"/>
        </w:rPr>
      </w:pPr>
      <w:r>
        <w:rPr/>
        <w:br w:type="column"/>
      </w:r>
      <w:r>
        <w:rPr>
          <w:sz w:val="19"/>
        </w:rPr>
      </w:r>
    </w:p>
    <w:p>
      <w:pPr>
        <w:pStyle w:val="BodyText"/>
        <w:spacing w:line="292" w:lineRule="auto" w:before="1"/>
        <w:ind w:left="184" w:right="59"/>
      </w:pPr>
      <w:r>
        <w:rPr>
          <w:w w:val="110"/>
        </w:rPr>
        <w:t>thereby calculate appropriate price indices </w:t>
      </w:r>
      <w:r>
        <w:rPr>
          <w:spacing w:val="-4"/>
          <w:w w:val="110"/>
        </w:rPr>
        <w:t>to </w:t>
      </w:r>
      <w:r>
        <w:rPr>
          <w:w w:val="110"/>
        </w:rPr>
        <w:t>convert nominal output data </w:t>
      </w:r>
      <w:r>
        <w:rPr>
          <w:spacing w:val="-3"/>
          <w:w w:val="110"/>
        </w:rPr>
        <w:t>into </w:t>
      </w:r>
      <w:r>
        <w:rPr>
          <w:w w:val="110"/>
        </w:rPr>
        <w:t>real output estimates. </w:t>
      </w:r>
      <w:r>
        <w:rPr>
          <w:spacing w:val="-3"/>
          <w:w w:val="110"/>
        </w:rPr>
        <w:t>Any </w:t>
      </w:r>
      <w:r>
        <w:rPr>
          <w:w w:val="110"/>
        </w:rPr>
        <w:t>underestimate of the effects of </w:t>
      </w:r>
      <w:r>
        <w:rPr>
          <w:spacing w:val="-3"/>
          <w:w w:val="110"/>
        </w:rPr>
        <w:t>quality </w:t>
      </w:r>
      <w:r>
        <w:rPr>
          <w:w w:val="110"/>
        </w:rPr>
        <w:t>change on these prices would </w:t>
      </w:r>
      <w:r>
        <w:rPr>
          <w:spacing w:val="-3"/>
          <w:w w:val="110"/>
        </w:rPr>
        <w:t>have </w:t>
      </w:r>
      <w:r>
        <w:rPr>
          <w:w w:val="110"/>
        </w:rPr>
        <w:t>led </w:t>
      </w:r>
      <w:r>
        <w:rPr>
          <w:spacing w:val="-4"/>
          <w:w w:val="110"/>
        </w:rPr>
        <w:t>to </w:t>
      </w:r>
      <w:r>
        <w:rPr>
          <w:w w:val="110"/>
        </w:rPr>
        <w:t>an understatement of output and productivity growth in recent </w:t>
      </w:r>
      <w:r>
        <w:rPr>
          <w:spacing w:val="-3"/>
          <w:w w:val="110"/>
        </w:rPr>
        <w:t>years.</w:t>
      </w:r>
    </w:p>
    <w:p>
      <w:pPr>
        <w:spacing w:after="0" w:line="292" w:lineRule="auto"/>
        <w:sectPr>
          <w:type w:val="continuous"/>
          <w:pgSz w:w="11900" w:h="16840"/>
          <w:pgMar w:top="1260" w:bottom="280" w:left="640" w:right="640"/>
          <w:cols w:num="2" w:equalWidth="0">
            <w:col w:w="3553" w:space="1342"/>
            <w:col w:w="5725"/>
          </w:cols>
        </w:sectPr>
      </w:pPr>
    </w:p>
    <w:p>
      <w:pPr>
        <w:pStyle w:val="BodyText"/>
        <w:spacing w:before="7"/>
        <w:rPr>
          <w:sz w:val="12"/>
        </w:rPr>
      </w:pPr>
    </w:p>
    <w:p>
      <w:pPr>
        <w:spacing w:after="0"/>
        <w:rPr>
          <w:sz w:val="12"/>
        </w:rPr>
        <w:sectPr>
          <w:type w:val="continuous"/>
          <w:pgSz w:w="11900" w:h="16840"/>
          <w:pgMar w:top="1260" w:bottom="280" w:left="640" w:right="640"/>
        </w:sectPr>
      </w:pPr>
    </w:p>
    <w:p>
      <w:pPr>
        <w:pStyle w:val="BodyText"/>
        <w:spacing w:before="1" w:after="1"/>
        <w:rPr>
          <w:sz w:val="14"/>
        </w:rPr>
      </w:pPr>
    </w:p>
    <w:p>
      <w:pPr>
        <w:pStyle w:val="BodyText"/>
        <w:spacing w:line="20" w:lineRule="exact"/>
        <w:ind w:left="21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6"/>
        <w:rPr>
          <w:sz w:val="16"/>
        </w:rPr>
      </w:pPr>
      <w:r>
        <w:rPr/>
        <w:pict>
          <v:shape style="position:absolute;margin-left:42.772999pt;margin-top:11.741977pt;width:4.350pt;height:.1pt;mso-position-horizontal-relative:page;mso-position-vertical-relative:paragraph;z-index:-15224832;mso-wrap-distance-left:0;mso-wrap-distance-right:0" coordorigin="855,235" coordsize="87,0" path="m855,235l942,235e" filled="false" stroked="true" strokeweight=".5pt" strokecolor="#000000">
            <v:path arrowok="t"/>
            <v:stroke dashstyle="solid"/>
            <w10:wrap type="topAndBottom"/>
          </v:shape>
        </w:pict>
      </w:r>
    </w:p>
    <w:p>
      <w:pPr>
        <w:pStyle w:val="BodyText"/>
      </w:pPr>
    </w:p>
    <w:p>
      <w:pPr>
        <w:pStyle w:val="BodyText"/>
        <w:spacing w:before="10"/>
        <w:rPr>
          <w:sz w:val="14"/>
        </w:rPr>
      </w:pPr>
      <w:r>
        <w:rPr/>
        <w:pict>
          <v:shape style="position:absolute;margin-left:42.772999pt;margin-top:10.792976pt;width:4.350pt;height:.1pt;mso-position-horizontal-relative:page;mso-position-vertical-relative:paragraph;z-index:-15224320;mso-wrap-distance-left:0;mso-wrap-distance-right:0" coordorigin="855,216" coordsize="87,0" path="m855,216l942,216e" filled="false" stroked="true" strokeweight=".5pt" strokecolor="#000000">
            <v:path arrowok="t"/>
            <v:stroke dashstyle="solid"/>
            <w10:wrap type="topAndBottom"/>
          </v:shape>
        </w:pict>
      </w:r>
    </w:p>
    <w:p>
      <w:pPr>
        <w:pStyle w:val="BodyText"/>
      </w:pPr>
    </w:p>
    <w:p>
      <w:pPr>
        <w:pStyle w:val="BodyText"/>
        <w:spacing w:before="10"/>
        <w:rPr>
          <w:sz w:val="14"/>
        </w:rPr>
      </w:pPr>
      <w:r>
        <w:rPr/>
        <w:pict>
          <v:shape style="position:absolute;margin-left:42.772999pt;margin-top:10.790977pt;width:4.350pt;height:.1pt;mso-position-horizontal-relative:page;mso-position-vertical-relative:paragraph;z-index:-15223808;mso-wrap-distance-left:0;mso-wrap-distance-right:0" coordorigin="855,216" coordsize="87,0" path="m855,216l942,216e" filled="false" stroked="true" strokeweight=".5pt" strokecolor="#000000">
            <v:path arrowok="t"/>
            <v:stroke dashstyle="solid"/>
            <w10:wrap type="topAndBottom"/>
          </v:shape>
        </w:pict>
      </w:r>
    </w:p>
    <w:p>
      <w:pPr>
        <w:pStyle w:val="BodyText"/>
        <w:rPr>
          <w:sz w:val="12"/>
        </w:rPr>
      </w:pPr>
    </w:p>
    <w:p>
      <w:pPr>
        <w:pStyle w:val="BodyText"/>
        <w:rPr>
          <w:sz w:val="12"/>
        </w:rPr>
      </w:pPr>
    </w:p>
    <w:p>
      <w:pPr>
        <w:pStyle w:val="BodyText"/>
        <w:spacing w:before="9"/>
        <w:rPr>
          <w:sz w:val="16"/>
        </w:rPr>
      </w:pPr>
    </w:p>
    <w:p>
      <w:pPr>
        <w:tabs>
          <w:tab w:pos="1255" w:val="left" w:leader="none"/>
        </w:tabs>
        <w:spacing w:before="1"/>
        <w:ind w:left="430" w:right="0" w:firstLine="0"/>
        <w:jc w:val="left"/>
        <w:rPr>
          <w:sz w:val="12"/>
        </w:rPr>
      </w:pPr>
      <w:r>
        <w:rPr>
          <w:w w:val="120"/>
          <w:sz w:val="12"/>
        </w:rPr>
        <w:t>1993   </w:t>
      </w:r>
      <w:r>
        <w:rPr>
          <w:spacing w:val="12"/>
          <w:w w:val="120"/>
          <w:sz w:val="12"/>
        </w:rPr>
        <w:t> </w:t>
      </w:r>
      <w:r>
        <w:rPr>
          <w:w w:val="120"/>
          <w:sz w:val="12"/>
        </w:rPr>
        <w:t>94</w:t>
        <w:tab/>
      </w:r>
      <w:r>
        <w:rPr>
          <w:spacing w:val="-10"/>
          <w:w w:val="120"/>
          <w:sz w:val="12"/>
        </w:rPr>
        <w:t>95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5"/>
        </w:rPr>
      </w:pPr>
    </w:p>
    <w:p>
      <w:pPr>
        <w:tabs>
          <w:tab w:pos="576" w:val="left" w:leader="none"/>
        </w:tabs>
        <w:spacing w:before="1"/>
        <w:ind w:left="204" w:right="0" w:firstLine="0"/>
        <w:jc w:val="left"/>
        <w:rPr>
          <w:sz w:val="12"/>
        </w:rPr>
      </w:pPr>
      <w:r>
        <w:rPr>
          <w:w w:val="120"/>
          <w:sz w:val="12"/>
        </w:rPr>
        <w:t>96</w:t>
        <w:tab/>
      </w:r>
      <w:r>
        <w:rPr>
          <w:spacing w:val="-10"/>
          <w:w w:val="120"/>
          <w:sz w:val="12"/>
        </w:rPr>
        <w:t>97</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5"/>
        </w:rPr>
      </w:pPr>
    </w:p>
    <w:p>
      <w:pPr>
        <w:tabs>
          <w:tab w:pos="586" w:val="left" w:leader="none"/>
        </w:tabs>
        <w:spacing w:before="1"/>
        <w:ind w:left="221" w:right="0" w:firstLine="0"/>
        <w:jc w:val="left"/>
        <w:rPr>
          <w:sz w:val="12"/>
        </w:rPr>
      </w:pPr>
      <w:r>
        <w:rPr>
          <w:w w:val="120"/>
          <w:sz w:val="12"/>
        </w:rPr>
        <w:t>98</w:t>
        <w:tab/>
      </w:r>
      <w:r>
        <w:rPr>
          <w:spacing w:val="-10"/>
          <w:w w:val="120"/>
          <w:sz w:val="12"/>
        </w:rPr>
        <w:t>99</w:t>
      </w:r>
    </w:p>
    <w:p>
      <w:pPr>
        <w:spacing w:before="77"/>
        <w:ind w:left="0" w:right="38" w:firstLine="0"/>
        <w:jc w:val="right"/>
        <w:rPr>
          <w:sz w:val="12"/>
        </w:rPr>
      </w:pPr>
      <w:r>
        <w:rPr/>
        <w:br w:type="column"/>
      </w:r>
      <w:r>
        <w:rPr>
          <w:w w:val="120"/>
          <w:sz w:val="12"/>
        </w:rPr>
        <w:t>4</w:t>
      </w:r>
    </w:p>
    <w:p>
      <w:pPr>
        <w:pStyle w:val="BodyText"/>
        <w:rPr>
          <w:sz w:val="12"/>
        </w:rPr>
      </w:pPr>
    </w:p>
    <w:p>
      <w:pPr>
        <w:pStyle w:val="BodyText"/>
        <w:spacing w:before="8"/>
        <w:rPr>
          <w:sz w:val="17"/>
        </w:rPr>
      </w:pPr>
    </w:p>
    <w:p>
      <w:pPr>
        <w:spacing w:before="0"/>
        <w:ind w:left="0" w:right="38" w:firstLine="0"/>
        <w:jc w:val="right"/>
        <w:rPr>
          <w:sz w:val="12"/>
        </w:rPr>
      </w:pPr>
      <w:r>
        <w:rPr>
          <w:w w:val="121"/>
          <w:sz w:val="12"/>
        </w:rPr>
        <w:t>2</w:t>
      </w:r>
    </w:p>
    <w:p>
      <w:pPr>
        <w:pStyle w:val="BodyText"/>
        <w:rPr>
          <w:sz w:val="12"/>
        </w:rPr>
      </w:pPr>
    </w:p>
    <w:p>
      <w:pPr>
        <w:pStyle w:val="BodyText"/>
        <w:spacing w:before="8"/>
        <w:rPr>
          <w:sz w:val="17"/>
        </w:rPr>
      </w:pPr>
    </w:p>
    <w:p>
      <w:pPr>
        <w:spacing w:before="1"/>
        <w:ind w:left="0" w:right="38" w:firstLine="0"/>
        <w:jc w:val="right"/>
        <w:rPr>
          <w:sz w:val="12"/>
        </w:rPr>
      </w:pPr>
      <w:r>
        <w:rPr>
          <w:w w:val="121"/>
          <w:sz w:val="12"/>
        </w:rPr>
        <w:t>0</w:t>
      </w:r>
    </w:p>
    <w:p>
      <w:pPr>
        <w:pStyle w:val="BodyText"/>
        <w:rPr>
          <w:sz w:val="12"/>
        </w:rPr>
      </w:pPr>
    </w:p>
    <w:p>
      <w:pPr>
        <w:pStyle w:val="BodyText"/>
        <w:spacing w:before="8"/>
        <w:rPr>
          <w:sz w:val="17"/>
        </w:rPr>
      </w:pPr>
    </w:p>
    <w:p>
      <w:pPr>
        <w:spacing w:before="0"/>
        <w:ind w:left="0" w:right="38" w:firstLine="0"/>
        <w:jc w:val="right"/>
        <w:rPr>
          <w:sz w:val="12"/>
        </w:rPr>
      </w:pPr>
      <w:r>
        <w:rPr>
          <w:w w:val="121"/>
          <w:sz w:val="12"/>
        </w:rPr>
        <w:t>2</w:t>
      </w:r>
    </w:p>
    <w:p>
      <w:pPr>
        <w:pStyle w:val="BodyText"/>
        <w:rPr>
          <w:sz w:val="12"/>
        </w:rPr>
      </w:pPr>
    </w:p>
    <w:p>
      <w:pPr>
        <w:pStyle w:val="BodyText"/>
        <w:spacing w:before="9"/>
        <w:rPr>
          <w:sz w:val="17"/>
        </w:rPr>
      </w:pPr>
    </w:p>
    <w:p>
      <w:pPr>
        <w:spacing w:line="126" w:lineRule="exact" w:before="0"/>
        <w:ind w:left="463" w:right="0" w:firstLine="0"/>
        <w:jc w:val="left"/>
        <w:rPr>
          <w:sz w:val="12"/>
        </w:rPr>
      </w:pPr>
      <w:r>
        <w:rPr/>
        <w:pict>
          <v:shape style="position:absolute;margin-left:42.772999pt;margin-top:.885842pt;width:159.15pt;height:3.7pt;mso-position-horizontal-relative:page;mso-position-vertical-relative:paragraph;z-index:16236544" coordorigin="855,18" coordsize="3183,74" path="m855,90l942,90m3951,91l4038,91m1020,85l3900,85m1017,18l1017,85m1784,18l1784,85m2551,18l2551,85m3318,18l3318,85m1401,18l1401,85m2168,18l2168,85m2935,18l2935,85m3702,18l3702,85e" filled="false" stroked="true" strokeweight=".5pt" strokecolor="#000000">
            <v:path arrowok="t"/>
            <v:stroke dashstyle="solid"/>
            <w10:wrap type="none"/>
          </v:shape>
        </w:pict>
      </w:r>
      <w:r>
        <w:rPr>
          <w:w w:val="121"/>
          <w:sz w:val="12"/>
        </w:rPr>
        <w:t>4</w:t>
      </w:r>
    </w:p>
    <w:p>
      <w:pPr>
        <w:spacing w:line="126" w:lineRule="exact" w:before="0"/>
        <w:ind w:left="89" w:right="0" w:firstLine="0"/>
        <w:jc w:val="left"/>
        <w:rPr>
          <w:sz w:val="12"/>
        </w:rPr>
      </w:pPr>
      <w:r>
        <w:rPr>
          <w:w w:val="120"/>
          <w:sz w:val="12"/>
        </w:rPr>
        <w:t>2000</w:t>
      </w:r>
    </w:p>
    <w:p>
      <w:pPr>
        <w:pStyle w:val="BodyText"/>
        <w:spacing w:line="292" w:lineRule="auto" w:before="132"/>
        <w:ind w:left="430" w:right="65"/>
      </w:pPr>
      <w:r>
        <w:rPr/>
        <w:br w:type="column"/>
      </w:r>
      <w:r>
        <w:rPr>
          <w:w w:val="110"/>
        </w:rPr>
        <w:t>The </w:t>
      </w:r>
      <w:r>
        <w:rPr>
          <w:spacing w:val="-5"/>
          <w:w w:val="110"/>
        </w:rPr>
        <w:t>pick-up </w:t>
      </w:r>
      <w:r>
        <w:rPr>
          <w:w w:val="110"/>
        </w:rPr>
        <w:t>in productivity growth </w:t>
      </w:r>
      <w:r>
        <w:rPr>
          <w:spacing w:val="-3"/>
          <w:w w:val="110"/>
        </w:rPr>
        <w:t>over </w:t>
      </w:r>
      <w:r>
        <w:rPr>
          <w:w w:val="110"/>
        </w:rPr>
        <w:t>the past </w:t>
      </w:r>
      <w:r>
        <w:rPr>
          <w:spacing w:val="-4"/>
          <w:w w:val="110"/>
        </w:rPr>
        <w:t>year, </w:t>
      </w:r>
      <w:r>
        <w:rPr>
          <w:w w:val="110"/>
        </w:rPr>
        <w:t>in conjunction with </w:t>
      </w:r>
      <w:r>
        <w:rPr>
          <w:spacing w:val="-3"/>
          <w:w w:val="110"/>
        </w:rPr>
        <w:t>slower </w:t>
      </w:r>
      <w:r>
        <w:rPr>
          <w:w w:val="110"/>
        </w:rPr>
        <w:t>nominal earnings growth than in </w:t>
      </w:r>
      <w:r>
        <w:rPr>
          <w:spacing w:val="-15"/>
          <w:w w:val="110"/>
        </w:rPr>
        <w:t>1999 </w:t>
      </w:r>
      <w:r>
        <w:rPr>
          <w:w w:val="110"/>
        </w:rPr>
        <w:t>and early </w:t>
      </w:r>
      <w:r>
        <w:rPr>
          <w:spacing w:val="-4"/>
          <w:w w:val="110"/>
        </w:rPr>
        <w:t>2000, </w:t>
      </w:r>
      <w:r>
        <w:rPr>
          <w:w w:val="110"/>
        </w:rPr>
        <w:t>has been reflected in subdued unit wage cost growth, particularly in the manufacturing sector where productivity has </w:t>
      </w:r>
      <w:r>
        <w:rPr>
          <w:spacing w:val="-3"/>
          <w:w w:val="110"/>
        </w:rPr>
        <w:t>grown </w:t>
      </w:r>
      <w:r>
        <w:rPr>
          <w:w w:val="110"/>
        </w:rPr>
        <w:t>most rapidly (see Chart </w:t>
      </w:r>
      <w:r>
        <w:rPr>
          <w:spacing w:val="-7"/>
          <w:w w:val="110"/>
        </w:rPr>
        <w:t>3.18). </w:t>
      </w:r>
      <w:r>
        <w:rPr>
          <w:w w:val="110"/>
        </w:rPr>
        <w:t>Labour and other costs of production are considered more fully in Section 4.</w:t>
      </w:r>
    </w:p>
    <w:p>
      <w:pPr>
        <w:spacing w:after="0" w:line="292" w:lineRule="auto"/>
        <w:sectPr>
          <w:type w:val="continuous"/>
          <w:pgSz w:w="11900" w:h="16840"/>
          <w:pgMar w:top="1260" w:bottom="280" w:left="640" w:right="640"/>
          <w:cols w:num="5" w:equalWidth="0">
            <w:col w:w="1402" w:space="40"/>
            <w:col w:w="723" w:space="39"/>
            <w:col w:w="733" w:space="40"/>
            <w:col w:w="577" w:space="1096"/>
            <w:col w:w="5970"/>
          </w:cols>
        </w:sectPr>
      </w:pPr>
    </w:p>
    <w:p>
      <w:pPr>
        <w:pStyle w:val="BodyText"/>
        <w:spacing w:before="1"/>
        <w:rPr>
          <w:sz w:val="11"/>
        </w:rPr>
      </w:pPr>
    </w:p>
    <w:p>
      <w:pPr>
        <w:spacing w:before="1"/>
        <w:ind w:left="179" w:right="0" w:firstLine="0"/>
        <w:jc w:val="left"/>
        <w:rPr>
          <w:sz w:val="12"/>
        </w:rPr>
      </w:pPr>
      <w:r>
        <w:rPr>
          <w:w w:val="105"/>
          <w:sz w:val="12"/>
        </w:rPr>
        <w:t>Sources: ONS and Bank of England.</w:t>
      </w:r>
    </w:p>
    <w:p>
      <w:pPr>
        <w:pStyle w:val="BodyText"/>
        <w:spacing w:before="1"/>
        <w:rPr>
          <w:sz w:val="10"/>
        </w:rPr>
      </w:pPr>
    </w:p>
    <w:p>
      <w:pPr>
        <w:spacing w:line="208" w:lineRule="auto" w:before="0"/>
        <w:ind w:left="419" w:right="0" w:hanging="240"/>
        <w:jc w:val="left"/>
        <w:rPr>
          <w:sz w:val="12"/>
        </w:rPr>
      </w:pPr>
      <w:r>
        <w:rPr>
          <w:w w:val="105"/>
          <w:sz w:val="12"/>
        </w:rPr>
        <w:t>(a) Based on official measures of whole-economy and manufacturing unit wage cost growth.</w:t>
      </w:r>
    </w:p>
    <w:p>
      <w:pPr>
        <w:pStyle w:val="Heading3"/>
        <w:numPr>
          <w:ilvl w:val="1"/>
          <w:numId w:val="26"/>
        </w:numPr>
        <w:tabs>
          <w:tab w:pos="779" w:val="left" w:leader="none"/>
          <w:tab w:pos="780" w:val="left" w:leader="none"/>
          <w:tab w:pos="5694" w:val="left" w:leader="none"/>
        </w:tabs>
        <w:spacing w:line="240" w:lineRule="auto" w:before="46" w:after="0"/>
        <w:ind w:left="779" w:right="0" w:hanging="601"/>
        <w:jc w:val="left"/>
        <w:rPr>
          <w:u w:val="none"/>
        </w:rPr>
      </w:pPr>
      <w:r>
        <w:rPr>
          <w:color w:val="89C6DC"/>
          <w:spacing w:val="-7"/>
          <w:w w:val="111"/>
          <w:u w:val="single" w:color="006CB4"/>
        </w:rPr>
        <w:br w:type="column"/>
      </w:r>
      <w:r>
        <w:rPr>
          <w:color w:val="89C6DC"/>
          <w:u w:val="single" w:color="006CB4"/>
        </w:rPr>
        <w:t>Summary</w:t>
        <w:tab/>
      </w:r>
    </w:p>
    <w:p>
      <w:pPr>
        <w:pStyle w:val="BodyText"/>
        <w:spacing w:line="292" w:lineRule="auto" w:before="254"/>
        <w:ind w:left="299" w:right="393"/>
      </w:pPr>
      <w:r>
        <w:rPr>
          <w:w w:val="105"/>
        </w:rPr>
        <w:t>High labour utilisation and widespread evidence of skill shortages suggest that the labour market remains tight. Recent falls in employment, and marginal rises in LFS unemployment, suggest that conditions may no longer be tightening, although the impact on the latest data of fuel supply and other disruptions is uncertain. Employment</w:t>
      </w:r>
    </w:p>
    <w:p>
      <w:pPr>
        <w:pStyle w:val="BodyText"/>
        <w:spacing w:line="292" w:lineRule="auto"/>
        <w:ind w:left="299" w:right="116"/>
      </w:pPr>
      <w:r>
        <w:rPr>
          <w:w w:val="110"/>
        </w:rPr>
        <w:t>intentions</w:t>
      </w:r>
      <w:r>
        <w:rPr>
          <w:spacing w:val="-19"/>
          <w:w w:val="110"/>
        </w:rPr>
        <w:t> </w:t>
      </w:r>
      <w:r>
        <w:rPr>
          <w:w w:val="110"/>
        </w:rPr>
        <w:t>and</w:t>
      </w:r>
      <w:r>
        <w:rPr>
          <w:spacing w:val="-19"/>
          <w:w w:val="110"/>
        </w:rPr>
        <w:t> </w:t>
      </w:r>
      <w:r>
        <w:rPr>
          <w:w w:val="110"/>
        </w:rPr>
        <w:t>high</w:t>
      </w:r>
      <w:r>
        <w:rPr>
          <w:spacing w:val="-19"/>
          <w:w w:val="110"/>
        </w:rPr>
        <w:t> </w:t>
      </w:r>
      <w:r>
        <w:rPr>
          <w:w w:val="110"/>
        </w:rPr>
        <w:t>vacancy</w:t>
      </w:r>
      <w:r>
        <w:rPr>
          <w:spacing w:val="-18"/>
          <w:w w:val="110"/>
        </w:rPr>
        <w:t> </w:t>
      </w:r>
      <w:r>
        <w:rPr>
          <w:w w:val="110"/>
        </w:rPr>
        <w:t>levels</w:t>
      </w:r>
      <w:r>
        <w:rPr>
          <w:spacing w:val="-19"/>
          <w:w w:val="110"/>
        </w:rPr>
        <w:t> </w:t>
      </w:r>
      <w:r>
        <w:rPr>
          <w:w w:val="110"/>
        </w:rPr>
        <w:t>suggest</w:t>
      </w:r>
      <w:r>
        <w:rPr>
          <w:spacing w:val="-19"/>
          <w:w w:val="110"/>
        </w:rPr>
        <w:t> </w:t>
      </w:r>
      <w:r>
        <w:rPr>
          <w:w w:val="110"/>
        </w:rPr>
        <w:t>that</w:t>
      </w:r>
      <w:r>
        <w:rPr>
          <w:spacing w:val="-18"/>
          <w:w w:val="110"/>
        </w:rPr>
        <w:t> </w:t>
      </w:r>
      <w:r>
        <w:rPr>
          <w:w w:val="110"/>
        </w:rPr>
        <w:t>the</w:t>
      </w:r>
      <w:r>
        <w:rPr>
          <w:spacing w:val="-19"/>
          <w:w w:val="110"/>
        </w:rPr>
        <w:t> </w:t>
      </w:r>
      <w:r>
        <w:rPr>
          <w:w w:val="110"/>
        </w:rPr>
        <w:t>demand</w:t>
      </w:r>
      <w:r>
        <w:rPr>
          <w:spacing w:val="-19"/>
          <w:w w:val="110"/>
        </w:rPr>
        <w:t> </w:t>
      </w:r>
      <w:r>
        <w:rPr>
          <w:w w:val="110"/>
        </w:rPr>
        <w:t>for labour</w:t>
      </w:r>
      <w:r>
        <w:rPr>
          <w:spacing w:val="-20"/>
          <w:w w:val="110"/>
        </w:rPr>
        <w:t> </w:t>
      </w:r>
      <w:r>
        <w:rPr>
          <w:w w:val="110"/>
        </w:rPr>
        <w:t>remains</w:t>
      </w:r>
      <w:r>
        <w:rPr>
          <w:spacing w:val="-19"/>
          <w:w w:val="110"/>
        </w:rPr>
        <w:t> </w:t>
      </w:r>
      <w:r>
        <w:rPr>
          <w:w w:val="110"/>
        </w:rPr>
        <w:t>robust.</w:t>
      </w:r>
      <w:r>
        <w:rPr>
          <w:spacing w:val="17"/>
          <w:w w:val="110"/>
        </w:rPr>
        <w:t> </w:t>
      </w:r>
      <w:r>
        <w:rPr>
          <w:w w:val="110"/>
        </w:rPr>
        <w:t>Earnings</w:t>
      </w:r>
      <w:r>
        <w:rPr>
          <w:spacing w:val="-20"/>
          <w:w w:val="110"/>
        </w:rPr>
        <w:t> </w:t>
      </w:r>
      <w:r>
        <w:rPr>
          <w:w w:val="110"/>
        </w:rPr>
        <w:t>growth</w:t>
      </w:r>
      <w:r>
        <w:rPr>
          <w:spacing w:val="-19"/>
          <w:w w:val="110"/>
        </w:rPr>
        <w:t> </w:t>
      </w:r>
      <w:r>
        <w:rPr>
          <w:w w:val="110"/>
        </w:rPr>
        <w:t>has</w:t>
      </w:r>
      <w:r>
        <w:rPr>
          <w:spacing w:val="-19"/>
          <w:w w:val="110"/>
        </w:rPr>
        <w:t> </w:t>
      </w:r>
      <w:r>
        <w:rPr>
          <w:w w:val="110"/>
        </w:rPr>
        <w:t>edged</w:t>
      </w:r>
      <w:r>
        <w:rPr>
          <w:spacing w:val="-20"/>
          <w:w w:val="110"/>
        </w:rPr>
        <w:t> </w:t>
      </w:r>
      <w:r>
        <w:rPr>
          <w:w w:val="110"/>
        </w:rPr>
        <w:t>up</w:t>
      </w:r>
      <w:r>
        <w:rPr>
          <w:spacing w:val="-19"/>
          <w:w w:val="110"/>
        </w:rPr>
        <w:t> </w:t>
      </w:r>
      <w:r>
        <w:rPr>
          <w:w w:val="110"/>
        </w:rPr>
        <w:t>slightly since the November </w:t>
      </w:r>
      <w:r>
        <w:rPr>
          <w:i/>
          <w:w w:val="110"/>
        </w:rPr>
        <w:t>Report</w:t>
      </w:r>
      <w:r>
        <w:rPr>
          <w:w w:val="110"/>
        </w:rPr>
        <w:t>. But continued strong productivity</w:t>
      </w:r>
      <w:r>
        <w:rPr>
          <w:spacing w:val="-15"/>
          <w:w w:val="110"/>
        </w:rPr>
        <w:t> </w:t>
      </w:r>
      <w:r>
        <w:rPr>
          <w:w w:val="110"/>
        </w:rPr>
        <w:t>growth</w:t>
      </w:r>
      <w:r>
        <w:rPr>
          <w:spacing w:val="-15"/>
          <w:w w:val="110"/>
        </w:rPr>
        <w:t> </w:t>
      </w:r>
      <w:r>
        <w:rPr>
          <w:w w:val="110"/>
        </w:rPr>
        <w:t>has</w:t>
      </w:r>
      <w:r>
        <w:rPr>
          <w:spacing w:val="-15"/>
          <w:w w:val="110"/>
        </w:rPr>
        <w:t> </w:t>
      </w:r>
      <w:r>
        <w:rPr>
          <w:w w:val="110"/>
        </w:rPr>
        <w:t>contained</w:t>
      </w:r>
      <w:r>
        <w:rPr>
          <w:spacing w:val="-15"/>
          <w:w w:val="110"/>
        </w:rPr>
        <w:t> </w:t>
      </w:r>
      <w:r>
        <w:rPr>
          <w:w w:val="110"/>
        </w:rPr>
        <w:t>unit</w:t>
      </w:r>
      <w:r>
        <w:rPr>
          <w:spacing w:val="-15"/>
          <w:w w:val="110"/>
        </w:rPr>
        <w:t> </w:t>
      </w:r>
      <w:r>
        <w:rPr>
          <w:w w:val="110"/>
        </w:rPr>
        <w:t>wage</w:t>
      </w:r>
      <w:r>
        <w:rPr>
          <w:spacing w:val="-15"/>
          <w:w w:val="110"/>
        </w:rPr>
        <w:t> </w:t>
      </w:r>
      <w:r>
        <w:rPr>
          <w:w w:val="110"/>
        </w:rPr>
        <w:t>cost</w:t>
      </w:r>
      <w:r>
        <w:rPr>
          <w:spacing w:val="-15"/>
          <w:w w:val="110"/>
        </w:rPr>
        <w:t> </w:t>
      </w:r>
      <w:r>
        <w:rPr>
          <w:w w:val="110"/>
        </w:rPr>
        <w:t>growth.</w:t>
      </w:r>
    </w:p>
    <w:p>
      <w:pPr>
        <w:pStyle w:val="BodyText"/>
        <w:spacing w:before="10"/>
        <w:rPr>
          <w:sz w:val="23"/>
        </w:rPr>
      </w:pPr>
    </w:p>
    <w:p>
      <w:pPr>
        <w:pStyle w:val="BodyText"/>
        <w:spacing w:line="292" w:lineRule="auto"/>
        <w:ind w:left="299" w:right="165"/>
      </w:pPr>
      <w:r>
        <w:rPr>
          <w:w w:val="110"/>
        </w:rPr>
        <w:t>Looking forward, there are mixed signals about </w:t>
      </w:r>
      <w:r>
        <w:rPr>
          <w:spacing w:val="-3"/>
          <w:w w:val="110"/>
        </w:rPr>
        <w:t>pressures </w:t>
      </w:r>
      <w:r>
        <w:rPr>
          <w:w w:val="110"/>
        </w:rPr>
        <w:t>on settlements in the current wage round and prospects for earnings growth remain uncertain. The MPC judges that the most likely outcome is that earnings growth will remain around, or a little above, recent </w:t>
      </w:r>
      <w:r>
        <w:rPr>
          <w:spacing w:val="-4"/>
          <w:w w:val="110"/>
        </w:rPr>
        <w:t>rates </w:t>
      </w:r>
      <w:r>
        <w:rPr>
          <w:spacing w:val="-3"/>
          <w:w w:val="110"/>
        </w:rPr>
        <w:t>over </w:t>
      </w:r>
      <w:r>
        <w:rPr>
          <w:w w:val="110"/>
        </w:rPr>
        <w:t>the next </w:t>
      </w:r>
      <w:r>
        <w:rPr>
          <w:spacing w:val="-5"/>
          <w:w w:val="110"/>
        </w:rPr>
        <w:t>two </w:t>
      </w:r>
      <w:r>
        <w:rPr>
          <w:spacing w:val="-3"/>
          <w:w w:val="110"/>
        </w:rPr>
        <w:t>years. </w:t>
      </w:r>
      <w:r>
        <w:rPr>
          <w:w w:val="110"/>
        </w:rPr>
        <w:t>In addition, there is a risk that earnings could be stronger than</w:t>
      </w:r>
      <w:r>
        <w:rPr>
          <w:spacing w:val="-10"/>
          <w:w w:val="110"/>
        </w:rPr>
        <w:t> </w:t>
      </w:r>
      <w:r>
        <w:rPr>
          <w:w w:val="110"/>
        </w:rPr>
        <w:t>in</w:t>
      </w:r>
      <w:r>
        <w:rPr>
          <w:spacing w:val="-9"/>
          <w:w w:val="110"/>
        </w:rPr>
        <w:t> </w:t>
      </w:r>
      <w:r>
        <w:rPr>
          <w:w w:val="110"/>
        </w:rPr>
        <w:t>the</w:t>
      </w:r>
      <w:r>
        <w:rPr>
          <w:spacing w:val="-9"/>
          <w:w w:val="110"/>
        </w:rPr>
        <w:t> </w:t>
      </w:r>
      <w:r>
        <w:rPr>
          <w:w w:val="110"/>
        </w:rPr>
        <w:t>central</w:t>
      </w:r>
      <w:r>
        <w:rPr>
          <w:spacing w:val="-9"/>
          <w:w w:val="110"/>
        </w:rPr>
        <w:t> </w:t>
      </w:r>
      <w:r>
        <w:rPr>
          <w:w w:val="110"/>
        </w:rPr>
        <w:t>projection</w:t>
      </w:r>
      <w:r>
        <w:rPr>
          <w:spacing w:val="-9"/>
          <w:w w:val="110"/>
        </w:rPr>
        <w:t> </w:t>
      </w:r>
      <w:r>
        <w:rPr>
          <w:w w:val="110"/>
        </w:rPr>
        <w:t>given</w:t>
      </w:r>
      <w:r>
        <w:rPr>
          <w:spacing w:val="-9"/>
          <w:w w:val="110"/>
        </w:rPr>
        <w:t> </w:t>
      </w:r>
      <w:r>
        <w:rPr>
          <w:w w:val="110"/>
        </w:rPr>
        <w:t>the</w:t>
      </w:r>
      <w:r>
        <w:rPr>
          <w:spacing w:val="-9"/>
          <w:w w:val="110"/>
        </w:rPr>
        <w:t> </w:t>
      </w:r>
      <w:r>
        <w:rPr>
          <w:w w:val="110"/>
        </w:rPr>
        <w:t>continued</w:t>
      </w:r>
      <w:r>
        <w:rPr>
          <w:spacing w:val="-9"/>
          <w:w w:val="110"/>
        </w:rPr>
        <w:t> </w:t>
      </w:r>
      <w:r>
        <w:rPr>
          <w:w w:val="110"/>
        </w:rPr>
        <w:t>tightness</w:t>
      </w:r>
      <w:r>
        <w:rPr>
          <w:spacing w:val="-9"/>
          <w:w w:val="110"/>
        </w:rPr>
        <w:t> </w:t>
      </w:r>
      <w:r>
        <w:rPr>
          <w:w w:val="110"/>
        </w:rPr>
        <w:t>of the labour market. But in the central case, with </w:t>
      </w:r>
      <w:r>
        <w:rPr>
          <w:spacing w:val="-4"/>
          <w:w w:val="110"/>
        </w:rPr>
        <w:t>near-trend </w:t>
      </w:r>
      <w:r>
        <w:rPr>
          <w:w w:val="110"/>
        </w:rPr>
        <w:t>productivity growth, unit wage cost </w:t>
      </w:r>
      <w:r>
        <w:rPr>
          <w:spacing w:val="-3"/>
          <w:w w:val="110"/>
        </w:rPr>
        <w:t>pressures </w:t>
      </w:r>
      <w:r>
        <w:rPr>
          <w:w w:val="110"/>
        </w:rPr>
        <w:t>are likely </w:t>
      </w:r>
      <w:r>
        <w:rPr>
          <w:spacing w:val="-4"/>
          <w:w w:val="110"/>
        </w:rPr>
        <w:t>to </w:t>
      </w:r>
      <w:r>
        <w:rPr>
          <w:w w:val="110"/>
        </w:rPr>
        <w:t>remain relatively</w:t>
      </w:r>
      <w:r>
        <w:rPr>
          <w:spacing w:val="-13"/>
          <w:w w:val="110"/>
        </w:rPr>
        <w:t> </w:t>
      </w:r>
      <w:r>
        <w:rPr>
          <w:spacing w:val="-3"/>
          <w:w w:val="110"/>
        </w:rPr>
        <w:t>muted.</w:t>
      </w:r>
    </w:p>
    <w:p>
      <w:pPr>
        <w:spacing w:after="0" w:line="292" w:lineRule="auto"/>
        <w:sectPr>
          <w:type w:val="continuous"/>
          <w:pgSz w:w="11900" w:h="16840"/>
          <w:pgMar w:top="1260" w:bottom="280" w:left="640" w:right="640"/>
          <w:cols w:num="2" w:equalWidth="0">
            <w:col w:w="3791" w:space="990"/>
            <w:col w:w="5839"/>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219200;mso-wrap-distance-left:0;mso-wrap-distance-right:0" type="#_x0000_t202" filled="true" fillcolor="#ebf4f7" stroked="false">
            <v:textbox inset="0,0,0,0">
              <w:txbxContent>
                <w:p>
                  <w:pPr>
                    <w:tabs>
                      <w:tab w:pos="10100" w:val="right" w:leader="none"/>
                    </w:tabs>
                    <w:spacing w:before="226"/>
                    <w:ind w:left="260" w:right="0" w:firstLine="0"/>
                    <w:jc w:val="left"/>
                    <w:rPr>
                      <w:rFonts w:ascii="Trebuchet MS"/>
                      <w:sz w:val="48"/>
                    </w:rPr>
                  </w:pPr>
                  <w:bookmarkStart w:name="Costs and prices" w:id="71"/>
                  <w:bookmarkEnd w:id="71"/>
                  <w:r>
                    <w:rPr/>
                  </w:r>
                  <w:bookmarkStart w:name="Raw materials and commodity prices" w:id="72"/>
                  <w:bookmarkEnd w:id="72"/>
                  <w:r>
                    <w:rPr/>
                  </w:r>
                  <w:bookmarkStart w:name="_bookmark35" w:id="73"/>
                  <w:bookmarkEnd w:id="73"/>
                  <w:r>
                    <w:rPr/>
                  </w:r>
                  <w:bookmarkStart w:name="_bookmark36" w:id="74"/>
                  <w:bookmarkEnd w:id="74"/>
                  <w:r>
                    <w:rPr/>
                  </w:r>
                  <w:r>
                    <w:rPr>
                      <w:rFonts w:ascii="Trebuchet MS"/>
                      <w:color w:val="89C6DC"/>
                      <w:sz w:val="48"/>
                    </w:rPr>
                    <w:t>Costs</w:t>
                  </w:r>
                  <w:r>
                    <w:rPr>
                      <w:rFonts w:ascii="Trebuchet MS"/>
                      <w:color w:val="89C6DC"/>
                      <w:spacing w:val="11"/>
                      <w:sz w:val="48"/>
                    </w:rPr>
                    <w:t> </w:t>
                  </w:r>
                  <w:r>
                    <w:rPr>
                      <w:rFonts w:ascii="Trebuchet MS"/>
                      <w:color w:val="89C6DC"/>
                      <w:sz w:val="48"/>
                    </w:rPr>
                    <w:t>and</w:t>
                  </w:r>
                  <w:r>
                    <w:rPr>
                      <w:rFonts w:ascii="Trebuchet MS"/>
                      <w:color w:val="89C6DC"/>
                      <w:spacing w:val="12"/>
                      <w:sz w:val="48"/>
                    </w:rPr>
                    <w:t> </w:t>
                  </w:r>
                  <w:r>
                    <w:rPr>
                      <w:rFonts w:ascii="Trebuchet MS"/>
                      <w:color w:val="89C6DC"/>
                      <w:sz w:val="48"/>
                    </w:rPr>
                    <w:t>prices</w:t>
                    <w:tab/>
                    <w:t>4</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6"/>
        </w:rPr>
      </w:pPr>
    </w:p>
    <w:p>
      <w:pPr>
        <w:spacing w:after="0"/>
        <w:rPr>
          <w:sz w:val="16"/>
        </w:rPr>
        <w:sectPr>
          <w:headerReference w:type="default" r:id="rId129"/>
          <w:footerReference w:type="default" r:id="rId130"/>
          <w:footerReference w:type="even" r:id="rId131"/>
          <w:pgSz w:w="11900" w:h="16840"/>
          <w:pgMar w:header="0" w:footer="575" w:top="800" w:bottom="760" w:left="640" w:right="640"/>
          <w:pgNumType w:start="39"/>
        </w:sectPr>
      </w:pPr>
    </w:p>
    <w:p>
      <w:pPr>
        <w:pStyle w:val="BodyText"/>
        <w:rPr>
          <w:sz w:val="22"/>
        </w:rPr>
      </w:pPr>
    </w:p>
    <w:p>
      <w:pPr>
        <w:pStyle w:val="BodyText"/>
        <w:rPr>
          <w:sz w:val="22"/>
        </w:rPr>
      </w:pPr>
    </w:p>
    <w:p>
      <w:pPr>
        <w:pStyle w:val="BodyText"/>
        <w:rPr>
          <w:sz w:val="22"/>
        </w:rPr>
      </w:pPr>
    </w:p>
    <w:p>
      <w:pPr>
        <w:pStyle w:val="BodyText"/>
        <w:spacing w:before="6"/>
        <w:rPr>
          <w:sz w:val="21"/>
        </w:rPr>
      </w:pPr>
    </w:p>
    <w:p>
      <w:pPr>
        <w:pStyle w:val="Heading6"/>
        <w:ind w:left="209"/>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4.1</w:t>
      </w:r>
    </w:p>
    <w:p>
      <w:pPr>
        <w:spacing w:before="8"/>
        <w:ind w:left="209" w:right="0" w:firstLine="0"/>
        <w:jc w:val="left"/>
        <w:rPr>
          <w:rFonts w:ascii="Trebuchet MS"/>
          <w:b/>
          <w:sz w:val="20"/>
        </w:rPr>
      </w:pPr>
      <w:r>
        <w:rPr>
          <w:rFonts w:ascii="Trebuchet MS"/>
          <w:b/>
          <w:color w:val="89C6DC"/>
          <w:w w:val="95"/>
          <w:sz w:val="20"/>
        </w:rPr>
        <w:t>Brent</w:t>
      </w:r>
      <w:r>
        <w:rPr>
          <w:rFonts w:ascii="Trebuchet MS"/>
          <w:b/>
          <w:color w:val="89C6DC"/>
          <w:spacing w:val="-35"/>
          <w:w w:val="95"/>
          <w:sz w:val="20"/>
        </w:rPr>
        <w:t> </w:t>
      </w:r>
      <w:r>
        <w:rPr>
          <w:rFonts w:ascii="Trebuchet MS"/>
          <w:b/>
          <w:color w:val="89C6DC"/>
          <w:w w:val="95"/>
          <w:sz w:val="20"/>
        </w:rPr>
        <w:t>oil</w:t>
      </w:r>
      <w:r>
        <w:rPr>
          <w:rFonts w:ascii="Trebuchet MS"/>
          <w:b/>
          <w:color w:val="89C6DC"/>
          <w:spacing w:val="-35"/>
          <w:w w:val="95"/>
          <w:sz w:val="20"/>
        </w:rPr>
        <w:t> </w:t>
      </w:r>
      <w:r>
        <w:rPr>
          <w:rFonts w:ascii="Trebuchet MS"/>
          <w:b/>
          <w:color w:val="89C6DC"/>
          <w:w w:val="95"/>
          <w:sz w:val="20"/>
        </w:rPr>
        <w:t>futures</w:t>
      </w:r>
    </w:p>
    <w:p>
      <w:pPr>
        <w:pStyle w:val="BodyText"/>
        <w:spacing w:before="7" w:after="40"/>
        <w:rPr>
          <w:rFonts w:ascii="Trebuchet MS"/>
          <w:b/>
          <w:sz w:val="14"/>
        </w:rPr>
      </w:pPr>
    </w:p>
    <w:p>
      <w:pPr>
        <w:pStyle w:val="BodyText"/>
        <w:spacing w:line="20" w:lineRule="exact"/>
        <w:ind w:left="185"/>
        <w:rPr>
          <w:rFonts w:ascii="Trebuchet MS"/>
          <w:sz w:val="2"/>
        </w:rPr>
      </w:pPr>
      <w:r>
        <w:rPr>
          <w:rFonts w:ascii="Trebuchet MS"/>
          <w:sz w:val="2"/>
        </w:rPr>
        <w:drawing>
          <wp:inline distT="0" distB="0" distL="0" distR="0">
            <wp:extent cx="55304" cy="6381"/>
            <wp:effectExtent l="0" t="0" r="0" b="0"/>
            <wp:docPr id="465" name="image8.png"/>
            <wp:cNvGraphicFramePr>
              <a:graphicFrameLocks noChangeAspect="1"/>
            </wp:cNvGraphicFramePr>
            <a:graphic>
              <a:graphicData uri="http://schemas.openxmlformats.org/drawingml/2006/picture">
                <pic:pic>
                  <pic:nvPicPr>
                    <pic:cNvPr id="466" name="image8.png"/>
                    <pic:cNvPicPr/>
                  </pic:nvPicPr>
                  <pic:blipFill>
                    <a:blip r:embed="rId29" cstate="print"/>
                    <a:stretch>
                      <a:fillRect/>
                    </a:stretch>
                  </pic:blipFill>
                  <pic:spPr>
                    <a:xfrm>
                      <a:off x="0" y="0"/>
                      <a:ext cx="55304" cy="6381"/>
                    </a:xfrm>
                    <a:prstGeom prst="rect">
                      <a:avLst/>
                    </a:prstGeom>
                  </pic:spPr>
                </pic:pic>
              </a:graphicData>
            </a:graphic>
          </wp:inline>
        </w:drawing>
      </w:r>
      <w:r>
        <w:rPr>
          <w:rFonts w:ascii="Trebuchet MS"/>
          <w:sz w:val="2"/>
        </w:rPr>
      </w:r>
    </w:p>
    <w:p>
      <w:pPr>
        <w:pStyle w:val="BodyText"/>
        <w:rPr>
          <w:rFonts w:ascii="Trebuchet MS"/>
          <w:b/>
        </w:rPr>
      </w:pPr>
    </w:p>
    <w:p>
      <w:pPr>
        <w:pStyle w:val="BodyText"/>
        <w:spacing w:before="3"/>
        <w:rPr>
          <w:rFonts w:ascii="Trebuchet MS"/>
          <w:b/>
          <w:sz w:val="10"/>
        </w:rPr>
      </w:pPr>
      <w:r>
        <w:rPr/>
        <w:drawing>
          <wp:anchor distT="0" distB="0" distL="0" distR="0" allowOverlap="1" layoutInCell="1" locked="0" behindDoc="0" simplePos="0" relativeHeight="996">
            <wp:simplePos x="0" y="0"/>
            <wp:positionH relativeFrom="page">
              <wp:posOffset>524116</wp:posOffset>
            </wp:positionH>
            <wp:positionV relativeFrom="paragraph">
              <wp:posOffset>100732</wp:posOffset>
            </wp:positionV>
            <wp:extent cx="55304" cy="6381"/>
            <wp:effectExtent l="0" t="0" r="0" b="0"/>
            <wp:wrapTopAndBottom/>
            <wp:docPr id="467" name="image8.png"/>
            <wp:cNvGraphicFramePr>
              <a:graphicFrameLocks noChangeAspect="1"/>
            </wp:cNvGraphicFramePr>
            <a:graphic>
              <a:graphicData uri="http://schemas.openxmlformats.org/drawingml/2006/picture">
                <pic:pic>
                  <pic:nvPicPr>
                    <pic:cNvPr id="468"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997">
            <wp:simplePos x="0" y="0"/>
            <wp:positionH relativeFrom="page">
              <wp:posOffset>524116</wp:posOffset>
            </wp:positionH>
            <wp:positionV relativeFrom="paragraph">
              <wp:posOffset>361641</wp:posOffset>
            </wp:positionV>
            <wp:extent cx="54478" cy="6286"/>
            <wp:effectExtent l="0" t="0" r="0" b="0"/>
            <wp:wrapTopAndBottom/>
            <wp:docPr id="469" name="image13.png"/>
            <wp:cNvGraphicFramePr>
              <a:graphicFrameLocks noChangeAspect="1"/>
            </wp:cNvGraphicFramePr>
            <a:graphic>
              <a:graphicData uri="http://schemas.openxmlformats.org/drawingml/2006/picture">
                <pic:pic>
                  <pic:nvPicPr>
                    <pic:cNvPr id="470"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998">
            <wp:simplePos x="0" y="0"/>
            <wp:positionH relativeFrom="page">
              <wp:posOffset>524116</wp:posOffset>
            </wp:positionH>
            <wp:positionV relativeFrom="paragraph">
              <wp:posOffset>622549</wp:posOffset>
            </wp:positionV>
            <wp:extent cx="54478" cy="6286"/>
            <wp:effectExtent l="0" t="0" r="0" b="0"/>
            <wp:wrapTopAndBottom/>
            <wp:docPr id="471" name="image13.png"/>
            <wp:cNvGraphicFramePr>
              <a:graphicFrameLocks noChangeAspect="1"/>
            </wp:cNvGraphicFramePr>
            <a:graphic>
              <a:graphicData uri="http://schemas.openxmlformats.org/drawingml/2006/picture">
                <pic:pic>
                  <pic:nvPicPr>
                    <pic:cNvPr id="472"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999">
            <wp:simplePos x="0" y="0"/>
            <wp:positionH relativeFrom="page">
              <wp:posOffset>524116</wp:posOffset>
            </wp:positionH>
            <wp:positionV relativeFrom="paragraph">
              <wp:posOffset>883458</wp:posOffset>
            </wp:positionV>
            <wp:extent cx="55304" cy="6381"/>
            <wp:effectExtent l="0" t="0" r="0" b="0"/>
            <wp:wrapTopAndBottom/>
            <wp:docPr id="473" name="image8.png"/>
            <wp:cNvGraphicFramePr>
              <a:graphicFrameLocks noChangeAspect="1"/>
            </wp:cNvGraphicFramePr>
            <a:graphic>
              <a:graphicData uri="http://schemas.openxmlformats.org/drawingml/2006/picture">
                <pic:pic>
                  <pic:nvPicPr>
                    <pic:cNvPr id="474"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000">
            <wp:simplePos x="0" y="0"/>
            <wp:positionH relativeFrom="page">
              <wp:posOffset>524116</wp:posOffset>
            </wp:positionH>
            <wp:positionV relativeFrom="paragraph">
              <wp:posOffset>1144367</wp:posOffset>
            </wp:positionV>
            <wp:extent cx="55304" cy="6381"/>
            <wp:effectExtent l="0" t="0" r="0" b="0"/>
            <wp:wrapTopAndBottom/>
            <wp:docPr id="475" name="image8.png"/>
            <wp:cNvGraphicFramePr>
              <a:graphicFrameLocks noChangeAspect="1"/>
            </wp:cNvGraphicFramePr>
            <a:graphic>
              <a:graphicData uri="http://schemas.openxmlformats.org/drawingml/2006/picture">
                <pic:pic>
                  <pic:nvPicPr>
                    <pic:cNvPr id="476" name="image8.png"/>
                    <pic:cNvPicPr/>
                  </pic:nvPicPr>
                  <pic:blipFill>
                    <a:blip r:embed="rId29" cstate="print"/>
                    <a:stretch>
                      <a:fillRect/>
                    </a:stretch>
                  </pic:blipFill>
                  <pic:spPr>
                    <a:xfrm>
                      <a:off x="0" y="0"/>
                      <a:ext cx="55304" cy="6381"/>
                    </a:xfrm>
                    <a:prstGeom prst="rect">
                      <a:avLst/>
                    </a:prstGeom>
                  </pic:spPr>
                </pic:pic>
              </a:graphicData>
            </a:graphic>
          </wp:anchor>
        </w:drawing>
      </w:r>
    </w:p>
    <w:p>
      <w:pPr>
        <w:pStyle w:val="BodyText"/>
        <w:spacing w:before="7"/>
        <w:rPr>
          <w:rFonts w:ascii="Trebuchet MS"/>
          <w:b/>
          <w:sz w:val="28"/>
        </w:rPr>
      </w:pPr>
    </w:p>
    <w:p>
      <w:pPr>
        <w:pStyle w:val="BodyText"/>
        <w:spacing w:before="7"/>
        <w:rPr>
          <w:rFonts w:ascii="Trebuchet MS"/>
          <w:b/>
          <w:sz w:val="28"/>
        </w:rPr>
      </w:pPr>
    </w:p>
    <w:p>
      <w:pPr>
        <w:pStyle w:val="BodyText"/>
        <w:spacing w:before="7"/>
        <w:rPr>
          <w:rFonts w:ascii="Trebuchet MS"/>
          <w:b/>
          <w:sz w:val="28"/>
        </w:rPr>
      </w:pPr>
    </w:p>
    <w:p>
      <w:pPr>
        <w:pStyle w:val="BodyText"/>
        <w:spacing w:before="7"/>
        <w:rPr>
          <w:rFonts w:ascii="Trebuchet MS"/>
          <w:b/>
          <w:sz w:val="28"/>
        </w:rPr>
      </w:pP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8"/>
        <w:rPr>
          <w:rFonts w:ascii="Trebuchet MS"/>
          <w:b/>
          <w:sz w:val="11"/>
        </w:rPr>
      </w:pPr>
    </w:p>
    <w:p>
      <w:pPr>
        <w:spacing w:line="114" w:lineRule="exact" w:before="0"/>
        <w:ind w:left="185" w:right="0" w:firstLine="0"/>
        <w:jc w:val="left"/>
        <w:rPr>
          <w:sz w:val="12"/>
        </w:rPr>
      </w:pPr>
      <w:r>
        <w:rPr>
          <w:w w:val="110"/>
          <w:sz w:val="12"/>
        </w:rPr>
        <w:t>$ per barr</w:t>
      </w:r>
      <w:r>
        <w:rPr>
          <w:w w:val="110"/>
          <w:sz w:val="12"/>
          <w:u w:val="single"/>
        </w:rPr>
        <w:t>e</w:t>
      </w:r>
      <w:r>
        <w:rPr>
          <w:w w:val="110"/>
          <w:sz w:val="12"/>
        </w:rPr>
        <w:t>l</w:t>
      </w:r>
    </w:p>
    <w:p>
      <w:pPr>
        <w:spacing w:line="114" w:lineRule="exact" w:before="0"/>
        <w:ind w:left="833" w:right="0" w:firstLine="0"/>
        <w:jc w:val="left"/>
        <w:rPr>
          <w:sz w:val="12"/>
        </w:rPr>
      </w:pPr>
      <w:r>
        <w:rPr>
          <w:w w:val="120"/>
          <w:sz w:val="12"/>
        </w:rPr>
        <w:t>40</w:t>
      </w:r>
    </w:p>
    <w:p>
      <w:pPr>
        <w:pStyle w:val="BodyText"/>
        <w:rPr>
          <w:sz w:val="12"/>
        </w:rPr>
      </w:pPr>
    </w:p>
    <w:p>
      <w:pPr>
        <w:pStyle w:val="BodyText"/>
        <w:spacing w:before="9"/>
        <w:rPr>
          <w:sz w:val="11"/>
        </w:rPr>
      </w:pPr>
    </w:p>
    <w:p>
      <w:pPr>
        <w:spacing w:before="0"/>
        <w:ind w:left="0" w:right="38" w:firstLine="0"/>
        <w:jc w:val="right"/>
        <w:rPr>
          <w:sz w:val="12"/>
        </w:rPr>
      </w:pPr>
      <w:r>
        <w:rPr/>
        <w:pict>
          <v:group style="position:absolute;margin-left:49.125pt;margin-top:9.673016pt;width:152pt;height:96.65pt;mso-position-horizontal-relative:page;mso-position-vertical-relative:paragraph;z-index:16243712" coordorigin="983,193" coordsize="3040,1933">
            <v:shape style="position:absolute;left:982;top:193;width:3040;height:1933" type="#_x0000_t75" stroked="false">
              <v:imagedata r:id="rId132" o:title=""/>
            </v:shape>
            <v:shape style="position:absolute;left:3309;top:439;width:564;height:241" type="#_x0000_t202" filled="false" stroked="false">
              <v:textbox inset="0,0,0,0">
                <w:txbxContent>
                  <w:p>
                    <w:pPr>
                      <w:spacing w:line="107" w:lineRule="exact" w:before="0"/>
                      <w:ind w:left="0" w:right="0" w:firstLine="0"/>
                      <w:jc w:val="left"/>
                      <w:rPr>
                        <w:sz w:val="12"/>
                      </w:rPr>
                    </w:pPr>
                    <w:r>
                      <w:rPr>
                        <w:w w:val="105"/>
                        <w:sz w:val="12"/>
                      </w:rPr>
                      <w:t>November</w:t>
                    </w:r>
                  </w:p>
                  <w:p>
                    <w:pPr>
                      <w:spacing w:line="129" w:lineRule="exact" w:before="0"/>
                      <w:ind w:left="60" w:right="0" w:firstLine="0"/>
                      <w:jc w:val="left"/>
                      <w:rPr>
                        <w:sz w:val="12"/>
                      </w:rPr>
                    </w:pPr>
                    <w:r>
                      <w:rPr>
                        <w:i/>
                        <w:sz w:val="12"/>
                      </w:rPr>
                      <w:t>Report</w:t>
                    </w:r>
                    <w:r>
                      <w:rPr>
                        <w:i/>
                        <w:spacing w:val="-8"/>
                        <w:sz w:val="12"/>
                      </w:rPr>
                      <w:t> </w:t>
                    </w:r>
                    <w:r>
                      <w:rPr>
                        <w:sz w:val="12"/>
                      </w:rPr>
                      <w:t>(a)</w:t>
                    </w:r>
                  </w:p>
                </w:txbxContent>
              </v:textbox>
              <w10:wrap type="none"/>
            </v:shape>
            <v:shape style="position:absolute;left:1987;top:945;width:403;height:121" type="#_x0000_t202" filled="false" stroked="false">
              <v:textbox inset="0,0,0,0">
                <w:txbxContent>
                  <w:p>
                    <w:pPr>
                      <w:spacing w:line="116" w:lineRule="exact" w:before="0"/>
                      <w:ind w:left="0" w:right="0" w:firstLine="0"/>
                      <w:jc w:val="left"/>
                      <w:rPr>
                        <w:sz w:val="12"/>
                      </w:rPr>
                    </w:pPr>
                    <w:r>
                      <w:rPr>
                        <w:w w:val="105"/>
                        <w:sz w:val="12"/>
                      </w:rPr>
                      <w:t>History</w:t>
                    </w:r>
                  </w:p>
                </w:txbxContent>
              </v:textbox>
              <w10:wrap type="none"/>
            </v:shape>
            <v:shape style="position:absolute;left:2941;top:1320;width:564;height:241" type="#_x0000_t202" filled="false" stroked="false">
              <v:textbox inset="0,0,0,0">
                <w:txbxContent>
                  <w:p>
                    <w:pPr>
                      <w:spacing w:line="107" w:lineRule="exact" w:before="0"/>
                      <w:ind w:left="0" w:right="0" w:firstLine="0"/>
                      <w:jc w:val="left"/>
                      <w:rPr>
                        <w:sz w:val="12"/>
                      </w:rPr>
                    </w:pPr>
                    <w:r>
                      <w:rPr>
                        <w:w w:val="105"/>
                        <w:sz w:val="12"/>
                      </w:rPr>
                      <w:t>August</w:t>
                    </w:r>
                  </w:p>
                  <w:p>
                    <w:pPr>
                      <w:spacing w:line="129" w:lineRule="exact" w:before="0"/>
                      <w:ind w:left="60" w:right="0" w:firstLine="0"/>
                      <w:jc w:val="left"/>
                      <w:rPr>
                        <w:sz w:val="12"/>
                      </w:rPr>
                    </w:pPr>
                    <w:r>
                      <w:rPr>
                        <w:i/>
                        <w:sz w:val="12"/>
                      </w:rPr>
                      <w:t>Report </w:t>
                    </w:r>
                    <w:r>
                      <w:rPr>
                        <w:sz w:val="12"/>
                      </w:rPr>
                      <w:t>(a)</w:t>
                    </w:r>
                  </w:p>
                </w:txbxContent>
              </v:textbox>
              <w10:wrap type="none"/>
            </v:shape>
            <v:shape style="position:absolute;left:2850;top:1965;width:1042;height:121" type="#_x0000_t202" filled="false" stroked="false">
              <v:textbox inset="0,0,0,0">
                <w:txbxContent>
                  <w:p>
                    <w:pPr>
                      <w:spacing w:line="116" w:lineRule="exact" w:before="0"/>
                      <w:ind w:left="0" w:right="0" w:firstLine="0"/>
                      <w:jc w:val="left"/>
                      <w:rPr>
                        <w:sz w:val="12"/>
                      </w:rPr>
                    </w:pPr>
                    <w:r>
                      <w:rPr>
                        <w:w w:val="115"/>
                        <w:sz w:val="12"/>
                      </w:rPr>
                      <w:t>7</w:t>
                    </w:r>
                    <w:r>
                      <w:rPr>
                        <w:spacing w:val="-18"/>
                        <w:w w:val="115"/>
                        <w:sz w:val="12"/>
                      </w:rPr>
                      <w:t> </w:t>
                    </w:r>
                    <w:r>
                      <w:rPr>
                        <w:w w:val="115"/>
                        <w:sz w:val="12"/>
                      </w:rPr>
                      <w:t>February</w:t>
                    </w:r>
                    <w:r>
                      <w:rPr>
                        <w:spacing w:val="-18"/>
                        <w:w w:val="115"/>
                        <w:sz w:val="12"/>
                      </w:rPr>
                      <w:t> </w:t>
                    </w:r>
                    <w:r>
                      <w:rPr>
                        <w:w w:val="115"/>
                        <w:sz w:val="12"/>
                      </w:rPr>
                      <w:t>2001(a)</w:t>
                    </w:r>
                  </w:p>
                </w:txbxContent>
              </v:textbox>
              <w10:wrap type="none"/>
            </v:shape>
            <w10:wrap type="none"/>
          </v:group>
        </w:pict>
      </w:r>
      <w:r>
        <w:rPr/>
        <w:drawing>
          <wp:anchor distT="0" distB="0" distL="0" distR="0" allowOverlap="1" layoutInCell="1" locked="0" behindDoc="0" simplePos="0" relativeHeight="16244736">
            <wp:simplePos x="0" y="0"/>
            <wp:positionH relativeFrom="page">
              <wp:posOffset>2498801</wp:posOffset>
            </wp:positionH>
            <wp:positionV relativeFrom="paragraph">
              <wp:posOffset>38963</wp:posOffset>
            </wp:positionV>
            <wp:extent cx="55041" cy="6350"/>
            <wp:effectExtent l="0" t="0" r="0" b="0"/>
            <wp:wrapNone/>
            <wp:docPr id="477" name="image10.png"/>
            <wp:cNvGraphicFramePr>
              <a:graphicFrameLocks noChangeAspect="1"/>
            </wp:cNvGraphicFramePr>
            <a:graphic>
              <a:graphicData uri="http://schemas.openxmlformats.org/drawingml/2006/picture">
                <pic:pic>
                  <pic:nvPicPr>
                    <pic:cNvPr id="478" name="image10.png"/>
                    <pic:cNvPicPr/>
                  </pic:nvPicPr>
                  <pic:blipFill>
                    <a:blip r:embed="rId31" cstate="print"/>
                    <a:stretch>
                      <a:fillRect/>
                    </a:stretch>
                  </pic:blipFill>
                  <pic:spPr>
                    <a:xfrm>
                      <a:off x="0" y="0"/>
                      <a:ext cx="55041" cy="6350"/>
                    </a:xfrm>
                    <a:prstGeom prst="rect">
                      <a:avLst/>
                    </a:prstGeom>
                  </pic:spPr>
                </pic:pic>
              </a:graphicData>
            </a:graphic>
          </wp:anchor>
        </w:drawing>
      </w:r>
      <w:r>
        <w:rPr>
          <w:w w:val="120"/>
          <w:sz w:val="12"/>
        </w:rPr>
        <w:t>35</w:t>
      </w:r>
    </w:p>
    <w:p>
      <w:pPr>
        <w:pStyle w:val="BodyText"/>
        <w:rPr>
          <w:sz w:val="12"/>
        </w:rPr>
      </w:pPr>
    </w:p>
    <w:p>
      <w:pPr>
        <w:pStyle w:val="BodyText"/>
        <w:spacing w:before="8"/>
        <w:rPr>
          <w:sz w:val="11"/>
        </w:rPr>
      </w:pPr>
    </w:p>
    <w:p>
      <w:pPr>
        <w:spacing w:before="0"/>
        <w:ind w:left="0" w:right="38" w:firstLine="0"/>
        <w:jc w:val="right"/>
        <w:rPr>
          <w:sz w:val="12"/>
        </w:rPr>
      </w:pPr>
      <w:r>
        <w:rPr>
          <w:w w:val="120"/>
          <w:sz w:val="12"/>
        </w:rPr>
        <w:t>30</w:t>
      </w:r>
    </w:p>
    <w:p>
      <w:pPr>
        <w:pStyle w:val="BodyText"/>
        <w:rPr>
          <w:sz w:val="12"/>
        </w:rPr>
      </w:pPr>
    </w:p>
    <w:p>
      <w:pPr>
        <w:pStyle w:val="BodyText"/>
        <w:spacing w:before="9"/>
        <w:rPr>
          <w:sz w:val="11"/>
        </w:rPr>
      </w:pPr>
    </w:p>
    <w:p>
      <w:pPr>
        <w:spacing w:before="0"/>
        <w:ind w:left="0" w:right="38" w:firstLine="0"/>
        <w:jc w:val="right"/>
        <w:rPr>
          <w:sz w:val="12"/>
        </w:rPr>
      </w:pPr>
      <w:r>
        <w:rPr>
          <w:w w:val="120"/>
          <w:sz w:val="12"/>
        </w:rPr>
        <w:t>25</w:t>
      </w:r>
    </w:p>
    <w:p>
      <w:pPr>
        <w:pStyle w:val="BodyText"/>
        <w:rPr>
          <w:sz w:val="12"/>
        </w:rPr>
      </w:pPr>
    </w:p>
    <w:p>
      <w:pPr>
        <w:pStyle w:val="BodyText"/>
        <w:spacing w:before="8"/>
        <w:rPr>
          <w:sz w:val="11"/>
        </w:rPr>
      </w:pPr>
    </w:p>
    <w:p>
      <w:pPr>
        <w:spacing w:before="1"/>
        <w:ind w:left="0" w:right="38" w:firstLine="0"/>
        <w:jc w:val="right"/>
        <w:rPr>
          <w:sz w:val="12"/>
        </w:rPr>
      </w:pPr>
      <w:r>
        <w:rPr>
          <w:w w:val="120"/>
          <w:sz w:val="12"/>
        </w:rPr>
        <w:t>20</w:t>
      </w:r>
    </w:p>
    <w:p>
      <w:pPr>
        <w:pStyle w:val="BodyText"/>
        <w:rPr>
          <w:sz w:val="12"/>
        </w:rPr>
      </w:pPr>
    </w:p>
    <w:p>
      <w:pPr>
        <w:pStyle w:val="BodyText"/>
        <w:spacing w:before="8"/>
        <w:rPr>
          <w:sz w:val="11"/>
        </w:rPr>
      </w:pPr>
    </w:p>
    <w:p>
      <w:pPr>
        <w:spacing w:before="0"/>
        <w:ind w:left="0" w:right="38" w:firstLine="0"/>
        <w:jc w:val="right"/>
        <w:rPr>
          <w:sz w:val="12"/>
        </w:rPr>
      </w:pPr>
      <w:r>
        <w:rPr>
          <w:w w:val="120"/>
          <w:sz w:val="12"/>
        </w:rPr>
        <w:t>15</w:t>
      </w:r>
    </w:p>
    <w:p>
      <w:pPr>
        <w:pStyle w:val="BodyText"/>
        <w:spacing w:line="292" w:lineRule="auto" w:before="63"/>
        <w:ind w:left="185" w:right="106"/>
      </w:pPr>
      <w:r>
        <w:rPr/>
        <w:br w:type="column"/>
      </w:r>
      <w:r>
        <w:rPr>
          <w:w w:val="110"/>
        </w:rPr>
        <w:t>The</w:t>
      </w:r>
      <w:r>
        <w:rPr>
          <w:spacing w:val="-15"/>
          <w:w w:val="110"/>
        </w:rPr>
        <w:t> </w:t>
      </w:r>
      <w:r>
        <w:rPr>
          <w:w w:val="110"/>
        </w:rPr>
        <w:t>prices</w:t>
      </w:r>
      <w:r>
        <w:rPr>
          <w:spacing w:val="-15"/>
          <w:w w:val="110"/>
        </w:rPr>
        <w:t> </w:t>
      </w:r>
      <w:r>
        <w:rPr>
          <w:w w:val="110"/>
        </w:rPr>
        <w:t>of</w:t>
      </w:r>
      <w:r>
        <w:rPr>
          <w:spacing w:val="-15"/>
          <w:w w:val="110"/>
        </w:rPr>
        <w:t> </w:t>
      </w:r>
      <w:r>
        <w:rPr>
          <w:w w:val="110"/>
        </w:rPr>
        <w:t>oil</w:t>
      </w:r>
      <w:r>
        <w:rPr>
          <w:spacing w:val="-15"/>
          <w:w w:val="110"/>
        </w:rPr>
        <w:t> </w:t>
      </w:r>
      <w:r>
        <w:rPr>
          <w:w w:val="110"/>
        </w:rPr>
        <w:t>and</w:t>
      </w:r>
      <w:r>
        <w:rPr>
          <w:spacing w:val="-14"/>
          <w:w w:val="110"/>
        </w:rPr>
        <w:t> </w:t>
      </w:r>
      <w:r>
        <w:rPr>
          <w:w w:val="110"/>
        </w:rPr>
        <w:t>other</w:t>
      </w:r>
      <w:r>
        <w:rPr>
          <w:spacing w:val="-15"/>
          <w:w w:val="110"/>
        </w:rPr>
        <w:t> </w:t>
      </w:r>
      <w:r>
        <w:rPr>
          <w:w w:val="110"/>
        </w:rPr>
        <w:t>commodities</w:t>
      </w:r>
      <w:r>
        <w:rPr>
          <w:spacing w:val="-15"/>
          <w:w w:val="110"/>
        </w:rPr>
        <w:t> </w:t>
      </w:r>
      <w:r>
        <w:rPr>
          <w:w w:val="110"/>
        </w:rPr>
        <w:t>have</w:t>
      </w:r>
      <w:r>
        <w:rPr>
          <w:spacing w:val="-15"/>
          <w:w w:val="110"/>
        </w:rPr>
        <w:t> </w:t>
      </w:r>
      <w:r>
        <w:rPr>
          <w:w w:val="110"/>
        </w:rPr>
        <w:t>fallen</w:t>
      </w:r>
      <w:r>
        <w:rPr>
          <w:spacing w:val="-15"/>
          <w:w w:val="110"/>
        </w:rPr>
        <w:t> </w:t>
      </w:r>
      <w:r>
        <w:rPr>
          <w:w w:val="110"/>
        </w:rPr>
        <w:t>in</w:t>
      </w:r>
      <w:r>
        <w:rPr>
          <w:spacing w:val="-14"/>
          <w:w w:val="110"/>
        </w:rPr>
        <w:t> </w:t>
      </w:r>
      <w:r>
        <w:rPr>
          <w:w w:val="110"/>
        </w:rPr>
        <w:t>recent months. This, together with continuing </w:t>
      </w:r>
      <w:r>
        <w:rPr>
          <w:spacing w:val="-3"/>
          <w:w w:val="110"/>
        </w:rPr>
        <w:t>moderate </w:t>
      </w:r>
      <w:r>
        <w:rPr>
          <w:w w:val="110"/>
        </w:rPr>
        <w:t>unit wage cost growth, has reduced cost </w:t>
      </w:r>
      <w:r>
        <w:rPr>
          <w:spacing w:val="-3"/>
          <w:w w:val="110"/>
        </w:rPr>
        <w:t>pressures, </w:t>
      </w:r>
      <w:r>
        <w:rPr>
          <w:w w:val="110"/>
        </w:rPr>
        <w:t>although these remain relatively high in the service </w:t>
      </w:r>
      <w:r>
        <w:rPr>
          <w:spacing w:val="-4"/>
          <w:w w:val="110"/>
        </w:rPr>
        <w:t>sector. </w:t>
      </w:r>
      <w:r>
        <w:rPr>
          <w:w w:val="110"/>
        </w:rPr>
        <w:t>Manufacturing output</w:t>
      </w:r>
      <w:r>
        <w:rPr>
          <w:spacing w:val="-16"/>
          <w:w w:val="110"/>
        </w:rPr>
        <w:t> </w:t>
      </w:r>
      <w:r>
        <w:rPr>
          <w:w w:val="110"/>
        </w:rPr>
        <w:t>price</w:t>
      </w:r>
      <w:r>
        <w:rPr>
          <w:spacing w:val="-16"/>
          <w:w w:val="110"/>
        </w:rPr>
        <w:t> </w:t>
      </w:r>
      <w:r>
        <w:rPr>
          <w:w w:val="110"/>
        </w:rPr>
        <w:t>inflation</w:t>
      </w:r>
      <w:r>
        <w:rPr>
          <w:spacing w:val="-16"/>
          <w:w w:val="110"/>
        </w:rPr>
        <w:t> </w:t>
      </w:r>
      <w:r>
        <w:rPr>
          <w:w w:val="110"/>
        </w:rPr>
        <w:t>has</w:t>
      </w:r>
      <w:r>
        <w:rPr>
          <w:spacing w:val="-16"/>
          <w:w w:val="110"/>
        </w:rPr>
        <w:t> </w:t>
      </w:r>
      <w:r>
        <w:rPr>
          <w:w w:val="110"/>
        </w:rPr>
        <w:t>fallen</w:t>
      </w:r>
      <w:r>
        <w:rPr>
          <w:spacing w:val="-15"/>
          <w:w w:val="110"/>
        </w:rPr>
        <w:t> </w:t>
      </w:r>
      <w:r>
        <w:rPr>
          <w:spacing w:val="-3"/>
          <w:w w:val="110"/>
        </w:rPr>
        <w:t>slightly,</w:t>
      </w:r>
      <w:r>
        <w:rPr>
          <w:spacing w:val="-16"/>
          <w:w w:val="110"/>
        </w:rPr>
        <w:t> </w:t>
      </w:r>
      <w:r>
        <w:rPr>
          <w:w w:val="110"/>
        </w:rPr>
        <w:t>but</w:t>
      </w:r>
      <w:r>
        <w:rPr>
          <w:spacing w:val="-16"/>
          <w:w w:val="110"/>
        </w:rPr>
        <w:t> </w:t>
      </w:r>
      <w:r>
        <w:rPr>
          <w:spacing w:val="-3"/>
          <w:w w:val="110"/>
        </w:rPr>
        <w:t>surveys</w:t>
      </w:r>
      <w:r>
        <w:rPr>
          <w:spacing w:val="-16"/>
          <w:w w:val="110"/>
        </w:rPr>
        <w:t> </w:t>
      </w:r>
      <w:r>
        <w:rPr>
          <w:w w:val="110"/>
        </w:rPr>
        <w:t>report</w:t>
      </w:r>
      <w:r>
        <w:rPr>
          <w:spacing w:val="-16"/>
          <w:w w:val="110"/>
        </w:rPr>
        <w:t> </w:t>
      </w:r>
      <w:r>
        <w:rPr>
          <w:w w:val="110"/>
        </w:rPr>
        <w:t>an increase in the proportion of firms expecting </w:t>
      </w:r>
      <w:r>
        <w:rPr>
          <w:spacing w:val="-4"/>
          <w:w w:val="110"/>
        </w:rPr>
        <w:t>to </w:t>
      </w:r>
      <w:r>
        <w:rPr>
          <w:w w:val="110"/>
        </w:rPr>
        <w:t>raise prices. Service</w:t>
      </w:r>
      <w:r>
        <w:rPr>
          <w:spacing w:val="-13"/>
          <w:w w:val="110"/>
        </w:rPr>
        <w:t> </w:t>
      </w:r>
      <w:r>
        <w:rPr>
          <w:w w:val="110"/>
        </w:rPr>
        <w:t>sector</w:t>
      </w:r>
      <w:r>
        <w:rPr>
          <w:spacing w:val="-12"/>
          <w:w w:val="110"/>
        </w:rPr>
        <w:t> </w:t>
      </w:r>
      <w:r>
        <w:rPr>
          <w:w w:val="110"/>
        </w:rPr>
        <w:t>output</w:t>
      </w:r>
      <w:r>
        <w:rPr>
          <w:spacing w:val="-12"/>
          <w:w w:val="110"/>
        </w:rPr>
        <w:t> </w:t>
      </w:r>
      <w:r>
        <w:rPr>
          <w:w w:val="110"/>
        </w:rPr>
        <w:t>price</w:t>
      </w:r>
      <w:r>
        <w:rPr>
          <w:spacing w:val="-12"/>
          <w:w w:val="110"/>
        </w:rPr>
        <w:t> </w:t>
      </w:r>
      <w:r>
        <w:rPr>
          <w:w w:val="110"/>
        </w:rPr>
        <w:t>inflation</w:t>
      </w:r>
      <w:r>
        <w:rPr>
          <w:spacing w:val="-12"/>
          <w:w w:val="110"/>
        </w:rPr>
        <w:t> </w:t>
      </w:r>
      <w:r>
        <w:rPr>
          <w:w w:val="110"/>
        </w:rPr>
        <w:t>has</w:t>
      </w:r>
      <w:r>
        <w:rPr>
          <w:spacing w:val="-12"/>
          <w:w w:val="110"/>
        </w:rPr>
        <w:t> </w:t>
      </w:r>
      <w:r>
        <w:rPr>
          <w:w w:val="110"/>
        </w:rPr>
        <w:t>edged</w:t>
      </w:r>
      <w:r>
        <w:rPr>
          <w:spacing w:val="-12"/>
          <w:w w:val="110"/>
        </w:rPr>
        <w:t> </w:t>
      </w:r>
      <w:r>
        <w:rPr>
          <w:w w:val="110"/>
        </w:rPr>
        <w:t>up</w:t>
      </w:r>
      <w:r>
        <w:rPr>
          <w:spacing w:val="-12"/>
          <w:w w:val="110"/>
        </w:rPr>
        <w:t> </w:t>
      </w:r>
      <w:r>
        <w:rPr>
          <w:w w:val="110"/>
        </w:rPr>
        <w:t>and</w:t>
      </w:r>
      <w:r>
        <w:rPr>
          <w:spacing w:val="-12"/>
          <w:w w:val="110"/>
        </w:rPr>
        <w:t> </w:t>
      </w:r>
      <w:r>
        <w:rPr>
          <w:w w:val="110"/>
        </w:rPr>
        <w:t>some, but</w:t>
      </w:r>
      <w:r>
        <w:rPr>
          <w:spacing w:val="-12"/>
          <w:w w:val="110"/>
        </w:rPr>
        <w:t> </w:t>
      </w:r>
      <w:r>
        <w:rPr>
          <w:w w:val="110"/>
        </w:rPr>
        <w:t>not</w:t>
      </w:r>
      <w:r>
        <w:rPr>
          <w:spacing w:val="-12"/>
          <w:w w:val="110"/>
        </w:rPr>
        <w:t> </w:t>
      </w:r>
      <w:r>
        <w:rPr>
          <w:w w:val="110"/>
        </w:rPr>
        <w:t>all,</w:t>
      </w:r>
      <w:r>
        <w:rPr>
          <w:spacing w:val="-11"/>
          <w:w w:val="110"/>
        </w:rPr>
        <w:t> </w:t>
      </w:r>
      <w:r>
        <w:rPr>
          <w:spacing w:val="-3"/>
          <w:w w:val="110"/>
        </w:rPr>
        <w:t>surveys</w:t>
      </w:r>
      <w:r>
        <w:rPr>
          <w:spacing w:val="-12"/>
          <w:w w:val="110"/>
        </w:rPr>
        <w:t> </w:t>
      </w:r>
      <w:r>
        <w:rPr>
          <w:w w:val="110"/>
        </w:rPr>
        <w:t>indicate</w:t>
      </w:r>
      <w:r>
        <w:rPr>
          <w:spacing w:val="-11"/>
          <w:w w:val="110"/>
        </w:rPr>
        <w:t> </w:t>
      </w:r>
      <w:r>
        <w:rPr>
          <w:w w:val="110"/>
        </w:rPr>
        <w:t>further</w:t>
      </w:r>
      <w:r>
        <w:rPr>
          <w:spacing w:val="-12"/>
          <w:w w:val="110"/>
        </w:rPr>
        <w:t> </w:t>
      </w:r>
      <w:r>
        <w:rPr>
          <w:w w:val="110"/>
        </w:rPr>
        <w:t>prospective</w:t>
      </w:r>
      <w:r>
        <w:rPr>
          <w:spacing w:val="-11"/>
          <w:w w:val="110"/>
        </w:rPr>
        <w:t> </w:t>
      </w:r>
      <w:r>
        <w:rPr>
          <w:spacing w:val="-3"/>
          <w:w w:val="110"/>
        </w:rPr>
        <w:t>pressures.</w:t>
      </w:r>
    </w:p>
    <w:p>
      <w:pPr>
        <w:pStyle w:val="BodyText"/>
        <w:spacing w:line="292" w:lineRule="auto"/>
        <w:ind w:left="185" w:right="374"/>
      </w:pPr>
      <w:r>
        <w:rPr>
          <w:spacing w:val="-3"/>
          <w:w w:val="110"/>
        </w:rPr>
        <w:t>Several</w:t>
      </w:r>
      <w:r>
        <w:rPr>
          <w:spacing w:val="-24"/>
          <w:w w:val="110"/>
        </w:rPr>
        <w:t> </w:t>
      </w:r>
      <w:r>
        <w:rPr>
          <w:spacing w:val="-3"/>
          <w:w w:val="110"/>
        </w:rPr>
        <w:t>surveys</w:t>
      </w:r>
      <w:r>
        <w:rPr>
          <w:spacing w:val="-23"/>
          <w:w w:val="110"/>
        </w:rPr>
        <w:t> </w:t>
      </w:r>
      <w:r>
        <w:rPr>
          <w:w w:val="110"/>
        </w:rPr>
        <w:t>and</w:t>
      </w:r>
      <w:r>
        <w:rPr>
          <w:spacing w:val="-23"/>
          <w:w w:val="110"/>
        </w:rPr>
        <w:t> </w:t>
      </w:r>
      <w:r>
        <w:rPr>
          <w:w w:val="110"/>
        </w:rPr>
        <w:t>contacts</w:t>
      </w:r>
      <w:r>
        <w:rPr>
          <w:spacing w:val="-23"/>
          <w:w w:val="110"/>
        </w:rPr>
        <w:t> </w:t>
      </w:r>
      <w:r>
        <w:rPr>
          <w:w w:val="110"/>
        </w:rPr>
        <w:t>of</w:t>
      </w:r>
      <w:r>
        <w:rPr>
          <w:spacing w:val="-23"/>
          <w:w w:val="110"/>
        </w:rPr>
        <w:t> </w:t>
      </w:r>
      <w:r>
        <w:rPr>
          <w:w w:val="110"/>
        </w:rPr>
        <w:t>the</w:t>
      </w:r>
      <w:r>
        <w:rPr>
          <w:spacing w:val="-24"/>
          <w:w w:val="110"/>
        </w:rPr>
        <w:t> </w:t>
      </w:r>
      <w:r>
        <w:rPr>
          <w:spacing w:val="-3"/>
          <w:w w:val="110"/>
        </w:rPr>
        <w:t>Bank’s</w:t>
      </w:r>
      <w:r>
        <w:rPr>
          <w:spacing w:val="-23"/>
          <w:w w:val="110"/>
        </w:rPr>
        <w:t> </w:t>
      </w:r>
      <w:r>
        <w:rPr>
          <w:w w:val="110"/>
        </w:rPr>
        <w:t>regional</w:t>
      </w:r>
      <w:r>
        <w:rPr>
          <w:spacing w:val="-23"/>
          <w:w w:val="110"/>
        </w:rPr>
        <w:t> </w:t>
      </w:r>
      <w:r>
        <w:rPr>
          <w:w w:val="110"/>
        </w:rPr>
        <w:t>Agents provide</w:t>
      </w:r>
      <w:r>
        <w:rPr>
          <w:spacing w:val="-16"/>
          <w:w w:val="110"/>
        </w:rPr>
        <w:t> </w:t>
      </w:r>
      <w:r>
        <w:rPr>
          <w:w w:val="110"/>
        </w:rPr>
        <w:t>some</w:t>
      </w:r>
      <w:r>
        <w:rPr>
          <w:spacing w:val="-16"/>
          <w:w w:val="110"/>
        </w:rPr>
        <w:t> </w:t>
      </w:r>
      <w:r>
        <w:rPr>
          <w:w w:val="110"/>
        </w:rPr>
        <w:t>evidence</w:t>
      </w:r>
      <w:r>
        <w:rPr>
          <w:spacing w:val="-16"/>
          <w:w w:val="110"/>
        </w:rPr>
        <w:t> </w:t>
      </w:r>
      <w:r>
        <w:rPr>
          <w:w w:val="110"/>
        </w:rPr>
        <w:t>that</w:t>
      </w:r>
      <w:r>
        <w:rPr>
          <w:spacing w:val="-15"/>
          <w:w w:val="110"/>
        </w:rPr>
        <w:t> </w:t>
      </w:r>
      <w:r>
        <w:rPr>
          <w:w w:val="110"/>
        </w:rPr>
        <w:t>the</w:t>
      </w:r>
      <w:r>
        <w:rPr>
          <w:spacing w:val="-16"/>
          <w:w w:val="110"/>
        </w:rPr>
        <w:t> </w:t>
      </w:r>
      <w:r>
        <w:rPr>
          <w:spacing w:val="-3"/>
          <w:w w:val="110"/>
        </w:rPr>
        <w:t>downward</w:t>
      </w:r>
      <w:r>
        <w:rPr>
          <w:spacing w:val="-16"/>
          <w:w w:val="110"/>
        </w:rPr>
        <w:t> </w:t>
      </w:r>
      <w:r>
        <w:rPr>
          <w:spacing w:val="-3"/>
          <w:w w:val="110"/>
        </w:rPr>
        <w:t>pressure</w:t>
      </w:r>
      <w:r>
        <w:rPr>
          <w:spacing w:val="-16"/>
          <w:w w:val="110"/>
        </w:rPr>
        <w:t> </w:t>
      </w:r>
      <w:r>
        <w:rPr>
          <w:w w:val="110"/>
        </w:rPr>
        <w:t>on</w:t>
      </w:r>
      <w:r>
        <w:rPr>
          <w:spacing w:val="-15"/>
          <w:w w:val="110"/>
        </w:rPr>
        <w:t> </w:t>
      </w:r>
      <w:r>
        <w:rPr>
          <w:spacing w:val="-3"/>
          <w:w w:val="110"/>
        </w:rPr>
        <w:t>retail </w:t>
      </w:r>
      <w:r>
        <w:rPr>
          <w:w w:val="110"/>
        </w:rPr>
        <w:t>goods</w:t>
      </w:r>
      <w:r>
        <w:rPr>
          <w:spacing w:val="-38"/>
          <w:w w:val="110"/>
        </w:rPr>
        <w:t> </w:t>
      </w:r>
      <w:r>
        <w:rPr>
          <w:w w:val="110"/>
        </w:rPr>
        <w:t>prices</w:t>
      </w:r>
      <w:r>
        <w:rPr>
          <w:spacing w:val="-37"/>
          <w:w w:val="110"/>
        </w:rPr>
        <w:t> </w:t>
      </w:r>
      <w:r>
        <w:rPr>
          <w:w w:val="110"/>
        </w:rPr>
        <w:t>is</w:t>
      </w:r>
      <w:r>
        <w:rPr>
          <w:spacing w:val="-37"/>
          <w:w w:val="110"/>
        </w:rPr>
        <w:t> </w:t>
      </w:r>
      <w:r>
        <w:rPr>
          <w:w w:val="110"/>
        </w:rPr>
        <w:t>lessening.</w:t>
      </w:r>
      <w:r>
        <w:rPr>
          <w:spacing w:val="-19"/>
          <w:w w:val="110"/>
        </w:rPr>
        <w:t> </w:t>
      </w:r>
      <w:r>
        <w:rPr>
          <w:spacing w:val="-4"/>
          <w:w w:val="110"/>
        </w:rPr>
        <w:t>However,</w:t>
      </w:r>
      <w:r>
        <w:rPr>
          <w:spacing w:val="-37"/>
          <w:w w:val="110"/>
        </w:rPr>
        <w:t> </w:t>
      </w:r>
      <w:r>
        <w:rPr>
          <w:w w:val="110"/>
        </w:rPr>
        <w:t>RPIX</w:t>
      </w:r>
      <w:r>
        <w:rPr>
          <w:spacing w:val="-38"/>
          <w:w w:val="110"/>
        </w:rPr>
        <w:t> </w:t>
      </w:r>
      <w:r>
        <w:rPr>
          <w:w w:val="110"/>
        </w:rPr>
        <w:t>inflation</w:t>
      </w:r>
      <w:r>
        <w:rPr>
          <w:spacing w:val="-37"/>
          <w:w w:val="110"/>
        </w:rPr>
        <w:t> </w:t>
      </w:r>
      <w:r>
        <w:rPr>
          <w:spacing w:val="-3"/>
          <w:w w:val="110"/>
        </w:rPr>
        <w:t>was</w:t>
      </w:r>
      <w:r>
        <w:rPr>
          <w:spacing w:val="-37"/>
          <w:w w:val="110"/>
        </w:rPr>
        <w:t> </w:t>
      </w:r>
      <w:r>
        <w:rPr>
          <w:spacing w:val="-3"/>
          <w:w w:val="110"/>
        </w:rPr>
        <w:t>lower </w:t>
      </w:r>
      <w:r>
        <w:rPr>
          <w:w w:val="110"/>
        </w:rPr>
        <w:t>than </w:t>
      </w:r>
      <w:r>
        <w:rPr>
          <w:spacing w:val="-3"/>
          <w:w w:val="110"/>
        </w:rPr>
        <w:t>expected </w:t>
      </w:r>
      <w:r>
        <w:rPr>
          <w:w w:val="110"/>
        </w:rPr>
        <w:t>in </w:t>
      </w:r>
      <w:r>
        <w:rPr>
          <w:spacing w:val="-4"/>
          <w:w w:val="110"/>
        </w:rPr>
        <w:t>2000 </w:t>
      </w:r>
      <w:r>
        <w:rPr>
          <w:w w:val="110"/>
        </w:rPr>
        <w:t>Q4, only partly</w:t>
      </w:r>
      <w:r>
        <w:rPr>
          <w:spacing w:val="-36"/>
          <w:w w:val="110"/>
        </w:rPr>
        <w:t> </w:t>
      </w:r>
      <w:r>
        <w:rPr>
          <w:w w:val="110"/>
        </w:rPr>
        <w:t>reflecting</w:t>
      </w:r>
    </w:p>
    <w:p>
      <w:pPr>
        <w:pStyle w:val="BodyText"/>
        <w:spacing w:line="292" w:lineRule="auto"/>
        <w:ind w:left="185" w:right="334"/>
      </w:pPr>
      <w:r>
        <w:rPr>
          <w:spacing w:val="-3"/>
          <w:w w:val="110"/>
        </w:rPr>
        <w:t>lower-than-anticipated </w:t>
      </w:r>
      <w:r>
        <w:rPr>
          <w:w w:val="110"/>
        </w:rPr>
        <w:t>petrol prices, and remains below the Government’s 2</w:t>
      </w:r>
      <w:r>
        <w:rPr>
          <w:w w:val="110"/>
          <w:position w:val="7"/>
          <w:sz w:val="10"/>
        </w:rPr>
        <w:t>1</w:t>
      </w:r>
      <w:r>
        <w:rPr>
          <w:w w:val="110"/>
        </w:rPr>
        <w:t>/</w:t>
      </w:r>
      <w:r>
        <w:rPr>
          <w:w w:val="110"/>
          <w:position w:val="1"/>
          <w:sz w:val="10"/>
        </w:rPr>
        <w:t>2</w:t>
      </w:r>
      <w:r>
        <w:rPr>
          <w:w w:val="110"/>
        </w:rPr>
        <w:t>% target.</w:t>
      </w:r>
    </w:p>
    <w:p>
      <w:pPr>
        <w:spacing w:after="0" w:line="292" w:lineRule="auto"/>
        <w:sectPr>
          <w:type w:val="continuous"/>
          <w:pgSz w:w="11900" w:h="16840"/>
          <w:pgMar w:top="1260" w:bottom="280" w:left="640" w:right="640"/>
          <w:cols w:num="3" w:equalWidth="0">
            <w:col w:w="1626" w:space="956"/>
            <w:col w:w="1019" w:space="1313"/>
            <w:col w:w="5706"/>
          </w:cols>
        </w:sectPr>
      </w:pPr>
    </w:p>
    <w:p>
      <w:pPr>
        <w:spacing w:before="95"/>
        <w:ind w:left="0" w:right="208" w:firstLine="0"/>
        <w:jc w:val="right"/>
        <w:rPr>
          <w:sz w:val="12"/>
        </w:rPr>
      </w:pPr>
      <w:r>
        <w:rPr/>
        <w:drawing>
          <wp:anchor distT="0" distB="0" distL="0" distR="0" allowOverlap="1" layoutInCell="1" locked="0" behindDoc="0" simplePos="0" relativeHeight="16244224">
            <wp:simplePos x="0" y="0"/>
            <wp:positionH relativeFrom="page">
              <wp:posOffset>524116</wp:posOffset>
            </wp:positionH>
            <wp:positionV relativeFrom="paragraph">
              <wp:posOffset>102723</wp:posOffset>
            </wp:positionV>
            <wp:extent cx="55029" cy="6350"/>
            <wp:effectExtent l="0" t="0" r="0" b="0"/>
            <wp:wrapNone/>
            <wp:docPr id="479" name="image8.png"/>
            <wp:cNvGraphicFramePr>
              <a:graphicFrameLocks noChangeAspect="1"/>
            </wp:cNvGraphicFramePr>
            <a:graphic>
              <a:graphicData uri="http://schemas.openxmlformats.org/drawingml/2006/picture">
                <pic:pic>
                  <pic:nvPicPr>
                    <pic:cNvPr id="480"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20"/>
          <w:sz w:val="12"/>
        </w:rPr>
        <w:t>10</w:t>
      </w:r>
    </w:p>
    <w:p>
      <w:pPr>
        <w:pStyle w:val="BodyText"/>
        <w:rPr>
          <w:sz w:val="12"/>
        </w:rPr>
      </w:pPr>
    </w:p>
    <w:p>
      <w:pPr>
        <w:pStyle w:val="BodyText"/>
        <w:spacing w:before="9"/>
        <w:rPr>
          <w:sz w:val="11"/>
        </w:rPr>
      </w:pPr>
    </w:p>
    <w:p>
      <w:pPr>
        <w:spacing w:line="173" w:lineRule="exact" w:before="0"/>
        <w:ind w:left="0" w:right="208" w:firstLine="0"/>
        <w:jc w:val="right"/>
        <w:rPr>
          <w:sz w:val="12"/>
        </w:rPr>
      </w:pPr>
      <w:r>
        <w:rPr>
          <w:position w:val="-8"/>
        </w:rPr>
        <w:drawing>
          <wp:inline distT="0" distB="0" distL="0" distR="0">
            <wp:extent cx="2042223" cy="90512"/>
            <wp:effectExtent l="0" t="0" r="0" b="0"/>
            <wp:docPr id="481" name="image76.png"/>
            <wp:cNvGraphicFramePr>
              <a:graphicFrameLocks noChangeAspect="1"/>
            </wp:cNvGraphicFramePr>
            <a:graphic>
              <a:graphicData uri="http://schemas.openxmlformats.org/drawingml/2006/picture">
                <pic:pic>
                  <pic:nvPicPr>
                    <pic:cNvPr id="482" name="image76.png"/>
                    <pic:cNvPicPr/>
                  </pic:nvPicPr>
                  <pic:blipFill>
                    <a:blip r:embed="rId133" cstate="print"/>
                    <a:stretch>
                      <a:fillRect/>
                    </a:stretch>
                  </pic:blipFill>
                  <pic:spPr>
                    <a:xfrm>
                      <a:off x="0" y="0"/>
                      <a:ext cx="2042223" cy="90512"/>
                    </a:xfrm>
                    <a:prstGeom prst="rect">
                      <a:avLst/>
                    </a:prstGeom>
                  </pic:spPr>
                </pic:pic>
              </a:graphicData>
            </a:graphic>
          </wp:inline>
        </w:drawing>
      </w:r>
      <w:r>
        <w:rPr>
          <w:position w:val="-8"/>
        </w:rPr>
      </w:r>
      <w:r>
        <w:rPr>
          <w:sz w:val="20"/>
        </w:rPr>
        <w:t> </w:t>
      </w:r>
      <w:r>
        <w:rPr>
          <w:spacing w:val="-14"/>
          <w:sz w:val="20"/>
        </w:rPr>
        <w:t> </w:t>
      </w:r>
      <w:r>
        <w:rPr>
          <w:w w:val="120"/>
          <w:sz w:val="12"/>
        </w:rPr>
        <w:t>5</w:t>
      </w:r>
    </w:p>
    <w:p>
      <w:pPr>
        <w:spacing w:line="173" w:lineRule="exact" w:before="0"/>
        <w:ind w:left="0" w:right="208" w:firstLine="0"/>
        <w:jc w:val="right"/>
        <w:rPr>
          <w:sz w:val="12"/>
        </w:rPr>
      </w:pPr>
      <w:r>
        <w:rPr>
          <w:w w:val="120"/>
          <w:sz w:val="12"/>
        </w:rPr>
        <w:t>1994   95     96     97     98     99   2000  01     02   03 </w:t>
      </w:r>
      <w:r>
        <w:rPr>
          <w:spacing w:val="28"/>
          <w:w w:val="120"/>
          <w:sz w:val="12"/>
        </w:rPr>
        <w:t> </w:t>
      </w:r>
      <w:r>
        <w:rPr>
          <w:w w:val="120"/>
          <w:position w:val="6"/>
          <w:sz w:val="12"/>
        </w:rPr>
        <w:t>0</w:t>
      </w:r>
    </w:p>
    <w:p>
      <w:pPr>
        <w:pStyle w:val="BodyText"/>
        <w:spacing w:before="1"/>
        <w:rPr>
          <w:sz w:val="14"/>
        </w:rPr>
      </w:pPr>
    </w:p>
    <w:p>
      <w:pPr>
        <w:spacing w:line="208" w:lineRule="auto" w:before="0"/>
        <w:ind w:left="420" w:right="270" w:hanging="240"/>
        <w:jc w:val="left"/>
        <w:rPr>
          <w:sz w:val="12"/>
        </w:rPr>
      </w:pPr>
      <w:r>
        <w:rPr>
          <w:w w:val="110"/>
          <w:sz w:val="12"/>
        </w:rPr>
        <w:t>(a) Average of the </w:t>
      </w:r>
      <w:r>
        <w:rPr>
          <w:spacing w:val="-11"/>
          <w:w w:val="110"/>
          <w:sz w:val="12"/>
        </w:rPr>
        <w:t>15 </w:t>
      </w:r>
      <w:r>
        <w:rPr>
          <w:w w:val="110"/>
          <w:sz w:val="12"/>
        </w:rPr>
        <w:t>working days up to the finalisation of the MPC’s projections.</w:t>
      </w:r>
    </w:p>
    <w:p>
      <w:pPr>
        <w:pStyle w:val="BodyText"/>
        <w:rPr>
          <w:sz w:val="12"/>
        </w:rPr>
      </w:pPr>
    </w:p>
    <w:p>
      <w:pPr>
        <w:pStyle w:val="BodyText"/>
        <w:rPr>
          <w:sz w:val="12"/>
        </w:rPr>
      </w:pPr>
    </w:p>
    <w:p>
      <w:pPr>
        <w:pStyle w:val="BodyText"/>
        <w:spacing w:before="11"/>
        <w:rPr>
          <w:sz w:val="17"/>
        </w:rPr>
      </w:pPr>
    </w:p>
    <w:p>
      <w:pPr>
        <w:pStyle w:val="Heading6"/>
        <w:ind w:left="199"/>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7"/>
        </w:rPr>
        <w:t>4.2</w:t>
      </w:r>
    </w:p>
    <w:p>
      <w:pPr>
        <w:spacing w:line="247" w:lineRule="auto" w:before="8"/>
        <w:ind w:left="199" w:right="18" w:firstLine="0"/>
        <w:jc w:val="left"/>
        <w:rPr>
          <w:sz w:val="12"/>
        </w:rPr>
      </w:pPr>
      <w:r>
        <w:rPr>
          <w:rFonts w:ascii="Trebuchet MS"/>
          <w:b/>
          <w:color w:val="89C6DC"/>
          <w:w w:val="90"/>
          <w:sz w:val="20"/>
        </w:rPr>
        <w:t>Information from futures prices about the </w:t>
      </w:r>
      <w:r>
        <w:rPr>
          <w:rFonts w:ascii="Trebuchet MS"/>
          <w:b/>
          <w:color w:val="89C6DC"/>
          <w:sz w:val="20"/>
        </w:rPr>
        <w:t>oil price six months ahead</w:t>
      </w:r>
      <w:r>
        <w:rPr>
          <w:position w:val="4"/>
          <w:sz w:val="12"/>
        </w:rPr>
        <w:t>(a)(b)</w:t>
      </w:r>
    </w:p>
    <w:p>
      <w:pPr>
        <w:tabs>
          <w:tab w:pos="779" w:val="left" w:leader="none"/>
        </w:tabs>
        <w:spacing w:before="196"/>
        <w:ind w:left="180" w:right="0" w:firstLine="0"/>
        <w:jc w:val="left"/>
        <w:rPr>
          <w:rFonts w:ascii="Trebuchet MS"/>
          <w:b/>
          <w:sz w:val="28"/>
        </w:rPr>
      </w:pPr>
      <w:r>
        <w:rPr/>
        <w:br w:type="column"/>
      </w:r>
      <w:r>
        <w:rPr>
          <w:rFonts w:ascii="Trebuchet MS"/>
          <w:b/>
          <w:smallCaps/>
          <w:color w:val="89C6DC"/>
          <w:spacing w:val="-1"/>
          <w:w w:val="81"/>
          <w:sz w:val="28"/>
        </w:rPr>
        <w:t>4.</w:t>
      </w:r>
      <w:r>
        <w:rPr>
          <w:rFonts w:ascii="Trebuchet MS"/>
          <w:b/>
          <w:smallCaps/>
          <w:color w:val="89C6DC"/>
          <w:w w:val="81"/>
          <w:sz w:val="28"/>
        </w:rPr>
        <w:t>1</w:t>
      </w:r>
      <w:r>
        <w:rPr>
          <w:rFonts w:ascii="Trebuchet MS"/>
          <w:b/>
          <w:smallCaps w:val="0"/>
          <w:color w:val="89C6DC"/>
          <w:sz w:val="28"/>
        </w:rPr>
        <w:tab/>
      </w:r>
      <w:r>
        <w:rPr>
          <w:rFonts w:ascii="Trebuchet MS"/>
          <w:b/>
          <w:smallCaps w:val="0"/>
          <w:color w:val="89C6DC"/>
          <w:spacing w:val="-1"/>
          <w:w w:val="92"/>
          <w:sz w:val="28"/>
        </w:rPr>
        <w:t>Ra</w:t>
      </w:r>
      <w:r>
        <w:rPr>
          <w:rFonts w:ascii="Trebuchet MS"/>
          <w:b/>
          <w:smallCaps w:val="0"/>
          <w:color w:val="89C6DC"/>
          <w:w w:val="92"/>
          <w:sz w:val="28"/>
        </w:rPr>
        <w:t>w</w:t>
      </w:r>
      <w:r>
        <w:rPr>
          <w:rFonts w:ascii="Trebuchet MS"/>
          <w:b/>
          <w:smallCaps w:val="0"/>
          <w:color w:val="89C6DC"/>
          <w:spacing w:val="8"/>
          <w:sz w:val="28"/>
        </w:rPr>
        <w:t> </w:t>
      </w:r>
      <w:r>
        <w:rPr>
          <w:rFonts w:ascii="Trebuchet MS"/>
          <w:b/>
          <w:smallCaps w:val="0"/>
          <w:color w:val="89C6DC"/>
          <w:spacing w:val="-1"/>
          <w:w w:val="86"/>
          <w:sz w:val="28"/>
        </w:rPr>
        <w:t>mate</w:t>
      </w:r>
      <w:r>
        <w:rPr>
          <w:rFonts w:ascii="Trebuchet MS"/>
          <w:b/>
          <w:smallCaps w:val="0"/>
          <w:color w:val="89C6DC"/>
          <w:spacing w:val="-2"/>
          <w:w w:val="86"/>
          <w:sz w:val="28"/>
        </w:rPr>
        <w:t>r</w:t>
      </w:r>
      <w:r>
        <w:rPr>
          <w:rFonts w:ascii="Trebuchet MS"/>
          <w:b/>
          <w:smallCaps w:val="0"/>
          <w:color w:val="89C6DC"/>
          <w:spacing w:val="-1"/>
          <w:w w:val="95"/>
          <w:sz w:val="28"/>
        </w:rPr>
        <w:t>ial</w:t>
      </w:r>
      <w:r>
        <w:rPr>
          <w:rFonts w:ascii="Trebuchet MS"/>
          <w:b/>
          <w:smallCaps w:val="0"/>
          <w:color w:val="89C6DC"/>
          <w:w w:val="95"/>
          <w:sz w:val="28"/>
        </w:rPr>
        <w:t>s</w:t>
      </w:r>
      <w:r>
        <w:rPr>
          <w:rFonts w:ascii="Trebuchet MS"/>
          <w:b/>
          <w:smallCaps w:val="0"/>
          <w:color w:val="89C6DC"/>
          <w:spacing w:val="8"/>
          <w:sz w:val="28"/>
        </w:rPr>
        <w:t> </w:t>
      </w:r>
      <w:r>
        <w:rPr>
          <w:rFonts w:ascii="Trebuchet MS"/>
          <w:b/>
          <w:smallCaps w:val="0"/>
          <w:color w:val="89C6DC"/>
          <w:spacing w:val="-1"/>
          <w:w w:val="93"/>
          <w:sz w:val="28"/>
        </w:rPr>
        <w:t>an</w:t>
      </w:r>
      <w:r>
        <w:rPr>
          <w:rFonts w:ascii="Trebuchet MS"/>
          <w:b/>
          <w:smallCaps w:val="0"/>
          <w:color w:val="89C6DC"/>
          <w:w w:val="93"/>
          <w:sz w:val="28"/>
        </w:rPr>
        <w:t>d</w:t>
      </w:r>
      <w:r>
        <w:rPr>
          <w:rFonts w:ascii="Trebuchet MS"/>
          <w:b/>
          <w:smallCaps w:val="0"/>
          <w:color w:val="89C6DC"/>
          <w:spacing w:val="8"/>
          <w:sz w:val="28"/>
        </w:rPr>
        <w:t> </w:t>
      </w:r>
      <w:r>
        <w:rPr>
          <w:rFonts w:ascii="Trebuchet MS"/>
          <w:b/>
          <w:smallCaps w:val="0"/>
          <w:color w:val="89C6DC"/>
          <w:spacing w:val="-1"/>
          <w:w w:val="89"/>
          <w:sz w:val="28"/>
        </w:rPr>
        <w:t>commodit</w:t>
      </w:r>
      <w:r>
        <w:rPr>
          <w:rFonts w:ascii="Trebuchet MS"/>
          <w:b/>
          <w:smallCaps w:val="0"/>
          <w:color w:val="89C6DC"/>
          <w:w w:val="89"/>
          <w:sz w:val="28"/>
        </w:rPr>
        <w:t>y</w:t>
      </w:r>
      <w:r>
        <w:rPr>
          <w:rFonts w:ascii="Trebuchet MS"/>
          <w:b/>
          <w:smallCaps w:val="0"/>
          <w:color w:val="89C6DC"/>
          <w:spacing w:val="8"/>
          <w:sz w:val="28"/>
        </w:rPr>
        <w:t> </w:t>
      </w:r>
      <w:r>
        <w:rPr>
          <w:rFonts w:ascii="Trebuchet MS"/>
          <w:b/>
          <w:smallCaps w:val="0"/>
          <w:color w:val="89C6DC"/>
          <w:spacing w:val="-1"/>
          <w:w w:val="88"/>
          <w:sz w:val="28"/>
        </w:rPr>
        <w:t>p</w:t>
      </w:r>
      <w:r>
        <w:rPr>
          <w:rFonts w:ascii="Trebuchet MS"/>
          <w:b/>
          <w:smallCaps w:val="0"/>
          <w:color w:val="89C6DC"/>
          <w:spacing w:val="-2"/>
          <w:w w:val="88"/>
          <w:sz w:val="28"/>
        </w:rPr>
        <w:t>r</w:t>
      </w:r>
      <w:r>
        <w:rPr>
          <w:rFonts w:ascii="Trebuchet MS"/>
          <w:b/>
          <w:smallCaps w:val="0"/>
          <w:color w:val="89C6DC"/>
          <w:spacing w:val="-1"/>
          <w:w w:val="90"/>
          <w:sz w:val="28"/>
        </w:rPr>
        <w:t>ices</w:t>
      </w:r>
    </w:p>
    <w:p>
      <w:pPr>
        <w:pStyle w:val="BodyText"/>
        <w:spacing w:line="20" w:lineRule="exact"/>
        <w:ind w:left="170"/>
        <w:rPr>
          <w:rFonts w:ascii="Trebuchet MS"/>
          <w:sz w:val="2"/>
        </w:rPr>
      </w:pPr>
      <w:r>
        <w:rPr>
          <w:rFonts w:ascii="Trebuchet MS"/>
          <w:sz w:val="2"/>
        </w:rPr>
        <w:pict>
          <v:group style="width:274pt;height:1pt;mso-position-horizontal-relative:char;mso-position-vertical-relative:line" coordorigin="0,0" coordsize="5480,20">
            <v:line style="position:absolute" from="0,10" to="5480,10" stroked="true" strokeweight="1pt" strokecolor="#006cb4">
              <v:stroke dashstyle="solid"/>
            </v:line>
          </v:group>
        </w:pict>
      </w:r>
      <w:r>
        <w:rPr>
          <w:rFonts w:ascii="Trebuchet MS"/>
          <w:sz w:val="2"/>
        </w:rPr>
      </w:r>
    </w:p>
    <w:p>
      <w:pPr>
        <w:pStyle w:val="BodyText"/>
        <w:rPr>
          <w:rFonts w:ascii="Trebuchet MS"/>
          <w:b/>
          <w:sz w:val="25"/>
        </w:rPr>
      </w:pPr>
    </w:p>
    <w:p>
      <w:pPr>
        <w:pStyle w:val="BodyText"/>
        <w:spacing w:line="292" w:lineRule="auto" w:before="1"/>
        <w:ind w:left="300" w:right="188"/>
      </w:pPr>
      <w:r>
        <w:rPr>
          <w:w w:val="110"/>
        </w:rPr>
        <w:t>Oil prices </w:t>
      </w:r>
      <w:r>
        <w:rPr>
          <w:spacing w:val="-3"/>
          <w:w w:val="110"/>
        </w:rPr>
        <w:t>have </w:t>
      </w:r>
      <w:r>
        <w:rPr>
          <w:w w:val="110"/>
        </w:rPr>
        <w:t>been </w:t>
      </w:r>
      <w:r>
        <w:rPr>
          <w:spacing w:val="-3"/>
          <w:w w:val="110"/>
        </w:rPr>
        <w:t>lower </w:t>
      </w:r>
      <w:r>
        <w:rPr>
          <w:w w:val="110"/>
        </w:rPr>
        <w:t>in recent months than </w:t>
      </w:r>
      <w:r>
        <w:rPr>
          <w:spacing w:val="-3"/>
          <w:w w:val="110"/>
        </w:rPr>
        <w:t>expected </w:t>
      </w:r>
      <w:r>
        <w:rPr>
          <w:w w:val="110"/>
        </w:rPr>
        <w:t>at the time of the November </w:t>
      </w:r>
      <w:r>
        <w:rPr>
          <w:i/>
          <w:w w:val="110"/>
        </w:rPr>
        <w:t>Report</w:t>
      </w:r>
      <w:r>
        <w:rPr>
          <w:w w:val="110"/>
        </w:rPr>
        <w:t>, after rising substantially </w:t>
      </w:r>
      <w:r>
        <w:rPr>
          <w:spacing w:val="-3"/>
          <w:w w:val="110"/>
        </w:rPr>
        <w:t>over </w:t>
      </w:r>
      <w:r>
        <w:rPr>
          <w:w w:val="110"/>
        </w:rPr>
        <w:t>the past </w:t>
      </w:r>
      <w:r>
        <w:rPr>
          <w:spacing w:val="-5"/>
          <w:w w:val="110"/>
        </w:rPr>
        <w:t>two </w:t>
      </w:r>
      <w:r>
        <w:rPr>
          <w:spacing w:val="-3"/>
          <w:w w:val="110"/>
        </w:rPr>
        <w:t>years </w:t>
      </w:r>
      <w:r>
        <w:rPr>
          <w:w w:val="110"/>
        </w:rPr>
        <w:t>(see Chart 4.1). Although prices </w:t>
      </w:r>
      <w:r>
        <w:rPr>
          <w:spacing w:val="-3"/>
          <w:w w:val="110"/>
        </w:rPr>
        <w:t>have </w:t>
      </w:r>
      <w:r>
        <w:rPr>
          <w:w w:val="110"/>
        </w:rPr>
        <w:t>been volatile, the price of Brent crude </w:t>
      </w:r>
      <w:r>
        <w:rPr>
          <w:spacing w:val="-3"/>
          <w:w w:val="110"/>
        </w:rPr>
        <w:t>averaged </w:t>
      </w:r>
      <w:r>
        <w:rPr>
          <w:w w:val="110"/>
        </w:rPr>
        <w:t>just under</w:t>
      </w:r>
    </w:p>
    <w:p>
      <w:pPr>
        <w:pStyle w:val="BodyText"/>
        <w:spacing w:line="228" w:lineRule="exact"/>
        <w:ind w:left="300"/>
      </w:pPr>
      <w:r>
        <w:rPr>
          <w:w w:val="110"/>
        </w:rPr>
        <w:t>$28 per barrel in the 15 working days to 7 February, around</w:t>
      </w:r>
    </w:p>
    <w:p>
      <w:pPr>
        <w:pStyle w:val="BodyText"/>
        <w:spacing w:before="50"/>
        <w:ind w:left="300"/>
      </w:pPr>
      <w:r>
        <w:rPr>
          <w:w w:val="110"/>
        </w:rPr>
        <w:t>$3 per barrel lower than expected in November and compared</w:t>
      </w:r>
    </w:p>
    <w:p>
      <w:pPr>
        <w:spacing w:after="0"/>
        <w:sectPr>
          <w:type w:val="continuous"/>
          <w:pgSz w:w="11900" w:h="16840"/>
          <w:pgMar w:top="1260" w:bottom="280" w:left="640" w:right="640"/>
          <w:cols w:num="2" w:equalWidth="0">
            <w:col w:w="3773" w:space="1027"/>
            <w:col w:w="5820"/>
          </w:cols>
        </w:sectPr>
      </w:pPr>
    </w:p>
    <w:p>
      <w:pPr>
        <w:spacing w:before="17"/>
        <w:ind w:left="169" w:right="0" w:firstLine="0"/>
        <w:jc w:val="left"/>
        <w:rPr>
          <w:sz w:val="12"/>
        </w:rPr>
      </w:pPr>
      <w:r>
        <w:rPr>
          <w:rFonts w:ascii="Georgia"/>
          <w:sz w:val="12"/>
        </w:rPr>
        <w:t>Mean </w:t>
      </w:r>
      <w:r>
        <w:rPr>
          <w:sz w:val="12"/>
        </w:rPr>
        <w:t>(c)</w:t>
      </w:r>
    </w:p>
    <w:p>
      <w:pPr>
        <w:spacing w:line="115" w:lineRule="exact" w:before="17"/>
        <w:ind w:left="169" w:right="0" w:firstLine="0"/>
        <w:jc w:val="left"/>
        <w:rPr>
          <w:sz w:val="12"/>
        </w:rPr>
      </w:pPr>
      <w:r>
        <w:rPr/>
        <w:br w:type="column"/>
      </w:r>
      <w:r>
        <w:rPr>
          <w:w w:val="110"/>
          <w:sz w:val="12"/>
        </w:rPr>
        <w:t>$ per barrel</w:t>
      </w:r>
    </w:p>
    <w:p>
      <w:pPr>
        <w:spacing w:line="115" w:lineRule="exact" w:before="0"/>
        <w:ind w:left="843" w:right="0" w:firstLine="0"/>
        <w:jc w:val="left"/>
        <w:rPr>
          <w:sz w:val="12"/>
        </w:rPr>
      </w:pPr>
      <w:r>
        <w:rPr/>
        <w:drawing>
          <wp:anchor distT="0" distB="0" distL="0" distR="0" allowOverlap="1" layoutInCell="1" locked="0" behindDoc="0" simplePos="0" relativeHeight="16245248">
            <wp:simplePos x="0" y="0"/>
            <wp:positionH relativeFrom="page">
              <wp:posOffset>514311</wp:posOffset>
            </wp:positionH>
            <wp:positionV relativeFrom="paragraph">
              <wp:posOffset>23042</wp:posOffset>
            </wp:positionV>
            <wp:extent cx="1936496" cy="584123"/>
            <wp:effectExtent l="0" t="0" r="0" b="0"/>
            <wp:wrapNone/>
            <wp:docPr id="483" name="image77.png"/>
            <wp:cNvGraphicFramePr>
              <a:graphicFrameLocks noChangeAspect="1"/>
            </wp:cNvGraphicFramePr>
            <a:graphic>
              <a:graphicData uri="http://schemas.openxmlformats.org/drawingml/2006/picture">
                <pic:pic>
                  <pic:nvPicPr>
                    <pic:cNvPr id="484" name="image77.png"/>
                    <pic:cNvPicPr/>
                  </pic:nvPicPr>
                  <pic:blipFill>
                    <a:blip r:embed="rId134" cstate="print"/>
                    <a:stretch>
                      <a:fillRect/>
                    </a:stretch>
                  </pic:blipFill>
                  <pic:spPr>
                    <a:xfrm>
                      <a:off x="0" y="0"/>
                      <a:ext cx="1936496" cy="584123"/>
                    </a:xfrm>
                    <a:prstGeom prst="rect">
                      <a:avLst/>
                    </a:prstGeom>
                  </pic:spPr>
                </pic:pic>
              </a:graphicData>
            </a:graphic>
          </wp:anchor>
        </w:drawing>
      </w:r>
      <w:r>
        <w:rPr/>
        <w:drawing>
          <wp:anchor distT="0" distB="0" distL="0" distR="0" allowOverlap="1" layoutInCell="1" locked="0" behindDoc="0" simplePos="0" relativeHeight="16254976">
            <wp:simplePos x="0" y="0"/>
            <wp:positionH relativeFrom="page">
              <wp:posOffset>2501709</wp:posOffset>
            </wp:positionH>
            <wp:positionV relativeFrom="paragraph">
              <wp:posOffset>22534</wp:posOffset>
            </wp:positionV>
            <wp:extent cx="55029" cy="6883"/>
            <wp:effectExtent l="0" t="0" r="0" b="0"/>
            <wp:wrapNone/>
            <wp:docPr id="485" name="image8.png"/>
            <wp:cNvGraphicFramePr>
              <a:graphicFrameLocks noChangeAspect="1"/>
            </wp:cNvGraphicFramePr>
            <a:graphic>
              <a:graphicData uri="http://schemas.openxmlformats.org/drawingml/2006/picture">
                <pic:pic>
                  <pic:nvPicPr>
                    <pic:cNvPr id="486" name="image8.png"/>
                    <pic:cNvPicPr/>
                  </pic:nvPicPr>
                  <pic:blipFill>
                    <a:blip r:embed="rId29" cstate="print"/>
                    <a:stretch>
                      <a:fillRect/>
                    </a:stretch>
                  </pic:blipFill>
                  <pic:spPr>
                    <a:xfrm>
                      <a:off x="0" y="0"/>
                      <a:ext cx="55029" cy="6883"/>
                    </a:xfrm>
                    <a:prstGeom prst="rect">
                      <a:avLst/>
                    </a:prstGeom>
                  </pic:spPr>
                </pic:pic>
              </a:graphicData>
            </a:graphic>
          </wp:anchor>
        </w:drawing>
      </w:r>
      <w:r>
        <w:rPr>
          <w:w w:val="120"/>
          <w:sz w:val="12"/>
        </w:rPr>
        <w:t>32</w:t>
      </w:r>
    </w:p>
    <w:p>
      <w:pPr>
        <w:pStyle w:val="BodyText"/>
        <w:spacing w:before="4"/>
        <w:rPr>
          <w:sz w:val="13"/>
        </w:rPr>
      </w:pPr>
    </w:p>
    <w:p>
      <w:pPr>
        <w:spacing w:before="0"/>
        <w:ind w:left="0" w:right="38" w:firstLine="0"/>
        <w:jc w:val="right"/>
        <w:rPr>
          <w:sz w:val="12"/>
        </w:rPr>
      </w:pPr>
      <w:r>
        <w:rPr/>
        <w:drawing>
          <wp:anchor distT="0" distB="0" distL="0" distR="0" allowOverlap="1" layoutInCell="1" locked="0" behindDoc="0" simplePos="0" relativeHeight="16256000">
            <wp:simplePos x="0" y="0"/>
            <wp:positionH relativeFrom="page">
              <wp:posOffset>2501709</wp:posOffset>
            </wp:positionH>
            <wp:positionV relativeFrom="paragraph">
              <wp:posOffset>44863</wp:posOffset>
            </wp:positionV>
            <wp:extent cx="55029" cy="6883"/>
            <wp:effectExtent l="0" t="0" r="0" b="0"/>
            <wp:wrapNone/>
            <wp:docPr id="487" name="image8.png"/>
            <wp:cNvGraphicFramePr>
              <a:graphicFrameLocks noChangeAspect="1"/>
            </wp:cNvGraphicFramePr>
            <a:graphic>
              <a:graphicData uri="http://schemas.openxmlformats.org/drawingml/2006/picture">
                <pic:pic>
                  <pic:nvPicPr>
                    <pic:cNvPr id="488" name="image8.png"/>
                    <pic:cNvPicPr/>
                  </pic:nvPicPr>
                  <pic:blipFill>
                    <a:blip r:embed="rId29" cstate="print"/>
                    <a:stretch>
                      <a:fillRect/>
                    </a:stretch>
                  </pic:blipFill>
                  <pic:spPr>
                    <a:xfrm>
                      <a:off x="0" y="0"/>
                      <a:ext cx="55029" cy="6883"/>
                    </a:xfrm>
                    <a:prstGeom prst="rect">
                      <a:avLst/>
                    </a:prstGeom>
                  </pic:spPr>
                </pic:pic>
              </a:graphicData>
            </a:graphic>
          </wp:anchor>
        </w:drawing>
      </w:r>
      <w:r>
        <w:rPr>
          <w:w w:val="120"/>
          <w:sz w:val="12"/>
        </w:rPr>
        <w:t>28</w:t>
      </w:r>
    </w:p>
    <w:p>
      <w:pPr>
        <w:pStyle w:val="BodyText"/>
        <w:spacing w:before="3"/>
        <w:rPr>
          <w:sz w:val="13"/>
        </w:rPr>
      </w:pPr>
    </w:p>
    <w:p>
      <w:pPr>
        <w:spacing w:before="1"/>
        <w:ind w:left="0" w:right="38" w:firstLine="0"/>
        <w:jc w:val="right"/>
        <w:rPr>
          <w:sz w:val="12"/>
        </w:rPr>
      </w:pPr>
      <w:r>
        <w:rPr/>
        <w:drawing>
          <wp:anchor distT="0" distB="0" distL="0" distR="0" allowOverlap="1" layoutInCell="1" locked="0" behindDoc="0" simplePos="0" relativeHeight="16256512">
            <wp:simplePos x="0" y="0"/>
            <wp:positionH relativeFrom="page">
              <wp:posOffset>2501709</wp:posOffset>
            </wp:positionH>
            <wp:positionV relativeFrom="paragraph">
              <wp:posOffset>53080</wp:posOffset>
            </wp:positionV>
            <wp:extent cx="55029" cy="6883"/>
            <wp:effectExtent l="0" t="0" r="0" b="0"/>
            <wp:wrapNone/>
            <wp:docPr id="489" name="image78.png"/>
            <wp:cNvGraphicFramePr>
              <a:graphicFrameLocks noChangeAspect="1"/>
            </wp:cNvGraphicFramePr>
            <a:graphic>
              <a:graphicData uri="http://schemas.openxmlformats.org/drawingml/2006/picture">
                <pic:pic>
                  <pic:nvPicPr>
                    <pic:cNvPr id="490" name="image78.png"/>
                    <pic:cNvPicPr/>
                  </pic:nvPicPr>
                  <pic:blipFill>
                    <a:blip r:embed="rId135" cstate="print"/>
                    <a:stretch>
                      <a:fillRect/>
                    </a:stretch>
                  </pic:blipFill>
                  <pic:spPr>
                    <a:xfrm>
                      <a:off x="0" y="0"/>
                      <a:ext cx="55029" cy="6883"/>
                    </a:xfrm>
                    <a:prstGeom prst="rect">
                      <a:avLst/>
                    </a:prstGeom>
                  </pic:spPr>
                </pic:pic>
              </a:graphicData>
            </a:graphic>
          </wp:anchor>
        </w:drawing>
      </w:r>
      <w:r>
        <w:rPr>
          <w:w w:val="120"/>
          <w:sz w:val="12"/>
        </w:rPr>
        <w:t>24</w:t>
      </w:r>
    </w:p>
    <w:p>
      <w:pPr>
        <w:pStyle w:val="BodyText"/>
        <w:spacing w:before="3"/>
        <w:rPr>
          <w:sz w:val="13"/>
        </w:rPr>
      </w:pPr>
    </w:p>
    <w:p>
      <w:pPr>
        <w:spacing w:before="0"/>
        <w:ind w:left="0" w:right="38" w:firstLine="0"/>
        <w:jc w:val="right"/>
        <w:rPr>
          <w:sz w:val="12"/>
        </w:rPr>
      </w:pPr>
      <w:r>
        <w:rPr/>
        <w:drawing>
          <wp:anchor distT="0" distB="0" distL="0" distR="0" allowOverlap="1" layoutInCell="1" locked="0" behindDoc="0" simplePos="0" relativeHeight="16255488">
            <wp:simplePos x="0" y="0"/>
            <wp:positionH relativeFrom="page">
              <wp:posOffset>2501709</wp:posOffset>
            </wp:positionH>
            <wp:positionV relativeFrom="paragraph">
              <wp:posOffset>60039</wp:posOffset>
            </wp:positionV>
            <wp:extent cx="55029" cy="6883"/>
            <wp:effectExtent l="0" t="0" r="0" b="0"/>
            <wp:wrapNone/>
            <wp:docPr id="491" name="image8.png"/>
            <wp:cNvGraphicFramePr>
              <a:graphicFrameLocks noChangeAspect="1"/>
            </wp:cNvGraphicFramePr>
            <a:graphic>
              <a:graphicData uri="http://schemas.openxmlformats.org/drawingml/2006/picture">
                <pic:pic>
                  <pic:nvPicPr>
                    <pic:cNvPr id="492" name="image8.png"/>
                    <pic:cNvPicPr/>
                  </pic:nvPicPr>
                  <pic:blipFill>
                    <a:blip r:embed="rId29" cstate="print"/>
                    <a:stretch>
                      <a:fillRect/>
                    </a:stretch>
                  </pic:blipFill>
                  <pic:spPr>
                    <a:xfrm>
                      <a:off x="0" y="0"/>
                      <a:ext cx="55029" cy="6883"/>
                    </a:xfrm>
                    <a:prstGeom prst="rect">
                      <a:avLst/>
                    </a:prstGeom>
                  </pic:spPr>
                </pic:pic>
              </a:graphicData>
            </a:graphic>
          </wp:anchor>
        </w:drawing>
      </w:r>
      <w:r>
        <w:rPr>
          <w:w w:val="120"/>
          <w:sz w:val="12"/>
        </w:rPr>
        <w:t>20</w:t>
      </w:r>
    </w:p>
    <w:p>
      <w:pPr>
        <w:pStyle w:val="BodyText"/>
        <w:spacing w:line="292" w:lineRule="auto" w:before="50"/>
        <w:ind w:left="169" w:right="150"/>
      </w:pPr>
      <w:r>
        <w:rPr/>
        <w:br w:type="column"/>
      </w:r>
      <w:r>
        <w:rPr>
          <w:w w:val="110"/>
        </w:rPr>
        <w:t>with a monthly peak of more than </w:t>
      </w:r>
      <w:r>
        <w:rPr>
          <w:spacing w:val="-8"/>
          <w:w w:val="110"/>
        </w:rPr>
        <w:t>$33 </w:t>
      </w:r>
      <w:r>
        <w:rPr>
          <w:w w:val="110"/>
        </w:rPr>
        <w:t>per barrel in September. Market participants’ mean expectation of the profile of oil prices </w:t>
      </w:r>
      <w:r>
        <w:rPr>
          <w:spacing w:val="-3"/>
          <w:w w:val="110"/>
        </w:rPr>
        <w:t>over </w:t>
      </w:r>
      <w:r>
        <w:rPr>
          <w:w w:val="110"/>
        </w:rPr>
        <w:t>the next </w:t>
      </w:r>
      <w:r>
        <w:rPr>
          <w:spacing w:val="-5"/>
          <w:w w:val="110"/>
        </w:rPr>
        <w:t>two </w:t>
      </w:r>
      <w:r>
        <w:rPr>
          <w:spacing w:val="-3"/>
          <w:w w:val="110"/>
        </w:rPr>
        <w:t>years </w:t>
      </w:r>
      <w:r>
        <w:rPr>
          <w:w w:val="110"/>
        </w:rPr>
        <w:t>has also shifted down</w:t>
      </w:r>
      <w:r>
        <w:rPr>
          <w:spacing w:val="-19"/>
          <w:w w:val="110"/>
        </w:rPr>
        <w:t> </w:t>
      </w:r>
      <w:r>
        <w:rPr>
          <w:spacing w:val="-3"/>
          <w:w w:val="110"/>
        </w:rPr>
        <w:t>over</w:t>
      </w:r>
      <w:r>
        <w:rPr>
          <w:spacing w:val="-18"/>
          <w:w w:val="110"/>
        </w:rPr>
        <w:t> </w:t>
      </w:r>
      <w:r>
        <w:rPr>
          <w:w w:val="110"/>
        </w:rPr>
        <w:t>the</w:t>
      </w:r>
      <w:r>
        <w:rPr>
          <w:spacing w:val="-18"/>
          <w:w w:val="110"/>
        </w:rPr>
        <w:t> </w:t>
      </w:r>
      <w:r>
        <w:rPr>
          <w:w w:val="110"/>
        </w:rPr>
        <w:t>past</w:t>
      </w:r>
      <w:r>
        <w:rPr>
          <w:spacing w:val="-18"/>
          <w:w w:val="110"/>
        </w:rPr>
        <w:t> </w:t>
      </w:r>
      <w:r>
        <w:rPr>
          <w:w w:val="110"/>
        </w:rPr>
        <w:t>three</w:t>
      </w:r>
      <w:r>
        <w:rPr>
          <w:spacing w:val="-18"/>
          <w:w w:val="110"/>
        </w:rPr>
        <w:t> </w:t>
      </w:r>
      <w:r>
        <w:rPr>
          <w:w w:val="110"/>
        </w:rPr>
        <w:t>months,</w:t>
      </w:r>
      <w:r>
        <w:rPr>
          <w:spacing w:val="-18"/>
          <w:w w:val="110"/>
        </w:rPr>
        <w:t> </w:t>
      </w:r>
      <w:r>
        <w:rPr>
          <w:spacing w:val="-4"/>
          <w:w w:val="110"/>
        </w:rPr>
        <w:t>to</w:t>
      </w:r>
      <w:r>
        <w:rPr>
          <w:spacing w:val="-18"/>
          <w:w w:val="110"/>
        </w:rPr>
        <w:t> </w:t>
      </w:r>
      <w:r>
        <w:rPr>
          <w:spacing w:val="-3"/>
          <w:w w:val="110"/>
        </w:rPr>
        <w:t>midway</w:t>
      </w:r>
      <w:r>
        <w:rPr>
          <w:spacing w:val="-18"/>
          <w:w w:val="110"/>
        </w:rPr>
        <w:t> </w:t>
      </w:r>
      <w:r>
        <w:rPr>
          <w:spacing w:val="-3"/>
          <w:w w:val="110"/>
        </w:rPr>
        <w:t>between</w:t>
      </w:r>
      <w:r>
        <w:rPr>
          <w:spacing w:val="-18"/>
          <w:w w:val="110"/>
        </w:rPr>
        <w:t> </w:t>
      </w:r>
      <w:r>
        <w:rPr>
          <w:w w:val="110"/>
        </w:rPr>
        <w:t>the</w:t>
      </w:r>
      <w:r>
        <w:rPr>
          <w:spacing w:val="-18"/>
          <w:w w:val="110"/>
        </w:rPr>
        <w:t> </w:t>
      </w:r>
      <w:r>
        <w:rPr>
          <w:w w:val="110"/>
        </w:rPr>
        <w:t>levels</w:t>
      </w:r>
    </w:p>
    <w:p>
      <w:pPr>
        <w:spacing w:after="0" w:line="292" w:lineRule="auto"/>
        <w:sectPr>
          <w:type w:val="continuous"/>
          <w:pgSz w:w="11900" w:h="16840"/>
          <w:pgMar w:top="1260" w:bottom="280" w:left="640" w:right="640"/>
          <w:cols w:num="3" w:equalWidth="0">
            <w:col w:w="678" w:space="1925"/>
            <w:col w:w="1030" w:space="1297"/>
            <w:col w:w="5690"/>
          </w:cols>
        </w:sectPr>
      </w:pPr>
    </w:p>
    <w:p>
      <w:pPr>
        <w:tabs>
          <w:tab w:pos="2772" w:val="left" w:leader="none"/>
        </w:tabs>
        <w:spacing w:before="71"/>
        <w:ind w:left="169" w:right="0" w:firstLine="0"/>
        <w:jc w:val="left"/>
        <w:rPr>
          <w:sz w:val="12"/>
        </w:rPr>
      </w:pPr>
      <w:r>
        <w:rPr/>
        <w:drawing>
          <wp:anchor distT="0" distB="0" distL="0" distR="0" allowOverlap="1" layoutInCell="1" locked="0" behindDoc="0" simplePos="0" relativeHeight="16245760">
            <wp:simplePos x="0" y="0"/>
            <wp:positionH relativeFrom="page">
              <wp:posOffset>615607</wp:posOffset>
            </wp:positionH>
            <wp:positionV relativeFrom="paragraph">
              <wp:posOffset>141143</wp:posOffset>
            </wp:positionV>
            <wp:extent cx="1850963" cy="538162"/>
            <wp:effectExtent l="0" t="0" r="0" b="0"/>
            <wp:wrapNone/>
            <wp:docPr id="493" name="image79.png"/>
            <wp:cNvGraphicFramePr>
              <a:graphicFrameLocks noChangeAspect="1"/>
            </wp:cNvGraphicFramePr>
            <a:graphic>
              <a:graphicData uri="http://schemas.openxmlformats.org/drawingml/2006/picture">
                <pic:pic>
                  <pic:nvPicPr>
                    <pic:cNvPr id="494" name="image79.png"/>
                    <pic:cNvPicPr/>
                  </pic:nvPicPr>
                  <pic:blipFill>
                    <a:blip r:embed="rId136" cstate="print"/>
                    <a:stretch>
                      <a:fillRect/>
                    </a:stretch>
                  </pic:blipFill>
                  <pic:spPr>
                    <a:xfrm>
                      <a:off x="0" y="0"/>
                      <a:ext cx="1850963" cy="538162"/>
                    </a:xfrm>
                    <a:prstGeom prst="rect">
                      <a:avLst/>
                    </a:prstGeom>
                  </pic:spPr>
                </pic:pic>
              </a:graphicData>
            </a:graphic>
          </wp:anchor>
        </w:drawing>
      </w:r>
      <w:r>
        <w:rPr/>
        <w:drawing>
          <wp:anchor distT="0" distB="0" distL="0" distR="0" allowOverlap="1" layoutInCell="1" locked="0" behindDoc="0" simplePos="0" relativeHeight="16246784">
            <wp:simplePos x="0" y="0"/>
            <wp:positionH relativeFrom="page">
              <wp:posOffset>514299</wp:posOffset>
            </wp:positionH>
            <wp:positionV relativeFrom="paragraph">
              <wp:posOffset>139556</wp:posOffset>
            </wp:positionV>
            <wp:extent cx="55304" cy="6381"/>
            <wp:effectExtent l="0" t="0" r="0" b="0"/>
            <wp:wrapNone/>
            <wp:docPr id="495" name="image8.png"/>
            <wp:cNvGraphicFramePr>
              <a:graphicFrameLocks noChangeAspect="1"/>
            </wp:cNvGraphicFramePr>
            <a:graphic>
              <a:graphicData uri="http://schemas.openxmlformats.org/drawingml/2006/picture">
                <pic:pic>
                  <pic:nvPicPr>
                    <pic:cNvPr id="496"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6247296">
            <wp:simplePos x="0" y="0"/>
            <wp:positionH relativeFrom="page">
              <wp:posOffset>514299</wp:posOffset>
            </wp:positionH>
            <wp:positionV relativeFrom="paragraph">
              <wp:posOffset>271712</wp:posOffset>
            </wp:positionV>
            <wp:extent cx="55304" cy="6381"/>
            <wp:effectExtent l="0" t="0" r="0" b="0"/>
            <wp:wrapNone/>
            <wp:docPr id="497" name="image8.png"/>
            <wp:cNvGraphicFramePr>
              <a:graphicFrameLocks noChangeAspect="1"/>
            </wp:cNvGraphicFramePr>
            <a:graphic>
              <a:graphicData uri="http://schemas.openxmlformats.org/drawingml/2006/picture">
                <pic:pic>
                  <pic:nvPicPr>
                    <pic:cNvPr id="498"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6248320">
            <wp:simplePos x="0" y="0"/>
            <wp:positionH relativeFrom="page">
              <wp:posOffset>514299</wp:posOffset>
            </wp:positionH>
            <wp:positionV relativeFrom="paragraph">
              <wp:posOffset>403855</wp:posOffset>
            </wp:positionV>
            <wp:extent cx="54478" cy="6286"/>
            <wp:effectExtent l="0" t="0" r="0" b="0"/>
            <wp:wrapNone/>
            <wp:docPr id="499" name="image13.png"/>
            <wp:cNvGraphicFramePr>
              <a:graphicFrameLocks noChangeAspect="1"/>
            </wp:cNvGraphicFramePr>
            <a:graphic>
              <a:graphicData uri="http://schemas.openxmlformats.org/drawingml/2006/picture">
                <pic:pic>
                  <pic:nvPicPr>
                    <pic:cNvPr id="500"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6249344">
            <wp:simplePos x="0" y="0"/>
            <wp:positionH relativeFrom="page">
              <wp:posOffset>2501709</wp:posOffset>
            </wp:positionH>
            <wp:positionV relativeFrom="paragraph">
              <wp:posOffset>137612</wp:posOffset>
            </wp:positionV>
            <wp:extent cx="54478" cy="6286"/>
            <wp:effectExtent l="0" t="0" r="0" b="0"/>
            <wp:wrapNone/>
            <wp:docPr id="501" name="image13.png"/>
            <wp:cNvGraphicFramePr>
              <a:graphicFrameLocks noChangeAspect="1"/>
            </wp:cNvGraphicFramePr>
            <a:graphic>
              <a:graphicData uri="http://schemas.openxmlformats.org/drawingml/2006/picture">
                <pic:pic>
                  <pic:nvPicPr>
                    <pic:cNvPr id="502"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6249856">
            <wp:simplePos x="0" y="0"/>
            <wp:positionH relativeFrom="page">
              <wp:posOffset>2501709</wp:posOffset>
            </wp:positionH>
            <wp:positionV relativeFrom="paragraph">
              <wp:posOffset>269769</wp:posOffset>
            </wp:positionV>
            <wp:extent cx="54478" cy="6286"/>
            <wp:effectExtent l="0" t="0" r="0" b="0"/>
            <wp:wrapNone/>
            <wp:docPr id="503" name="image13.png"/>
            <wp:cNvGraphicFramePr>
              <a:graphicFrameLocks noChangeAspect="1"/>
            </wp:cNvGraphicFramePr>
            <a:graphic>
              <a:graphicData uri="http://schemas.openxmlformats.org/drawingml/2006/picture">
                <pic:pic>
                  <pic:nvPicPr>
                    <pic:cNvPr id="504"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6250880">
            <wp:simplePos x="0" y="0"/>
            <wp:positionH relativeFrom="page">
              <wp:posOffset>2501709</wp:posOffset>
            </wp:positionH>
            <wp:positionV relativeFrom="paragraph">
              <wp:posOffset>401912</wp:posOffset>
            </wp:positionV>
            <wp:extent cx="55304" cy="6381"/>
            <wp:effectExtent l="0" t="0" r="0" b="0"/>
            <wp:wrapNone/>
            <wp:docPr id="505" name="image8.png"/>
            <wp:cNvGraphicFramePr>
              <a:graphicFrameLocks noChangeAspect="1"/>
            </wp:cNvGraphicFramePr>
            <a:graphic>
              <a:graphicData uri="http://schemas.openxmlformats.org/drawingml/2006/picture">
                <pic:pic>
                  <pic:nvPicPr>
                    <pic:cNvPr id="506" name="image8.png"/>
                    <pic:cNvPicPr/>
                  </pic:nvPicPr>
                  <pic:blipFill>
                    <a:blip r:embed="rId29" cstate="print"/>
                    <a:stretch>
                      <a:fillRect/>
                    </a:stretch>
                  </pic:blipFill>
                  <pic:spPr>
                    <a:xfrm>
                      <a:off x="0" y="0"/>
                      <a:ext cx="55304" cy="6381"/>
                    </a:xfrm>
                    <a:prstGeom prst="rect">
                      <a:avLst/>
                    </a:prstGeom>
                  </pic:spPr>
                </pic:pic>
              </a:graphicData>
            </a:graphic>
          </wp:anchor>
        </w:drawing>
      </w:r>
      <w:r>
        <w:rPr>
          <w:rFonts w:ascii="Georgia"/>
          <w:w w:val="110"/>
          <w:sz w:val="12"/>
        </w:rPr>
        <w:t>Standard</w:t>
      </w:r>
      <w:r>
        <w:rPr>
          <w:rFonts w:ascii="Georgia"/>
          <w:spacing w:val="-18"/>
          <w:w w:val="110"/>
          <w:sz w:val="12"/>
        </w:rPr>
        <w:t> </w:t>
      </w:r>
      <w:r>
        <w:rPr>
          <w:rFonts w:ascii="Georgia"/>
          <w:w w:val="110"/>
          <w:sz w:val="12"/>
        </w:rPr>
        <w:t>deviation</w:t>
      </w:r>
      <w:r>
        <w:rPr>
          <w:rFonts w:ascii="Georgia"/>
          <w:spacing w:val="-17"/>
          <w:w w:val="110"/>
          <w:sz w:val="12"/>
        </w:rPr>
        <w:t> </w:t>
      </w:r>
      <w:r>
        <w:rPr>
          <w:w w:val="110"/>
          <w:sz w:val="12"/>
        </w:rPr>
        <w:t>(d)</w:t>
        <w:tab/>
        <w:t>$ per</w:t>
      </w:r>
      <w:r>
        <w:rPr>
          <w:spacing w:val="6"/>
          <w:w w:val="110"/>
          <w:sz w:val="12"/>
        </w:rPr>
        <w:t> </w:t>
      </w:r>
      <w:r>
        <w:rPr>
          <w:spacing w:val="-4"/>
          <w:w w:val="110"/>
          <w:sz w:val="12"/>
        </w:rPr>
        <w:t>barrel</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8"/>
        </w:rPr>
      </w:pPr>
    </w:p>
    <w:p>
      <w:pPr>
        <w:spacing w:before="0"/>
        <w:ind w:left="169" w:right="0" w:firstLine="0"/>
        <w:jc w:val="left"/>
        <w:rPr>
          <w:sz w:val="12"/>
        </w:rPr>
      </w:pPr>
      <w:r>
        <w:rPr/>
        <w:drawing>
          <wp:anchor distT="0" distB="0" distL="0" distR="0" allowOverlap="1" layoutInCell="1" locked="0" behindDoc="0" simplePos="0" relativeHeight="16246272">
            <wp:simplePos x="0" y="0"/>
            <wp:positionH relativeFrom="page">
              <wp:posOffset>614019</wp:posOffset>
            </wp:positionH>
            <wp:positionV relativeFrom="paragraph">
              <wp:posOffset>90579</wp:posOffset>
            </wp:positionV>
            <wp:extent cx="1832237" cy="581025"/>
            <wp:effectExtent l="0" t="0" r="0" b="0"/>
            <wp:wrapNone/>
            <wp:docPr id="507" name="image80.png"/>
            <wp:cNvGraphicFramePr>
              <a:graphicFrameLocks noChangeAspect="1"/>
            </wp:cNvGraphicFramePr>
            <a:graphic>
              <a:graphicData uri="http://schemas.openxmlformats.org/drawingml/2006/picture">
                <pic:pic>
                  <pic:nvPicPr>
                    <pic:cNvPr id="508" name="image80.png"/>
                    <pic:cNvPicPr/>
                  </pic:nvPicPr>
                  <pic:blipFill>
                    <a:blip r:embed="rId137" cstate="print"/>
                    <a:stretch>
                      <a:fillRect/>
                    </a:stretch>
                  </pic:blipFill>
                  <pic:spPr>
                    <a:xfrm>
                      <a:off x="0" y="0"/>
                      <a:ext cx="1832237" cy="581025"/>
                    </a:xfrm>
                    <a:prstGeom prst="rect">
                      <a:avLst/>
                    </a:prstGeom>
                  </pic:spPr>
                </pic:pic>
              </a:graphicData>
            </a:graphic>
          </wp:anchor>
        </w:drawing>
      </w:r>
      <w:r>
        <w:rPr/>
        <w:drawing>
          <wp:anchor distT="0" distB="0" distL="0" distR="0" allowOverlap="1" layoutInCell="1" locked="0" behindDoc="0" simplePos="0" relativeHeight="16247808">
            <wp:simplePos x="0" y="0"/>
            <wp:positionH relativeFrom="page">
              <wp:posOffset>514299</wp:posOffset>
            </wp:positionH>
            <wp:positionV relativeFrom="paragraph">
              <wp:posOffset>-113725</wp:posOffset>
            </wp:positionV>
            <wp:extent cx="55304" cy="6381"/>
            <wp:effectExtent l="0" t="0" r="0" b="0"/>
            <wp:wrapNone/>
            <wp:docPr id="509" name="image8.png"/>
            <wp:cNvGraphicFramePr>
              <a:graphicFrameLocks noChangeAspect="1"/>
            </wp:cNvGraphicFramePr>
            <a:graphic>
              <a:graphicData uri="http://schemas.openxmlformats.org/drawingml/2006/picture">
                <pic:pic>
                  <pic:nvPicPr>
                    <pic:cNvPr id="510"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6248832">
            <wp:simplePos x="0" y="0"/>
            <wp:positionH relativeFrom="page">
              <wp:posOffset>514299</wp:posOffset>
            </wp:positionH>
            <wp:positionV relativeFrom="paragraph">
              <wp:posOffset>-245843</wp:posOffset>
            </wp:positionV>
            <wp:extent cx="55304" cy="6381"/>
            <wp:effectExtent l="0" t="0" r="0" b="0"/>
            <wp:wrapNone/>
            <wp:docPr id="511" name="image8.png"/>
            <wp:cNvGraphicFramePr>
              <a:graphicFrameLocks noChangeAspect="1"/>
            </wp:cNvGraphicFramePr>
            <a:graphic>
              <a:graphicData uri="http://schemas.openxmlformats.org/drawingml/2006/picture">
                <pic:pic>
                  <pic:nvPicPr>
                    <pic:cNvPr id="512"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6250368">
            <wp:simplePos x="0" y="0"/>
            <wp:positionH relativeFrom="page">
              <wp:posOffset>2501709</wp:posOffset>
            </wp:positionH>
            <wp:positionV relativeFrom="paragraph">
              <wp:posOffset>-115655</wp:posOffset>
            </wp:positionV>
            <wp:extent cx="54478" cy="6286"/>
            <wp:effectExtent l="0" t="0" r="0" b="0"/>
            <wp:wrapNone/>
            <wp:docPr id="513" name="image13.png"/>
            <wp:cNvGraphicFramePr>
              <a:graphicFrameLocks noChangeAspect="1"/>
            </wp:cNvGraphicFramePr>
            <a:graphic>
              <a:graphicData uri="http://schemas.openxmlformats.org/drawingml/2006/picture">
                <pic:pic>
                  <pic:nvPicPr>
                    <pic:cNvPr id="514"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6251392">
            <wp:simplePos x="0" y="0"/>
            <wp:positionH relativeFrom="page">
              <wp:posOffset>2501709</wp:posOffset>
            </wp:positionH>
            <wp:positionV relativeFrom="paragraph">
              <wp:posOffset>-247786</wp:posOffset>
            </wp:positionV>
            <wp:extent cx="55304" cy="6381"/>
            <wp:effectExtent l="0" t="0" r="0" b="0"/>
            <wp:wrapNone/>
            <wp:docPr id="515" name="image8.png"/>
            <wp:cNvGraphicFramePr>
              <a:graphicFrameLocks noChangeAspect="1"/>
            </wp:cNvGraphicFramePr>
            <a:graphic>
              <a:graphicData uri="http://schemas.openxmlformats.org/drawingml/2006/picture">
                <pic:pic>
                  <pic:nvPicPr>
                    <pic:cNvPr id="516"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6251904">
            <wp:simplePos x="0" y="0"/>
            <wp:positionH relativeFrom="page">
              <wp:posOffset>514311</wp:posOffset>
            </wp:positionH>
            <wp:positionV relativeFrom="paragraph">
              <wp:posOffset>92167</wp:posOffset>
            </wp:positionV>
            <wp:extent cx="55291" cy="6381"/>
            <wp:effectExtent l="0" t="0" r="0" b="0"/>
            <wp:wrapNone/>
            <wp:docPr id="517" name="image8.png"/>
            <wp:cNvGraphicFramePr>
              <a:graphicFrameLocks noChangeAspect="1"/>
            </wp:cNvGraphicFramePr>
            <a:graphic>
              <a:graphicData uri="http://schemas.openxmlformats.org/drawingml/2006/picture">
                <pic:pic>
                  <pic:nvPicPr>
                    <pic:cNvPr id="518" name="image8.png"/>
                    <pic:cNvPicPr/>
                  </pic:nvPicPr>
                  <pic:blipFill>
                    <a:blip r:embed="rId29"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16252416">
            <wp:simplePos x="0" y="0"/>
            <wp:positionH relativeFrom="page">
              <wp:posOffset>514311</wp:posOffset>
            </wp:positionH>
            <wp:positionV relativeFrom="paragraph">
              <wp:posOffset>285931</wp:posOffset>
            </wp:positionV>
            <wp:extent cx="55291" cy="6381"/>
            <wp:effectExtent l="0" t="0" r="0" b="0"/>
            <wp:wrapNone/>
            <wp:docPr id="519" name="image8.png"/>
            <wp:cNvGraphicFramePr>
              <a:graphicFrameLocks noChangeAspect="1"/>
            </wp:cNvGraphicFramePr>
            <a:graphic>
              <a:graphicData uri="http://schemas.openxmlformats.org/drawingml/2006/picture">
                <pic:pic>
                  <pic:nvPicPr>
                    <pic:cNvPr id="520" name="image8.png"/>
                    <pic:cNvPicPr/>
                  </pic:nvPicPr>
                  <pic:blipFill>
                    <a:blip r:embed="rId29"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16253440">
            <wp:simplePos x="0" y="0"/>
            <wp:positionH relativeFrom="page">
              <wp:posOffset>2501709</wp:posOffset>
            </wp:positionH>
            <wp:positionV relativeFrom="paragraph">
              <wp:posOffset>91354</wp:posOffset>
            </wp:positionV>
            <wp:extent cx="55304" cy="6381"/>
            <wp:effectExtent l="0" t="0" r="0" b="0"/>
            <wp:wrapNone/>
            <wp:docPr id="521" name="image8.png"/>
            <wp:cNvGraphicFramePr>
              <a:graphicFrameLocks noChangeAspect="1"/>
            </wp:cNvGraphicFramePr>
            <a:graphic>
              <a:graphicData uri="http://schemas.openxmlformats.org/drawingml/2006/picture">
                <pic:pic>
                  <pic:nvPicPr>
                    <pic:cNvPr id="522"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6253952">
            <wp:simplePos x="0" y="0"/>
            <wp:positionH relativeFrom="page">
              <wp:posOffset>2501709</wp:posOffset>
            </wp:positionH>
            <wp:positionV relativeFrom="paragraph">
              <wp:posOffset>285118</wp:posOffset>
            </wp:positionV>
            <wp:extent cx="55304" cy="6381"/>
            <wp:effectExtent l="0" t="0" r="0" b="0"/>
            <wp:wrapNone/>
            <wp:docPr id="523" name="image8.png"/>
            <wp:cNvGraphicFramePr>
              <a:graphicFrameLocks noChangeAspect="1"/>
            </wp:cNvGraphicFramePr>
            <a:graphic>
              <a:graphicData uri="http://schemas.openxmlformats.org/drawingml/2006/picture">
                <pic:pic>
                  <pic:nvPicPr>
                    <pic:cNvPr id="524" name="image8.png"/>
                    <pic:cNvPicPr/>
                  </pic:nvPicPr>
                  <pic:blipFill>
                    <a:blip r:embed="rId29" cstate="print"/>
                    <a:stretch>
                      <a:fillRect/>
                    </a:stretch>
                  </pic:blipFill>
                  <pic:spPr>
                    <a:xfrm>
                      <a:off x="0" y="0"/>
                      <a:ext cx="55304" cy="6381"/>
                    </a:xfrm>
                    <a:prstGeom prst="rect">
                      <a:avLst/>
                    </a:prstGeom>
                  </pic:spPr>
                </pic:pic>
              </a:graphicData>
            </a:graphic>
          </wp:anchor>
        </w:drawing>
      </w:r>
      <w:r>
        <w:rPr>
          <w:rFonts w:ascii="Georgia"/>
          <w:sz w:val="12"/>
        </w:rPr>
        <w:t>Skew </w:t>
      </w:r>
      <w:r>
        <w:rPr>
          <w:sz w:val="12"/>
        </w:rPr>
        <w:t>(e)</w:t>
      </w:r>
    </w:p>
    <w:p>
      <w:pPr>
        <w:pStyle w:val="BodyText"/>
      </w:pPr>
    </w:p>
    <w:p>
      <w:pPr>
        <w:pStyle w:val="BodyText"/>
      </w:pPr>
    </w:p>
    <w:p>
      <w:pPr>
        <w:pStyle w:val="BodyText"/>
      </w:pPr>
    </w:p>
    <w:p>
      <w:pPr>
        <w:pStyle w:val="BodyText"/>
        <w:spacing w:before="1"/>
      </w:pPr>
    </w:p>
    <w:p>
      <w:pPr>
        <w:tabs>
          <w:tab w:pos="3299" w:val="left" w:leader="none"/>
        </w:tabs>
        <w:spacing w:line="20" w:lineRule="exact"/>
        <w:ind w:left="169" w:right="-44" w:firstLine="0"/>
        <w:rPr>
          <w:sz w:val="2"/>
        </w:rPr>
      </w:pPr>
      <w:r>
        <w:rPr>
          <w:sz w:val="2"/>
        </w:rPr>
        <w:drawing>
          <wp:inline distT="0" distB="0" distL="0" distR="0">
            <wp:extent cx="54466" cy="6286"/>
            <wp:effectExtent l="0" t="0" r="0" b="0"/>
            <wp:docPr id="525" name="image13.png"/>
            <wp:cNvGraphicFramePr>
              <a:graphicFrameLocks noChangeAspect="1"/>
            </wp:cNvGraphicFramePr>
            <a:graphic>
              <a:graphicData uri="http://schemas.openxmlformats.org/drawingml/2006/picture">
                <pic:pic>
                  <pic:nvPicPr>
                    <pic:cNvPr id="526" name="image13.png"/>
                    <pic:cNvPicPr/>
                  </pic:nvPicPr>
                  <pic:blipFill>
                    <a:blip r:embed="rId34" cstate="print"/>
                    <a:stretch>
                      <a:fillRect/>
                    </a:stretch>
                  </pic:blipFill>
                  <pic:spPr>
                    <a:xfrm>
                      <a:off x="0" y="0"/>
                      <a:ext cx="54466" cy="6286"/>
                    </a:xfrm>
                    <a:prstGeom prst="rect">
                      <a:avLst/>
                    </a:prstGeom>
                  </pic:spPr>
                </pic:pic>
              </a:graphicData>
            </a:graphic>
          </wp:inline>
        </w:drawing>
      </w:r>
      <w:r>
        <w:rPr>
          <w:sz w:val="2"/>
        </w:rPr>
      </w:r>
      <w:r>
        <w:rPr>
          <w:sz w:val="2"/>
        </w:rPr>
        <w:tab/>
      </w:r>
      <w:r>
        <w:rPr>
          <w:sz w:val="2"/>
        </w:rPr>
        <w:drawing>
          <wp:inline distT="0" distB="0" distL="0" distR="0">
            <wp:extent cx="55304" cy="6381"/>
            <wp:effectExtent l="0" t="0" r="0" b="0"/>
            <wp:docPr id="527" name="image8.png"/>
            <wp:cNvGraphicFramePr>
              <a:graphicFrameLocks noChangeAspect="1"/>
            </wp:cNvGraphicFramePr>
            <a:graphic>
              <a:graphicData uri="http://schemas.openxmlformats.org/drawingml/2006/picture">
                <pic:pic>
                  <pic:nvPicPr>
                    <pic:cNvPr id="528" name="image8.png"/>
                    <pic:cNvPicPr/>
                  </pic:nvPicPr>
                  <pic:blipFill>
                    <a:blip r:embed="rId29" cstate="print"/>
                    <a:stretch>
                      <a:fillRect/>
                    </a:stretch>
                  </pic:blipFill>
                  <pic:spPr>
                    <a:xfrm>
                      <a:off x="0" y="0"/>
                      <a:ext cx="55304" cy="6381"/>
                    </a:xfrm>
                    <a:prstGeom prst="rect">
                      <a:avLst/>
                    </a:prstGeom>
                  </pic:spPr>
                </pic:pic>
              </a:graphicData>
            </a:graphic>
          </wp:inline>
        </w:drawing>
      </w:r>
      <w:r>
        <w:rPr>
          <w:sz w:val="2"/>
        </w:rPr>
      </w:r>
    </w:p>
    <w:p>
      <w:pPr>
        <w:tabs>
          <w:tab w:pos="786" w:val="left" w:leader="none"/>
          <w:tab w:pos="1237" w:val="left" w:leader="none"/>
          <w:tab w:pos="1690" w:val="left" w:leader="none"/>
          <w:tab w:pos="2103" w:val="left" w:leader="none"/>
          <w:tab w:pos="3020" w:val="left" w:leader="none"/>
        </w:tabs>
        <w:spacing w:before="0"/>
        <w:ind w:left="364" w:right="0" w:firstLine="0"/>
        <w:jc w:val="left"/>
        <w:rPr>
          <w:sz w:val="12"/>
        </w:rPr>
      </w:pPr>
      <w:r>
        <w:rPr/>
        <w:drawing>
          <wp:anchor distT="0" distB="0" distL="0" distR="0" allowOverlap="1" layoutInCell="1" locked="0" behindDoc="0" simplePos="0" relativeHeight="16252928">
            <wp:simplePos x="0" y="0"/>
            <wp:positionH relativeFrom="page">
              <wp:posOffset>514311</wp:posOffset>
            </wp:positionH>
            <wp:positionV relativeFrom="paragraph">
              <wp:posOffset>-200926</wp:posOffset>
            </wp:positionV>
            <wp:extent cx="54466" cy="6286"/>
            <wp:effectExtent l="0" t="0" r="0" b="0"/>
            <wp:wrapNone/>
            <wp:docPr id="529" name="image13.png"/>
            <wp:cNvGraphicFramePr>
              <a:graphicFrameLocks noChangeAspect="1"/>
            </wp:cNvGraphicFramePr>
            <a:graphic>
              <a:graphicData uri="http://schemas.openxmlformats.org/drawingml/2006/picture">
                <pic:pic>
                  <pic:nvPicPr>
                    <pic:cNvPr id="530" name="image13.png"/>
                    <pic:cNvPicPr/>
                  </pic:nvPicPr>
                  <pic:blipFill>
                    <a:blip r:embed="rId34" cstate="print"/>
                    <a:stretch>
                      <a:fillRect/>
                    </a:stretch>
                  </pic:blipFill>
                  <pic:spPr>
                    <a:xfrm>
                      <a:off x="0" y="0"/>
                      <a:ext cx="54466" cy="6286"/>
                    </a:xfrm>
                    <a:prstGeom prst="rect">
                      <a:avLst/>
                    </a:prstGeom>
                  </pic:spPr>
                </pic:pic>
              </a:graphicData>
            </a:graphic>
          </wp:anchor>
        </w:drawing>
      </w:r>
      <w:r>
        <w:rPr/>
        <w:drawing>
          <wp:anchor distT="0" distB="0" distL="0" distR="0" allowOverlap="1" layoutInCell="1" locked="0" behindDoc="0" simplePos="0" relativeHeight="16254464">
            <wp:simplePos x="0" y="0"/>
            <wp:positionH relativeFrom="page">
              <wp:posOffset>2501709</wp:posOffset>
            </wp:positionH>
            <wp:positionV relativeFrom="paragraph">
              <wp:posOffset>-201726</wp:posOffset>
            </wp:positionV>
            <wp:extent cx="54478" cy="6286"/>
            <wp:effectExtent l="0" t="0" r="0" b="0"/>
            <wp:wrapNone/>
            <wp:docPr id="531" name="image13.png"/>
            <wp:cNvGraphicFramePr>
              <a:graphicFrameLocks noChangeAspect="1"/>
            </wp:cNvGraphicFramePr>
            <a:graphic>
              <a:graphicData uri="http://schemas.openxmlformats.org/drawingml/2006/picture">
                <pic:pic>
                  <pic:nvPicPr>
                    <pic:cNvPr id="532" name="image13.png"/>
                    <pic:cNvPicPr/>
                  </pic:nvPicPr>
                  <pic:blipFill>
                    <a:blip r:embed="rId34" cstate="print"/>
                    <a:stretch>
                      <a:fillRect/>
                    </a:stretch>
                  </pic:blipFill>
                  <pic:spPr>
                    <a:xfrm>
                      <a:off x="0" y="0"/>
                      <a:ext cx="54478" cy="6286"/>
                    </a:xfrm>
                    <a:prstGeom prst="rect">
                      <a:avLst/>
                    </a:prstGeom>
                  </pic:spPr>
                </pic:pic>
              </a:graphicData>
            </a:graphic>
          </wp:anchor>
        </w:drawing>
      </w:r>
      <w:r>
        <w:rPr>
          <w:sz w:val="12"/>
        </w:rPr>
        <w:t>Jan.</w:t>
        <w:tab/>
        <w:t>Mar.</w:t>
        <w:tab/>
        <w:t>May</w:t>
        <w:tab/>
        <w:t>July</w:t>
        <w:tab/>
        <w:t>Sept.     </w:t>
      </w:r>
      <w:r>
        <w:rPr>
          <w:spacing w:val="24"/>
          <w:sz w:val="12"/>
        </w:rPr>
        <w:t> </w:t>
      </w:r>
      <w:r>
        <w:rPr>
          <w:sz w:val="12"/>
        </w:rPr>
        <w:t>Nov.</w:t>
        <w:tab/>
        <w:t>Jan.</w:t>
      </w:r>
    </w:p>
    <w:p>
      <w:pPr>
        <w:pStyle w:val="BodyText"/>
        <w:spacing w:before="6"/>
        <w:rPr>
          <w:sz w:val="13"/>
        </w:rPr>
      </w:pPr>
      <w:r>
        <w:rPr/>
        <w:br w:type="column"/>
      </w:r>
      <w:r>
        <w:rPr>
          <w:sz w:val="13"/>
        </w:rPr>
      </w:r>
    </w:p>
    <w:p>
      <w:pPr>
        <w:spacing w:before="0"/>
        <w:ind w:left="92" w:right="0" w:firstLine="0"/>
        <w:jc w:val="left"/>
        <w:rPr>
          <w:sz w:val="12"/>
        </w:rPr>
      </w:pPr>
      <w:r>
        <w:rPr>
          <w:w w:val="121"/>
          <w:sz w:val="12"/>
        </w:rPr>
        <w:t>8</w:t>
      </w:r>
    </w:p>
    <w:p>
      <w:pPr>
        <w:spacing w:before="65"/>
        <w:ind w:left="92" w:right="0" w:firstLine="0"/>
        <w:jc w:val="left"/>
        <w:rPr>
          <w:sz w:val="12"/>
        </w:rPr>
      </w:pPr>
      <w:r>
        <w:rPr>
          <w:w w:val="121"/>
          <w:sz w:val="12"/>
        </w:rPr>
        <w:t>6</w:t>
      </w:r>
    </w:p>
    <w:p>
      <w:pPr>
        <w:spacing w:before="66"/>
        <w:ind w:left="92" w:right="0" w:firstLine="0"/>
        <w:jc w:val="left"/>
        <w:rPr>
          <w:sz w:val="12"/>
        </w:rPr>
      </w:pPr>
      <w:r>
        <w:rPr>
          <w:w w:val="121"/>
          <w:sz w:val="12"/>
        </w:rPr>
        <w:t>4</w:t>
      </w:r>
    </w:p>
    <w:p>
      <w:pPr>
        <w:spacing w:before="66"/>
        <w:ind w:left="92" w:right="0" w:firstLine="0"/>
        <w:jc w:val="left"/>
        <w:rPr>
          <w:sz w:val="12"/>
        </w:rPr>
      </w:pPr>
      <w:r>
        <w:rPr>
          <w:w w:val="121"/>
          <w:sz w:val="12"/>
        </w:rPr>
        <w:t>2</w:t>
      </w:r>
    </w:p>
    <w:p>
      <w:pPr>
        <w:spacing w:before="66"/>
        <w:ind w:left="92" w:right="0" w:firstLine="0"/>
        <w:jc w:val="left"/>
        <w:rPr>
          <w:sz w:val="12"/>
        </w:rPr>
      </w:pPr>
      <w:r>
        <w:rPr>
          <w:w w:val="121"/>
          <w:sz w:val="12"/>
        </w:rPr>
        <w:t>0</w:t>
      </w:r>
    </w:p>
    <w:p>
      <w:pPr>
        <w:pStyle w:val="BodyText"/>
        <w:spacing w:before="5"/>
        <w:rPr>
          <w:sz w:val="17"/>
        </w:rPr>
      </w:pPr>
    </w:p>
    <w:p>
      <w:pPr>
        <w:spacing w:before="0"/>
        <w:ind w:left="-7" w:right="0" w:firstLine="0"/>
        <w:jc w:val="left"/>
        <w:rPr>
          <w:sz w:val="12"/>
        </w:rPr>
      </w:pPr>
      <w:r>
        <w:rPr>
          <w:w w:val="115"/>
          <w:sz w:val="12"/>
        </w:rPr>
        <w:t>1.2</w:t>
      </w:r>
    </w:p>
    <w:p>
      <w:pPr>
        <w:pStyle w:val="BodyText"/>
        <w:spacing w:before="2"/>
        <w:rPr>
          <w:sz w:val="14"/>
        </w:rPr>
      </w:pPr>
    </w:p>
    <w:p>
      <w:pPr>
        <w:spacing w:before="0"/>
        <w:ind w:left="-7" w:right="0" w:firstLine="0"/>
        <w:jc w:val="left"/>
        <w:rPr>
          <w:sz w:val="12"/>
        </w:rPr>
      </w:pPr>
      <w:r>
        <w:rPr>
          <w:w w:val="115"/>
          <w:sz w:val="12"/>
        </w:rPr>
        <w:t>0.8</w:t>
      </w:r>
    </w:p>
    <w:p>
      <w:pPr>
        <w:pStyle w:val="BodyText"/>
        <w:spacing w:before="2"/>
        <w:rPr>
          <w:sz w:val="14"/>
        </w:rPr>
      </w:pPr>
    </w:p>
    <w:p>
      <w:pPr>
        <w:spacing w:before="0"/>
        <w:ind w:left="-7" w:right="0" w:firstLine="0"/>
        <w:jc w:val="left"/>
        <w:rPr>
          <w:sz w:val="12"/>
        </w:rPr>
      </w:pPr>
      <w:r>
        <w:rPr>
          <w:w w:val="115"/>
          <w:sz w:val="12"/>
        </w:rPr>
        <w:t>0.4</w:t>
      </w:r>
    </w:p>
    <w:p>
      <w:pPr>
        <w:pStyle w:val="BodyText"/>
        <w:spacing w:before="2"/>
        <w:rPr>
          <w:sz w:val="14"/>
        </w:rPr>
      </w:pPr>
    </w:p>
    <w:p>
      <w:pPr>
        <w:spacing w:before="0"/>
        <w:ind w:left="-7" w:right="0" w:firstLine="0"/>
        <w:jc w:val="left"/>
        <w:rPr>
          <w:sz w:val="12"/>
        </w:rPr>
      </w:pPr>
      <w:r>
        <w:rPr>
          <w:w w:val="115"/>
          <w:sz w:val="12"/>
        </w:rPr>
        <w:t>0.0</w:t>
      </w:r>
    </w:p>
    <w:p>
      <w:pPr>
        <w:pStyle w:val="BodyText"/>
        <w:spacing w:line="292" w:lineRule="auto"/>
        <w:ind w:left="169" w:right="345"/>
      </w:pPr>
      <w:r>
        <w:rPr/>
        <w:br w:type="column"/>
      </w:r>
      <w:r>
        <w:rPr>
          <w:w w:val="110"/>
        </w:rPr>
        <w:t>seen around the publication times of the August and November </w:t>
      </w:r>
      <w:r>
        <w:rPr>
          <w:i/>
          <w:w w:val="110"/>
        </w:rPr>
        <w:t>Reports</w:t>
      </w:r>
      <w:r>
        <w:rPr>
          <w:w w:val="110"/>
        </w:rPr>
        <w:t>. The MPC has, in line with those movements,</w:t>
      </w:r>
      <w:r>
        <w:rPr>
          <w:spacing w:val="-24"/>
          <w:w w:val="110"/>
        </w:rPr>
        <w:t> </w:t>
      </w:r>
      <w:r>
        <w:rPr>
          <w:w w:val="110"/>
        </w:rPr>
        <w:t>revised</w:t>
      </w:r>
      <w:r>
        <w:rPr>
          <w:spacing w:val="-24"/>
          <w:w w:val="110"/>
        </w:rPr>
        <w:t> </w:t>
      </w:r>
      <w:r>
        <w:rPr>
          <w:w w:val="110"/>
        </w:rPr>
        <w:t>down</w:t>
      </w:r>
      <w:r>
        <w:rPr>
          <w:spacing w:val="-24"/>
          <w:w w:val="110"/>
        </w:rPr>
        <w:t> </w:t>
      </w:r>
      <w:r>
        <w:rPr>
          <w:w w:val="110"/>
        </w:rPr>
        <w:t>its</w:t>
      </w:r>
      <w:r>
        <w:rPr>
          <w:spacing w:val="-23"/>
          <w:w w:val="110"/>
        </w:rPr>
        <w:t> </w:t>
      </w:r>
      <w:r>
        <w:rPr>
          <w:w w:val="110"/>
        </w:rPr>
        <w:t>central</w:t>
      </w:r>
      <w:r>
        <w:rPr>
          <w:spacing w:val="-24"/>
          <w:w w:val="110"/>
        </w:rPr>
        <w:t> </w:t>
      </w:r>
      <w:r>
        <w:rPr>
          <w:w w:val="110"/>
        </w:rPr>
        <w:t>projection</w:t>
      </w:r>
      <w:r>
        <w:rPr>
          <w:spacing w:val="-24"/>
          <w:w w:val="110"/>
        </w:rPr>
        <w:t> </w:t>
      </w:r>
      <w:r>
        <w:rPr>
          <w:w w:val="110"/>
        </w:rPr>
        <w:t>for</w:t>
      </w:r>
      <w:r>
        <w:rPr>
          <w:spacing w:val="-23"/>
          <w:w w:val="110"/>
        </w:rPr>
        <w:t> </w:t>
      </w:r>
      <w:r>
        <w:rPr>
          <w:w w:val="110"/>
        </w:rPr>
        <w:t>the</w:t>
      </w:r>
      <w:r>
        <w:rPr>
          <w:spacing w:val="-24"/>
          <w:w w:val="110"/>
        </w:rPr>
        <w:t> </w:t>
      </w:r>
      <w:r>
        <w:rPr>
          <w:w w:val="110"/>
        </w:rPr>
        <w:t>Brent oil</w:t>
      </w:r>
      <w:r>
        <w:rPr>
          <w:spacing w:val="-7"/>
          <w:w w:val="110"/>
        </w:rPr>
        <w:t> </w:t>
      </w:r>
      <w:r>
        <w:rPr>
          <w:w w:val="110"/>
        </w:rPr>
        <w:t>price</w:t>
      </w:r>
      <w:r>
        <w:rPr>
          <w:spacing w:val="-7"/>
          <w:w w:val="110"/>
        </w:rPr>
        <w:t> </w:t>
      </w:r>
      <w:r>
        <w:rPr>
          <w:w w:val="110"/>
        </w:rPr>
        <w:t>at</w:t>
      </w:r>
      <w:r>
        <w:rPr>
          <w:spacing w:val="-7"/>
          <w:w w:val="110"/>
        </w:rPr>
        <w:t> </w:t>
      </w:r>
      <w:r>
        <w:rPr>
          <w:w w:val="110"/>
        </w:rPr>
        <w:t>the</w:t>
      </w:r>
      <w:r>
        <w:rPr>
          <w:spacing w:val="-7"/>
          <w:w w:val="110"/>
        </w:rPr>
        <w:t> </w:t>
      </w:r>
      <w:r>
        <w:rPr>
          <w:spacing w:val="-5"/>
          <w:w w:val="110"/>
        </w:rPr>
        <w:t>two-year</w:t>
      </w:r>
      <w:r>
        <w:rPr>
          <w:spacing w:val="-7"/>
          <w:w w:val="110"/>
        </w:rPr>
        <w:t> </w:t>
      </w:r>
      <w:r>
        <w:rPr>
          <w:w w:val="110"/>
        </w:rPr>
        <w:t>horizon</w:t>
      </w:r>
      <w:r>
        <w:rPr>
          <w:spacing w:val="-7"/>
          <w:w w:val="110"/>
        </w:rPr>
        <w:t> </w:t>
      </w:r>
      <w:r>
        <w:rPr>
          <w:spacing w:val="-4"/>
          <w:w w:val="110"/>
        </w:rPr>
        <w:t>to</w:t>
      </w:r>
      <w:r>
        <w:rPr>
          <w:spacing w:val="-7"/>
          <w:w w:val="110"/>
        </w:rPr>
        <w:t> </w:t>
      </w:r>
      <w:r>
        <w:rPr>
          <w:w w:val="110"/>
        </w:rPr>
        <w:t>around</w:t>
      </w:r>
      <w:r>
        <w:rPr>
          <w:spacing w:val="-7"/>
          <w:w w:val="110"/>
        </w:rPr>
        <w:t> </w:t>
      </w:r>
      <w:r>
        <w:rPr>
          <w:spacing w:val="-6"/>
          <w:w w:val="110"/>
        </w:rPr>
        <w:t>$22</w:t>
      </w:r>
      <w:r>
        <w:rPr>
          <w:spacing w:val="-7"/>
          <w:w w:val="110"/>
        </w:rPr>
        <w:t> </w:t>
      </w:r>
      <w:r>
        <w:rPr>
          <w:w w:val="110"/>
        </w:rPr>
        <w:t>per</w:t>
      </w:r>
      <w:r>
        <w:rPr>
          <w:spacing w:val="-7"/>
          <w:w w:val="110"/>
        </w:rPr>
        <w:t> </w:t>
      </w:r>
      <w:r>
        <w:rPr>
          <w:w w:val="110"/>
        </w:rPr>
        <w:t>barrel.</w:t>
      </w:r>
    </w:p>
    <w:p>
      <w:pPr>
        <w:pStyle w:val="BodyText"/>
        <w:spacing w:line="292" w:lineRule="auto"/>
        <w:ind w:left="169" w:right="260"/>
      </w:pPr>
      <w:r>
        <w:rPr>
          <w:spacing w:val="-2"/>
          <w:w w:val="110"/>
        </w:rPr>
        <w:t>Market</w:t>
      </w:r>
      <w:r>
        <w:rPr>
          <w:spacing w:val="-16"/>
          <w:w w:val="110"/>
        </w:rPr>
        <w:t> </w:t>
      </w:r>
      <w:r>
        <w:rPr>
          <w:w w:val="110"/>
        </w:rPr>
        <w:t>uncertainty</w:t>
      </w:r>
      <w:r>
        <w:rPr>
          <w:spacing w:val="-16"/>
          <w:w w:val="110"/>
        </w:rPr>
        <w:t> </w:t>
      </w:r>
      <w:r>
        <w:rPr>
          <w:w w:val="110"/>
        </w:rPr>
        <w:t>about</w:t>
      </w:r>
      <w:r>
        <w:rPr>
          <w:spacing w:val="-15"/>
          <w:w w:val="110"/>
        </w:rPr>
        <w:t> </w:t>
      </w:r>
      <w:r>
        <w:rPr>
          <w:w w:val="110"/>
        </w:rPr>
        <w:t>the</w:t>
      </w:r>
      <w:r>
        <w:rPr>
          <w:spacing w:val="-16"/>
          <w:w w:val="110"/>
        </w:rPr>
        <w:t> </w:t>
      </w:r>
      <w:r>
        <w:rPr>
          <w:w w:val="110"/>
        </w:rPr>
        <w:t>path</w:t>
      </w:r>
      <w:r>
        <w:rPr>
          <w:spacing w:val="-16"/>
          <w:w w:val="110"/>
        </w:rPr>
        <w:t> </w:t>
      </w:r>
      <w:r>
        <w:rPr>
          <w:w w:val="110"/>
        </w:rPr>
        <w:t>of</w:t>
      </w:r>
      <w:r>
        <w:rPr>
          <w:spacing w:val="-15"/>
          <w:w w:val="110"/>
        </w:rPr>
        <w:t> </w:t>
      </w:r>
      <w:r>
        <w:rPr>
          <w:w w:val="110"/>
        </w:rPr>
        <w:t>oil</w:t>
      </w:r>
      <w:r>
        <w:rPr>
          <w:spacing w:val="-16"/>
          <w:w w:val="110"/>
        </w:rPr>
        <w:t> </w:t>
      </w:r>
      <w:r>
        <w:rPr>
          <w:w w:val="110"/>
        </w:rPr>
        <w:t>prices,</w:t>
      </w:r>
      <w:r>
        <w:rPr>
          <w:spacing w:val="-16"/>
          <w:w w:val="110"/>
        </w:rPr>
        <w:t> </w:t>
      </w:r>
      <w:r>
        <w:rPr>
          <w:w w:val="110"/>
        </w:rPr>
        <w:t>as</w:t>
      </w:r>
      <w:r>
        <w:rPr>
          <w:spacing w:val="-15"/>
          <w:w w:val="110"/>
        </w:rPr>
        <w:t> </w:t>
      </w:r>
      <w:r>
        <w:rPr>
          <w:w w:val="110"/>
        </w:rPr>
        <w:t>measured </w:t>
      </w:r>
      <w:r>
        <w:rPr>
          <w:spacing w:val="-3"/>
          <w:w w:val="110"/>
        </w:rPr>
        <w:t>by </w:t>
      </w:r>
      <w:r>
        <w:rPr>
          <w:w w:val="110"/>
        </w:rPr>
        <w:t>the standard deviation of the distribution for oil prices implied </w:t>
      </w:r>
      <w:r>
        <w:rPr>
          <w:spacing w:val="-3"/>
          <w:w w:val="110"/>
        </w:rPr>
        <w:t>by </w:t>
      </w:r>
      <w:r>
        <w:rPr>
          <w:w w:val="110"/>
        </w:rPr>
        <w:t>futures contracts, has remained high in recent weeks</w:t>
      </w:r>
      <w:r>
        <w:rPr>
          <w:spacing w:val="-22"/>
          <w:w w:val="110"/>
        </w:rPr>
        <w:t> </w:t>
      </w:r>
      <w:r>
        <w:rPr>
          <w:w w:val="110"/>
        </w:rPr>
        <w:t>(see</w:t>
      </w:r>
      <w:r>
        <w:rPr>
          <w:spacing w:val="-21"/>
          <w:w w:val="110"/>
        </w:rPr>
        <w:t> </w:t>
      </w:r>
      <w:r>
        <w:rPr>
          <w:w w:val="110"/>
        </w:rPr>
        <w:t>Chart</w:t>
      </w:r>
      <w:r>
        <w:rPr>
          <w:spacing w:val="-21"/>
          <w:w w:val="110"/>
        </w:rPr>
        <w:t> </w:t>
      </w:r>
      <w:r>
        <w:rPr>
          <w:w w:val="110"/>
        </w:rPr>
        <w:t>4.2).</w:t>
      </w:r>
      <w:r>
        <w:rPr>
          <w:spacing w:val="13"/>
          <w:w w:val="110"/>
        </w:rPr>
        <w:t> </w:t>
      </w:r>
      <w:r>
        <w:rPr>
          <w:w w:val="110"/>
        </w:rPr>
        <w:t>The</w:t>
      </w:r>
      <w:r>
        <w:rPr>
          <w:spacing w:val="-22"/>
          <w:w w:val="110"/>
        </w:rPr>
        <w:t> </w:t>
      </w:r>
      <w:r>
        <w:rPr>
          <w:spacing w:val="-3"/>
          <w:w w:val="110"/>
        </w:rPr>
        <w:t>skew</w:t>
      </w:r>
      <w:r>
        <w:rPr>
          <w:spacing w:val="-21"/>
          <w:w w:val="110"/>
        </w:rPr>
        <w:t> </w:t>
      </w:r>
      <w:r>
        <w:rPr>
          <w:w w:val="110"/>
        </w:rPr>
        <w:t>of</w:t>
      </w:r>
      <w:r>
        <w:rPr>
          <w:spacing w:val="-21"/>
          <w:w w:val="110"/>
        </w:rPr>
        <w:t> </w:t>
      </w:r>
      <w:r>
        <w:rPr>
          <w:w w:val="110"/>
        </w:rPr>
        <w:t>the</w:t>
      </w:r>
      <w:r>
        <w:rPr>
          <w:spacing w:val="-21"/>
          <w:w w:val="110"/>
        </w:rPr>
        <w:t> </w:t>
      </w:r>
      <w:r>
        <w:rPr>
          <w:w w:val="110"/>
        </w:rPr>
        <w:t>distribution</w:t>
      </w:r>
      <w:r>
        <w:rPr>
          <w:spacing w:val="-22"/>
          <w:w w:val="110"/>
        </w:rPr>
        <w:t> </w:t>
      </w:r>
      <w:r>
        <w:rPr>
          <w:w w:val="110"/>
        </w:rPr>
        <w:t>suggests</w:t>
      </w:r>
    </w:p>
    <w:p>
      <w:pPr>
        <w:pStyle w:val="BodyText"/>
        <w:spacing w:line="212" w:lineRule="exact"/>
        <w:ind w:left="169"/>
      </w:pPr>
      <w:r>
        <w:rPr>
          <w:w w:val="110"/>
        </w:rPr>
        <w:t>that the balance of risks is still judged by market participants</w:t>
      </w:r>
    </w:p>
    <w:p>
      <w:pPr>
        <w:spacing w:after="0" w:line="212" w:lineRule="exact"/>
        <w:sectPr>
          <w:type w:val="continuous"/>
          <w:pgSz w:w="11900" w:h="16840"/>
          <w:pgMar w:top="1260" w:bottom="280" w:left="640" w:right="640"/>
          <w:cols w:num="3" w:equalWidth="0">
            <w:col w:w="3387" w:space="40"/>
            <w:col w:w="206" w:space="1297"/>
            <w:col w:w="5690"/>
          </w:cols>
        </w:sectPr>
      </w:pPr>
    </w:p>
    <w:p>
      <w:pPr>
        <w:tabs>
          <w:tab w:pos="3051" w:val="left" w:leader="none"/>
        </w:tabs>
        <w:spacing w:line="111" w:lineRule="exact" w:before="0"/>
        <w:ind w:left="1507" w:right="0" w:firstLine="0"/>
        <w:jc w:val="left"/>
        <w:rPr>
          <w:sz w:val="12"/>
        </w:rPr>
      </w:pPr>
      <w:r>
        <w:rPr>
          <w:w w:val="120"/>
          <w:sz w:val="12"/>
        </w:rPr>
        <w:t>2000</w:t>
        <w:tab/>
        <w:t>01</w:t>
      </w:r>
    </w:p>
    <w:p>
      <w:pPr>
        <w:spacing w:before="54"/>
        <w:ind w:left="195" w:right="0" w:firstLine="0"/>
        <w:jc w:val="left"/>
        <w:rPr>
          <w:sz w:val="12"/>
        </w:rPr>
      </w:pPr>
      <w:r>
        <w:rPr>
          <w:w w:val="105"/>
          <w:sz w:val="12"/>
        </w:rPr>
        <w:t>Sources: NYMEX and Bank of England.</w:t>
      </w:r>
    </w:p>
    <w:p>
      <w:pPr>
        <w:pStyle w:val="BodyText"/>
        <w:spacing w:before="2"/>
        <w:rPr>
          <w:sz w:val="10"/>
        </w:rPr>
      </w:pPr>
    </w:p>
    <w:p>
      <w:pPr>
        <w:pStyle w:val="ListParagraph"/>
        <w:numPr>
          <w:ilvl w:val="0"/>
          <w:numId w:val="27"/>
        </w:numPr>
        <w:tabs>
          <w:tab w:pos="436" w:val="left" w:leader="none"/>
        </w:tabs>
        <w:spacing w:line="208" w:lineRule="auto" w:before="0" w:after="0"/>
        <w:ind w:left="435" w:right="107" w:hanging="240"/>
        <w:jc w:val="left"/>
        <w:rPr>
          <w:sz w:val="12"/>
        </w:rPr>
      </w:pPr>
      <w:r>
        <w:rPr>
          <w:w w:val="110"/>
          <w:sz w:val="12"/>
        </w:rPr>
        <w:t>Derived</w:t>
      </w:r>
      <w:r>
        <w:rPr>
          <w:spacing w:val="-21"/>
          <w:w w:val="110"/>
          <w:sz w:val="12"/>
        </w:rPr>
        <w:t> </w:t>
      </w:r>
      <w:r>
        <w:rPr>
          <w:w w:val="110"/>
          <w:sz w:val="12"/>
        </w:rPr>
        <w:t>from</w:t>
      </w:r>
      <w:r>
        <w:rPr>
          <w:spacing w:val="-20"/>
          <w:w w:val="110"/>
          <w:sz w:val="12"/>
        </w:rPr>
        <w:t> </w:t>
      </w:r>
      <w:r>
        <w:rPr>
          <w:w w:val="110"/>
          <w:sz w:val="12"/>
        </w:rPr>
        <w:t>option</w:t>
      </w:r>
      <w:r>
        <w:rPr>
          <w:spacing w:val="-20"/>
          <w:w w:val="110"/>
          <w:sz w:val="12"/>
        </w:rPr>
        <w:t> </w:t>
      </w:r>
      <w:r>
        <w:rPr>
          <w:w w:val="110"/>
          <w:sz w:val="12"/>
        </w:rPr>
        <w:t>prices</w:t>
      </w:r>
      <w:r>
        <w:rPr>
          <w:spacing w:val="-20"/>
          <w:w w:val="110"/>
          <w:sz w:val="12"/>
        </w:rPr>
        <w:t> </w:t>
      </w:r>
      <w:r>
        <w:rPr>
          <w:w w:val="110"/>
          <w:sz w:val="12"/>
        </w:rPr>
        <w:t>for</w:t>
      </w:r>
      <w:r>
        <w:rPr>
          <w:spacing w:val="-20"/>
          <w:w w:val="110"/>
          <w:sz w:val="12"/>
        </w:rPr>
        <w:t> </w:t>
      </w:r>
      <w:r>
        <w:rPr>
          <w:spacing w:val="-3"/>
          <w:w w:val="110"/>
          <w:sz w:val="12"/>
        </w:rPr>
        <w:t>West</w:t>
      </w:r>
      <w:r>
        <w:rPr>
          <w:spacing w:val="-20"/>
          <w:w w:val="110"/>
          <w:sz w:val="12"/>
        </w:rPr>
        <w:t> </w:t>
      </w:r>
      <w:r>
        <w:rPr>
          <w:spacing w:val="-4"/>
          <w:w w:val="110"/>
          <w:sz w:val="12"/>
        </w:rPr>
        <w:t>Texas</w:t>
      </w:r>
      <w:r>
        <w:rPr>
          <w:spacing w:val="-20"/>
          <w:w w:val="110"/>
          <w:sz w:val="12"/>
        </w:rPr>
        <w:t> </w:t>
      </w:r>
      <w:r>
        <w:rPr>
          <w:w w:val="110"/>
          <w:sz w:val="12"/>
        </w:rPr>
        <w:t>Intermediate</w:t>
      </w:r>
      <w:r>
        <w:rPr>
          <w:spacing w:val="-20"/>
          <w:w w:val="110"/>
          <w:sz w:val="12"/>
        </w:rPr>
        <w:t> </w:t>
      </w:r>
      <w:r>
        <w:rPr>
          <w:w w:val="110"/>
          <w:sz w:val="12"/>
        </w:rPr>
        <w:t>oil</w:t>
      </w:r>
      <w:r>
        <w:rPr>
          <w:spacing w:val="-21"/>
          <w:w w:val="110"/>
          <w:sz w:val="12"/>
        </w:rPr>
        <w:t> </w:t>
      </w:r>
      <w:r>
        <w:rPr>
          <w:w w:val="110"/>
          <w:sz w:val="12"/>
        </w:rPr>
        <w:t>(WTI). Prices for WTI tend on average to be around $1 per barrel higher than those for Brent crude</w:t>
      </w:r>
      <w:r>
        <w:rPr>
          <w:spacing w:val="-23"/>
          <w:w w:val="110"/>
          <w:sz w:val="12"/>
        </w:rPr>
        <w:t> </w:t>
      </w:r>
      <w:r>
        <w:rPr>
          <w:w w:val="110"/>
          <w:sz w:val="12"/>
        </w:rPr>
        <w:t>oil.</w:t>
      </w:r>
    </w:p>
    <w:p>
      <w:pPr>
        <w:pStyle w:val="ListParagraph"/>
        <w:numPr>
          <w:ilvl w:val="0"/>
          <w:numId w:val="27"/>
        </w:numPr>
        <w:tabs>
          <w:tab w:pos="436" w:val="left" w:leader="none"/>
        </w:tabs>
        <w:spacing w:line="208" w:lineRule="auto" w:before="0" w:after="0"/>
        <w:ind w:left="435" w:right="75" w:hanging="240"/>
        <w:jc w:val="left"/>
        <w:rPr>
          <w:sz w:val="12"/>
        </w:rPr>
      </w:pPr>
      <w:r>
        <w:rPr>
          <w:w w:val="110"/>
          <w:sz w:val="12"/>
        </w:rPr>
        <w:t>Shaded</w:t>
      </w:r>
      <w:r>
        <w:rPr>
          <w:spacing w:val="-13"/>
          <w:w w:val="110"/>
          <w:sz w:val="12"/>
        </w:rPr>
        <w:t> </w:t>
      </w:r>
      <w:r>
        <w:rPr>
          <w:w w:val="110"/>
          <w:sz w:val="12"/>
        </w:rPr>
        <w:t>area</w:t>
      </w:r>
      <w:r>
        <w:rPr>
          <w:spacing w:val="-12"/>
          <w:w w:val="110"/>
          <w:sz w:val="12"/>
        </w:rPr>
        <w:t> </w:t>
      </w:r>
      <w:r>
        <w:rPr>
          <w:w w:val="110"/>
          <w:sz w:val="12"/>
        </w:rPr>
        <w:t>show</w:t>
      </w:r>
      <w:r>
        <w:rPr>
          <w:spacing w:val="-13"/>
          <w:w w:val="110"/>
          <w:sz w:val="12"/>
        </w:rPr>
        <w:t> </w:t>
      </w:r>
      <w:r>
        <w:rPr>
          <w:spacing w:val="-11"/>
          <w:w w:val="110"/>
          <w:sz w:val="12"/>
        </w:rPr>
        <w:t>15</w:t>
      </w:r>
      <w:r>
        <w:rPr>
          <w:spacing w:val="-13"/>
          <w:w w:val="110"/>
          <w:sz w:val="12"/>
        </w:rPr>
        <w:t> </w:t>
      </w:r>
      <w:r>
        <w:rPr>
          <w:w w:val="110"/>
          <w:sz w:val="12"/>
        </w:rPr>
        <w:t>working</w:t>
      </w:r>
      <w:r>
        <w:rPr>
          <w:spacing w:val="-12"/>
          <w:w w:val="110"/>
          <w:sz w:val="12"/>
        </w:rPr>
        <w:t> </w:t>
      </w:r>
      <w:r>
        <w:rPr>
          <w:w w:val="110"/>
          <w:sz w:val="12"/>
        </w:rPr>
        <w:t>day</w:t>
      </w:r>
      <w:r>
        <w:rPr>
          <w:spacing w:val="-13"/>
          <w:w w:val="110"/>
          <w:sz w:val="12"/>
        </w:rPr>
        <w:t> </w:t>
      </w:r>
      <w:r>
        <w:rPr>
          <w:w w:val="110"/>
          <w:sz w:val="12"/>
        </w:rPr>
        <w:t>periods</w:t>
      </w:r>
      <w:r>
        <w:rPr>
          <w:spacing w:val="-12"/>
          <w:w w:val="110"/>
          <w:sz w:val="12"/>
        </w:rPr>
        <w:t> </w:t>
      </w:r>
      <w:r>
        <w:rPr>
          <w:w w:val="110"/>
          <w:sz w:val="12"/>
        </w:rPr>
        <w:t>up</w:t>
      </w:r>
      <w:r>
        <w:rPr>
          <w:spacing w:val="-13"/>
          <w:w w:val="110"/>
          <w:sz w:val="12"/>
        </w:rPr>
        <w:t> </w:t>
      </w:r>
      <w:r>
        <w:rPr>
          <w:w w:val="110"/>
          <w:sz w:val="12"/>
        </w:rPr>
        <w:t>to</w:t>
      </w:r>
      <w:r>
        <w:rPr>
          <w:spacing w:val="-12"/>
          <w:w w:val="110"/>
          <w:sz w:val="12"/>
        </w:rPr>
        <w:t> </w:t>
      </w:r>
      <w:r>
        <w:rPr>
          <w:w w:val="110"/>
          <w:sz w:val="12"/>
        </w:rPr>
        <w:t>the</w:t>
      </w:r>
      <w:r>
        <w:rPr>
          <w:spacing w:val="-13"/>
          <w:w w:val="110"/>
          <w:sz w:val="12"/>
        </w:rPr>
        <w:t> </w:t>
      </w:r>
      <w:r>
        <w:rPr>
          <w:w w:val="110"/>
          <w:sz w:val="12"/>
        </w:rPr>
        <w:t>finalisation</w:t>
      </w:r>
      <w:r>
        <w:rPr>
          <w:spacing w:val="-12"/>
          <w:w w:val="110"/>
          <w:sz w:val="12"/>
        </w:rPr>
        <w:t> </w:t>
      </w:r>
      <w:r>
        <w:rPr>
          <w:w w:val="110"/>
          <w:sz w:val="12"/>
        </w:rPr>
        <w:t>of the November and February</w:t>
      </w:r>
      <w:r>
        <w:rPr>
          <w:spacing w:val="-17"/>
          <w:w w:val="110"/>
          <w:sz w:val="12"/>
        </w:rPr>
        <w:t> </w:t>
      </w:r>
      <w:r>
        <w:rPr>
          <w:w w:val="110"/>
          <w:sz w:val="12"/>
        </w:rPr>
        <w:t>projections.</w:t>
      </w:r>
    </w:p>
    <w:p>
      <w:pPr>
        <w:pStyle w:val="ListParagraph"/>
        <w:numPr>
          <w:ilvl w:val="0"/>
          <w:numId w:val="27"/>
        </w:numPr>
        <w:tabs>
          <w:tab w:pos="435" w:val="left" w:leader="none"/>
        </w:tabs>
        <w:spacing w:line="114" w:lineRule="exact" w:before="0" w:after="0"/>
        <w:ind w:left="435" w:right="0" w:hanging="240"/>
        <w:jc w:val="left"/>
        <w:rPr>
          <w:sz w:val="12"/>
        </w:rPr>
      </w:pPr>
      <w:r>
        <w:rPr>
          <w:w w:val="105"/>
          <w:sz w:val="12"/>
        </w:rPr>
        <w:t>The expected price in six months’</w:t>
      </w:r>
      <w:r>
        <w:rPr>
          <w:spacing w:val="-9"/>
          <w:w w:val="105"/>
          <w:sz w:val="12"/>
        </w:rPr>
        <w:t> </w:t>
      </w:r>
      <w:r>
        <w:rPr>
          <w:w w:val="105"/>
          <w:sz w:val="12"/>
        </w:rPr>
        <w:t>time.</w:t>
      </w:r>
    </w:p>
    <w:p>
      <w:pPr>
        <w:pStyle w:val="ListParagraph"/>
        <w:numPr>
          <w:ilvl w:val="0"/>
          <w:numId w:val="27"/>
        </w:numPr>
        <w:tabs>
          <w:tab w:pos="436" w:val="left" w:leader="none"/>
        </w:tabs>
        <w:spacing w:line="120" w:lineRule="exact" w:before="0" w:after="0"/>
        <w:ind w:left="435" w:right="0" w:hanging="241"/>
        <w:jc w:val="left"/>
        <w:rPr>
          <w:sz w:val="12"/>
        </w:rPr>
      </w:pPr>
      <w:r>
        <w:rPr>
          <w:w w:val="110"/>
          <w:sz w:val="12"/>
        </w:rPr>
        <w:t>The</w:t>
      </w:r>
      <w:r>
        <w:rPr>
          <w:spacing w:val="-13"/>
          <w:w w:val="110"/>
          <w:sz w:val="12"/>
        </w:rPr>
        <w:t> </w:t>
      </w:r>
      <w:r>
        <w:rPr>
          <w:w w:val="110"/>
          <w:sz w:val="12"/>
        </w:rPr>
        <w:t>spread</w:t>
      </w:r>
      <w:r>
        <w:rPr>
          <w:spacing w:val="-12"/>
          <w:w w:val="110"/>
          <w:sz w:val="12"/>
        </w:rPr>
        <w:t> </w:t>
      </w:r>
      <w:r>
        <w:rPr>
          <w:w w:val="110"/>
          <w:sz w:val="12"/>
        </w:rPr>
        <w:t>of</w:t>
      </w:r>
      <w:r>
        <w:rPr>
          <w:spacing w:val="-13"/>
          <w:w w:val="110"/>
          <w:sz w:val="12"/>
        </w:rPr>
        <w:t> </w:t>
      </w:r>
      <w:r>
        <w:rPr>
          <w:w w:val="110"/>
          <w:sz w:val="12"/>
        </w:rPr>
        <w:t>views</w:t>
      </w:r>
      <w:r>
        <w:rPr>
          <w:spacing w:val="-12"/>
          <w:w w:val="110"/>
          <w:sz w:val="12"/>
        </w:rPr>
        <w:t> </w:t>
      </w:r>
      <w:r>
        <w:rPr>
          <w:w w:val="110"/>
          <w:sz w:val="12"/>
        </w:rPr>
        <w:t>about</w:t>
      </w:r>
      <w:r>
        <w:rPr>
          <w:spacing w:val="-13"/>
          <w:w w:val="110"/>
          <w:sz w:val="12"/>
        </w:rPr>
        <w:t> </w:t>
      </w:r>
      <w:r>
        <w:rPr>
          <w:w w:val="110"/>
          <w:sz w:val="12"/>
        </w:rPr>
        <w:t>the</w:t>
      </w:r>
      <w:r>
        <w:rPr>
          <w:spacing w:val="-12"/>
          <w:w w:val="110"/>
          <w:sz w:val="12"/>
        </w:rPr>
        <w:t> </w:t>
      </w:r>
      <w:r>
        <w:rPr>
          <w:w w:val="110"/>
          <w:sz w:val="12"/>
        </w:rPr>
        <w:t>expected</w:t>
      </w:r>
      <w:r>
        <w:rPr>
          <w:spacing w:val="-13"/>
          <w:w w:val="110"/>
          <w:sz w:val="12"/>
        </w:rPr>
        <w:t> </w:t>
      </w:r>
      <w:r>
        <w:rPr>
          <w:w w:val="110"/>
          <w:sz w:val="12"/>
        </w:rPr>
        <w:t>price</w:t>
      </w:r>
      <w:r>
        <w:rPr>
          <w:spacing w:val="-12"/>
          <w:w w:val="110"/>
          <w:sz w:val="12"/>
        </w:rPr>
        <w:t> </w:t>
      </w:r>
      <w:r>
        <w:rPr>
          <w:w w:val="110"/>
          <w:sz w:val="12"/>
        </w:rPr>
        <w:t>in</w:t>
      </w:r>
      <w:r>
        <w:rPr>
          <w:spacing w:val="-13"/>
          <w:w w:val="110"/>
          <w:sz w:val="12"/>
        </w:rPr>
        <w:t> </w:t>
      </w:r>
      <w:r>
        <w:rPr>
          <w:w w:val="110"/>
          <w:sz w:val="12"/>
        </w:rPr>
        <w:t>six</w:t>
      </w:r>
      <w:r>
        <w:rPr>
          <w:spacing w:val="-12"/>
          <w:w w:val="110"/>
          <w:sz w:val="12"/>
        </w:rPr>
        <w:t> </w:t>
      </w:r>
      <w:r>
        <w:rPr>
          <w:w w:val="110"/>
          <w:sz w:val="12"/>
        </w:rPr>
        <w:t>months’</w:t>
      </w:r>
      <w:r>
        <w:rPr>
          <w:spacing w:val="-13"/>
          <w:w w:val="110"/>
          <w:sz w:val="12"/>
        </w:rPr>
        <w:t> </w:t>
      </w:r>
      <w:r>
        <w:rPr>
          <w:w w:val="110"/>
          <w:sz w:val="12"/>
        </w:rPr>
        <w:t>time.</w:t>
      </w:r>
    </w:p>
    <w:p>
      <w:pPr>
        <w:pStyle w:val="ListParagraph"/>
        <w:numPr>
          <w:ilvl w:val="0"/>
          <w:numId w:val="27"/>
        </w:numPr>
        <w:tabs>
          <w:tab w:pos="435" w:val="left" w:leader="none"/>
        </w:tabs>
        <w:spacing w:line="208" w:lineRule="auto" w:before="5" w:after="0"/>
        <w:ind w:left="435" w:right="38" w:hanging="240"/>
        <w:jc w:val="left"/>
        <w:rPr>
          <w:sz w:val="12"/>
        </w:rPr>
      </w:pPr>
      <w:r>
        <w:rPr>
          <w:w w:val="110"/>
          <w:sz w:val="12"/>
        </w:rPr>
        <w:t>Skewness</w:t>
      </w:r>
      <w:r>
        <w:rPr>
          <w:spacing w:val="-17"/>
          <w:w w:val="110"/>
          <w:sz w:val="12"/>
        </w:rPr>
        <w:t> </w:t>
      </w:r>
      <w:r>
        <w:rPr>
          <w:w w:val="110"/>
          <w:sz w:val="12"/>
        </w:rPr>
        <w:t>reflects</w:t>
      </w:r>
      <w:r>
        <w:rPr>
          <w:spacing w:val="-16"/>
          <w:w w:val="110"/>
          <w:sz w:val="12"/>
        </w:rPr>
        <w:t> </w:t>
      </w:r>
      <w:r>
        <w:rPr>
          <w:w w:val="110"/>
          <w:sz w:val="12"/>
        </w:rPr>
        <w:t>the</w:t>
      </w:r>
      <w:r>
        <w:rPr>
          <w:spacing w:val="-17"/>
          <w:w w:val="110"/>
          <w:sz w:val="12"/>
        </w:rPr>
        <w:t> </w:t>
      </w:r>
      <w:r>
        <w:rPr>
          <w:w w:val="110"/>
          <w:sz w:val="12"/>
        </w:rPr>
        <w:t>balance</w:t>
      </w:r>
      <w:r>
        <w:rPr>
          <w:spacing w:val="-16"/>
          <w:w w:val="110"/>
          <w:sz w:val="12"/>
        </w:rPr>
        <w:t> </w:t>
      </w:r>
      <w:r>
        <w:rPr>
          <w:w w:val="110"/>
          <w:sz w:val="12"/>
        </w:rPr>
        <w:t>of</w:t>
      </w:r>
      <w:r>
        <w:rPr>
          <w:spacing w:val="-17"/>
          <w:w w:val="110"/>
          <w:sz w:val="12"/>
        </w:rPr>
        <w:t> </w:t>
      </w:r>
      <w:r>
        <w:rPr>
          <w:w w:val="110"/>
          <w:sz w:val="12"/>
        </w:rPr>
        <w:t>risks</w:t>
      </w:r>
      <w:r>
        <w:rPr>
          <w:spacing w:val="-16"/>
          <w:w w:val="110"/>
          <w:sz w:val="12"/>
        </w:rPr>
        <w:t> </w:t>
      </w:r>
      <w:r>
        <w:rPr>
          <w:w w:val="110"/>
          <w:sz w:val="12"/>
        </w:rPr>
        <w:t>between</w:t>
      </w:r>
      <w:r>
        <w:rPr>
          <w:spacing w:val="-17"/>
          <w:w w:val="110"/>
          <w:sz w:val="12"/>
        </w:rPr>
        <w:t> </w:t>
      </w:r>
      <w:r>
        <w:rPr>
          <w:w w:val="110"/>
          <w:sz w:val="12"/>
        </w:rPr>
        <w:t>a</w:t>
      </w:r>
      <w:r>
        <w:rPr>
          <w:spacing w:val="-16"/>
          <w:w w:val="110"/>
          <w:sz w:val="12"/>
        </w:rPr>
        <w:t> </w:t>
      </w:r>
      <w:r>
        <w:rPr>
          <w:w w:val="110"/>
          <w:sz w:val="12"/>
        </w:rPr>
        <w:t>large</w:t>
      </w:r>
      <w:r>
        <w:rPr>
          <w:spacing w:val="-16"/>
          <w:w w:val="110"/>
          <w:sz w:val="12"/>
        </w:rPr>
        <w:t> </w:t>
      </w:r>
      <w:r>
        <w:rPr>
          <w:w w:val="110"/>
          <w:sz w:val="12"/>
        </w:rPr>
        <w:t>increase</w:t>
      </w:r>
      <w:r>
        <w:rPr>
          <w:spacing w:val="-17"/>
          <w:w w:val="110"/>
          <w:sz w:val="12"/>
        </w:rPr>
        <w:t> </w:t>
      </w:r>
      <w:r>
        <w:rPr>
          <w:w w:val="110"/>
          <w:sz w:val="12"/>
        </w:rPr>
        <w:t>and a large decline in oil price. A positive skew indicates that the balance</w:t>
      </w:r>
      <w:r>
        <w:rPr>
          <w:spacing w:val="-6"/>
          <w:w w:val="110"/>
          <w:sz w:val="12"/>
        </w:rPr>
        <w:t> </w:t>
      </w:r>
      <w:r>
        <w:rPr>
          <w:w w:val="110"/>
          <w:sz w:val="12"/>
        </w:rPr>
        <w:t>of</w:t>
      </w:r>
      <w:r>
        <w:rPr>
          <w:spacing w:val="-5"/>
          <w:w w:val="110"/>
          <w:sz w:val="12"/>
        </w:rPr>
        <w:t> </w:t>
      </w:r>
      <w:r>
        <w:rPr>
          <w:w w:val="110"/>
          <w:sz w:val="12"/>
        </w:rPr>
        <w:t>risks</w:t>
      </w:r>
      <w:r>
        <w:rPr>
          <w:spacing w:val="-6"/>
          <w:w w:val="110"/>
          <w:sz w:val="12"/>
        </w:rPr>
        <w:t> </w:t>
      </w:r>
      <w:r>
        <w:rPr>
          <w:w w:val="110"/>
          <w:sz w:val="12"/>
        </w:rPr>
        <w:t>is</w:t>
      </w:r>
      <w:r>
        <w:rPr>
          <w:spacing w:val="-5"/>
          <w:w w:val="110"/>
          <w:sz w:val="12"/>
        </w:rPr>
        <w:t> </w:t>
      </w:r>
      <w:r>
        <w:rPr>
          <w:w w:val="110"/>
          <w:sz w:val="12"/>
        </w:rPr>
        <w:t>on</w:t>
      </w:r>
      <w:r>
        <w:rPr>
          <w:spacing w:val="-6"/>
          <w:w w:val="110"/>
          <w:sz w:val="12"/>
        </w:rPr>
        <w:t> </w:t>
      </w:r>
      <w:r>
        <w:rPr>
          <w:w w:val="110"/>
          <w:sz w:val="12"/>
        </w:rPr>
        <w:t>the</w:t>
      </w:r>
      <w:r>
        <w:rPr>
          <w:spacing w:val="-5"/>
          <w:w w:val="110"/>
          <w:sz w:val="12"/>
        </w:rPr>
        <w:t> </w:t>
      </w:r>
      <w:r>
        <w:rPr>
          <w:w w:val="110"/>
          <w:sz w:val="12"/>
        </w:rPr>
        <w:t>upside</w:t>
      </w:r>
      <w:r>
        <w:rPr>
          <w:spacing w:val="-5"/>
          <w:w w:val="110"/>
          <w:sz w:val="12"/>
        </w:rPr>
        <w:t> </w:t>
      </w:r>
      <w:r>
        <w:rPr>
          <w:w w:val="110"/>
          <w:sz w:val="12"/>
        </w:rPr>
        <w:t>relative</w:t>
      </w:r>
      <w:r>
        <w:rPr>
          <w:spacing w:val="-6"/>
          <w:w w:val="110"/>
          <w:sz w:val="12"/>
        </w:rPr>
        <w:t> </w:t>
      </w:r>
      <w:r>
        <w:rPr>
          <w:w w:val="110"/>
          <w:sz w:val="12"/>
        </w:rPr>
        <w:t>to</w:t>
      </w:r>
      <w:r>
        <w:rPr>
          <w:spacing w:val="-5"/>
          <w:w w:val="110"/>
          <w:sz w:val="12"/>
        </w:rPr>
        <w:t> </w:t>
      </w:r>
      <w:r>
        <w:rPr>
          <w:w w:val="110"/>
          <w:sz w:val="12"/>
        </w:rPr>
        <w:t>the</w:t>
      </w:r>
      <w:r>
        <w:rPr>
          <w:spacing w:val="-6"/>
          <w:w w:val="110"/>
          <w:sz w:val="12"/>
        </w:rPr>
        <w:t> </w:t>
      </w:r>
      <w:r>
        <w:rPr>
          <w:w w:val="110"/>
          <w:sz w:val="12"/>
        </w:rPr>
        <w:t>mean.</w:t>
      </w:r>
    </w:p>
    <w:p>
      <w:pPr>
        <w:pStyle w:val="BodyText"/>
        <w:spacing w:line="292" w:lineRule="auto" w:before="60"/>
        <w:ind w:left="195" w:right="373"/>
      </w:pPr>
      <w:r>
        <w:rPr/>
        <w:br w:type="column"/>
      </w:r>
      <w:r>
        <w:rPr>
          <w:w w:val="105"/>
        </w:rPr>
        <w:t>to be on the upside of the downward-sloping central projection, although to a slightly lesser extent than a few months ago.</w:t>
      </w:r>
    </w:p>
    <w:p>
      <w:pPr>
        <w:pStyle w:val="BodyText"/>
        <w:spacing w:before="2"/>
        <w:rPr>
          <w:sz w:val="24"/>
        </w:rPr>
      </w:pPr>
    </w:p>
    <w:p>
      <w:pPr>
        <w:pStyle w:val="BodyText"/>
        <w:spacing w:line="292" w:lineRule="auto" w:before="1"/>
        <w:ind w:left="195" w:right="373"/>
      </w:pPr>
      <w:r>
        <w:rPr>
          <w:w w:val="110"/>
        </w:rPr>
        <w:t>Recent</w:t>
      </w:r>
      <w:r>
        <w:rPr>
          <w:spacing w:val="-22"/>
          <w:w w:val="110"/>
        </w:rPr>
        <w:t> </w:t>
      </w:r>
      <w:r>
        <w:rPr>
          <w:w w:val="110"/>
        </w:rPr>
        <w:t>oil</w:t>
      </w:r>
      <w:r>
        <w:rPr>
          <w:spacing w:val="-21"/>
          <w:w w:val="110"/>
        </w:rPr>
        <w:t> </w:t>
      </w:r>
      <w:r>
        <w:rPr>
          <w:w w:val="110"/>
        </w:rPr>
        <w:t>price</w:t>
      </w:r>
      <w:r>
        <w:rPr>
          <w:spacing w:val="-21"/>
          <w:w w:val="110"/>
        </w:rPr>
        <w:t> </w:t>
      </w:r>
      <w:r>
        <w:rPr>
          <w:w w:val="110"/>
        </w:rPr>
        <w:t>movements,</w:t>
      </w:r>
      <w:r>
        <w:rPr>
          <w:spacing w:val="-21"/>
          <w:w w:val="110"/>
        </w:rPr>
        <w:t> </w:t>
      </w:r>
      <w:r>
        <w:rPr>
          <w:w w:val="110"/>
        </w:rPr>
        <w:t>and</w:t>
      </w:r>
      <w:r>
        <w:rPr>
          <w:spacing w:val="-22"/>
          <w:w w:val="110"/>
        </w:rPr>
        <w:t> </w:t>
      </w:r>
      <w:r>
        <w:rPr>
          <w:w w:val="110"/>
        </w:rPr>
        <w:t>changes</w:t>
      </w:r>
      <w:r>
        <w:rPr>
          <w:spacing w:val="-21"/>
          <w:w w:val="110"/>
        </w:rPr>
        <w:t> </w:t>
      </w:r>
      <w:r>
        <w:rPr>
          <w:w w:val="110"/>
        </w:rPr>
        <w:t>in</w:t>
      </w:r>
      <w:r>
        <w:rPr>
          <w:spacing w:val="-21"/>
          <w:w w:val="110"/>
        </w:rPr>
        <w:t> </w:t>
      </w:r>
      <w:r>
        <w:rPr>
          <w:w w:val="110"/>
        </w:rPr>
        <w:t>expected</w:t>
      </w:r>
      <w:r>
        <w:rPr>
          <w:spacing w:val="-21"/>
          <w:w w:val="110"/>
        </w:rPr>
        <w:t> </w:t>
      </w:r>
      <w:r>
        <w:rPr>
          <w:w w:val="110"/>
        </w:rPr>
        <w:t>future prices,</w:t>
      </w:r>
      <w:r>
        <w:rPr>
          <w:spacing w:val="-13"/>
          <w:w w:val="110"/>
        </w:rPr>
        <w:t> </w:t>
      </w:r>
      <w:r>
        <w:rPr>
          <w:w w:val="110"/>
        </w:rPr>
        <w:t>have</w:t>
      </w:r>
      <w:r>
        <w:rPr>
          <w:spacing w:val="-12"/>
          <w:w w:val="110"/>
        </w:rPr>
        <w:t> </w:t>
      </w:r>
      <w:r>
        <w:rPr>
          <w:w w:val="110"/>
        </w:rPr>
        <w:t>reflected</w:t>
      </w:r>
      <w:r>
        <w:rPr>
          <w:spacing w:val="-13"/>
          <w:w w:val="110"/>
        </w:rPr>
        <w:t> </w:t>
      </w:r>
      <w:r>
        <w:rPr>
          <w:w w:val="110"/>
        </w:rPr>
        <w:t>both</w:t>
      </w:r>
      <w:r>
        <w:rPr>
          <w:spacing w:val="-12"/>
          <w:w w:val="110"/>
        </w:rPr>
        <w:t> </w:t>
      </w:r>
      <w:r>
        <w:rPr>
          <w:w w:val="110"/>
        </w:rPr>
        <w:t>demand</w:t>
      </w:r>
      <w:r>
        <w:rPr>
          <w:spacing w:val="-12"/>
          <w:w w:val="110"/>
        </w:rPr>
        <w:t> </w:t>
      </w:r>
      <w:r>
        <w:rPr>
          <w:w w:val="110"/>
        </w:rPr>
        <w:t>and</w:t>
      </w:r>
      <w:r>
        <w:rPr>
          <w:spacing w:val="-13"/>
          <w:w w:val="110"/>
        </w:rPr>
        <w:t> </w:t>
      </w:r>
      <w:r>
        <w:rPr>
          <w:w w:val="110"/>
        </w:rPr>
        <w:t>supply</w:t>
      </w:r>
      <w:r>
        <w:rPr>
          <w:spacing w:val="-12"/>
          <w:w w:val="110"/>
        </w:rPr>
        <w:t> </w:t>
      </w:r>
      <w:r>
        <w:rPr>
          <w:w w:val="110"/>
        </w:rPr>
        <w:t>factors,</w:t>
      </w:r>
    </w:p>
    <w:p>
      <w:pPr>
        <w:spacing w:after="0" w:line="292" w:lineRule="auto"/>
        <w:sectPr>
          <w:type w:val="continuous"/>
          <w:pgSz w:w="11900" w:h="16840"/>
          <w:pgMar w:top="1260" w:bottom="280" w:left="640" w:right="640"/>
          <w:cols w:num="2" w:equalWidth="0">
            <w:col w:w="3882" w:space="1023"/>
            <w:col w:w="5715"/>
          </w:cols>
        </w:sectPr>
      </w:pPr>
    </w:p>
    <w:p>
      <w:pPr>
        <w:pStyle w:val="BodyText"/>
      </w:pPr>
    </w:p>
    <w:p>
      <w:pPr>
        <w:pStyle w:val="BodyText"/>
        <w:spacing w:before="9"/>
        <w:rPr>
          <w:sz w:val="15"/>
        </w:rPr>
      </w:pPr>
    </w:p>
    <w:p>
      <w:pPr>
        <w:pStyle w:val="BodyText"/>
        <w:spacing w:line="292" w:lineRule="auto" w:before="64"/>
        <w:ind w:left="5099" w:right="222"/>
      </w:pPr>
      <w:r>
        <w:rPr>
          <w:w w:val="110"/>
        </w:rPr>
        <w:t>although it is difficult </w:t>
      </w:r>
      <w:r>
        <w:rPr>
          <w:spacing w:val="-4"/>
          <w:w w:val="110"/>
        </w:rPr>
        <w:t>to </w:t>
      </w:r>
      <w:r>
        <w:rPr>
          <w:w w:val="110"/>
        </w:rPr>
        <w:t>determine their relative importance </w:t>
      </w:r>
      <w:r>
        <w:rPr>
          <w:spacing w:val="-4"/>
          <w:w w:val="110"/>
        </w:rPr>
        <w:t>accurately.</w:t>
      </w:r>
      <w:r>
        <w:rPr>
          <w:spacing w:val="-2"/>
          <w:w w:val="110"/>
        </w:rPr>
        <w:t> </w:t>
      </w:r>
      <w:r>
        <w:rPr>
          <w:w w:val="110"/>
        </w:rPr>
        <w:t>The</w:t>
      </w:r>
      <w:r>
        <w:rPr>
          <w:spacing w:val="-29"/>
          <w:w w:val="110"/>
        </w:rPr>
        <w:t> </w:t>
      </w:r>
      <w:r>
        <w:rPr>
          <w:spacing w:val="-3"/>
          <w:w w:val="110"/>
        </w:rPr>
        <w:t>downward</w:t>
      </w:r>
      <w:r>
        <w:rPr>
          <w:spacing w:val="-29"/>
          <w:w w:val="110"/>
        </w:rPr>
        <w:t> </w:t>
      </w:r>
      <w:r>
        <w:rPr>
          <w:w w:val="110"/>
        </w:rPr>
        <w:t>revisions</w:t>
      </w:r>
      <w:r>
        <w:rPr>
          <w:spacing w:val="-29"/>
          <w:w w:val="110"/>
        </w:rPr>
        <w:t> </w:t>
      </w:r>
      <w:r>
        <w:rPr>
          <w:spacing w:val="-4"/>
          <w:w w:val="110"/>
        </w:rPr>
        <w:t>to</w:t>
      </w:r>
      <w:r>
        <w:rPr>
          <w:spacing w:val="-28"/>
          <w:w w:val="110"/>
        </w:rPr>
        <w:t> </w:t>
      </w:r>
      <w:r>
        <w:rPr>
          <w:spacing w:val="-3"/>
          <w:w w:val="110"/>
        </w:rPr>
        <w:t>expected</w:t>
      </w:r>
      <w:r>
        <w:rPr>
          <w:spacing w:val="-29"/>
          <w:w w:val="110"/>
        </w:rPr>
        <w:t> </w:t>
      </w:r>
      <w:r>
        <w:rPr>
          <w:spacing w:val="-3"/>
          <w:w w:val="110"/>
        </w:rPr>
        <w:t>world</w:t>
      </w:r>
      <w:r>
        <w:rPr>
          <w:spacing w:val="-29"/>
          <w:w w:val="110"/>
        </w:rPr>
        <w:t> </w:t>
      </w:r>
      <w:r>
        <w:rPr>
          <w:w w:val="110"/>
        </w:rPr>
        <w:t>growth, and</w:t>
      </w:r>
      <w:r>
        <w:rPr>
          <w:spacing w:val="-15"/>
          <w:w w:val="110"/>
        </w:rPr>
        <w:t> </w:t>
      </w:r>
      <w:r>
        <w:rPr>
          <w:w w:val="110"/>
        </w:rPr>
        <w:t>hence</w:t>
      </w:r>
      <w:r>
        <w:rPr>
          <w:spacing w:val="-14"/>
          <w:w w:val="110"/>
        </w:rPr>
        <w:t> </w:t>
      </w:r>
      <w:r>
        <w:rPr>
          <w:w w:val="110"/>
        </w:rPr>
        <w:t>the</w:t>
      </w:r>
      <w:r>
        <w:rPr>
          <w:spacing w:val="-14"/>
          <w:w w:val="110"/>
        </w:rPr>
        <w:t> </w:t>
      </w:r>
      <w:r>
        <w:rPr>
          <w:w w:val="110"/>
        </w:rPr>
        <w:t>demand</w:t>
      </w:r>
      <w:r>
        <w:rPr>
          <w:spacing w:val="-15"/>
          <w:w w:val="110"/>
        </w:rPr>
        <w:t> </w:t>
      </w:r>
      <w:r>
        <w:rPr>
          <w:w w:val="110"/>
        </w:rPr>
        <w:t>for</w:t>
      </w:r>
      <w:r>
        <w:rPr>
          <w:spacing w:val="-14"/>
          <w:w w:val="110"/>
        </w:rPr>
        <w:t> </w:t>
      </w:r>
      <w:r>
        <w:rPr>
          <w:w w:val="110"/>
        </w:rPr>
        <w:t>oil,</w:t>
      </w:r>
      <w:r>
        <w:rPr>
          <w:spacing w:val="-14"/>
          <w:w w:val="110"/>
        </w:rPr>
        <w:t> </w:t>
      </w:r>
      <w:r>
        <w:rPr>
          <w:w w:val="110"/>
        </w:rPr>
        <w:t>probably</w:t>
      </w:r>
      <w:r>
        <w:rPr>
          <w:spacing w:val="-15"/>
          <w:w w:val="110"/>
        </w:rPr>
        <w:t> </w:t>
      </w:r>
      <w:r>
        <w:rPr>
          <w:spacing w:val="-3"/>
          <w:w w:val="110"/>
        </w:rPr>
        <w:t>played</w:t>
      </w:r>
      <w:r>
        <w:rPr>
          <w:spacing w:val="-14"/>
          <w:w w:val="110"/>
        </w:rPr>
        <w:t> </w:t>
      </w:r>
      <w:r>
        <w:rPr>
          <w:w w:val="110"/>
        </w:rPr>
        <w:t>a</w:t>
      </w:r>
      <w:r>
        <w:rPr>
          <w:spacing w:val="-14"/>
          <w:w w:val="110"/>
        </w:rPr>
        <w:t> </w:t>
      </w:r>
      <w:r>
        <w:rPr>
          <w:w w:val="110"/>
        </w:rPr>
        <w:t>large</w:t>
      </w:r>
      <w:r>
        <w:rPr>
          <w:spacing w:val="-15"/>
          <w:w w:val="110"/>
        </w:rPr>
        <w:t> </w:t>
      </w:r>
      <w:r>
        <w:rPr>
          <w:w w:val="110"/>
        </w:rPr>
        <w:t>role</w:t>
      </w:r>
      <w:r>
        <w:rPr>
          <w:spacing w:val="-14"/>
          <w:w w:val="110"/>
        </w:rPr>
        <w:t> </w:t>
      </w:r>
      <w:r>
        <w:rPr>
          <w:w w:val="110"/>
        </w:rPr>
        <w:t>in the recent oil price falls. Indeed, the International Energy Agency revised down its projections of growth in </w:t>
      </w:r>
      <w:r>
        <w:rPr>
          <w:spacing w:val="-3"/>
          <w:w w:val="110"/>
        </w:rPr>
        <w:t>world </w:t>
      </w:r>
      <w:r>
        <w:rPr>
          <w:w w:val="110"/>
        </w:rPr>
        <w:t>oil demand in </w:t>
      </w:r>
      <w:r>
        <w:rPr>
          <w:spacing w:val="-11"/>
          <w:w w:val="110"/>
        </w:rPr>
        <w:t>2001 </w:t>
      </w:r>
      <w:r>
        <w:rPr>
          <w:spacing w:val="-3"/>
          <w:w w:val="110"/>
        </w:rPr>
        <w:t>by </w:t>
      </w:r>
      <w:r>
        <w:rPr>
          <w:w w:val="110"/>
        </w:rPr>
        <w:t>around 0.3 percentage points </w:t>
      </w:r>
      <w:r>
        <w:rPr>
          <w:spacing w:val="-3"/>
          <w:w w:val="110"/>
        </w:rPr>
        <w:t>between </w:t>
      </w:r>
      <w:r>
        <w:rPr>
          <w:w w:val="110"/>
        </w:rPr>
        <w:t>December and </w:t>
      </w:r>
      <w:r>
        <w:rPr>
          <w:spacing w:val="-3"/>
          <w:w w:val="110"/>
        </w:rPr>
        <w:t>January. </w:t>
      </w:r>
      <w:r>
        <w:rPr>
          <w:w w:val="110"/>
        </w:rPr>
        <w:t>But these price falls also partly reflected</w:t>
      </w:r>
      <w:r>
        <w:rPr>
          <w:spacing w:val="-16"/>
          <w:w w:val="110"/>
        </w:rPr>
        <w:t> </w:t>
      </w:r>
      <w:r>
        <w:rPr>
          <w:w w:val="110"/>
        </w:rPr>
        <w:t>signs</w:t>
      </w:r>
      <w:r>
        <w:rPr>
          <w:spacing w:val="-16"/>
          <w:w w:val="110"/>
        </w:rPr>
        <w:t> </w:t>
      </w:r>
      <w:r>
        <w:rPr>
          <w:w w:val="110"/>
        </w:rPr>
        <w:t>of</w:t>
      </w:r>
      <w:r>
        <w:rPr>
          <w:spacing w:val="-16"/>
          <w:w w:val="110"/>
        </w:rPr>
        <w:t> </w:t>
      </w:r>
      <w:r>
        <w:rPr>
          <w:w w:val="110"/>
        </w:rPr>
        <w:t>stronger</w:t>
      </w:r>
      <w:r>
        <w:rPr>
          <w:spacing w:val="-15"/>
          <w:w w:val="110"/>
        </w:rPr>
        <w:t> </w:t>
      </w:r>
      <w:r>
        <w:rPr>
          <w:spacing w:val="-3"/>
          <w:w w:val="110"/>
        </w:rPr>
        <w:t>supply,</w:t>
      </w:r>
      <w:r>
        <w:rPr>
          <w:spacing w:val="-16"/>
          <w:w w:val="110"/>
        </w:rPr>
        <w:t> </w:t>
      </w:r>
      <w:r>
        <w:rPr>
          <w:w w:val="110"/>
        </w:rPr>
        <w:t>such</w:t>
      </w:r>
      <w:r>
        <w:rPr>
          <w:spacing w:val="-16"/>
          <w:w w:val="110"/>
        </w:rPr>
        <w:t> </w:t>
      </w:r>
      <w:r>
        <w:rPr>
          <w:w w:val="110"/>
        </w:rPr>
        <w:t>as</w:t>
      </w:r>
      <w:r>
        <w:rPr>
          <w:spacing w:val="-15"/>
          <w:w w:val="110"/>
        </w:rPr>
        <w:t> </w:t>
      </w:r>
      <w:r>
        <w:rPr>
          <w:w w:val="110"/>
        </w:rPr>
        <w:t>reported</w:t>
      </w:r>
      <w:r>
        <w:rPr>
          <w:spacing w:val="-16"/>
          <w:w w:val="110"/>
        </w:rPr>
        <w:t> </w:t>
      </w:r>
      <w:r>
        <w:rPr>
          <w:w w:val="110"/>
        </w:rPr>
        <w:t>increases in</w:t>
      </w:r>
      <w:r>
        <w:rPr>
          <w:spacing w:val="-8"/>
          <w:w w:val="110"/>
        </w:rPr>
        <w:t> </w:t>
      </w:r>
      <w:r>
        <w:rPr>
          <w:w w:val="110"/>
        </w:rPr>
        <w:t>oil</w:t>
      </w:r>
      <w:r>
        <w:rPr>
          <w:spacing w:val="-7"/>
          <w:w w:val="110"/>
        </w:rPr>
        <w:t> </w:t>
      </w:r>
      <w:r>
        <w:rPr>
          <w:w w:val="110"/>
        </w:rPr>
        <w:t>production</w:t>
      </w:r>
      <w:r>
        <w:rPr>
          <w:spacing w:val="-7"/>
          <w:w w:val="110"/>
        </w:rPr>
        <w:t> </w:t>
      </w:r>
      <w:r>
        <w:rPr>
          <w:w w:val="110"/>
        </w:rPr>
        <w:t>capacity</w:t>
      </w:r>
      <w:r>
        <w:rPr>
          <w:spacing w:val="-8"/>
          <w:w w:val="110"/>
        </w:rPr>
        <w:t> </w:t>
      </w:r>
      <w:r>
        <w:rPr>
          <w:w w:val="110"/>
        </w:rPr>
        <w:t>and</w:t>
      </w:r>
      <w:r>
        <w:rPr>
          <w:spacing w:val="-7"/>
          <w:w w:val="110"/>
        </w:rPr>
        <w:t> </w:t>
      </w:r>
      <w:r>
        <w:rPr>
          <w:w w:val="110"/>
        </w:rPr>
        <w:t>a</w:t>
      </w:r>
      <w:r>
        <w:rPr>
          <w:spacing w:val="-7"/>
          <w:w w:val="110"/>
        </w:rPr>
        <w:t> </w:t>
      </w:r>
      <w:r>
        <w:rPr>
          <w:spacing w:val="-3"/>
          <w:w w:val="110"/>
        </w:rPr>
        <w:t>stronger-than-expected</w:t>
      </w:r>
    </w:p>
    <w:p>
      <w:pPr>
        <w:pStyle w:val="BodyText"/>
        <w:spacing w:line="292" w:lineRule="auto"/>
        <w:ind w:left="5099" w:right="172"/>
      </w:pPr>
      <w:r>
        <w:rPr>
          <w:w w:val="110"/>
        </w:rPr>
        <w:t>build-up</w:t>
      </w:r>
      <w:r>
        <w:rPr>
          <w:spacing w:val="-21"/>
          <w:w w:val="110"/>
        </w:rPr>
        <w:t> </w:t>
      </w:r>
      <w:r>
        <w:rPr>
          <w:w w:val="110"/>
        </w:rPr>
        <w:t>of</w:t>
      </w:r>
      <w:r>
        <w:rPr>
          <w:spacing w:val="-20"/>
          <w:w w:val="110"/>
        </w:rPr>
        <w:t> </w:t>
      </w:r>
      <w:r>
        <w:rPr>
          <w:w w:val="110"/>
        </w:rPr>
        <w:t>stocks</w:t>
      </w:r>
      <w:r>
        <w:rPr>
          <w:spacing w:val="-20"/>
          <w:w w:val="110"/>
        </w:rPr>
        <w:t> </w:t>
      </w:r>
      <w:r>
        <w:rPr>
          <w:w w:val="110"/>
        </w:rPr>
        <w:t>in</w:t>
      </w:r>
      <w:r>
        <w:rPr>
          <w:spacing w:val="-20"/>
          <w:w w:val="110"/>
        </w:rPr>
        <w:t> </w:t>
      </w:r>
      <w:r>
        <w:rPr>
          <w:w w:val="110"/>
        </w:rPr>
        <w:t>the</w:t>
      </w:r>
      <w:r>
        <w:rPr>
          <w:spacing w:val="-20"/>
          <w:w w:val="110"/>
        </w:rPr>
        <w:t> </w:t>
      </w:r>
      <w:r>
        <w:rPr>
          <w:w w:val="110"/>
        </w:rPr>
        <w:t>OECD</w:t>
      </w:r>
      <w:r>
        <w:rPr>
          <w:spacing w:val="-20"/>
          <w:w w:val="110"/>
        </w:rPr>
        <w:t> </w:t>
      </w:r>
      <w:r>
        <w:rPr>
          <w:w w:val="110"/>
        </w:rPr>
        <w:t>area</w:t>
      </w:r>
      <w:r>
        <w:rPr>
          <w:spacing w:val="-20"/>
          <w:w w:val="110"/>
        </w:rPr>
        <w:t> </w:t>
      </w:r>
      <w:r>
        <w:rPr>
          <w:w w:val="110"/>
        </w:rPr>
        <w:t>(although</w:t>
      </w:r>
      <w:r>
        <w:rPr>
          <w:spacing w:val="-20"/>
          <w:w w:val="110"/>
        </w:rPr>
        <w:t> </w:t>
      </w:r>
      <w:r>
        <w:rPr>
          <w:w w:val="110"/>
        </w:rPr>
        <w:t>stocks</w:t>
      </w:r>
      <w:r>
        <w:rPr>
          <w:spacing w:val="-20"/>
          <w:w w:val="110"/>
        </w:rPr>
        <w:t> </w:t>
      </w:r>
      <w:r>
        <w:rPr>
          <w:w w:val="110"/>
        </w:rPr>
        <w:t>remain low</w:t>
      </w:r>
      <w:r>
        <w:rPr>
          <w:spacing w:val="-21"/>
          <w:w w:val="110"/>
        </w:rPr>
        <w:t> </w:t>
      </w:r>
      <w:r>
        <w:rPr>
          <w:w w:val="110"/>
        </w:rPr>
        <w:t>by</w:t>
      </w:r>
      <w:r>
        <w:rPr>
          <w:spacing w:val="-20"/>
          <w:w w:val="110"/>
        </w:rPr>
        <w:t> </w:t>
      </w:r>
      <w:r>
        <w:rPr>
          <w:w w:val="110"/>
        </w:rPr>
        <w:t>historical</w:t>
      </w:r>
      <w:r>
        <w:rPr>
          <w:spacing w:val="-21"/>
          <w:w w:val="110"/>
        </w:rPr>
        <w:t> </w:t>
      </w:r>
      <w:r>
        <w:rPr>
          <w:w w:val="110"/>
        </w:rPr>
        <w:t>standards).</w:t>
      </w:r>
      <w:r>
        <w:rPr>
          <w:spacing w:val="15"/>
          <w:w w:val="110"/>
        </w:rPr>
        <w:t> </w:t>
      </w:r>
      <w:r>
        <w:rPr>
          <w:w w:val="110"/>
        </w:rPr>
        <w:t>The</w:t>
      </w:r>
      <w:r>
        <w:rPr>
          <w:spacing w:val="-20"/>
          <w:w w:val="110"/>
        </w:rPr>
        <w:t> </w:t>
      </w:r>
      <w:r>
        <w:rPr>
          <w:w w:val="110"/>
        </w:rPr>
        <w:t>stabilisation</w:t>
      </w:r>
      <w:r>
        <w:rPr>
          <w:spacing w:val="-20"/>
          <w:w w:val="110"/>
        </w:rPr>
        <w:t> </w:t>
      </w:r>
      <w:r>
        <w:rPr>
          <w:w w:val="110"/>
        </w:rPr>
        <w:t>of</w:t>
      </w:r>
      <w:r>
        <w:rPr>
          <w:spacing w:val="-21"/>
          <w:w w:val="110"/>
        </w:rPr>
        <w:t> </w:t>
      </w:r>
      <w:r>
        <w:rPr>
          <w:w w:val="110"/>
        </w:rPr>
        <w:t>oil</w:t>
      </w:r>
      <w:r>
        <w:rPr>
          <w:spacing w:val="-20"/>
          <w:w w:val="110"/>
        </w:rPr>
        <w:t> </w:t>
      </w:r>
      <w:r>
        <w:rPr>
          <w:w w:val="110"/>
        </w:rPr>
        <w:t>prices</w:t>
      </w:r>
      <w:r>
        <w:rPr>
          <w:spacing w:val="-21"/>
          <w:w w:val="110"/>
        </w:rPr>
        <w:t> </w:t>
      </w:r>
      <w:r>
        <w:rPr>
          <w:w w:val="110"/>
        </w:rPr>
        <w:t>in January</w:t>
      </w:r>
      <w:r>
        <w:rPr>
          <w:spacing w:val="-30"/>
          <w:w w:val="110"/>
        </w:rPr>
        <w:t> </w:t>
      </w:r>
      <w:r>
        <w:rPr>
          <w:w w:val="110"/>
        </w:rPr>
        <w:t>reflected</w:t>
      </w:r>
      <w:r>
        <w:rPr>
          <w:spacing w:val="-30"/>
          <w:w w:val="110"/>
        </w:rPr>
        <w:t> </w:t>
      </w:r>
      <w:r>
        <w:rPr>
          <w:w w:val="110"/>
        </w:rPr>
        <w:t>expectations</w:t>
      </w:r>
      <w:r>
        <w:rPr>
          <w:spacing w:val="-29"/>
          <w:w w:val="110"/>
        </w:rPr>
        <w:t> </w:t>
      </w:r>
      <w:r>
        <w:rPr>
          <w:w w:val="110"/>
        </w:rPr>
        <w:t>of</w:t>
      </w:r>
      <w:r>
        <w:rPr>
          <w:spacing w:val="-30"/>
          <w:w w:val="110"/>
        </w:rPr>
        <w:t> </w:t>
      </w:r>
      <w:r>
        <w:rPr>
          <w:w w:val="110"/>
        </w:rPr>
        <w:t>prospective</w:t>
      </w:r>
      <w:r>
        <w:rPr>
          <w:spacing w:val="-30"/>
          <w:w w:val="110"/>
        </w:rPr>
        <w:t> </w:t>
      </w:r>
      <w:r>
        <w:rPr>
          <w:w w:val="110"/>
        </w:rPr>
        <w:t>cuts</w:t>
      </w:r>
      <w:r>
        <w:rPr>
          <w:spacing w:val="-30"/>
          <w:w w:val="110"/>
        </w:rPr>
        <w:t> </w:t>
      </w:r>
      <w:r>
        <w:rPr>
          <w:w w:val="110"/>
        </w:rPr>
        <w:t>in</w:t>
      </w:r>
      <w:r>
        <w:rPr>
          <w:spacing w:val="-29"/>
          <w:w w:val="110"/>
        </w:rPr>
        <w:t> </w:t>
      </w:r>
      <w:r>
        <w:rPr>
          <w:w w:val="110"/>
        </w:rPr>
        <w:t>OPEC</w:t>
      </w:r>
      <w:r>
        <w:rPr>
          <w:spacing w:val="-30"/>
          <w:w w:val="110"/>
        </w:rPr>
        <w:t> </w:t>
      </w:r>
      <w:r>
        <w:rPr>
          <w:w w:val="110"/>
        </w:rPr>
        <w:t>oil production,</w:t>
      </w:r>
      <w:r>
        <w:rPr>
          <w:spacing w:val="-9"/>
          <w:w w:val="110"/>
        </w:rPr>
        <w:t> </w:t>
      </w:r>
      <w:r>
        <w:rPr>
          <w:w w:val="110"/>
        </w:rPr>
        <w:t>confirmed</w:t>
      </w:r>
      <w:r>
        <w:rPr>
          <w:spacing w:val="-9"/>
          <w:w w:val="110"/>
        </w:rPr>
        <w:t> </w:t>
      </w:r>
      <w:r>
        <w:rPr>
          <w:w w:val="110"/>
        </w:rPr>
        <w:t>on</w:t>
      </w:r>
      <w:r>
        <w:rPr>
          <w:spacing w:val="-9"/>
          <w:w w:val="110"/>
        </w:rPr>
        <w:t> </w:t>
      </w:r>
      <w:r>
        <w:rPr>
          <w:spacing w:val="-14"/>
          <w:w w:val="110"/>
        </w:rPr>
        <w:t>17</w:t>
      </w:r>
      <w:r>
        <w:rPr>
          <w:spacing w:val="-9"/>
          <w:w w:val="110"/>
        </w:rPr>
        <w:t> </w:t>
      </w:r>
      <w:r>
        <w:rPr>
          <w:w w:val="110"/>
        </w:rPr>
        <w:t>January</w:t>
      </w:r>
      <w:r>
        <w:rPr>
          <w:spacing w:val="-9"/>
          <w:w w:val="110"/>
        </w:rPr>
        <w:t> </w:t>
      </w:r>
      <w:r>
        <w:rPr>
          <w:w w:val="110"/>
        </w:rPr>
        <w:t>as</w:t>
      </w:r>
      <w:r>
        <w:rPr>
          <w:spacing w:val="-8"/>
          <w:w w:val="110"/>
        </w:rPr>
        <w:t> </w:t>
      </w:r>
      <w:r>
        <w:rPr>
          <w:w w:val="110"/>
        </w:rPr>
        <w:t>a</w:t>
      </w:r>
      <w:r>
        <w:rPr>
          <w:spacing w:val="-9"/>
          <w:w w:val="110"/>
        </w:rPr>
        <w:t> </w:t>
      </w:r>
      <w:r>
        <w:rPr>
          <w:w w:val="110"/>
        </w:rPr>
        <w:t>reduction</w:t>
      </w:r>
      <w:r>
        <w:rPr>
          <w:spacing w:val="-9"/>
          <w:w w:val="110"/>
        </w:rPr>
        <w:t> </w:t>
      </w:r>
      <w:r>
        <w:rPr>
          <w:w w:val="110"/>
        </w:rPr>
        <w:t>of</w:t>
      </w:r>
    </w:p>
    <w:p>
      <w:pPr>
        <w:pStyle w:val="BodyText"/>
        <w:spacing w:line="228" w:lineRule="exact"/>
        <w:ind w:left="5099"/>
      </w:pPr>
      <w:r>
        <w:rPr>
          <w:w w:val="105"/>
        </w:rPr>
        <w:t>1.5 million barrels a day with effect from 1 February.</w:t>
      </w:r>
    </w:p>
    <w:p>
      <w:pPr>
        <w:pStyle w:val="BodyText"/>
        <w:spacing w:before="8"/>
        <w:rPr>
          <w:sz w:val="22"/>
        </w:rPr>
      </w:pPr>
    </w:p>
    <w:p>
      <w:pPr>
        <w:spacing w:after="0"/>
        <w:rPr>
          <w:sz w:val="22"/>
        </w:rPr>
        <w:sectPr>
          <w:headerReference w:type="default" r:id="rId138"/>
          <w:headerReference w:type="even" r:id="rId139"/>
          <w:pgSz w:w="11900" w:h="16840"/>
          <w:pgMar w:header="601" w:footer="575" w:top="800" w:bottom="760" w:left="640" w:right="640"/>
        </w:sectPr>
      </w:pPr>
    </w:p>
    <w:p>
      <w:pPr>
        <w:pStyle w:val="BodyText"/>
        <w:spacing w:before="1"/>
        <w:rPr>
          <w:sz w:val="27"/>
        </w:rPr>
      </w:pPr>
    </w:p>
    <w:p>
      <w:pPr>
        <w:pStyle w:val="Heading6"/>
        <w:ind w:left="194"/>
      </w:pPr>
      <w:r>
        <w:rPr>
          <w:color w:val="89C6DC"/>
          <w:w w:val="95"/>
        </w:rPr>
        <w:t>Chart 4.3</w:t>
      </w:r>
    </w:p>
    <w:p>
      <w:pPr>
        <w:spacing w:before="8"/>
        <w:ind w:left="194" w:right="0" w:firstLine="0"/>
        <w:jc w:val="left"/>
        <w:rPr>
          <w:rFonts w:ascii="Trebuchet MS" w:hAnsi="Trebuchet MS"/>
          <w:b/>
          <w:sz w:val="20"/>
        </w:rPr>
      </w:pPr>
      <w:r>
        <w:rPr>
          <w:rFonts w:ascii="Trebuchet MS" w:hAnsi="Trebuchet MS"/>
          <w:b/>
          <w:color w:val="89C6DC"/>
          <w:w w:val="95"/>
          <w:sz w:val="20"/>
        </w:rPr>
        <w:t>Prices</w:t>
      </w:r>
      <w:r>
        <w:rPr>
          <w:rFonts w:ascii="Trebuchet MS" w:hAnsi="Trebuchet MS"/>
          <w:b/>
          <w:color w:val="89C6DC"/>
          <w:spacing w:val="-22"/>
          <w:w w:val="95"/>
          <w:sz w:val="20"/>
        </w:rPr>
        <w:t> </w:t>
      </w:r>
      <w:r>
        <w:rPr>
          <w:rFonts w:ascii="Trebuchet MS" w:hAnsi="Trebuchet MS"/>
          <w:b/>
          <w:color w:val="89C6DC"/>
          <w:w w:val="95"/>
          <w:sz w:val="20"/>
        </w:rPr>
        <w:t>of</w:t>
      </w:r>
      <w:r>
        <w:rPr>
          <w:rFonts w:ascii="Trebuchet MS" w:hAnsi="Trebuchet MS"/>
          <w:b/>
          <w:color w:val="89C6DC"/>
          <w:spacing w:val="-21"/>
          <w:w w:val="95"/>
          <w:sz w:val="20"/>
        </w:rPr>
        <w:t> </w:t>
      </w:r>
      <w:r>
        <w:rPr>
          <w:rFonts w:ascii="Trebuchet MS" w:hAnsi="Trebuchet MS"/>
          <w:b/>
          <w:color w:val="89C6DC"/>
          <w:w w:val="95"/>
          <w:sz w:val="20"/>
        </w:rPr>
        <w:t>‘hard’</w:t>
      </w:r>
      <w:r>
        <w:rPr>
          <w:rFonts w:ascii="Trebuchet MS" w:hAnsi="Trebuchet MS"/>
          <w:b/>
          <w:color w:val="89C6DC"/>
          <w:spacing w:val="-27"/>
          <w:w w:val="95"/>
          <w:sz w:val="20"/>
        </w:rPr>
        <w:t> </w:t>
      </w:r>
      <w:r>
        <w:rPr>
          <w:rFonts w:ascii="Trebuchet MS" w:hAnsi="Trebuchet MS"/>
          <w:b/>
          <w:color w:val="89C6DC"/>
          <w:w w:val="95"/>
          <w:sz w:val="20"/>
        </w:rPr>
        <w:t>commodities</w:t>
      </w:r>
      <w:r>
        <w:rPr>
          <w:rFonts w:ascii="Trebuchet MS" w:hAnsi="Trebuchet MS"/>
          <w:b/>
          <w:color w:val="89C6DC"/>
          <w:spacing w:val="-21"/>
          <w:w w:val="95"/>
          <w:sz w:val="20"/>
        </w:rPr>
        <w:t> </w:t>
      </w:r>
      <w:r>
        <w:rPr>
          <w:rFonts w:ascii="Trebuchet MS" w:hAnsi="Trebuchet MS"/>
          <w:b/>
          <w:color w:val="89C6DC"/>
          <w:w w:val="95"/>
          <w:sz w:val="20"/>
        </w:rPr>
        <w:t>and</w:t>
      </w:r>
      <w:r>
        <w:rPr>
          <w:rFonts w:ascii="Trebuchet MS" w:hAnsi="Trebuchet MS"/>
          <w:b/>
          <w:color w:val="89C6DC"/>
          <w:spacing w:val="-22"/>
          <w:w w:val="95"/>
          <w:sz w:val="20"/>
        </w:rPr>
        <w:t> </w:t>
      </w:r>
      <w:r>
        <w:rPr>
          <w:rFonts w:ascii="Trebuchet MS" w:hAnsi="Trebuchet MS"/>
          <w:b/>
          <w:color w:val="89C6DC"/>
          <w:w w:val="95"/>
          <w:sz w:val="20"/>
        </w:rPr>
        <w:t>oil</w:t>
      </w:r>
    </w:p>
    <w:p>
      <w:pPr>
        <w:spacing w:before="30"/>
        <w:ind w:left="1481" w:right="0" w:firstLine="0"/>
        <w:jc w:val="left"/>
        <w:rPr>
          <w:sz w:val="12"/>
        </w:rPr>
      </w:pPr>
      <w:r>
        <w:rPr>
          <w:w w:val="110"/>
          <w:sz w:val="12"/>
        </w:rPr>
        <w:t>Percentage</w:t>
      </w:r>
      <w:r>
        <w:rPr>
          <w:spacing w:val="-6"/>
          <w:w w:val="110"/>
          <w:sz w:val="12"/>
        </w:rPr>
        <w:t> </w:t>
      </w:r>
      <w:r>
        <w:rPr>
          <w:w w:val="110"/>
          <w:sz w:val="12"/>
        </w:rPr>
        <w:t>changes</w:t>
      </w:r>
      <w:r>
        <w:rPr>
          <w:spacing w:val="-6"/>
          <w:w w:val="110"/>
          <w:sz w:val="12"/>
        </w:rPr>
        <w:t> </w:t>
      </w:r>
      <w:r>
        <w:rPr>
          <w:w w:val="110"/>
          <w:sz w:val="12"/>
        </w:rPr>
        <w:t>on</w:t>
      </w:r>
      <w:r>
        <w:rPr>
          <w:spacing w:val="-6"/>
          <w:w w:val="110"/>
          <w:sz w:val="12"/>
        </w:rPr>
        <w:t> </w:t>
      </w:r>
      <w:r>
        <w:rPr>
          <w:w w:val="110"/>
          <w:sz w:val="12"/>
        </w:rPr>
        <w:t>a</w:t>
      </w:r>
      <w:r>
        <w:rPr>
          <w:spacing w:val="-5"/>
          <w:w w:val="110"/>
          <w:sz w:val="12"/>
        </w:rPr>
        <w:t> </w:t>
      </w:r>
      <w:r>
        <w:rPr>
          <w:w w:val="110"/>
          <w:sz w:val="12"/>
        </w:rPr>
        <w:t>year</w:t>
      </w:r>
      <w:r>
        <w:rPr>
          <w:spacing w:val="-6"/>
          <w:w w:val="110"/>
          <w:sz w:val="12"/>
        </w:rPr>
        <w:t> </w:t>
      </w:r>
      <w:r>
        <w:rPr>
          <w:spacing w:val="-3"/>
          <w:w w:val="110"/>
          <w:sz w:val="12"/>
        </w:rPr>
        <w:t>earlier</w:t>
      </w:r>
    </w:p>
    <w:p>
      <w:pPr>
        <w:pStyle w:val="BodyText"/>
        <w:spacing w:before="3"/>
        <w:rPr>
          <w:sz w:val="2"/>
        </w:rPr>
      </w:pPr>
    </w:p>
    <w:p>
      <w:pPr>
        <w:tabs>
          <w:tab w:pos="3281" w:val="left" w:leader="none"/>
        </w:tabs>
        <w:spacing w:line="20" w:lineRule="exact"/>
        <w:ind w:left="162"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rPr>
          <w:sz w:val="25"/>
        </w:rPr>
      </w:pPr>
      <w:r>
        <w:rPr/>
        <w:pict>
          <v:shape style="position:absolute;margin-left:40.375999pt;margin-top:16.589304pt;width:4.350pt;height:.1pt;mso-position-horizontal-relative:page;mso-position-vertical-relative:paragraph;z-index:-15199232;mso-wrap-distance-left:0;mso-wrap-distance-right:0" coordorigin="808,332" coordsize="87,0" path="m808,332l894,332e" filled="false" stroked="true" strokeweight=".5pt" strokecolor="#000000">
            <v:path arrowok="t"/>
            <v:stroke dashstyle="solid"/>
            <w10:wrap type="topAndBottom"/>
          </v:shape>
        </w:pict>
      </w:r>
    </w:p>
    <w:p>
      <w:pPr>
        <w:pStyle w:val="BodyText"/>
      </w:pPr>
    </w:p>
    <w:p>
      <w:pPr>
        <w:pStyle w:val="BodyText"/>
        <w:spacing w:before="2"/>
        <w:rPr>
          <w:sz w:val="23"/>
        </w:rPr>
      </w:pPr>
      <w:r>
        <w:rPr/>
        <w:pict>
          <v:shape style="position:absolute;margin-left:40.375999pt;margin-top:15.526977pt;width:4.350pt;height:.1pt;mso-position-horizontal-relative:page;mso-position-vertical-relative:paragraph;z-index:-15198720;mso-wrap-distance-left:0;mso-wrap-distance-right:0" coordorigin="808,311" coordsize="87,0" path="m808,311l894,311e" filled="false" stroked="true" strokeweight=".5pt" strokecolor="#000000">
            <v:path arrowok="t"/>
            <v:stroke dashstyle="solid"/>
            <w10:wrap type="topAndBottom"/>
          </v:shape>
        </w:pict>
      </w:r>
    </w:p>
    <w:p>
      <w:pPr>
        <w:pStyle w:val="BodyText"/>
      </w:pPr>
    </w:p>
    <w:p>
      <w:pPr>
        <w:pStyle w:val="BodyText"/>
        <w:spacing w:before="2"/>
        <w:rPr>
          <w:sz w:val="23"/>
        </w:rPr>
      </w:pPr>
      <w:r>
        <w:rPr/>
        <w:pict>
          <v:shape style="position:absolute;margin-left:40.375999pt;margin-top:15.527977pt;width:4.350pt;height:.1pt;mso-position-horizontal-relative:page;mso-position-vertical-relative:paragraph;z-index:-15198208;mso-wrap-distance-left:0;mso-wrap-distance-right:0" coordorigin="808,311" coordsize="87,0" path="m808,311l894,311e" filled="false" stroked="true" strokeweight=".5pt" strokecolor="#000000">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5"/>
        <w:ind w:left="-3" w:right="0" w:firstLine="0"/>
        <w:jc w:val="left"/>
        <w:rPr>
          <w:sz w:val="12"/>
        </w:rPr>
      </w:pPr>
      <w:r>
        <w:rPr>
          <w:w w:val="120"/>
          <w:sz w:val="12"/>
        </w:rPr>
        <w:t>200</w:t>
      </w:r>
    </w:p>
    <w:p>
      <w:pPr>
        <w:pStyle w:val="BodyText"/>
        <w:rPr>
          <w:sz w:val="12"/>
        </w:rPr>
      </w:pPr>
    </w:p>
    <w:p>
      <w:pPr>
        <w:pStyle w:val="BodyText"/>
        <w:rPr>
          <w:sz w:val="12"/>
        </w:rPr>
      </w:pPr>
    </w:p>
    <w:p>
      <w:pPr>
        <w:pStyle w:val="BodyText"/>
        <w:rPr>
          <w:sz w:val="14"/>
        </w:rPr>
      </w:pPr>
    </w:p>
    <w:p>
      <w:pPr>
        <w:spacing w:before="0"/>
        <w:ind w:left="-3" w:right="0" w:firstLine="0"/>
        <w:jc w:val="left"/>
        <w:rPr>
          <w:sz w:val="12"/>
        </w:rPr>
      </w:pPr>
      <w:r>
        <w:rPr>
          <w:w w:val="120"/>
          <w:sz w:val="12"/>
        </w:rPr>
        <w:t>150</w:t>
      </w:r>
    </w:p>
    <w:p>
      <w:pPr>
        <w:pStyle w:val="BodyText"/>
        <w:rPr>
          <w:sz w:val="12"/>
        </w:rPr>
      </w:pPr>
    </w:p>
    <w:p>
      <w:pPr>
        <w:pStyle w:val="BodyText"/>
        <w:rPr>
          <w:sz w:val="12"/>
        </w:rPr>
      </w:pPr>
    </w:p>
    <w:p>
      <w:pPr>
        <w:pStyle w:val="BodyText"/>
        <w:rPr>
          <w:sz w:val="14"/>
        </w:rPr>
      </w:pPr>
    </w:p>
    <w:p>
      <w:pPr>
        <w:spacing w:before="0"/>
        <w:ind w:left="-3" w:right="0" w:firstLine="0"/>
        <w:jc w:val="left"/>
        <w:rPr>
          <w:sz w:val="12"/>
        </w:rPr>
      </w:pPr>
      <w:r>
        <w:rPr>
          <w:w w:val="120"/>
          <w:sz w:val="12"/>
        </w:rPr>
        <w:t>100</w:t>
      </w:r>
    </w:p>
    <w:p>
      <w:pPr>
        <w:pStyle w:val="BodyText"/>
        <w:rPr>
          <w:sz w:val="12"/>
        </w:rPr>
      </w:pPr>
    </w:p>
    <w:p>
      <w:pPr>
        <w:pStyle w:val="BodyText"/>
        <w:rPr>
          <w:sz w:val="12"/>
        </w:rPr>
      </w:pPr>
    </w:p>
    <w:p>
      <w:pPr>
        <w:pStyle w:val="BodyText"/>
        <w:rPr>
          <w:sz w:val="14"/>
        </w:rPr>
      </w:pPr>
    </w:p>
    <w:p>
      <w:pPr>
        <w:spacing w:before="0"/>
        <w:ind w:left="69" w:right="0" w:firstLine="0"/>
        <w:jc w:val="left"/>
        <w:rPr>
          <w:sz w:val="12"/>
        </w:rPr>
      </w:pPr>
      <w:r>
        <w:rPr>
          <w:w w:val="120"/>
          <w:sz w:val="12"/>
        </w:rPr>
        <w:t>50</w:t>
      </w:r>
    </w:p>
    <w:p>
      <w:pPr>
        <w:pStyle w:val="BodyText"/>
        <w:rPr>
          <w:sz w:val="12"/>
        </w:rPr>
      </w:pPr>
    </w:p>
    <w:p>
      <w:pPr>
        <w:pStyle w:val="BodyText"/>
        <w:spacing w:before="6"/>
        <w:rPr>
          <w:sz w:val="10"/>
        </w:rPr>
      </w:pPr>
    </w:p>
    <w:p>
      <w:pPr>
        <w:spacing w:line="155" w:lineRule="exact" w:before="0"/>
        <w:ind w:left="20" w:right="0" w:firstLine="0"/>
        <w:jc w:val="left"/>
        <w:rPr>
          <w:sz w:val="16"/>
        </w:rPr>
      </w:pPr>
      <w:r>
        <w:rPr/>
        <w:pict>
          <v:group style="position:absolute;margin-left:48.258999pt;margin-top:-84.760246pt;width:152.4pt;height:126.55pt;mso-position-horizontal-relative:page;mso-position-vertical-relative:paragraph;z-index:16261632" coordorigin="965,-1695" coordsize="3048,2531">
            <v:shape style="position:absolute;left:965;top:255;width:3048;height:2" coordorigin="965,256" coordsize="3048,0" path="m3926,256l4013,256m965,256l3856,256e" filled="false" stroked="true" strokeweight=".5pt" strokecolor="#000000">
              <v:path arrowok="t"/>
              <v:stroke dashstyle="solid"/>
            </v:shape>
            <v:shape style="position:absolute;left:977;top:387;width:93;height:30" coordorigin="977,387" coordsize="93,30" path="m977,417l1022,402m1022,402l1070,387e" filled="false" stroked="true" strokeweight="1pt" strokecolor="#f5b37a">
              <v:path arrowok="t"/>
              <v:stroke dashstyle="solid"/>
            </v:shape>
            <v:line style="position:absolute" from="1060,389" to="1137,389" stroked="true" strokeweight="1.125pt" strokecolor="#f5b37a">
              <v:stroke dashstyle="solid"/>
            </v:line>
            <v:shape style="position:absolute;left:1127;top:339;width:183;height:78" coordorigin="1127,340" coordsize="183,78" path="m1127,387l1172,340m1172,340l1220,372m1220,372l1265,417m1265,417l1310,372e" filled="false" stroked="true" strokeweight="1pt" strokecolor="#f5b37a">
              <v:path arrowok="t"/>
              <v:stroke dashstyle="solid"/>
            </v:shape>
            <v:line style="position:absolute" from="1300,374" to="1367,374" stroked="true" strokeweight="1.125pt" strokecolor="#f5b37a">
              <v:stroke dashstyle="solid"/>
            </v:line>
            <v:shape style="position:absolute;left:1357;top:202;width:773;height:278" coordorigin="1357,202" coordsize="773,278" path="m1357,372l1415,355m1415,355l1460,325m1460,325l1507,310m1507,310l1552,232m1552,232l1600,247m1600,247l1645,232m1645,232l1702,247m1702,247l1750,280m1750,280l1795,232m1795,232l1842,202m1842,202l1887,217m1887,217l1935,247m1935,247l1992,262m1992,262l2037,340m2037,340l2085,387m2085,387l2130,480e" filled="false" stroked="true" strokeweight="1pt" strokecolor="#f5b37a">
              <v:path arrowok="t"/>
              <v:stroke dashstyle="solid"/>
            </v:shape>
            <v:shape style="position:absolute;left:2120;top:481;width:113;height:2" coordorigin="2120,481" coordsize="113,0" path="m2120,481l2188,481m2168,481l2233,481e" filled="false" stroked="true" strokeweight="1.125pt" strokecolor="#f5b37a">
              <v:path arrowok="t"/>
              <v:stroke dashstyle="solid"/>
            </v:shape>
            <v:shape style="position:absolute;left:2222;top:247;width:773;height:263" coordorigin="2223,247" coordsize="773,263" path="m2223,480l2280,465m2280,465l2328,495m2328,495l2373,510m2373,510l2418,495m2418,495l2465,510m2465,510l2510,480m2510,480l2568,495m2568,495l2615,465m2615,465l2660,432m2660,432l2708,372m2708,372l2753,387m2753,387l2800,402m2800,402l2858,387m2858,387l2903,310m2903,310l2950,295m2950,295l2995,247e" filled="false" stroked="true" strokeweight="1pt" strokecolor="#f5b37a">
              <v:path arrowok="t"/>
              <v:stroke dashstyle="solid"/>
            </v:shape>
            <v:line style="position:absolute" from="2985,249" to="3052,249" stroked="true" strokeweight="1.125pt" strokecolor="#f5b37a">
              <v:stroke dashstyle="solid"/>
            </v:line>
            <v:shape style="position:absolute;left:3042;top:62;width:288;height:185" coordorigin="3042,62" coordsize="288,185" path="m3042,247l3087,202m3087,202l3145,170m3145,170l3192,155m3192,155l3237,125m3237,125l3282,77m3282,77l3330,62e" filled="false" stroked="true" strokeweight="1pt" strokecolor="#f5b37a">
              <v:path arrowok="t"/>
              <v:stroke dashstyle="solid"/>
            </v:shape>
            <v:line style="position:absolute" from="3320,64" to="3385,64" stroked="true" strokeweight="1.125pt" strokecolor="#f5b37a">
              <v:stroke dashstyle="solid"/>
            </v:line>
            <v:shape style="position:absolute;left:3375;top:62;width:198;height:170" coordorigin="3375,62" coordsize="198,170" path="m3375,62l3432,140m3432,140l3480,170m3480,170l3525,185m3525,185l3572,232e" filled="false" stroked="true" strokeweight="1pt" strokecolor="#f5b37a">
              <v:path arrowok="t"/>
              <v:stroke dashstyle="solid"/>
            </v:shape>
            <v:shape style="position:absolute;left:3562;top:233;width:113;height:2" coordorigin="3562,234" coordsize="113,0" path="m3562,234l3627,234m3607,234l3675,234e" filled="false" stroked="true" strokeweight="1.125pt" strokecolor="#f5b37a">
              <v:path arrowok="t"/>
              <v:stroke dashstyle="solid"/>
            </v:shape>
            <v:shape style="position:absolute;left:3665;top:232;width:195;height:93" coordorigin="3665,232" coordsize="195,93" path="m3665,232l3722,247m3722,247l3767,295m3767,295l3815,262m3815,262l3860,325e" filled="false" stroked="true" strokeweight="1pt" strokecolor="#f5b37a">
              <v:path arrowok="t"/>
              <v:stroke dashstyle="solid"/>
            </v:shape>
            <v:shape style="position:absolute;left:977;top:-308;width:1015;height:788" coordorigin="977,-308" coordsize="1015,788" path="m977,155l1022,217m1022,217l1070,92m1070,92l1127,107m1127,107l1172,217m1172,217l1220,185m1220,185l1265,0m1265,0l1310,-45m1310,-45l1357,-185m1357,-185l1415,-308m1415,-308l1460,-155m1460,-155l1507,-108m1507,-108l1552,-93m1552,-93l1600,62m1600,62l1645,280m1645,280l1702,450m1702,450l1750,262m1750,262l1795,310m1795,310l1842,325m1842,325l1887,355m1887,355l1935,480m1935,480l1992,450e" filled="false" stroked="true" strokeweight="1pt" strokecolor="#835335">
              <v:path arrowok="t"/>
              <v:stroke dashstyle="solid"/>
            </v:shape>
            <v:line style="position:absolute" from="1983,451" to="2048,451" stroked="true" strokeweight="1.125pt" strokecolor="#835335">
              <v:stroke dashstyle="solid"/>
            </v:line>
            <v:shape style="position:absolute;left:2037;top:449;width:140;height:200" coordorigin="2038,450" coordsize="140,200" path="m2038,450l2085,572m2085,572l2130,650m2130,650l2178,620e" filled="false" stroked="true" strokeweight="1pt" strokecolor="#835335">
              <v:path arrowok="t"/>
              <v:stroke dashstyle="solid"/>
            </v:shape>
            <v:line style="position:absolute" from="2168,621" to="2233,621" stroked="true" strokeweight="1.125pt" strokecolor="#835335">
              <v:stroke dashstyle="solid"/>
            </v:line>
            <v:shape style="position:absolute;left:2222;top:-541;width:820;height:1283" coordorigin="2223,-540" coordsize="820,1283" path="m2223,620l2280,510m2280,510l2328,542m2328,542l2373,572m2373,572l2418,635m2418,635l2465,665m2465,665l2510,572m2510,572l2568,680m2568,680l2615,727m2615,727l2660,742m2660,742l2708,587m2708,587l2753,572m2753,572l2800,310m2800,310l2858,125m2858,125l2903,170m2903,170l2950,-15m2950,-15l2995,-340m2995,-340l3043,-540e" filled="false" stroked="true" strokeweight="1pt" strokecolor="#835335">
              <v:path arrowok="t"/>
              <v:stroke dashstyle="solid"/>
            </v:shape>
            <v:line style="position:absolute" from="3032,-539" to="3097,-539" stroked="true" strokeweight="1.125pt" strokecolor="#835335">
              <v:stroke dashstyle="solid"/>
            </v:line>
            <v:line style="position:absolute" from="3087,-540" to="3145,-573" stroked="true" strokeweight="1pt" strokecolor="#835335">
              <v:stroke dashstyle="solid"/>
            </v:line>
            <v:line style="position:absolute" from="3169,-1093" to="3169,-563" stroked="true" strokeweight="3.375pt" strokecolor="#835335">
              <v:stroke dashstyle="solid"/>
            </v:line>
            <v:shape style="position:absolute;left:3192;top:-1501;width:90;height:418" coordorigin="3192,-1500" coordsize="90,418" path="m3192,-1083l3237,-1500m3237,-1500l3282,-1220e" filled="false" stroked="true" strokeweight="1pt" strokecolor="#835335">
              <v:path arrowok="t"/>
              <v:stroke dashstyle="solid"/>
            </v:shape>
            <v:line style="position:absolute" from="3306,-1695" to="3306,-1210" stroked="true" strokeweight="3.375pt" strokecolor="#835335">
              <v:stroke dashstyle="solid"/>
            </v:line>
            <v:line style="position:absolute" from="3330,-1685" to="3375,-1035" stroked="true" strokeweight="1pt" strokecolor="#835335">
              <v:stroke dashstyle="solid"/>
            </v:line>
            <v:line style="position:absolute" from="3404,-1045" to="3404,-315" stroked="true" strokeweight="3.875pt" strokecolor="#835335">
              <v:stroke dashstyle="solid"/>
            </v:line>
            <v:shape style="position:absolute;left:3432;top:-773;width:383;height:1035" coordorigin="3432,-773" coordsize="383,1035" path="m3432,-325l3480,-633m3480,-633l3525,-773m3525,-773l3572,-340m3572,-340l3617,-355m3617,-355l3665,-248m3665,-248l3722,-215m3722,-215l3767,-108m3767,-108l3815,262e" filled="false" stroked="true" strokeweight="1pt" strokecolor="#835335">
              <v:path arrowok="t"/>
              <v:stroke dashstyle="solid"/>
            </v:shape>
            <v:shape style="position:absolute;left:975;top:-1468;width:3038;height:2299" coordorigin="976,-1468" coordsize="3038,2299" path="m978,830l3863,830m976,763l976,830m1553,763l1553,830m2131,763l2131,830m2708,763l2708,830m3285,763l3285,830m3862,763l3862,830m3926,-1468l4013,-1468m3926,-893l4013,-893m3926,-319l4013,-319m3926,830l4013,830m2080,-660l1879,116e" filled="false" stroked="true" strokeweight=".5pt" strokecolor="#000000">
              <v:path arrowok="t"/>
              <v:stroke dashstyle="solid"/>
            </v:shape>
            <v:shape style="position:absolute;left:1859;top:93;width:49;height:89" coordorigin="1859,94" coordsize="49,89" path="m1859,94l1861,111,1863,123,1863,137,1864,150,1864,162,1863,173,1862,182,1866,174,1908,106,1859,94xe" filled="true" fillcolor="#000000" stroked="false">
              <v:path arrowok="t"/>
              <v:fill type="solid"/>
            </v:shape>
            <v:shape style="position:absolute;left:2499;top:-1658;width:797;height:121" type="#_x0000_t202" filled="false" stroked="false">
              <v:textbox inset="0,0,0,0">
                <w:txbxContent>
                  <w:p>
                    <w:pPr>
                      <w:spacing w:line="116" w:lineRule="exact" w:before="0"/>
                      <w:ind w:left="0" w:right="0" w:firstLine="0"/>
                      <w:jc w:val="left"/>
                      <w:rPr>
                        <w:sz w:val="12"/>
                      </w:rPr>
                    </w:pPr>
                    <w:r>
                      <w:rPr>
                        <w:w w:val="110"/>
                        <w:sz w:val="12"/>
                      </w:rPr>
                      <w:t>Brent crude oil</w:t>
                    </w:r>
                  </w:p>
                </w:txbxContent>
              </v:textbox>
              <w10:wrap type="none"/>
            </v:shape>
            <v:shape style="position:absolute;left:1580;top:-775;width:1193;height:121" type="#_x0000_t202" filled="false" stroked="false">
              <v:textbox inset="0,0,0,0">
                <w:txbxContent>
                  <w:p>
                    <w:pPr>
                      <w:spacing w:line="116" w:lineRule="exact" w:before="0"/>
                      <w:ind w:left="0" w:right="0" w:firstLine="0"/>
                      <w:jc w:val="left"/>
                      <w:rPr>
                        <w:sz w:val="12"/>
                      </w:rPr>
                    </w:pPr>
                    <w:r>
                      <w:rPr>
                        <w:w w:val="105"/>
                        <w:sz w:val="12"/>
                      </w:rPr>
                      <w:t>‘Hard’ commodities (a)</w:t>
                    </w:r>
                  </w:p>
                </w:txbxContent>
              </v:textbox>
              <w10:wrap type="none"/>
            </v:shape>
            <w10:wrap type="none"/>
          </v:group>
        </w:pict>
      </w:r>
      <w:r>
        <w:rPr>
          <w:w w:val="107"/>
          <w:sz w:val="16"/>
        </w:rPr>
        <w:t>+</w:t>
      </w:r>
    </w:p>
    <w:p>
      <w:pPr>
        <w:pStyle w:val="BodyText"/>
        <w:spacing w:line="292" w:lineRule="auto" w:before="63"/>
        <w:ind w:left="194" w:right="184"/>
      </w:pPr>
      <w:r>
        <w:rPr/>
        <w:br w:type="column"/>
      </w:r>
      <w:r>
        <w:rPr>
          <w:w w:val="110"/>
        </w:rPr>
        <w:t>One </w:t>
      </w:r>
      <w:r>
        <w:rPr>
          <w:spacing w:val="-4"/>
          <w:w w:val="110"/>
        </w:rPr>
        <w:t>way </w:t>
      </w:r>
      <w:r>
        <w:rPr>
          <w:w w:val="110"/>
        </w:rPr>
        <w:t>of inferring the relative role of demand and supply factors</w:t>
      </w:r>
      <w:r>
        <w:rPr>
          <w:spacing w:val="-21"/>
          <w:w w:val="110"/>
        </w:rPr>
        <w:t> </w:t>
      </w:r>
      <w:r>
        <w:rPr>
          <w:w w:val="110"/>
        </w:rPr>
        <w:t>in</w:t>
      </w:r>
      <w:r>
        <w:rPr>
          <w:spacing w:val="-20"/>
          <w:w w:val="110"/>
        </w:rPr>
        <w:t> </w:t>
      </w:r>
      <w:r>
        <w:rPr>
          <w:w w:val="110"/>
        </w:rPr>
        <w:t>oil</w:t>
      </w:r>
      <w:r>
        <w:rPr>
          <w:spacing w:val="-20"/>
          <w:w w:val="110"/>
        </w:rPr>
        <w:t> </w:t>
      </w:r>
      <w:r>
        <w:rPr>
          <w:w w:val="110"/>
        </w:rPr>
        <w:t>price</w:t>
      </w:r>
      <w:r>
        <w:rPr>
          <w:spacing w:val="-21"/>
          <w:w w:val="110"/>
        </w:rPr>
        <w:t> </w:t>
      </w:r>
      <w:r>
        <w:rPr>
          <w:w w:val="110"/>
        </w:rPr>
        <w:t>movements</w:t>
      </w:r>
      <w:r>
        <w:rPr>
          <w:spacing w:val="-20"/>
          <w:w w:val="110"/>
        </w:rPr>
        <w:t> </w:t>
      </w:r>
      <w:r>
        <w:rPr>
          <w:w w:val="110"/>
        </w:rPr>
        <w:t>is</w:t>
      </w:r>
      <w:r>
        <w:rPr>
          <w:spacing w:val="-20"/>
          <w:w w:val="110"/>
        </w:rPr>
        <w:t> </w:t>
      </w:r>
      <w:r>
        <w:rPr>
          <w:spacing w:val="-4"/>
          <w:w w:val="110"/>
        </w:rPr>
        <w:t>to</w:t>
      </w:r>
      <w:r>
        <w:rPr>
          <w:spacing w:val="-20"/>
          <w:w w:val="110"/>
        </w:rPr>
        <w:t> </w:t>
      </w:r>
      <w:r>
        <w:rPr>
          <w:w w:val="110"/>
        </w:rPr>
        <w:t>compare</w:t>
      </w:r>
      <w:r>
        <w:rPr>
          <w:spacing w:val="-21"/>
          <w:w w:val="110"/>
        </w:rPr>
        <w:t> </w:t>
      </w:r>
      <w:r>
        <w:rPr>
          <w:w w:val="110"/>
        </w:rPr>
        <w:t>such</w:t>
      </w:r>
      <w:r>
        <w:rPr>
          <w:spacing w:val="-20"/>
          <w:w w:val="110"/>
        </w:rPr>
        <w:t> </w:t>
      </w:r>
      <w:r>
        <w:rPr>
          <w:w w:val="110"/>
        </w:rPr>
        <w:t>movements </w:t>
      </w:r>
      <w:r>
        <w:rPr>
          <w:spacing w:val="-4"/>
          <w:w w:val="110"/>
        </w:rPr>
        <w:t>to</w:t>
      </w:r>
      <w:r>
        <w:rPr>
          <w:spacing w:val="-10"/>
          <w:w w:val="110"/>
        </w:rPr>
        <w:t> </w:t>
      </w:r>
      <w:r>
        <w:rPr>
          <w:w w:val="110"/>
        </w:rPr>
        <w:t>changes</w:t>
      </w:r>
      <w:r>
        <w:rPr>
          <w:spacing w:val="-9"/>
          <w:w w:val="110"/>
        </w:rPr>
        <w:t> </w:t>
      </w:r>
      <w:r>
        <w:rPr>
          <w:w w:val="110"/>
        </w:rPr>
        <w:t>in</w:t>
      </w:r>
      <w:r>
        <w:rPr>
          <w:spacing w:val="-9"/>
          <w:w w:val="110"/>
        </w:rPr>
        <w:t> </w:t>
      </w:r>
      <w:r>
        <w:rPr>
          <w:w w:val="110"/>
        </w:rPr>
        <w:t>the</w:t>
      </w:r>
      <w:r>
        <w:rPr>
          <w:spacing w:val="-9"/>
          <w:w w:val="110"/>
        </w:rPr>
        <w:t> </w:t>
      </w:r>
      <w:r>
        <w:rPr>
          <w:w w:val="110"/>
        </w:rPr>
        <w:t>prices</w:t>
      </w:r>
      <w:r>
        <w:rPr>
          <w:spacing w:val="-10"/>
          <w:w w:val="110"/>
        </w:rPr>
        <w:t> </w:t>
      </w:r>
      <w:r>
        <w:rPr>
          <w:w w:val="110"/>
        </w:rPr>
        <w:t>of</w:t>
      </w:r>
      <w:r>
        <w:rPr>
          <w:spacing w:val="-9"/>
          <w:w w:val="110"/>
        </w:rPr>
        <w:t> </w:t>
      </w:r>
      <w:r>
        <w:rPr>
          <w:w w:val="110"/>
        </w:rPr>
        <w:t>other</w:t>
      </w:r>
      <w:r>
        <w:rPr>
          <w:spacing w:val="-9"/>
          <w:w w:val="110"/>
        </w:rPr>
        <w:t> </w:t>
      </w:r>
      <w:r>
        <w:rPr>
          <w:w w:val="110"/>
        </w:rPr>
        <w:t>commodities</w:t>
      </w:r>
      <w:r>
        <w:rPr>
          <w:spacing w:val="-9"/>
          <w:w w:val="110"/>
        </w:rPr>
        <w:t> </w:t>
      </w:r>
      <w:r>
        <w:rPr>
          <w:w w:val="110"/>
        </w:rPr>
        <w:t>that</w:t>
      </w:r>
      <w:r>
        <w:rPr>
          <w:spacing w:val="-10"/>
          <w:w w:val="110"/>
        </w:rPr>
        <w:t> </w:t>
      </w:r>
      <w:r>
        <w:rPr>
          <w:w w:val="110"/>
        </w:rPr>
        <w:t>respond</w:t>
      </w:r>
      <w:r>
        <w:rPr>
          <w:spacing w:val="-9"/>
          <w:w w:val="110"/>
        </w:rPr>
        <w:t> </w:t>
      </w:r>
      <w:r>
        <w:rPr>
          <w:spacing w:val="-4"/>
          <w:w w:val="110"/>
        </w:rPr>
        <w:t>to </w:t>
      </w:r>
      <w:r>
        <w:rPr>
          <w:w w:val="110"/>
        </w:rPr>
        <w:t>world</w:t>
      </w:r>
      <w:r>
        <w:rPr>
          <w:spacing w:val="-25"/>
          <w:w w:val="110"/>
        </w:rPr>
        <w:t> </w:t>
      </w:r>
      <w:r>
        <w:rPr>
          <w:w w:val="110"/>
        </w:rPr>
        <w:t>demand</w:t>
      </w:r>
      <w:r>
        <w:rPr>
          <w:spacing w:val="-25"/>
          <w:w w:val="110"/>
        </w:rPr>
        <w:t> </w:t>
      </w:r>
      <w:r>
        <w:rPr>
          <w:w w:val="110"/>
        </w:rPr>
        <w:t>conditions.</w:t>
      </w:r>
      <w:r>
        <w:rPr>
          <w:spacing w:val="6"/>
          <w:w w:val="110"/>
        </w:rPr>
        <w:t> </w:t>
      </w:r>
      <w:r>
        <w:rPr>
          <w:w w:val="110"/>
        </w:rPr>
        <w:t>Prices</w:t>
      </w:r>
      <w:r>
        <w:rPr>
          <w:spacing w:val="-24"/>
          <w:w w:val="110"/>
        </w:rPr>
        <w:t> </w:t>
      </w:r>
      <w:r>
        <w:rPr>
          <w:w w:val="110"/>
        </w:rPr>
        <w:t>of</w:t>
      </w:r>
      <w:r>
        <w:rPr>
          <w:spacing w:val="-25"/>
          <w:w w:val="110"/>
        </w:rPr>
        <w:t> </w:t>
      </w:r>
      <w:r>
        <w:rPr>
          <w:w w:val="110"/>
        </w:rPr>
        <w:t>‘hard’</w:t>
      </w:r>
      <w:r>
        <w:rPr>
          <w:spacing w:val="-25"/>
          <w:w w:val="110"/>
        </w:rPr>
        <w:t> </w:t>
      </w:r>
      <w:r>
        <w:rPr>
          <w:w w:val="110"/>
        </w:rPr>
        <w:t>commodities</w:t>
      </w:r>
      <w:r>
        <w:rPr>
          <w:spacing w:val="-25"/>
          <w:w w:val="110"/>
        </w:rPr>
        <w:t> </w:t>
      </w:r>
      <w:r>
        <w:rPr>
          <w:w w:val="110"/>
        </w:rPr>
        <w:t>such as metals are more affected </w:t>
      </w:r>
      <w:r>
        <w:rPr>
          <w:spacing w:val="-3"/>
          <w:w w:val="110"/>
        </w:rPr>
        <w:t>by </w:t>
      </w:r>
      <w:r>
        <w:rPr>
          <w:w w:val="110"/>
        </w:rPr>
        <w:t>world growth than ‘soft’ commodities</w:t>
      </w:r>
      <w:r>
        <w:rPr>
          <w:spacing w:val="-18"/>
          <w:w w:val="110"/>
        </w:rPr>
        <w:t> </w:t>
      </w:r>
      <w:r>
        <w:rPr>
          <w:w w:val="110"/>
        </w:rPr>
        <w:t>such</w:t>
      </w:r>
      <w:r>
        <w:rPr>
          <w:spacing w:val="-17"/>
          <w:w w:val="110"/>
        </w:rPr>
        <w:t> </w:t>
      </w:r>
      <w:r>
        <w:rPr>
          <w:w w:val="110"/>
        </w:rPr>
        <w:t>as</w:t>
      </w:r>
      <w:r>
        <w:rPr>
          <w:spacing w:val="-17"/>
          <w:w w:val="110"/>
        </w:rPr>
        <w:t> </w:t>
      </w:r>
      <w:r>
        <w:rPr>
          <w:w w:val="110"/>
        </w:rPr>
        <w:t>food</w:t>
      </w:r>
      <w:r>
        <w:rPr>
          <w:spacing w:val="-18"/>
          <w:w w:val="110"/>
        </w:rPr>
        <w:t> </w:t>
      </w:r>
      <w:r>
        <w:rPr>
          <w:w w:val="110"/>
        </w:rPr>
        <w:t>products,</w:t>
      </w:r>
      <w:r>
        <w:rPr>
          <w:spacing w:val="-17"/>
          <w:w w:val="110"/>
        </w:rPr>
        <w:t> </w:t>
      </w:r>
      <w:r>
        <w:rPr>
          <w:w w:val="110"/>
        </w:rPr>
        <w:t>because</w:t>
      </w:r>
      <w:r>
        <w:rPr>
          <w:spacing w:val="-17"/>
          <w:w w:val="110"/>
        </w:rPr>
        <w:t> </w:t>
      </w:r>
      <w:r>
        <w:rPr>
          <w:w w:val="110"/>
        </w:rPr>
        <w:t>demand</w:t>
      </w:r>
      <w:r>
        <w:rPr>
          <w:spacing w:val="-17"/>
          <w:w w:val="110"/>
        </w:rPr>
        <w:t> </w:t>
      </w:r>
      <w:r>
        <w:rPr>
          <w:w w:val="110"/>
        </w:rPr>
        <w:t>for</w:t>
      </w:r>
      <w:r>
        <w:rPr>
          <w:spacing w:val="-18"/>
          <w:w w:val="110"/>
        </w:rPr>
        <w:t> </w:t>
      </w:r>
      <w:r>
        <w:rPr>
          <w:spacing w:val="-3"/>
          <w:w w:val="110"/>
        </w:rPr>
        <w:t>them </w:t>
      </w:r>
      <w:r>
        <w:rPr>
          <w:w w:val="110"/>
        </w:rPr>
        <w:t>is more affected </w:t>
      </w:r>
      <w:r>
        <w:rPr>
          <w:spacing w:val="-3"/>
          <w:w w:val="110"/>
        </w:rPr>
        <w:t>by </w:t>
      </w:r>
      <w:r>
        <w:rPr>
          <w:w w:val="110"/>
        </w:rPr>
        <w:t>fluctuations in industrial production and </w:t>
      </w:r>
      <w:r>
        <w:rPr>
          <w:spacing w:val="-9"/>
          <w:w w:val="110"/>
        </w:rPr>
        <w:t>GDP. </w:t>
      </w:r>
      <w:r>
        <w:rPr>
          <w:w w:val="110"/>
        </w:rPr>
        <w:t>Hard commodity prices </w:t>
      </w:r>
      <w:r>
        <w:rPr>
          <w:spacing w:val="-3"/>
          <w:w w:val="110"/>
        </w:rPr>
        <w:t>have </w:t>
      </w:r>
      <w:r>
        <w:rPr>
          <w:w w:val="110"/>
        </w:rPr>
        <w:t>changed </w:t>
      </w:r>
      <w:r>
        <w:rPr>
          <w:spacing w:val="-3"/>
          <w:w w:val="110"/>
        </w:rPr>
        <w:t>by </w:t>
      </w:r>
      <w:r>
        <w:rPr>
          <w:w w:val="110"/>
        </w:rPr>
        <w:t>substantially less than oil prices </w:t>
      </w:r>
      <w:r>
        <w:rPr>
          <w:spacing w:val="-3"/>
          <w:w w:val="110"/>
        </w:rPr>
        <w:t>over </w:t>
      </w:r>
      <w:r>
        <w:rPr>
          <w:w w:val="110"/>
        </w:rPr>
        <w:t>the past </w:t>
      </w:r>
      <w:r>
        <w:rPr>
          <w:spacing w:val="-5"/>
          <w:w w:val="110"/>
        </w:rPr>
        <w:t>two </w:t>
      </w:r>
      <w:r>
        <w:rPr>
          <w:spacing w:val="-3"/>
          <w:w w:val="110"/>
        </w:rPr>
        <w:t>years </w:t>
      </w:r>
      <w:r>
        <w:rPr>
          <w:w w:val="110"/>
        </w:rPr>
        <w:t>(see Chart 4.3), suggesting</w:t>
      </w:r>
      <w:r>
        <w:rPr>
          <w:spacing w:val="-26"/>
          <w:w w:val="110"/>
        </w:rPr>
        <w:t> </w:t>
      </w:r>
      <w:r>
        <w:rPr>
          <w:w w:val="110"/>
        </w:rPr>
        <w:t>that</w:t>
      </w:r>
      <w:r>
        <w:rPr>
          <w:spacing w:val="-25"/>
          <w:w w:val="110"/>
        </w:rPr>
        <w:t> </w:t>
      </w:r>
      <w:r>
        <w:rPr>
          <w:w w:val="110"/>
        </w:rPr>
        <w:t>oil-specific</w:t>
      </w:r>
      <w:r>
        <w:rPr>
          <w:spacing w:val="-25"/>
          <w:w w:val="110"/>
        </w:rPr>
        <w:t> </w:t>
      </w:r>
      <w:r>
        <w:rPr>
          <w:w w:val="110"/>
        </w:rPr>
        <w:t>supply</w:t>
      </w:r>
      <w:r>
        <w:rPr>
          <w:spacing w:val="-25"/>
          <w:w w:val="110"/>
        </w:rPr>
        <w:t> </w:t>
      </w:r>
      <w:r>
        <w:rPr>
          <w:w w:val="110"/>
        </w:rPr>
        <w:t>developments</w:t>
      </w:r>
      <w:r>
        <w:rPr>
          <w:spacing w:val="-26"/>
          <w:w w:val="110"/>
        </w:rPr>
        <w:t> </w:t>
      </w:r>
      <w:r>
        <w:rPr>
          <w:spacing w:val="-3"/>
          <w:w w:val="110"/>
        </w:rPr>
        <w:t>have</w:t>
      </w:r>
      <w:r>
        <w:rPr>
          <w:spacing w:val="-25"/>
          <w:w w:val="110"/>
        </w:rPr>
        <w:t> </w:t>
      </w:r>
      <w:r>
        <w:rPr>
          <w:spacing w:val="-3"/>
          <w:w w:val="110"/>
        </w:rPr>
        <w:t>played </w:t>
      </w:r>
      <w:r>
        <w:rPr>
          <w:w w:val="110"/>
        </w:rPr>
        <w:t>an</w:t>
      </w:r>
      <w:r>
        <w:rPr>
          <w:spacing w:val="-13"/>
          <w:w w:val="110"/>
        </w:rPr>
        <w:t> </w:t>
      </w:r>
      <w:r>
        <w:rPr>
          <w:w w:val="110"/>
        </w:rPr>
        <w:t>important</w:t>
      </w:r>
      <w:r>
        <w:rPr>
          <w:spacing w:val="-12"/>
          <w:w w:val="110"/>
        </w:rPr>
        <w:t> </w:t>
      </w:r>
      <w:r>
        <w:rPr>
          <w:w w:val="110"/>
        </w:rPr>
        <w:t>role</w:t>
      </w:r>
      <w:r>
        <w:rPr>
          <w:spacing w:val="-13"/>
          <w:w w:val="110"/>
        </w:rPr>
        <w:t> </w:t>
      </w:r>
      <w:r>
        <w:rPr>
          <w:w w:val="110"/>
        </w:rPr>
        <w:t>in</w:t>
      </w:r>
      <w:r>
        <w:rPr>
          <w:spacing w:val="-12"/>
          <w:w w:val="110"/>
        </w:rPr>
        <w:t> </w:t>
      </w:r>
      <w:r>
        <w:rPr>
          <w:w w:val="110"/>
        </w:rPr>
        <w:t>oil</w:t>
      </w:r>
      <w:r>
        <w:rPr>
          <w:spacing w:val="-13"/>
          <w:w w:val="110"/>
        </w:rPr>
        <w:t> </w:t>
      </w:r>
      <w:r>
        <w:rPr>
          <w:w w:val="110"/>
        </w:rPr>
        <w:t>price</w:t>
      </w:r>
      <w:r>
        <w:rPr>
          <w:spacing w:val="-12"/>
          <w:w w:val="110"/>
        </w:rPr>
        <w:t> </w:t>
      </w:r>
      <w:r>
        <w:rPr>
          <w:w w:val="110"/>
        </w:rPr>
        <w:t>movements.</w:t>
      </w:r>
      <w:r>
        <w:rPr>
          <w:spacing w:val="31"/>
          <w:w w:val="110"/>
        </w:rPr>
        <w:t> </w:t>
      </w:r>
      <w:r>
        <w:rPr>
          <w:w w:val="110"/>
        </w:rPr>
        <w:t>But</w:t>
      </w:r>
      <w:r>
        <w:rPr>
          <w:spacing w:val="-13"/>
          <w:w w:val="110"/>
        </w:rPr>
        <w:t> </w:t>
      </w:r>
      <w:r>
        <w:rPr>
          <w:w w:val="110"/>
        </w:rPr>
        <w:t>oil</w:t>
      </w:r>
      <w:r>
        <w:rPr>
          <w:spacing w:val="-12"/>
          <w:w w:val="110"/>
        </w:rPr>
        <w:t> </w:t>
      </w:r>
      <w:r>
        <w:rPr>
          <w:w w:val="110"/>
        </w:rPr>
        <w:t>and</w:t>
      </w:r>
      <w:r>
        <w:rPr>
          <w:spacing w:val="-13"/>
          <w:w w:val="110"/>
        </w:rPr>
        <w:t> </w:t>
      </w:r>
      <w:r>
        <w:rPr>
          <w:w w:val="110"/>
        </w:rPr>
        <w:t>hard</w:t>
      </w:r>
    </w:p>
    <w:p>
      <w:pPr>
        <w:spacing w:after="0" w:line="292" w:lineRule="auto"/>
        <w:sectPr>
          <w:type w:val="continuous"/>
          <w:pgSz w:w="11900" w:h="16840"/>
          <w:pgMar w:top="1260" w:bottom="280" w:left="640" w:right="640"/>
          <w:cols w:num="3" w:equalWidth="0">
            <w:col w:w="3374" w:space="40"/>
            <w:col w:w="256" w:space="1235"/>
            <w:col w:w="5715"/>
          </w:cols>
        </w:sectPr>
      </w:pPr>
    </w:p>
    <w:p>
      <w:pPr>
        <w:pStyle w:val="BodyText"/>
        <w:tabs>
          <w:tab w:pos="5099" w:val="left" w:leader="none"/>
        </w:tabs>
        <w:spacing w:line="159" w:lineRule="exact"/>
        <w:ind w:left="3556"/>
      </w:pPr>
      <w:r>
        <w:rPr/>
        <w:pict>
          <v:line style="position:absolute;mso-position-horizontal-relative:page;mso-position-vertical-relative:paragraph;z-index:16262144" from="40.375999pt,5.17173pt" to="44.708999pt,5.17173pt" stroked="true" strokeweight=".5pt" strokecolor="#000000">
            <v:stroke dashstyle="solid"/>
            <w10:wrap type="none"/>
          </v:line>
        </w:pict>
      </w:r>
      <w:r>
        <w:rPr>
          <w:w w:val="110"/>
          <w:position w:val="2"/>
          <w:sz w:val="12"/>
        </w:rPr>
        <w:t>0</w:t>
        <w:tab/>
      </w:r>
      <w:r>
        <w:rPr>
          <w:w w:val="110"/>
        </w:rPr>
        <w:t>commodity</w:t>
      </w:r>
      <w:r>
        <w:rPr>
          <w:spacing w:val="-20"/>
          <w:w w:val="110"/>
        </w:rPr>
        <w:t> </w:t>
      </w:r>
      <w:r>
        <w:rPr>
          <w:w w:val="110"/>
        </w:rPr>
        <w:t>prices</w:t>
      </w:r>
      <w:r>
        <w:rPr>
          <w:spacing w:val="-19"/>
          <w:w w:val="110"/>
        </w:rPr>
        <w:t> </w:t>
      </w:r>
      <w:r>
        <w:rPr>
          <w:spacing w:val="-3"/>
          <w:w w:val="110"/>
        </w:rPr>
        <w:t>have</w:t>
      </w:r>
      <w:r>
        <w:rPr>
          <w:spacing w:val="-20"/>
          <w:w w:val="110"/>
        </w:rPr>
        <w:t> </w:t>
      </w:r>
      <w:r>
        <w:rPr>
          <w:w w:val="110"/>
        </w:rPr>
        <w:t>generally</w:t>
      </w:r>
      <w:r>
        <w:rPr>
          <w:spacing w:val="-19"/>
          <w:w w:val="110"/>
        </w:rPr>
        <w:t> </w:t>
      </w:r>
      <w:r>
        <w:rPr>
          <w:spacing w:val="-3"/>
          <w:w w:val="110"/>
        </w:rPr>
        <w:t>moved</w:t>
      </w:r>
      <w:r>
        <w:rPr>
          <w:spacing w:val="-19"/>
          <w:w w:val="110"/>
        </w:rPr>
        <w:t> </w:t>
      </w:r>
      <w:r>
        <w:rPr>
          <w:w w:val="110"/>
        </w:rPr>
        <w:t>in</w:t>
      </w:r>
      <w:r>
        <w:rPr>
          <w:spacing w:val="-20"/>
          <w:w w:val="110"/>
        </w:rPr>
        <w:t> </w:t>
      </w:r>
      <w:r>
        <w:rPr>
          <w:w w:val="110"/>
        </w:rPr>
        <w:t>similar</w:t>
      </w:r>
      <w:r>
        <w:rPr>
          <w:spacing w:val="-19"/>
          <w:w w:val="110"/>
        </w:rPr>
        <w:t> </w:t>
      </w:r>
      <w:r>
        <w:rPr>
          <w:w w:val="110"/>
        </w:rPr>
        <w:t>directions</w:t>
      </w:r>
    </w:p>
    <w:p>
      <w:pPr>
        <w:spacing w:line="117" w:lineRule="exact" w:before="0"/>
        <w:ind w:left="3436" w:right="0" w:firstLine="0"/>
        <w:jc w:val="left"/>
        <w:rPr>
          <w:sz w:val="16"/>
        </w:rPr>
      </w:pPr>
      <w:r>
        <w:rPr>
          <w:w w:val="117"/>
          <w:sz w:val="16"/>
        </w:rPr>
        <w:t>–</w:t>
      </w:r>
    </w:p>
    <w:p>
      <w:pPr>
        <w:pStyle w:val="BodyText"/>
        <w:spacing w:line="198" w:lineRule="exact"/>
        <w:ind w:left="5099"/>
      </w:pPr>
      <w:r>
        <w:rPr>
          <w:w w:val="110"/>
        </w:rPr>
        <w:t>in recent years. This suggests that unforeseen changes in</w:t>
      </w:r>
    </w:p>
    <w:p>
      <w:pPr>
        <w:spacing w:after="0" w:line="198" w:lineRule="exact"/>
        <w:sectPr>
          <w:type w:val="continuous"/>
          <w:pgSz w:w="11900" w:h="16840"/>
          <w:pgMar w:top="1260" w:bottom="280" w:left="640" w:right="640"/>
        </w:sectPr>
      </w:pPr>
    </w:p>
    <w:p>
      <w:pPr>
        <w:pStyle w:val="BodyText"/>
        <w:spacing w:before="3"/>
        <w:rPr>
          <w:sz w:val="17"/>
        </w:rPr>
      </w:pPr>
    </w:p>
    <w:p>
      <w:pPr>
        <w:pStyle w:val="BodyText"/>
        <w:spacing w:line="20" w:lineRule="exact"/>
        <w:ind w:left="16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tabs>
          <w:tab w:pos="1126" w:val="left" w:leader="none"/>
        </w:tabs>
        <w:spacing w:before="5"/>
        <w:ind w:left="501" w:right="0" w:firstLine="0"/>
        <w:jc w:val="left"/>
        <w:rPr>
          <w:sz w:val="12"/>
        </w:rPr>
      </w:pPr>
      <w:r>
        <w:rPr>
          <w:w w:val="120"/>
          <w:sz w:val="12"/>
        </w:rPr>
        <w:t>1996</w:t>
        <w:tab/>
      </w:r>
      <w:r>
        <w:rPr>
          <w:spacing w:val="-10"/>
          <w:w w:val="120"/>
          <w:sz w:val="12"/>
        </w:rPr>
        <w:t>97</w:t>
      </w:r>
    </w:p>
    <w:p>
      <w:pPr>
        <w:pStyle w:val="BodyText"/>
        <w:rPr>
          <w:sz w:val="12"/>
        </w:rPr>
      </w:pPr>
      <w:r>
        <w:rPr/>
        <w:br w:type="column"/>
      </w:r>
      <w:r>
        <w:rPr>
          <w:sz w:val="12"/>
        </w:rPr>
      </w:r>
    </w:p>
    <w:p>
      <w:pPr>
        <w:tabs>
          <w:tab w:pos="964" w:val="left" w:leader="none"/>
        </w:tabs>
        <w:spacing w:before="86"/>
        <w:ind w:left="404" w:right="0" w:firstLine="0"/>
        <w:jc w:val="left"/>
        <w:rPr>
          <w:sz w:val="12"/>
        </w:rPr>
      </w:pPr>
      <w:r>
        <w:rPr>
          <w:w w:val="120"/>
          <w:sz w:val="12"/>
        </w:rPr>
        <w:t>98</w:t>
        <w:tab/>
      </w:r>
      <w:r>
        <w:rPr>
          <w:spacing w:val="-10"/>
          <w:w w:val="120"/>
          <w:sz w:val="12"/>
        </w:rPr>
        <w:t>99</w:t>
      </w:r>
    </w:p>
    <w:p>
      <w:pPr>
        <w:pStyle w:val="BodyText"/>
        <w:spacing w:before="9"/>
        <w:rPr>
          <w:sz w:val="10"/>
        </w:rPr>
      </w:pPr>
      <w:r>
        <w:rPr/>
        <w:br w:type="column"/>
      </w:r>
      <w:r>
        <w:rPr>
          <w:sz w:val="10"/>
        </w:rPr>
      </w:r>
    </w:p>
    <w:p>
      <w:pPr>
        <w:spacing w:line="119" w:lineRule="exact" w:before="0"/>
        <w:ind w:left="1020" w:right="0" w:firstLine="0"/>
        <w:jc w:val="left"/>
        <w:rPr>
          <w:sz w:val="12"/>
        </w:rPr>
      </w:pPr>
      <w:r>
        <w:rPr>
          <w:w w:val="120"/>
          <w:sz w:val="12"/>
        </w:rPr>
        <w:t>50</w:t>
      </w:r>
    </w:p>
    <w:p>
      <w:pPr>
        <w:spacing w:line="119" w:lineRule="exact" w:before="0"/>
        <w:ind w:left="326" w:right="0" w:firstLine="0"/>
        <w:jc w:val="left"/>
        <w:rPr>
          <w:sz w:val="12"/>
        </w:rPr>
      </w:pPr>
      <w:r>
        <w:rPr>
          <w:w w:val="120"/>
          <w:sz w:val="12"/>
        </w:rPr>
        <w:t>2000 01</w:t>
      </w:r>
    </w:p>
    <w:p>
      <w:pPr>
        <w:pStyle w:val="BodyText"/>
        <w:spacing w:before="50"/>
        <w:ind w:left="501"/>
      </w:pPr>
      <w:r>
        <w:rPr/>
        <w:br w:type="column"/>
      </w:r>
      <w:r>
        <w:rPr>
          <w:w w:val="110"/>
        </w:rPr>
        <w:t>world demand, such as the recent downward revisions to</w:t>
      </w:r>
    </w:p>
    <w:p>
      <w:pPr>
        <w:spacing w:after="0"/>
        <w:sectPr>
          <w:type w:val="continuous"/>
          <w:pgSz w:w="11900" w:h="16840"/>
          <w:pgMar w:top="1260" w:bottom="280" w:left="640" w:right="640"/>
          <w:cols w:num="4" w:equalWidth="0">
            <w:col w:w="1273" w:space="40"/>
            <w:col w:w="1110" w:space="39"/>
            <w:col w:w="1207" w:space="929"/>
            <w:col w:w="6022"/>
          </w:cols>
        </w:sectPr>
      </w:pPr>
    </w:p>
    <w:p>
      <w:pPr>
        <w:pStyle w:val="ListParagraph"/>
        <w:numPr>
          <w:ilvl w:val="0"/>
          <w:numId w:val="28"/>
        </w:numPr>
        <w:tabs>
          <w:tab w:pos="406" w:val="left" w:leader="none"/>
        </w:tabs>
        <w:spacing w:line="240" w:lineRule="auto" w:before="103" w:after="0"/>
        <w:ind w:left="405" w:right="0" w:hanging="241"/>
        <w:jc w:val="left"/>
        <w:rPr>
          <w:sz w:val="12"/>
        </w:rPr>
      </w:pPr>
      <w:r>
        <w:rPr>
          <w:i/>
          <w:w w:val="105"/>
          <w:sz w:val="12"/>
        </w:rPr>
        <w:t>The Economist </w:t>
      </w:r>
      <w:r>
        <w:rPr>
          <w:w w:val="105"/>
          <w:sz w:val="12"/>
        </w:rPr>
        <w:t>industrial commodity price</w:t>
      </w:r>
      <w:r>
        <w:rPr>
          <w:spacing w:val="-4"/>
          <w:w w:val="105"/>
          <w:sz w:val="12"/>
        </w:rPr>
        <w:t> </w:t>
      </w:r>
      <w:r>
        <w:rPr>
          <w:w w:val="105"/>
          <w:sz w:val="12"/>
        </w:rPr>
        <w:t>index.</w:t>
      </w:r>
    </w:p>
    <w:p>
      <w:pPr>
        <w:pStyle w:val="BodyText"/>
        <w:spacing w:line="198" w:lineRule="exact"/>
        <w:ind w:left="165"/>
      </w:pPr>
      <w:r>
        <w:rPr/>
        <w:br w:type="column"/>
      </w:r>
      <w:r>
        <w:rPr>
          <w:w w:val="110"/>
        </w:rPr>
        <w:t>expected world growth, are likely to have been an important</w:t>
      </w:r>
    </w:p>
    <w:p>
      <w:pPr>
        <w:pStyle w:val="BodyText"/>
        <w:spacing w:line="292" w:lineRule="auto" w:before="50"/>
        <w:ind w:left="165" w:right="296"/>
      </w:pPr>
      <w:r>
        <w:rPr>
          <w:w w:val="105"/>
        </w:rPr>
        <w:t>common factor affecting a broad range of commodities. Indeed, the recent downward revision to world growth prospects has been associated with a fall in expected future hard commodity prices as well as future oil prices.</w:t>
      </w:r>
    </w:p>
    <w:p>
      <w:pPr>
        <w:pStyle w:val="BodyText"/>
        <w:spacing w:before="1"/>
        <w:rPr>
          <w:sz w:val="24"/>
        </w:rPr>
      </w:pPr>
    </w:p>
    <w:p>
      <w:pPr>
        <w:pStyle w:val="BodyText"/>
        <w:spacing w:line="292" w:lineRule="auto"/>
        <w:ind w:left="165" w:right="142"/>
      </w:pPr>
      <w:r>
        <w:rPr>
          <w:w w:val="110"/>
        </w:rPr>
        <w:t>As well as being affected </w:t>
      </w:r>
      <w:r>
        <w:rPr>
          <w:spacing w:val="-3"/>
          <w:w w:val="110"/>
        </w:rPr>
        <w:t>by world </w:t>
      </w:r>
      <w:r>
        <w:rPr>
          <w:w w:val="110"/>
        </w:rPr>
        <w:t>demand conditions, commodity</w:t>
      </w:r>
      <w:r>
        <w:rPr>
          <w:spacing w:val="-34"/>
          <w:w w:val="110"/>
        </w:rPr>
        <w:t> </w:t>
      </w:r>
      <w:r>
        <w:rPr>
          <w:w w:val="110"/>
        </w:rPr>
        <w:t>price</w:t>
      </w:r>
      <w:r>
        <w:rPr>
          <w:spacing w:val="-34"/>
          <w:w w:val="110"/>
        </w:rPr>
        <w:t> </w:t>
      </w:r>
      <w:r>
        <w:rPr>
          <w:w w:val="110"/>
        </w:rPr>
        <w:t>movements</w:t>
      </w:r>
      <w:r>
        <w:rPr>
          <w:spacing w:val="-34"/>
          <w:w w:val="110"/>
        </w:rPr>
        <w:t> </w:t>
      </w:r>
      <w:r>
        <w:rPr>
          <w:spacing w:val="-3"/>
          <w:w w:val="110"/>
        </w:rPr>
        <w:t>may</w:t>
      </w:r>
      <w:r>
        <w:rPr>
          <w:spacing w:val="-34"/>
          <w:w w:val="110"/>
        </w:rPr>
        <w:t> </w:t>
      </w:r>
      <w:r>
        <w:rPr>
          <w:w w:val="110"/>
        </w:rPr>
        <w:t>influence</w:t>
      </w:r>
      <w:r>
        <w:rPr>
          <w:spacing w:val="-34"/>
          <w:w w:val="110"/>
        </w:rPr>
        <w:t> </w:t>
      </w:r>
      <w:r>
        <w:rPr>
          <w:w w:val="110"/>
        </w:rPr>
        <w:t>world</w:t>
      </w:r>
      <w:r>
        <w:rPr>
          <w:spacing w:val="-34"/>
          <w:w w:val="110"/>
        </w:rPr>
        <w:t> </w:t>
      </w:r>
      <w:r>
        <w:rPr>
          <w:w w:val="110"/>
        </w:rPr>
        <w:t>growth.</w:t>
      </w:r>
      <w:r>
        <w:rPr>
          <w:w w:val="110"/>
          <w:position w:val="5"/>
          <w:sz w:val="14"/>
        </w:rPr>
        <w:t>(1)</w:t>
      </w:r>
      <w:r>
        <w:rPr>
          <w:spacing w:val="5"/>
          <w:w w:val="110"/>
          <w:position w:val="5"/>
          <w:sz w:val="14"/>
        </w:rPr>
        <w:t> </w:t>
      </w:r>
      <w:r>
        <w:rPr>
          <w:w w:val="110"/>
        </w:rPr>
        <w:t>In particular, sharp commodity price rises </w:t>
      </w:r>
      <w:r>
        <w:rPr>
          <w:spacing w:val="-3"/>
          <w:w w:val="110"/>
        </w:rPr>
        <w:t>tend </w:t>
      </w:r>
      <w:r>
        <w:rPr>
          <w:spacing w:val="-4"/>
          <w:w w:val="110"/>
        </w:rPr>
        <w:t>to </w:t>
      </w:r>
      <w:r>
        <w:rPr>
          <w:w w:val="110"/>
        </w:rPr>
        <w:t>depress </w:t>
      </w:r>
      <w:r>
        <w:rPr>
          <w:spacing w:val="-3"/>
          <w:w w:val="110"/>
        </w:rPr>
        <w:t>world </w:t>
      </w:r>
      <w:r>
        <w:rPr>
          <w:w w:val="110"/>
        </w:rPr>
        <w:t>growth </w:t>
      </w:r>
      <w:r>
        <w:rPr>
          <w:spacing w:val="-3"/>
          <w:w w:val="110"/>
        </w:rPr>
        <w:t>by </w:t>
      </w:r>
      <w:r>
        <w:rPr>
          <w:w w:val="110"/>
        </w:rPr>
        <w:t>reducing the real income, and hence consumption, of commodity-importing countries—which in the short </w:t>
      </w:r>
      <w:r>
        <w:rPr>
          <w:spacing w:val="-3"/>
          <w:w w:val="110"/>
        </w:rPr>
        <w:t>term </w:t>
      </w:r>
      <w:r>
        <w:rPr>
          <w:w w:val="110"/>
        </w:rPr>
        <w:t>tends</w:t>
      </w:r>
      <w:r>
        <w:rPr>
          <w:spacing w:val="-15"/>
          <w:w w:val="110"/>
        </w:rPr>
        <w:t> </w:t>
      </w:r>
      <w:r>
        <w:rPr>
          <w:w w:val="110"/>
        </w:rPr>
        <w:t>not</w:t>
      </w:r>
      <w:r>
        <w:rPr>
          <w:spacing w:val="-15"/>
          <w:w w:val="110"/>
        </w:rPr>
        <w:t> </w:t>
      </w:r>
      <w:r>
        <w:rPr>
          <w:spacing w:val="-4"/>
          <w:w w:val="110"/>
        </w:rPr>
        <w:t>to</w:t>
      </w:r>
      <w:r>
        <w:rPr>
          <w:spacing w:val="-14"/>
          <w:w w:val="110"/>
        </w:rPr>
        <w:t> </w:t>
      </w:r>
      <w:r>
        <w:rPr>
          <w:w w:val="110"/>
        </w:rPr>
        <w:t>be</w:t>
      </w:r>
      <w:r>
        <w:rPr>
          <w:spacing w:val="-15"/>
          <w:w w:val="110"/>
        </w:rPr>
        <w:t> </w:t>
      </w:r>
      <w:r>
        <w:rPr>
          <w:w w:val="110"/>
        </w:rPr>
        <w:t>completely</w:t>
      </w:r>
      <w:r>
        <w:rPr>
          <w:spacing w:val="-14"/>
          <w:w w:val="110"/>
        </w:rPr>
        <w:t> </w:t>
      </w:r>
      <w:r>
        <w:rPr>
          <w:w w:val="110"/>
        </w:rPr>
        <w:t>offset</w:t>
      </w:r>
      <w:r>
        <w:rPr>
          <w:spacing w:val="-15"/>
          <w:w w:val="110"/>
        </w:rPr>
        <w:t> </w:t>
      </w:r>
      <w:r>
        <w:rPr>
          <w:spacing w:val="-3"/>
          <w:w w:val="110"/>
        </w:rPr>
        <w:t>by</w:t>
      </w:r>
      <w:r>
        <w:rPr>
          <w:spacing w:val="-14"/>
          <w:w w:val="110"/>
        </w:rPr>
        <w:t> </w:t>
      </w:r>
      <w:r>
        <w:rPr>
          <w:w w:val="110"/>
        </w:rPr>
        <w:t>increased</w:t>
      </w:r>
      <w:r>
        <w:rPr>
          <w:spacing w:val="-15"/>
          <w:w w:val="110"/>
        </w:rPr>
        <w:t> </w:t>
      </w:r>
      <w:r>
        <w:rPr>
          <w:w w:val="110"/>
        </w:rPr>
        <w:t>consumption</w:t>
      </w:r>
      <w:r>
        <w:rPr>
          <w:spacing w:val="-15"/>
          <w:w w:val="110"/>
        </w:rPr>
        <w:t> </w:t>
      </w:r>
      <w:r>
        <w:rPr>
          <w:w w:val="110"/>
        </w:rPr>
        <w:t>of commodity-producing</w:t>
      </w:r>
      <w:r>
        <w:rPr>
          <w:spacing w:val="-38"/>
          <w:w w:val="110"/>
        </w:rPr>
        <w:t> </w:t>
      </w:r>
      <w:r>
        <w:rPr>
          <w:w w:val="110"/>
        </w:rPr>
        <w:t>economies,</w:t>
      </w:r>
      <w:r>
        <w:rPr>
          <w:spacing w:val="-38"/>
          <w:w w:val="110"/>
        </w:rPr>
        <w:t> </w:t>
      </w:r>
      <w:r>
        <w:rPr>
          <w:w w:val="110"/>
        </w:rPr>
        <w:t>whose</w:t>
      </w:r>
      <w:r>
        <w:rPr>
          <w:spacing w:val="-38"/>
          <w:w w:val="110"/>
        </w:rPr>
        <w:t> </w:t>
      </w:r>
      <w:r>
        <w:rPr>
          <w:w w:val="110"/>
        </w:rPr>
        <w:t>real</w:t>
      </w:r>
      <w:r>
        <w:rPr>
          <w:spacing w:val="-37"/>
          <w:w w:val="110"/>
        </w:rPr>
        <w:t> </w:t>
      </w:r>
      <w:r>
        <w:rPr>
          <w:w w:val="110"/>
        </w:rPr>
        <w:t>incomes</w:t>
      </w:r>
      <w:r>
        <w:rPr>
          <w:spacing w:val="-38"/>
          <w:w w:val="110"/>
        </w:rPr>
        <w:t> </w:t>
      </w:r>
      <w:r>
        <w:rPr>
          <w:spacing w:val="-3"/>
          <w:w w:val="110"/>
        </w:rPr>
        <w:t>increase </w:t>
      </w:r>
      <w:r>
        <w:rPr>
          <w:w w:val="110"/>
        </w:rPr>
        <w:t>with commodity price</w:t>
      </w:r>
      <w:r>
        <w:rPr>
          <w:spacing w:val="-21"/>
          <w:w w:val="110"/>
        </w:rPr>
        <w:t> </w:t>
      </w:r>
      <w:r>
        <w:rPr>
          <w:w w:val="110"/>
        </w:rPr>
        <w:t>rises.</w:t>
      </w:r>
    </w:p>
    <w:p>
      <w:pPr>
        <w:pStyle w:val="BodyText"/>
        <w:rPr>
          <w:sz w:val="24"/>
        </w:rPr>
      </w:pPr>
    </w:p>
    <w:p>
      <w:pPr>
        <w:pStyle w:val="BodyText"/>
        <w:ind w:left="165"/>
      </w:pPr>
      <w:r>
        <w:rPr>
          <w:w w:val="105"/>
        </w:rPr>
        <w:t>Because oil is, like many commodities, denominated in</w:t>
      </w:r>
    </w:p>
    <w:p>
      <w:pPr>
        <w:pStyle w:val="BodyText"/>
        <w:spacing w:line="292" w:lineRule="auto" w:before="50"/>
        <w:ind w:left="165" w:right="374"/>
      </w:pPr>
      <w:r>
        <w:rPr>
          <w:w w:val="110"/>
        </w:rPr>
        <w:t>US</w:t>
      </w:r>
      <w:r>
        <w:rPr>
          <w:spacing w:val="-20"/>
          <w:w w:val="110"/>
        </w:rPr>
        <w:t> </w:t>
      </w:r>
      <w:r>
        <w:rPr>
          <w:w w:val="110"/>
        </w:rPr>
        <w:t>dollars,</w:t>
      </w:r>
      <w:r>
        <w:rPr>
          <w:spacing w:val="-19"/>
          <w:w w:val="110"/>
        </w:rPr>
        <w:t> </w:t>
      </w:r>
      <w:r>
        <w:rPr>
          <w:w w:val="110"/>
        </w:rPr>
        <w:t>its</w:t>
      </w:r>
      <w:r>
        <w:rPr>
          <w:spacing w:val="-20"/>
          <w:w w:val="110"/>
        </w:rPr>
        <w:t> </w:t>
      </w:r>
      <w:r>
        <w:rPr>
          <w:w w:val="110"/>
        </w:rPr>
        <w:t>effect</w:t>
      </w:r>
      <w:r>
        <w:rPr>
          <w:spacing w:val="-19"/>
          <w:w w:val="110"/>
        </w:rPr>
        <w:t> </w:t>
      </w:r>
      <w:r>
        <w:rPr>
          <w:w w:val="110"/>
        </w:rPr>
        <w:t>on</w:t>
      </w:r>
      <w:r>
        <w:rPr>
          <w:spacing w:val="-20"/>
          <w:w w:val="110"/>
        </w:rPr>
        <w:t> </w:t>
      </w:r>
      <w:r>
        <w:rPr>
          <w:w w:val="110"/>
        </w:rPr>
        <w:t>UK</w:t>
      </w:r>
      <w:r>
        <w:rPr>
          <w:spacing w:val="-19"/>
          <w:w w:val="110"/>
        </w:rPr>
        <w:t> </w:t>
      </w:r>
      <w:r>
        <w:rPr>
          <w:w w:val="110"/>
        </w:rPr>
        <w:t>input</w:t>
      </w:r>
      <w:r>
        <w:rPr>
          <w:spacing w:val="-20"/>
          <w:w w:val="110"/>
        </w:rPr>
        <w:t> </w:t>
      </w:r>
      <w:r>
        <w:rPr>
          <w:w w:val="110"/>
        </w:rPr>
        <w:t>prices</w:t>
      </w:r>
      <w:r>
        <w:rPr>
          <w:spacing w:val="-19"/>
          <w:w w:val="110"/>
        </w:rPr>
        <w:t> </w:t>
      </w:r>
      <w:r>
        <w:rPr>
          <w:w w:val="110"/>
        </w:rPr>
        <w:t>also</w:t>
      </w:r>
      <w:r>
        <w:rPr>
          <w:spacing w:val="-20"/>
          <w:w w:val="110"/>
        </w:rPr>
        <w:t> </w:t>
      </w:r>
      <w:r>
        <w:rPr>
          <w:w w:val="110"/>
        </w:rPr>
        <w:t>depends</w:t>
      </w:r>
      <w:r>
        <w:rPr>
          <w:spacing w:val="-19"/>
          <w:w w:val="110"/>
        </w:rPr>
        <w:t> </w:t>
      </w:r>
      <w:r>
        <w:rPr>
          <w:w w:val="110"/>
        </w:rPr>
        <w:t>on</w:t>
      </w:r>
      <w:r>
        <w:rPr>
          <w:spacing w:val="-20"/>
          <w:w w:val="110"/>
        </w:rPr>
        <w:t> </w:t>
      </w:r>
      <w:r>
        <w:rPr>
          <w:w w:val="110"/>
        </w:rPr>
        <w:t>the </w:t>
      </w:r>
      <w:r>
        <w:rPr>
          <w:spacing w:val="-3"/>
          <w:w w:val="110"/>
        </w:rPr>
        <w:t>sterling-dollar exchange </w:t>
      </w:r>
      <w:r>
        <w:rPr>
          <w:spacing w:val="-4"/>
          <w:w w:val="110"/>
        </w:rPr>
        <w:t>rate, </w:t>
      </w:r>
      <w:r>
        <w:rPr>
          <w:w w:val="110"/>
        </w:rPr>
        <w:t>at least in the short</w:t>
      </w:r>
      <w:r>
        <w:rPr>
          <w:spacing w:val="-37"/>
          <w:w w:val="110"/>
        </w:rPr>
        <w:t> </w:t>
      </w:r>
      <w:r>
        <w:rPr>
          <w:w w:val="110"/>
        </w:rPr>
        <w:t>run.</w:t>
      </w:r>
    </w:p>
    <w:p>
      <w:pPr>
        <w:pStyle w:val="BodyText"/>
        <w:spacing w:line="292" w:lineRule="auto"/>
        <w:ind w:left="165" w:right="133"/>
      </w:pPr>
      <w:r>
        <w:rPr>
          <w:w w:val="110"/>
        </w:rPr>
        <w:t>Movements in the </w:t>
      </w:r>
      <w:r>
        <w:rPr>
          <w:spacing w:val="-3"/>
          <w:w w:val="110"/>
        </w:rPr>
        <w:t>sterling-dollar </w:t>
      </w:r>
      <w:r>
        <w:rPr>
          <w:spacing w:val="-4"/>
          <w:w w:val="110"/>
        </w:rPr>
        <w:t>rate </w:t>
      </w:r>
      <w:r>
        <w:rPr>
          <w:spacing w:val="-3"/>
          <w:w w:val="110"/>
        </w:rPr>
        <w:t>have </w:t>
      </w:r>
      <w:r>
        <w:rPr>
          <w:w w:val="110"/>
        </w:rPr>
        <w:t>tended </w:t>
      </w:r>
      <w:r>
        <w:rPr>
          <w:spacing w:val="-4"/>
          <w:w w:val="110"/>
        </w:rPr>
        <w:t>to </w:t>
      </w:r>
      <w:r>
        <w:rPr>
          <w:w w:val="110"/>
        </w:rPr>
        <w:t>reinforce the </w:t>
      </w:r>
      <w:r>
        <w:rPr>
          <w:spacing w:val="-3"/>
          <w:w w:val="110"/>
        </w:rPr>
        <w:t>volatility </w:t>
      </w:r>
      <w:r>
        <w:rPr>
          <w:w w:val="110"/>
        </w:rPr>
        <w:t>of dollar oil price movements in recent months:</w:t>
      </w:r>
    </w:p>
    <w:p>
      <w:pPr>
        <w:spacing w:after="0" w:line="292" w:lineRule="auto"/>
        <w:sectPr>
          <w:type w:val="continuous"/>
          <w:pgSz w:w="11900" w:h="16840"/>
          <w:pgMar w:top="1260" w:bottom="280" w:left="640" w:right="640"/>
          <w:cols w:num="2" w:equalWidth="0">
            <w:col w:w="2975" w:space="1960"/>
            <w:col w:w="5685"/>
          </w:cols>
        </w:sectPr>
      </w:pPr>
    </w:p>
    <w:p>
      <w:pPr>
        <w:pStyle w:val="BodyText"/>
        <w:spacing w:before="8"/>
        <w:rPr>
          <w:sz w:val="23"/>
        </w:rPr>
      </w:pPr>
    </w:p>
    <w:p>
      <w:pPr>
        <w:pStyle w:val="BodyText"/>
        <w:spacing w:line="20" w:lineRule="exact"/>
        <w:ind w:left="4941"/>
        <w:rPr>
          <w:sz w:val="2"/>
        </w:rPr>
      </w:pPr>
      <w:r>
        <w:rPr>
          <w:sz w:val="2"/>
        </w:rPr>
        <w:pict>
          <v:group style="width:277.650pt;height:.15pt;mso-position-horizontal-relative:char;mso-position-vertical-relative:line" coordorigin="0,0" coordsize="5553,3">
            <v:line style="position:absolute" from="0,1" to="5553,1" stroked="true" strokeweight=".125pt" strokecolor="#006cb4">
              <v:stroke dashstyle="solid"/>
            </v:line>
          </v:group>
        </w:pict>
      </w:r>
      <w:r>
        <w:rPr>
          <w:sz w:val="2"/>
        </w:rPr>
      </w:r>
    </w:p>
    <w:p>
      <w:pPr>
        <w:pStyle w:val="ListParagraph"/>
        <w:numPr>
          <w:ilvl w:val="1"/>
          <w:numId w:val="28"/>
        </w:numPr>
        <w:tabs>
          <w:tab w:pos="5220" w:val="left" w:leader="none"/>
        </w:tabs>
        <w:spacing w:line="240" w:lineRule="auto" w:before="25" w:after="0"/>
        <w:ind w:left="5219" w:right="1014" w:hanging="240"/>
        <w:jc w:val="left"/>
        <w:rPr>
          <w:sz w:val="14"/>
        </w:rPr>
      </w:pPr>
      <w:r>
        <w:rPr>
          <w:w w:val="110"/>
          <w:sz w:val="14"/>
        </w:rPr>
        <w:t>The</w:t>
      </w:r>
      <w:r>
        <w:rPr>
          <w:spacing w:val="-11"/>
          <w:w w:val="110"/>
          <w:sz w:val="14"/>
        </w:rPr>
        <w:t> </w:t>
      </w:r>
      <w:r>
        <w:rPr>
          <w:w w:val="110"/>
          <w:sz w:val="14"/>
        </w:rPr>
        <w:t>box</w:t>
      </w:r>
      <w:r>
        <w:rPr>
          <w:spacing w:val="-10"/>
          <w:w w:val="110"/>
          <w:sz w:val="14"/>
        </w:rPr>
        <w:t> </w:t>
      </w:r>
      <w:r>
        <w:rPr>
          <w:w w:val="110"/>
          <w:sz w:val="14"/>
        </w:rPr>
        <w:t>on</w:t>
      </w:r>
      <w:r>
        <w:rPr>
          <w:spacing w:val="-11"/>
          <w:w w:val="110"/>
          <w:sz w:val="14"/>
        </w:rPr>
        <w:t> </w:t>
      </w:r>
      <w:r>
        <w:rPr>
          <w:w w:val="110"/>
          <w:sz w:val="14"/>
        </w:rPr>
        <w:t>page</w:t>
      </w:r>
      <w:r>
        <w:rPr>
          <w:spacing w:val="-10"/>
          <w:w w:val="110"/>
          <w:sz w:val="14"/>
        </w:rPr>
        <w:t> </w:t>
      </w:r>
      <w:r>
        <w:rPr>
          <w:spacing w:val="-13"/>
          <w:w w:val="110"/>
          <w:sz w:val="14"/>
        </w:rPr>
        <w:t>15</w:t>
      </w:r>
      <w:r>
        <w:rPr>
          <w:spacing w:val="-11"/>
          <w:w w:val="110"/>
          <w:sz w:val="14"/>
        </w:rPr>
        <w:t> </w:t>
      </w:r>
      <w:r>
        <w:rPr>
          <w:w w:val="110"/>
          <w:sz w:val="14"/>
        </w:rPr>
        <w:t>of</w:t>
      </w:r>
      <w:r>
        <w:rPr>
          <w:spacing w:val="-10"/>
          <w:w w:val="110"/>
          <w:sz w:val="14"/>
        </w:rPr>
        <w:t> </w:t>
      </w:r>
      <w:r>
        <w:rPr>
          <w:w w:val="110"/>
          <w:sz w:val="14"/>
        </w:rPr>
        <w:t>the</w:t>
      </w:r>
      <w:r>
        <w:rPr>
          <w:spacing w:val="-11"/>
          <w:w w:val="110"/>
          <w:sz w:val="14"/>
        </w:rPr>
        <w:t> </w:t>
      </w:r>
      <w:r>
        <w:rPr>
          <w:w w:val="110"/>
          <w:sz w:val="14"/>
        </w:rPr>
        <w:t>November</w:t>
      </w:r>
      <w:r>
        <w:rPr>
          <w:spacing w:val="-10"/>
          <w:w w:val="110"/>
          <w:sz w:val="14"/>
        </w:rPr>
        <w:t> </w:t>
      </w:r>
      <w:r>
        <w:rPr>
          <w:spacing w:val="-3"/>
          <w:w w:val="110"/>
          <w:sz w:val="14"/>
        </w:rPr>
        <w:t>2000</w:t>
      </w:r>
      <w:r>
        <w:rPr>
          <w:spacing w:val="-11"/>
          <w:w w:val="110"/>
          <w:sz w:val="14"/>
        </w:rPr>
        <w:t> </w:t>
      </w:r>
      <w:r>
        <w:rPr>
          <w:i/>
          <w:w w:val="110"/>
          <w:sz w:val="14"/>
        </w:rPr>
        <w:t>Inflation</w:t>
      </w:r>
      <w:r>
        <w:rPr>
          <w:i/>
          <w:spacing w:val="-10"/>
          <w:w w:val="110"/>
          <w:sz w:val="14"/>
        </w:rPr>
        <w:t> </w:t>
      </w:r>
      <w:r>
        <w:rPr>
          <w:i/>
          <w:w w:val="110"/>
          <w:sz w:val="14"/>
        </w:rPr>
        <w:t>Report</w:t>
      </w:r>
      <w:r>
        <w:rPr>
          <w:i/>
          <w:spacing w:val="-11"/>
          <w:w w:val="110"/>
          <w:sz w:val="14"/>
        </w:rPr>
        <w:t> </w:t>
      </w:r>
      <w:r>
        <w:rPr>
          <w:w w:val="110"/>
          <w:sz w:val="14"/>
        </w:rPr>
        <w:t>examines</w:t>
      </w:r>
      <w:r>
        <w:rPr>
          <w:spacing w:val="-10"/>
          <w:w w:val="110"/>
          <w:sz w:val="14"/>
        </w:rPr>
        <w:t> </w:t>
      </w:r>
      <w:r>
        <w:rPr>
          <w:w w:val="110"/>
          <w:sz w:val="14"/>
        </w:rPr>
        <w:t>the effects</w:t>
      </w:r>
      <w:r>
        <w:rPr>
          <w:spacing w:val="-5"/>
          <w:w w:val="110"/>
          <w:sz w:val="14"/>
        </w:rPr>
        <w:t> </w:t>
      </w:r>
      <w:r>
        <w:rPr>
          <w:w w:val="110"/>
          <w:sz w:val="14"/>
        </w:rPr>
        <w:t>of</w:t>
      </w:r>
      <w:r>
        <w:rPr>
          <w:spacing w:val="-5"/>
          <w:w w:val="110"/>
          <w:sz w:val="14"/>
        </w:rPr>
        <w:t> </w:t>
      </w:r>
      <w:r>
        <w:rPr>
          <w:w w:val="110"/>
          <w:sz w:val="14"/>
        </w:rPr>
        <w:t>oil</w:t>
      </w:r>
      <w:r>
        <w:rPr>
          <w:spacing w:val="-5"/>
          <w:w w:val="110"/>
          <w:sz w:val="14"/>
        </w:rPr>
        <w:t> </w:t>
      </w:r>
      <w:r>
        <w:rPr>
          <w:w w:val="110"/>
          <w:sz w:val="14"/>
        </w:rPr>
        <w:t>prices</w:t>
      </w:r>
      <w:r>
        <w:rPr>
          <w:spacing w:val="-5"/>
          <w:w w:val="110"/>
          <w:sz w:val="14"/>
        </w:rPr>
        <w:t> </w:t>
      </w:r>
      <w:r>
        <w:rPr>
          <w:w w:val="110"/>
          <w:sz w:val="14"/>
        </w:rPr>
        <w:t>on</w:t>
      </w:r>
      <w:r>
        <w:rPr>
          <w:spacing w:val="-4"/>
          <w:w w:val="110"/>
          <w:sz w:val="14"/>
        </w:rPr>
        <w:t> </w:t>
      </w:r>
      <w:r>
        <w:rPr>
          <w:w w:val="110"/>
          <w:sz w:val="14"/>
        </w:rPr>
        <w:t>economic</w:t>
      </w:r>
      <w:r>
        <w:rPr>
          <w:spacing w:val="-5"/>
          <w:w w:val="110"/>
          <w:sz w:val="14"/>
        </w:rPr>
        <w:t> </w:t>
      </w:r>
      <w:r>
        <w:rPr>
          <w:spacing w:val="-3"/>
          <w:w w:val="110"/>
          <w:sz w:val="14"/>
        </w:rPr>
        <w:t>activity.</w:t>
      </w:r>
    </w:p>
    <w:p>
      <w:pPr>
        <w:spacing w:after="0" w:line="240" w:lineRule="auto"/>
        <w:jc w:val="left"/>
        <w:rPr>
          <w:sz w:val="14"/>
        </w:rPr>
        <w:sectPr>
          <w:type w:val="continuous"/>
          <w:pgSz w:w="11900" w:h="16840"/>
          <w:pgMar w:top="1260" w:bottom="280" w:left="640" w:right="640"/>
        </w:sectPr>
      </w:pPr>
    </w:p>
    <w:p>
      <w:pPr>
        <w:pStyle w:val="BodyText"/>
      </w:pPr>
    </w:p>
    <w:p>
      <w:pPr>
        <w:pStyle w:val="BodyText"/>
        <w:spacing w:before="6"/>
        <w:rPr>
          <w:sz w:val="19"/>
        </w:rPr>
      </w:pPr>
    </w:p>
    <w:p>
      <w:pPr>
        <w:pStyle w:val="BodyText"/>
        <w:spacing w:line="292" w:lineRule="auto" w:before="1"/>
        <w:ind w:left="5100"/>
      </w:pPr>
      <w:bookmarkStart w:name="Import prices and the exchange rate" w:id="75"/>
      <w:bookmarkEnd w:id="75"/>
      <w:r>
        <w:rPr/>
      </w:r>
      <w:bookmarkStart w:name="Costs and prices in manufacturing" w:id="76"/>
      <w:bookmarkEnd w:id="76"/>
      <w:r>
        <w:rPr/>
      </w:r>
      <w:bookmarkStart w:name="_bookmark37" w:id="77"/>
      <w:bookmarkEnd w:id="77"/>
      <w:r>
        <w:rPr/>
      </w:r>
      <w:bookmarkStart w:name="_bookmark38" w:id="78"/>
      <w:bookmarkEnd w:id="78"/>
      <w:r>
        <w:rPr/>
      </w:r>
      <w:r>
        <w:rPr>
          <w:w w:val="110"/>
        </w:rPr>
        <w:t>dollar</w:t>
      </w:r>
      <w:r>
        <w:rPr>
          <w:spacing w:val="-21"/>
          <w:w w:val="110"/>
        </w:rPr>
        <w:t> </w:t>
      </w:r>
      <w:r>
        <w:rPr>
          <w:w w:val="110"/>
        </w:rPr>
        <w:t>oil</w:t>
      </w:r>
      <w:r>
        <w:rPr>
          <w:spacing w:val="-21"/>
          <w:w w:val="110"/>
        </w:rPr>
        <w:t> </w:t>
      </w:r>
      <w:r>
        <w:rPr>
          <w:w w:val="110"/>
        </w:rPr>
        <w:t>price</w:t>
      </w:r>
      <w:r>
        <w:rPr>
          <w:spacing w:val="-21"/>
          <w:w w:val="110"/>
        </w:rPr>
        <w:t> </w:t>
      </w:r>
      <w:r>
        <w:rPr>
          <w:w w:val="110"/>
        </w:rPr>
        <w:t>falls</w:t>
      </w:r>
      <w:r>
        <w:rPr>
          <w:spacing w:val="-21"/>
          <w:w w:val="110"/>
        </w:rPr>
        <w:t> </w:t>
      </w:r>
      <w:r>
        <w:rPr>
          <w:spacing w:val="-3"/>
          <w:w w:val="110"/>
        </w:rPr>
        <w:t>have</w:t>
      </w:r>
      <w:r>
        <w:rPr>
          <w:spacing w:val="-20"/>
          <w:w w:val="110"/>
        </w:rPr>
        <w:t> </w:t>
      </w:r>
      <w:r>
        <w:rPr>
          <w:w w:val="110"/>
        </w:rPr>
        <w:t>often</w:t>
      </w:r>
      <w:r>
        <w:rPr>
          <w:spacing w:val="-21"/>
          <w:w w:val="110"/>
        </w:rPr>
        <w:t> </w:t>
      </w:r>
      <w:r>
        <w:rPr>
          <w:w w:val="110"/>
        </w:rPr>
        <w:t>coincided</w:t>
      </w:r>
      <w:r>
        <w:rPr>
          <w:spacing w:val="-21"/>
          <w:w w:val="110"/>
        </w:rPr>
        <w:t> </w:t>
      </w:r>
      <w:r>
        <w:rPr>
          <w:w w:val="110"/>
        </w:rPr>
        <w:t>with</w:t>
      </w:r>
      <w:r>
        <w:rPr>
          <w:spacing w:val="-21"/>
          <w:w w:val="110"/>
        </w:rPr>
        <w:t> </w:t>
      </w:r>
      <w:r>
        <w:rPr>
          <w:spacing w:val="-3"/>
          <w:w w:val="110"/>
        </w:rPr>
        <w:t>sterling </w:t>
      </w:r>
      <w:r>
        <w:rPr>
          <w:w w:val="110"/>
        </w:rPr>
        <w:t>appreciating</w:t>
      </w:r>
      <w:r>
        <w:rPr>
          <w:spacing w:val="-11"/>
          <w:w w:val="110"/>
        </w:rPr>
        <w:t> </w:t>
      </w:r>
      <w:r>
        <w:rPr>
          <w:w w:val="110"/>
        </w:rPr>
        <w:t>against</w:t>
      </w:r>
      <w:r>
        <w:rPr>
          <w:spacing w:val="-10"/>
          <w:w w:val="110"/>
        </w:rPr>
        <w:t> </w:t>
      </w:r>
      <w:r>
        <w:rPr>
          <w:w w:val="110"/>
        </w:rPr>
        <w:t>the</w:t>
      </w:r>
      <w:r>
        <w:rPr>
          <w:spacing w:val="-11"/>
          <w:w w:val="110"/>
        </w:rPr>
        <w:t> </w:t>
      </w:r>
      <w:r>
        <w:rPr>
          <w:spacing w:val="-3"/>
          <w:w w:val="110"/>
        </w:rPr>
        <w:t>dollar,</w:t>
      </w:r>
      <w:r>
        <w:rPr>
          <w:spacing w:val="-10"/>
          <w:w w:val="110"/>
        </w:rPr>
        <w:t> </w:t>
      </w:r>
      <w:r>
        <w:rPr>
          <w:w w:val="110"/>
        </w:rPr>
        <w:t>and</w:t>
      </w:r>
      <w:r>
        <w:rPr>
          <w:spacing w:val="-11"/>
          <w:w w:val="110"/>
        </w:rPr>
        <w:t> </w:t>
      </w:r>
      <w:r>
        <w:rPr>
          <w:i/>
          <w:w w:val="110"/>
        </w:rPr>
        <w:t>vice</w:t>
      </w:r>
      <w:r>
        <w:rPr>
          <w:i/>
          <w:spacing w:val="-10"/>
          <w:w w:val="110"/>
        </w:rPr>
        <w:t> </w:t>
      </w:r>
      <w:r>
        <w:rPr>
          <w:i/>
          <w:w w:val="110"/>
        </w:rPr>
        <w:t>versa</w:t>
      </w:r>
      <w:r>
        <w:rPr>
          <w:w w:val="110"/>
        </w:rPr>
        <w:t>.</w:t>
      </w:r>
    </w:p>
    <w:p>
      <w:pPr>
        <w:pStyle w:val="BodyText"/>
        <w:spacing w:before="8"/>
        <w:rPr>
          <w:sz w:val="18"/>
        </w:rPr>
      </w:pPr>
    </w:p>
    <w:p>
      <w:pPr>
        <w:spacing w:after="0"/>
        <w:rPr>
          <w:sz w:val="18"/>
        </w:rPr>
        <w:sectPr>
          <w:footerReference w:type="default" r:id="rId140"/>
          <w:footerReference w:type="even" r:id="rId141"/>
          <w:pgSz w:w="11900" w:h="16840"/>
          <w:pgMar w:footer="575" w:header="601" w:top="800" w:bottom="760" w:left="640" w:right="640"/>
          <w:pgNumType w:start="41"/>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8"/>
        </w:rPr>
      </w:pPr>
    </w:p>
    <w:p>
      <w:pPr>
        <w:pStyle w:val="Heading6"/>
        <w:ind w:left="182"/>
      </w:pPr>
      <w:r>
        <w:rPr>
          <w:color w:val="89C6DC"/>
          <w:w w:val="95"/>
        </w:rPr>
        <w:t>Chart 4.4</w:t>
      </w:r>
    </w:p>
    <w:p>
      <w:pPr>
        <w:spacing w:line="247" w:lineRule="auto" w:before="8"/>
        <w:ind w:left="182" w:right="388" w:firstLine="0"/>
        <w:jc w:val="left"/>
        <w:rPr>
          <w:rFonts w:ascii="Trebuchet MS"/>
          <w:b/>
          <w:sz w:val="20"/>
        </w:rPr>
      </w:pPr>
      <w:r>
        <w:rPr>
          <w:rFonts w:ascii="Trebuchet MS"/>
          <w:b/>
          <w:color w:val="89C6DC"/>
          <w:w w:val="95"/>
          <w:sz w:val="20"/>
        </w:rPr>
        <w:t>UK</w:t>
      </w:r>
      <w:r>
        <w:rPr>
          <w:rFonts w:ascii="Trebuchet MS"/>
          <w:b/>
          <w:color w:val="89C6DC"/>
          <w:spacing w:val="-20"/>
          <w:w w:val="95"/>
          <w:sz w:val="20"/>
        </w:rPr>
        <w:t> </w:t>
      </w:r>
      <w:r>
        <w:rPr>
          <w:rFonts w:ascii="Trebuchet MS"/>
          <w:b/>
          <w:color w:val="89C6DC"/>
          <w:w w:val="95"/>
          <w:sz w:val="20"/>
        </w:rPr>
        <w:t>sterling</w:t>
      </w:r>
      <w:r>
        <w:rPr>
          <w:rFonts w:ascii="Trebuchet MS"/>
          <w:b/>
          <w:color w:val="89C6DC"/>
          <w:spacing w:val="-19"/>
          <w:w w:val="95"/>
          <w:sz w:val="20"/>
        </w:rPr>
        <w:t> </w:t>
      </w:r>
      <w:r>
        <w:rPr>
          <w:rFonts w:ascii="Trebuchet MS"/>
          <w:b/>
          <w:color w:val="89C6DC"/>
          <w:w w:val="95"/>
          <w:sz w:val="20"/>
        </w:rPr>
        <w:t>import</w:t>
      </w:r>
      <w:r>
        <w:rPr>
          <w:rFonts w:ascii="Trebuchet MS"/>
          <w:b/>
          <w:color w:val="89C6DC"/>
          <w:spacing w:val="-20"/>
          <w:w w:val="95"/>
          <w:sz w:val="20"/>
        </w:rPr>
        <w:t> </w:t>
      </w:r>
      <w:r>
        <w:rPr>
          <w:rFonts w:ascii="Trebuchet MS"/>
          <w:b/>
          <w:color w:val="89C6DC"/>
          <w:w w:val="95"/>
          <w:sz w:val="20"/>
        </w:rPr>
        <w:t>prices</w:t>
      </w:r>
      <w:r>
        <w:rPr>
          <w:rFonts w:ascii="Trebuchet MS"/>
          <w:b/>
          <w:color w:val="89C6DC"/>
          <w:spacing w:val="-19"/>
          <w:w w:val="95"/>
          <w:sz w:val="20"/>
        </w:rPr>
        <w:t> </w:t>
      </w:r>
      <w:r>
        <w:rPr>
          <w:rFonts w:ascii="Trebuchet MS"/>
          <w:b/>
          <w:color w:val="89C6DC"/>
          <w:w w:val="95"/>
          <w:sz w:val="20"/>
        </w:rPr>
        <w:t>and</w:t>
      </w:r>
      <w:r>
        <w:rPr>
          <w:rFonts w:ascii="Trebuchet MS"/>
          <w:b/>
          <w:color w:val="89C6DC"/>
          <w:spacing w:val="-20"/>
          <w:w w:val="95"/>
          <w:sz w:val="20"/>
        </w:rPr>
        <w:t> </w:t>
      </w:r>
      <w:r>
        <w:rPr>
          <w:rFonts w:ascii="Trebuchet MS"/>
          <w:b/>
          <w:color w:val="89C6DC"/>
          <w:w w:val="95"/>
          <w:sz w:val="20"/>
        </w:rPr>
        <w:t>the </w:t>
      </w:r>
      <w:r>
        <w:rPr>
          <w:rFonts w:ascii="Trebuchet MS"/>
          <w:b/>
          <w:color w:val="89C6DC"/>
          <w:sz w:val="20"/>
        </w:rPr>
        <w:t>exchange rate</w:t>
      </w:r>
    </w:p>
    <w:p>
      <w:pPr>
        <w:spacing w:before="22"/>
        <w:ind w:left="0" w:right="0" w:firstLine="0"/>
        <w:jc w:val="right"/>
        <w:rPr>
          <w:sz w:val="12"/>
        </w:rPr>
      </w:pPr>
      <w:r>
        <w:rPr/>
        <w:pict>
          <v:group style="position:absolute;margin-left:50.610001pt;margin-top:29.389711pt;width:153.65pt;height:106.55pt;mso-position-horizontal-relative:page;mso-position-vertical-relative:paragraph;z-index:16269824" coordorigin="1012,588" coordsize="3073,2131">
            <v:shape style="position:absolute;left:1022;top:689;width:505;height:325" coordorigin="1022,690" coordsize="505,325" path="m1022,1015l1152,887m1152,887l1270,732m1270,732l1397,747m1397,747l1527,690e" filled="false" stroked="true" strokeweight="1pt" strokecolor="#610e7a">
              <v:path arrowok="t"/>
              <v:stroke dashstyle="solid"/>
            </v:shape>
            <v:line style="position:absolute" from="1517,691" to="1665,691" stroked="true" strokeweight="1.125pt" strokecolor="#610e7a">
              <v:stroke dashstyle="solid"/>
            </v:line>
            <v:shape style="position:absolute;left:1654;top:689;width:1258;height:1323" coordorigin="1655,690" coordsize="1258,1323" path="m1655,690l1772,887m1772,887l1902,1015m1902,1015l2032,1197m2032,1197l2160,1365m2160,1365l2277,1422m2277,1422l2407,1535m2407,1535l2535,1732m2535,1732l2665,1830m2665,1830l2782,1927m2782,1927l2912,2012e" filled="false" stroked="true" strokeweight="1pt" strokecolor="#610e7a">
              <v:path arrowok="t"/>
              <v:stroke dashstyle="solid"/>
            </v:shape>
            <v:line style="position:absolute" from="2902,2014" to="3050,2014" stroked="true" strokeweight="1.125pt" strokecolor="#610e7a">
              <v:stroke dashstyle="solid"/>
            </v:line>
            <v:shape style="position:absolute;left:3039;top:2012;width:505;height:85" coordorigin="3040,2012" coordsize="505,85" path="m3040,2012l3170,2070m3170,2070l3287,2055m3287,2055l3415,2097m3415,2097l3545,2040e" filled="false" stroked="true" strokeweight="1pt" strokecolor="#610e7a">
              <v:path arrowok="t"/>
              <v:stroke dashstyle="solid"/>
            </v:shape>
            <v:line style="position:absolute" from="3535,2034" to="3685,2034" stroked="true" strokeweight="1.625pt" strokecolor="#610e7a">
              <v:stroke dashstyle="solid"/>
            </v:line>
            <v:line style="position:absolute" from="3675,2027" to="3792,2012" stroked="true" strokeweight="1pt" strokecolor="#610e7a">
              <v:stroke dashstyle="solid"/>
            </v:line>
            <v:shape style="position:absolute;left:1022;top:634;width:375;height:380" coordorigin="1022,635" coordsize="375,380" path="m1022,1015l1152,732m1152,732l1270,717m1270,717l1397,635e" filled="false" stroked="true" strokeweight="1pt" strokecolor="#9ed01a">
              <v:path arrowok="t"/>
              <v:stroke dashstyle="solid"/>
            </v:shape>
            <v:line style="position:absolute" from="1387,641" to="1537,641" stroked="true" strokeweight="1.625pt" strokecolor="#9ed01a">
              <v:stroke dashstyle="solid"/>
            </v:line>
            <v:shape style="position:absolute;left:1527;top:647;width:1008;height:1788" coordorigin="1527,647" coordsize="1008,1788" path="m1527,647l1655,775m1655,775l1772,845m1772,845l1902,1395m1902,1395l2032,1830m2032,1830l2160,2040m2160,2040l2277,2237m2277,2237l2407,2280m2407,2280l2535,2435e" filled="false" stroked="true" strokeweight="1pt" strokecolor="#9ed01a">
              <v:path arrowok="t"/>
              <v:stroke dashstyle="solid"/>
            </v:shape>
            <v:line style="position:absolute" from="2525,2436" to="2675,2436" stroked="true" strokeweight="1.125pt" strokecolor="#9ed01a">
              <v:stroke dashstyle="solid"/>
            </v:line>
            <v:shape style="position:absolute;left:2664;top:2097;width:505;height:338" coordorigin="2665,2097" coordsize="505,338" path="m2665,2435l2782,2365m2782,2365l2912,2097m2912,2097l3040,2140m3040,2140l3170,2350e" filled="false" stroked="true" strokeweight="1pt" strokecolor="#9ed01a">
              <v:path arrowok="t"/>
              <v:stroke dashstyle="solid"/>
            </v:shape>
            <v:line style="position:absolute" from="3160,2344" to="3297,2344" stroked="true" strokeweight="1.625pt" strokecolor="#9ed01a">
              <v:stroke dashstyle="solid"/>
            </v:line>
            <v:shape style="position:absolute;left:3287;top:2337;width:633;height:280" coordorigin="3287,2337" coordsize="633,280" path="m3287,2337l3415,2462m3415,2462l3545,2617m3545,2617l3675,2575m3675,2575l3792,2492m3792,2492l3920,2575e" filled="false" stroked="true" strokeweight="1pt" strokecolor="#9ed01a">
              <v:path arrowok="t"/>
              <v:stroke dashstyle="solid"/>
            </v:shape>
            <v:shape style="position:absolute;left:3997;top:592;width:87;height:2065" coordorigin="3998,593" coordsize="87,2065" path="m3998,593l4085,593m3998,1006l4085,1006m3998,1418l4085,1418m3998,1831l4085,1831m3998,2657l4085,2657m3998,2244l4085,2244e" filled="false" stroked="true" strokeweight=".5pt" strokecolor="#000000">
              <v:path arrowok="t"/>
              <v:stroke dashstyle="solid"/>
            </v:shape>
            <v:shape style="position:absolute;left:2087;top:1084;width:1014;height:241" type="#_x0000_t202" filled="false" stroked="false">
              <v:textbox inset="0,0,0,0">
                <w:txbxContent>
                  <w:p>
                    <w:pPr>
                      <w:spacing w:line="208" w:lineRule="auto" w:before="0"/>
                      <w:ind w:left="60" w:right="-8" w:hanging="61"/>
                      <w:jc w:val="left"/>
                      <w:rPr>
                        <w:sz w:val="12"/>
                      </w:rPr>
                    </w:pPr>
                    <w:r>
                      <w:rPr>
                        <w:w w:val="110"/>
                        <w:sz w:val="12"/>
                      </w:rPr>
                      <w:t>Goods and </w:t>
                    </w:r>
                    <w:r>
                      <w:rPr>
                        <w:spacing w:val="-3"/>
                        <w:w w:val="110"/>
                        <w:sz w:val="12"/>
                      </w:rPr>
                      <w:t>services </w:t>
                    </w:r>
                    <w:r>
                      <w:rPr>
                        <w:w w:val="110"/>
                        <w:sz w:val="12"/>
                      </w:rPr>
                      <w:t>import prices</w:t>
                    </w:r>
                  </w:p>
                </w:txbxContent>
              </v:textbox>
              <w10:wrap type="none"/>
            </v:shape>
            <v:shape style="position:absolute;left:1768;top:2477;width:1740;height:241" type="#_x0000_t202" filled="false" stroked="false">
              <v:textbox inset="0,0,0,0">
                <w:txbxContent>
                  <w:p>
                    <w:pPr>
                      <w:spacing w:line="107" w:lineRule="exact" w:before="0"/>
                      <w:ind w:left="0" w:right="0" w:firstLine="0"/>
                      <w:jc w:val="left"/>
                      <w:rPr>
                        <w:sz w:val="12"/>
                      </w:rPr>
                    </w:pPr>
                    <w:r>
                      <w:rPr>
                        <w:w w:val="105"/>
                        <w:sz w:val="12"/>
                      </w:rPr>
                      <w:t>Sterling effective exchange</w:t>
                    </w:r>
                  </w:p>
                  <w:p>
                    <w:pPr>
                      <w:spacing w:line="129" w:lineRule="exact" w:before="0"/>
                      <w:ind w:left="60" w:right="0" w:firstLine="0"/>
                      <w:jc w:val="left"/>
                      <w:rPr>
                        <w:sz w:val="12"/>
                      </w:rPr>
                    </w:pPr>
                    <w:r>
                      <w:rPr>
                        <w:w w:val="110"/>
                        <w:sz w:val="12"/>
                      </w:rPr>
                      <w:t>rate index, inverted and</w:t>
                    </w:r>
                    <w:r>
                      <w:rPr>
                        <w:spacing w:val="-23"/>
                        <w:w w:val="110"/>
                        <w:sz w:val="12"/>
                      </w:rPr>
                      <w:t> </w:t>
                    </w:r>
                    <w:r>
                      <w:rPr>
                        <w:w w:val="110"/>
                        <w:sz w:val="12"/>
                      </w:rPr>
                      <w:t>rebased</w:t>
                    </w:r>
                  </w:p>
                </w:txbxContent>
              </v:textbox>
              <w10:wrap type="none"/>
            </v:shape>
            <w10:wrap type="none"/>
          </v:group>
        </w:pict>
      </w:r>
      <w:r>
        <w:rPr/>
        <w:pict>
          <v:line style="position:absolute;mso-position-horizontal-relative:page;mso-position-vertical-relative:paragraph;z-index:16270336" from="42.310001pt,29.639711pt" to="46.643001pt,29.639711pt" stroked="true" strokeweight=".5pt" strokecolor="#000000">
            <v:stroke dashstyle="solid"/>
            <w10:wrap type="none"/>
          </v:line>
        </w:pict>
      </w:r>
      <w:r>
        <w:rPr/>
        <w:pict>
          <v:line style="position:absolute;mso-position-horizontal-relative:page;mso-position-vertical-relative:paragraph;z-index:16270848" from="42.310001pt,50.281712pt" to="46.643001pt,50.281712pt" stroked="true" strokeweight=".5pt" strokecolor="#000000">
            <v:stroke dashstyle="solid"/>
            <w10:wrap type="none"/>
          </v:line>
        </w:pict>
      </w:r>
      <w:r>
        <w:rPr/>
        <w:pict>
          <v:line style="position:absolute;mso-position-horizontal-relative:page;mso-position-vertical-relative:paragraph;z-index:16271360" from="42.310001pt,70.924713pt" to="46.643001pt,70.924713pt" stroked="true" strokeweight=".5pt" strokecolor="#000000">
            <v:stroke dashstyle="solid"/>
            <w10:wrap type="none"/>
          </v:line>
        </w:pict>
      </w:r>
      <w:r>
        <w:rPr>
          <w:w w:val="120"/>
          <w:sz w:val="12"/>
        </w:rPr>
        <w:t>1995</w:t>
      </w:r>
      <w:r>
        <w:rPr>
          <w:spacing w:val="-12"/>
          <w:w w:val="120"/>
          <w:sz w:val="12"/>
        </w:rPr>
        <w:t> </w:t>
      </w:r>
      <w:r>
        <w:rPr>
          <w:w w:val="120"/>
          <w:sz w:val="12"/>
        </w:rPr>
        <w:t>Q1</w:t>
      </w:r>
      <w:r>
        <w:rPr>
          <w:spacing w:val="-11"/>
          <w:w w:val="120"/>
          <w:sz w:val="12"/>
        </w:rPr>
        <w:t> </w:t>
      </w:r>
      <w:r>
        <w:rPr>
          <w:w w:val="120"/>
          <w:sz w:val="12"/>
        </w:rPr>
        <w:t>=</w:t>
      </w:r>
      <w:r>
        <w:rPr>
          <w:spacing w:val="-11"/>
          <w:w w:val="120"/>
          <w:sz w:val="12"/>
        </w:rPr>
        <w:t> </w:t>
      </w:r>
      <w:r>
        <w:rPr>
          <w:w w:val="120"/>
          <w:sz w:val="12"/>
        </w:rPr>
        <w:t>100</w:t>
      </w:r>
    </w:p>
    <w:p>
      <w:pPr>
        <w:tabs>
          <w:tab w:pos="3352" w:val="left" w:leader="none"/>
        </w:tabs>
        <w:spacing w:line="20" w:lineRule="exact"/>
        <w:ind w:left="201"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4"/>
        </w:rPr>
      </w:pPr>
    </w:p>
    <w:p>
      <w:pPr>
        <w:spacing w:line="77" w:lineRule="exact"/>
        <w:ind w:left="201" w:right="-72" w:firstLine="0"/>
        <w:rPr>
          <w:sz w:val="2"/>
        </w:rPr>
      </w:pPr>
      <w:r>
        <w:rPr>
          <w:position w:val="-1"/>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position w:val="-1"/>
          <w:sz w:val="2"/>
        </w:rPr>
      </w:r>
      <w:r>
        <w:rPr>
          <w:spacing w:val="40"/>
          <w:position w:val="-1"/>
          <w:sz w:val="7"/>
        </w:rPr>
        <w:t> </w:t>
      </w:r>
      <w:r>
        <w:rPr>
          <w:spacing w:val="40"/>
          <w:position w:val="-1"/>
          <w:sz w:val="7"/>
        </w:rPr>
        <w:pict>
          <v:group style="width:145.550pt;height:3.65pt;mso-position-horizontal-relative:char;mso-position-vertical-relative:line" coordorigin="0,0" coordsize="2911,73">
            <v:shape style="position:absolute;left:5;top:0;width:2906;height:68" coordorigin="5,0" coordsize="2906,68" path="m8,67l2911,67m5,0l5,67m511,0l511,67m1016,0l1016,67m1522,0l1522,67m2028,0l2028,67m2533,0l2533,67e" filled="false" stroked="true" strokeweight=".5pt" strokecolor="#000000">
              <v:path arrowok="t"/>
              <v:stroke dashstyle="solid"/>
            </v:shape>
          </v:group>
        </w:pict>
      </w:r>
      <w:r>
        <w:rPr>
          <w:spacing w:val="40"/>
          <w:position w:val="-1"/>
          <w:sz w:val="7"/>
        </w:rPr>
      </w:r>
      <w:r>
        <w:rPr>
          <w:spacing w:val="41"/>
          <w:position w:val="-1"/>
          <w:sz w:val="2"/>
        </w:rPr>
        <w:t> </w:t>
      </w:r>
      <w:r>
        <w:rPr>
          <w:spacing w:val="41"/>
          <w:position w:val="-1"/>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pacing w:val="41"/>
          <w:position w:val="-1"/>
          <w:sz w:val="2"/>
        </w:rPr>
      </w:r>
    </w:p>
    <w:p>
      <w:pPr>
        <w:tabs>
          <w:tab w:pos="1070" w:val="left" w:leader="none"/>
          <w:tab w:pos="1573" w:val="left" w:leader="none"/>
          <w:tab w:pos="2078" w:val="left" w:leader="none"/>
          <w:tab w:pos="2583" w:val="left" w:leader="none"/>
          <w:tab w:pos="2990" w:val="left" w:leader="none"/>
        </w:tabs>
        <w:spacing w:before="11"/>
        <w:ind w:left="505" w:right="0" w:firstLine="0"/>
        <w:jc w:val="left"/>
        <w:rPr>
          <w:sz w:val="12"/>
        </w:rPr>
      </w:pPr>
      <w:r>
        <w:rPr/>
        <w:pict>
          <v:line style="position:absolute;mso-position-horizontal-relative:page;mso-position-vertical-relative:paragraph;z-index:16271872" from="42.310001pt,-62.072124pt" to="46.643001pt,-62.072124pt" stroked="true" strokeweight=".5pt" strokecolor="#000000">
            <v:stroke dashstyle="solid"/>
            <w10:wrap type="none"/>
          </v:line>
        </w:pict>
      </w:r>
      <w:r>
        <w:rPr/>
        <w:pict>
          <v:line style="position:absolute;mso-position-horizontal-relative:page;mso-position-vertical-relative:paragraph;z-index:16272384" from="42.310001pt,-20.785124pt" to="46.643001pt,-20.785124pt" stroked="true" strokeweight=".5pt" strokecolor="#000000">
            <v:stroke dashstyle="solid"/>
            <w10:wrap type="none"/>
          </v:line>
        </w:pict>
      </w:r>
      <w:r>
        <w:rPr/>
        <w:pict>
          <v:line style="position:absolute;mso-position-horizontal-relative:page;mso-position-vertical-relative:paragraph;z-index:16272896" from="42.310001pt,-41.429123pt" to="46.643001pt,-41.429123pt" stroked="true" strokeweight=".5pt" strokecolor="#000000">
            <v:stroke dashstyle="solid"/>
            <w10:wrap type="none"/>
          </v:line>
        </w:pict>
      </w:r>
      <w:r>
        <w:rPr>
          <w:w w:val="120"/>
          <w:sz w:val="12"/>
        </w:rPr>
        <w:t>1995</w:t>
        <w:tab/>
        <w:t>96</w:t>
        <w:tab/>
        <w:t>97</w:t>
        <w:tab/>
        <w:t>98</w:t>
        <w:tab/>
        <w:t>99</w:t>
        <w:tab/>
        <w:t>2000</w:t>
      </w:r>
    </w:p>
    <w:p>
      <w:pPr>
        <w:spacing w:before="103"/>
        <w:ind w:left="182" w:right="0" w:firstLine="0"/>
        <w:jc w:val="left"/>
        <w:rPr>
          <w:sz w:val="12"/>
        </w:rPr>
      </w:pPr>
      <w:r>
        <w:rPr>
          <w:w w:val="105"/>
          <w:sz w:val="12"/>
        </w:rPr>
        <w:t>Sources: ONS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9"/>
        </w:rPr>
      </w:pPr>
    </w:p>
    <w:p>
      <w:pPr>
        <w:pStyle w:val="Heading6"/>
        <w:spacing w:before="1"/>
        <w:ind w:left="177"/>
      </w:pPr>
      <w:r>
        <w:rPr>
          <w:color w:val="89C6DC"/>
          <w:w w:val="95"/>
        </w:rPr>
        <w:t>Chart 4.5</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9"/>
        <w:rPr>
          <w:rFonts w:ascii="Trebuchet MS"/>
          <w:b/>
          <w:sz w:val="13"/>
        </w:rPr>
      </w:pPr>
    </w:p>
    <w:p>
      <w:pPr>
        <w:spacing w:before="1"/>
        <w:ind w:left="-5" w:right="0" w:firstLine="0"/>
        <w:jc w:val="left"/>
        <w:rPr>
          <w:sz w:val="12"/>
        </w:rPr>
      </w:pPr>
      <w:r>
        <w:rPr>
          <w:w w:val="120"/>
          <w:sz w:val="12"/>
        </w:rPr>
        <w:t>110</w:t>
      </w:r>
    </w:p>
    <w:p>
      <w:pPr>
        <w:pStyle w:val="BodyText"/>
        <w:rPr>
          <w:sz w:val="12"/>
        </w:rPr>
      </w:pPr>
    </w:p>
    <w:p>
      <w:pPr>
        <w:pStyle w:val="BodyText"/>
        <w:spacing w:before="9"/>
        <w:rPr>
          <w:sz w:val="11"/>
        </w:rPr>
      </w:pPr>
    </w:p>
    <w:p>
      <w:pPr>
        <w:spacing w:before="0"/>
        <w:ind w:left="-5" w:right="0" w:firstLine="0"/>
        <w:jc w:val="left"/>
        <w:rPr>
          <w:sz w:val="12"/>
        </w:rPr>
      </w:pPr>
      <w:r>
        <w:rPr>
          <w:w w:val="120"/>
          <w:sz w:val="12"/>
        </w:rPr>
        <w:t>105</w:t>
      </w:r>
    </w:p>
    <w:p>
      <w:pPr>
        <w:pStyle w:val="BodyText"/>
        <w:rPr>
          <w:sz w:val="12"/>
        </w:rPr>
      </w:pPr>
    </w:p>
    <w:p>
      <w:pPr>
        <w:pStyle w:val="BodyText"/>
        <w:spacing w:before="10"/>
        <w:rPr>
          <w:sz w:val="11"/>
        </w:rPr>
      </w:pPr>
    </w:p>
    <w:p>
      <w:pPr>
        <w:spacing w:before="0"/>
        <w:ind w:left="-5" w:right="0" w:firstLine="0"/>
        <w:jc w:val="left"/>
        <w:rPr>
          <w:sz w:val="12"/>
        </w:rPr>
      </w:pPr>
      <w:r>
        <w:rPr>
          <w:w w:val="120"/>
          <w:sz w:val="12"/>
        </w:rPr>
        <w:t>100</w:t>
      </w:r>
    </w:p>
    <w:p>
      <w:pPr>
        <w:pStyle w:val="BodyText"/>
        <w:rPr>
          <w:sz w:val="12"/>
        </w:rPr>
      </w:pPr>
    </w:p>
    <w:p>
      <w:pPr>
        <w:pStyle w:val="BodyText"/>
        <w:spacing w:before="9"/>
        <w:rPr>
          <w:sz w:val="11"/>
        </w:rPr>
      </w:pPr>
    </w:p>
    <w:p>
      <w:pPr>
        <w:spacing w:before="1"/>
        <w:ind w:left="68" w:right="0" w:firstLine="0"/>
        <w:jc w:val="left"/>
        <w:rPr>
          <w:sz w:val="12"/>
        </w:rPr>
      </w:pPr>
      <w:r>
        <w:rPr>
          <w:w w:val="120"/>
          <w:sz w:val="12"/>
        </w:rPr>
        <w:t>95</w:t>
      </w:r>
    </w:p>
    <w:p>
      <w:pPr>
        <w:pStyle w:val="BodyText"/>
        <w:rPr>
          <w:sz w:val="12"/>
        </w:rPr>
      </w:pPr>
    </w:p>
    <w:p>
      <w:pPr>
        <w:pStyle w:val="BodyText"/>
        <w:spacing w:before="9"/>
        <w:rPr>
          <w:sz w:val="11"/>
        </w:rPr>
      </w:pPr>
    </w:p>
    <w:p>
      <w:pPr>
        <w:spacing w:before="0"/>
        <w:ind w:left="68" w:right="0" w:firstLine="0"/>
        <w:jc w:val="left"/>
        <w:rPr>
          <w:sz w:val="12"/>
        </w:rPr>
      </w:pPr>
      <w:r>
        <w:rPr>
          <w:w w:val="120"/>
          <w:sz w:val="12"/>
        </w:rPr>
        <w:t>90</w:t>
      </w:r>
    </w:p>
    <w:p>
      <w:pPr>
        <w:pStyle w:val="BodyText"/>
        <w:rPr>
          <w:sz w:val="12"/>
        </w:rPr>
      </w:pPr>
    </w:p>
    <w:p>
      <w:pPr>
        <w:pStyle w:val="BodyText"/>
        <w:spacing w:before="10"/>
        <w:rPr>
          <w:sz w:val="11"/>
        </w:rPr>
      </w:pPr>
    </w:p>
    <w:p>
      <w:pPr>
        <w:spacing w:before="0"/>
        <w:ind w:left="68" w:right="0" w:firstLine="0"/>
        <w:jc w:val="left"/>
        <w:rPr>
          <w:sz w:val="12"/>
        </w:rPr>
      </w:pPr>
      <w:r>
        <w:rPr>
          <w:w w:val="120"/>
          <w:sz w:val="12"/>
        </w:rPr>
        <w:t>85</w:t>
      </w:r>
    </w:p>
    <w:p>
      <w:pPr>
        <w:pStyle w:val="BodyText"/>
        <w:rPr>
          <w:sz w:val="12"/>
        </w:rPr>
      </w:pPr>
    </w:p>
    <w:p>
      <w:pPr>
        <w:pStyle w:val="BodyText"/>
        <w:spacing w:before="9"/>
        <w:rPr>
          <w:sz w:val="11"/>
        </w:rPr>
      </w:pPr>
    </w:p>
    <w:p>
      <w:pPr>
        <w:spacing w:before="1"/>
        <w:ind w:left="68" w:right="0" w:firstLine="0"/>
        <w:jc w:val="left"/>
        <w:rPr>
          <w:sz w:val="12"/>
        </w:rPr>
      </w:pPr>
      <w:r>
        <w:rPr>
          <w:w w:val="120"/>
          <w:sz w:val="12"/>
        </w:rPr>
        <w:t>80</w:t>
      </w:r>
    </w:p>
    <w:p>
      <w:pPr>
        <w:pStyle w:val="BodyText"/>
        <w:rPr>
          <w:sz w:val="12"/>
        </w:rPr>
      </w:pPr>
    </w:p>
    <w:p>
      <w:pPr>
        <w:pStyle w:val="BodyText"/>
        <w:spacing w:before="9"/>
        <w:rPr>
          <w:sz w:val="11"/>
        </w:rPr>
      </w:pPr>
    </w:p>
    <w:p>
      <w:pPr>
        <w:spacing w:before="0"/>
        <w:ind w:left="68" w:right="0" w:firstLine="0"/>
        <w:jc w:val="left"/>
        <w:rPr>
          <w:sz w:val="12"/>
        </w:rPr>
      </w:pPr>
      <w:r>
        <w:rPr>
          <w:w w:val="120"/>
          <w:sz w:val="12"/>
        </w:rPr>
        <w:t>75</w:t>
      </w:r>
    </w:p>
    <w:p>
      <w:pPr>
        <w:pStyle w:val="BodyText"/>
        <w:spacing w:line="292" w:lineRule="auto" w:before="63"/>
        <w:ind w:left="297" w:right="159"/>
      </w:pPr>
      <w:r>
        <w:rPr/>
        <w:br w:type="column"/>
      </w:r>
      <w:r>
        <w:rPr>
          <w:w w:val="110"/>
        </w:rPr>
        <w:t>The</w:t>
      </w:r>
      <w:r>
        <w:rPr>
          <w:spacing w:val="-17"/>
          <w:w w:val="110"/>
        </w:rPr>
        <w:t> </w:t>
      </w:r>
      <w:r>
        <w:rPr>
          <w:w w:val="110"/>
        </w:rPr>
        <w:t>large</w:t>
      </w:r>
      <w:r>
        <w:rPr>
          <w:spacing w:val="-17"/>
          <w:w w:val="110"/>
        </w:rPr>
        <w:t> </w:t>
      </w:r>
      <w:r>
        <w:rPr>
          <w:w w:val="110"/>
        </w:rPr>
        <w:t>fall</w:t>
      </w:r>
      <w:r>
        <w:rPr>
          <w:spacing w:val="-17"/>
          <w:w w:val="110"/>
        </w:rPr>
        <w:t> </w:t>
      </w:r>
      <w:r>
        <w:rPr>
          <w:w w:val="110"/>
        </w:rPr>
        <w:t>in</w:t>
      </w:r>
      <w:r>
        <w:rPr>
          <w:spacing w:val="-16"/>
          <w:w w:val="110"/>
        </w:rPr>
        <w:t> </w:t>
      </w:r>
      <w:r>
        <w:rPr>
          <w:w w:val="110"/>
        </w:rPr>
        <w:t>sterling</w:t>
      </w:r>
      <w:r>
        <w:rPr>
          <w:spacing w:val="-17"/>
          <w:w w:val="110"/>
        </w:rPr>
        <w:t> </w:t>
      </w:r>
      <w:r>
        <w:rPr>
          <w:w w:val="110"/>
        </w:rPr>
        <w:t>oil</w:t>
      </w:r>
      <w:r>
        <w:rPr>
          <w:spacing w:val="-17"/>
          <w:w w:val="110"/>
        </w:rPr>
        <w:t> </w:t>
      </w:r>
      <w:r>
        <w:rPr>
          <w:w w:val="110"/>
        </w:rPr>
        <w:t>prices</w:t>
      </w:r>
      <w:r>
        <w:rPr>
          <w:spacing w:val="-17"/>
          <w:w w:val="110"/>
        </w:rPr>
        <w:t> </w:t>
      </w:r>
      <w:r>
        <w:rPr>
          <w:w w:val="110"/>
        </w:rPr>
        <w:t>in</w:t>
      </w:r>
      <w:r>
        <w:rPr>
          <w:spacing w:val="-16"/>
          <w:w w:val="110"/>
        </w:rPr>
        <w:t> </w:t>
      </w:r>
      <w:r>
        <w:rPr>
          <w:w w:val="110"/>
        </w:rPr>
        <w:t>December</w:t>
      </w:r>
      <w:r>
        <w:rPr>
          <w:spacing w:val="-17"/>
          <w:w w:val="110"/>
        </w:rPr>
        <w:t> </w:t>
      </w:r>
      <w:r>
        <w:rPr>
          <w:w w:val="110"/>
        </w:rPr>
        <w:t>contributed</w:t>
      </w:r>
      <w:r>
        <w:rPr>
          <w:spacing w:val="-17"/>
          <w:w w:val="110"/>
        </w:rPr>
        <w:t> </w:t>
      </w:r>
      <w:r>
        <w:rPr>
          <w:spacing w:val="-4"/>
          <w:w w:val="110"/>
        </w:rPr>
        <w:t>to </w:t>
      </w:r>
      <w:r>
        <w:rPr>
          <w:w w:val="110"/>
        </w:rPr>
        <w:t>a significant decline in the </w:t>
      </w:r>
      <w:r>
        <w:rPr>
          <w:spacing w:val="-3"/>
          <w:w w:val="110"/>
        </w:rPr>
        <w:t>Bank’s </w:t>
      </w:r>
      <w:r>
        <w:rPr>
          <w:w w:val="110"/>
        </w:rPr>
        <w:t>sterling commodity price index, with the annual </w:t>
      </w:r>
      <w:r>
        <w:rPr>
          <w:spacing w:val="-4"/>
          <w:w w:val="110"/>
        </w:rPr>
        <w:t>rate </w:t>
      </w:r>
      <w:r>
        <w:rPr>
          <w:w w:val="110"/>
        </w:rPr>
        <w:t>of increase dropping </w:t>
      </w:r>
      <w:r>
        <w:rPr>
          <w:spacing w:val="-4"/>
          <w:w w:val="110"/>
        </w:rPr>
        <w:t>to </w:t>
      </w:r>
      <w:r>
        <w:rPr>
          <w:w w:val="110"/>
        </w:rPr>
        <w:t>less than half the </w:t>
      </w:r>
      <w:r>
        <w:rPr>
          <w:spacing w:val="-4"/>
          <w:w w:val="110"/>
        </w:rPr>
        <w:t>rate </w:t>
      </w:r>
      <w:r>
        <w:rPr>
          <w:w w:val="110"/>
        </w:rPr>
        <w:t>experienced earlier in the </w:t>
      </w:r>
      <w:r>
        <w:rPr>
          <w:spacing w:val="-4"/>
          <w:w w:val="110"/>
        </w:rPr>
        <w:t>year. </w:t>
      </w:r>
      <w:r>
        <w:rPr>
          <w:w w:val="110"/>
        </w:rPr>
        <w:t>The annual </w:t>
      </w:r>
      <w:r>
        <w:rPr>
          <w:spacing w:val="-4"/>
          <w:w w:val="110"/>
        </w:rPr>
        <w:t>rate </w:t>
      </w:r>
      <w:r>
        <w:rPr>
          <w:w w:val="110"/>
        </w:rPr>
        <w:t>of</w:t>
      </w:r>
      <w:r>
        <w:rPr>
          <w:spacing w:val="-23"/>
          <w:w w:val="110"/>
        </w:rPr>
        <w:t> </w:t>
      </w:r>
      <w:r>
        <w:rPr>
          <w:w w:val="110"/>
        </w:rPr>
        <w:t>inflation</w:t>
      </w:r>
      <w:r>
        <w:rPr>
          <w:spacing w:val="-22"/>
          <w:w w:val="110"/>
        </w:rPr>
        <w:t> </w:t>
      </w:r>
      <w:r>
        <w:rPr>
          <w:w w:val="110"/>
        </w:rPr>
        <w:t>of</w:t>
      </w:r>
      <w:r>
        <w:rPr>
          <w:spacing w:val="-22"/>
          <w:w w:val="110"/>
        </w:rPr>
        <w:t> </w:t>
      </w:r>
      <w:r>
        <w:rPr>
          <w:w w:val="110"/>
        </w:rPr>
        <w:t>the</w:t>
      </w:r>
      <w:r>
        <w:rPr>
          <w:spacing w:val="-23"/>
          <w:w w:val="110"/>
        </w:rPr>
        <w:t> </w:t>
      </w:r>
      <w:r>
        <w:rPr>
          <w:spacing w:val="-3"/>
          <w:w w:val="110"/>
        </w:rPr>
        <w:t>Bank’s</w:t>
      </w:r>
      <w:r>
        <w:rPr>
          <w:spacing w:val="-22"/>
          <w:w w:val="110"/>
        </w:rPr>
        <w:t> </w:t>
      </w:r>
      <w:r>
        <w:rPr>
          <w:w w:val="110"/>
        </w:rPr>
        <w:t>non-oil</w:t>
      </w:r>
      <w:r>
        <w:rPr>
          <w:spacing w:val="-22"/>
          <w:w w:val="110"/>
        </w:rPr>
        <w:t> </w:t>
      </w:r>
      <w:r>
        <w:rPr>
          <w:w w:val="110"/>
        </w:rPr>
        <w:t>commodity</w:t>
      </w:r>
      <w:r>
        <w:rPr>
          <w:spacing w:val="-23"/>
          <w:w w:val="110"/>
        </w:rPr>
        <w:t> </w:t>
      </w:r>
      <w:r>
        <w:rPr>
          <w:w w:val="110"/>
        </w:rPr>
        <w:t>price</w:t>
      </w:r>
      <w:r>
        <w:rPr>
          <w:spacing w:val="-22"/>
          <w:w w:val="110"/>
        </w:rPr>
        <w:t> </w:t>
      </w:r>
      <w:r>
        <w:rPr>
          <w:w w:val="110"/>
        </w:rPr>
        <w:t>index</w:t>
      </w:r>
      <w:r>
        <w:rPr>
          <w:spacing w:val="-22"/>
          <w:w w:val="110"/>
        </w:rPr>
        <w:t> </w:t>
      </w:r>
      <w:r>
        <w:rPr>
          <w:w w:val="110"/>
        </w:rPr>
        <w:t>rose further</w:t>
      </w:r>
      <w:r>
        <w:rPr>
          <w:spacing w:val="-14"/>
          <w:w w:val="110"/>
        </w:rPr>
        <w:t> </w:t>
      </w:r>
      <w:r>
        <w:rPr>
          <w:w w:val="110"/>
        </w:rPr>
        <w:t>in</w:t>
      </w:r>
      <w:r>
        <w:rPr>
          <w:spacing w:val="-14"/>
          <w:w w:val="110"/>
        </w:rPr>
        <w:t> </w:t>
      </w:r>
      <w:r>
        <w:rPr>
          <w:w w:val="110"/>
        </w:rPr>
        <w:t>recent</w:t>
      </w:r>
      <w:r>
        <w:rPr>
          <w:spacing w:val="-14"/>
          <w:w w:val="110"/>
        </w:rPr>
        <w:t> </w:t>
      </w:r>
      <w:r>
        <w:rPr>
          <w:w w:val="110"/>
        </w:rPr>
        <w:t>months</w:t>
      </w:r>
      <w:r>
        <w:rPr>
          <w:spacing w:val="-14"/>
          <w:w w:val="110"/>
        </w:rPr>
        <w:t> </w:t>
      </w:r>
      <w:r>
        <w:rPr>
          <w:w w:val="110"/>
        </w:rPr>
        <w:t>because</w:t>
      </w:r>
      <w:r>
        <w:rPr>
          <w:spacing w:val="-14"/>
          <w:w w:val="110"/>
        </w:rPr>
        <w:t> </w:t>
      </w:r>
      <w:r>
        <w:rPr>
          <w:w w:val="110"/>
        </w:rPr>
        <w:t>of</w:t>
      </w:r>
      <w:r>
        <w:rPr>
          <w:spacing w:val="-14"/>
          <w:w w:val="110"/>
        </w:rPr>
        <w:t> </w:t>
      </w:r>
      <w:r>
        <w:rPr>
          <w:w w:val="110"/>
        </w:rPr>
        <w:t>higher</w:t>
      </w:r>
      <w:r>
        <w:rPr>
          <w:spacing w:val="-14"/>
          <w:w w:val="110"/>
        </w:rPr>
        <w:t> </w:t>
      </w:r>
      <w:r>
        <w:rPr>
          <w:w w:val="110"/>
        </w:rPr>
        <w:t>agricultural</w:t>
      </w:r>
      <w:r>
        <w:rPr>
          <w:spacing w:val="-14"/>
          <w:w w:val="110"/>
        </w:rPr>
        <w:t> </w:t>
      </w:r>
      <w:r>
        <w:rPr>
          <w:w w:val="110"/>
        </w:rPr>
        <w:t>prices, which</w:t>
      </w:r>
      <w:r>
        <w:rPr>
          <w:spacing w:val="-14"/>
          <w:w w:val="110"/>
        </w:rPr>
        <w:t> </w:t>
      </w:r>
      <w:r>
        <w:rPr>
          <w:spacing w:val="-3"/>
          <w:w w:val="110"/>
        </w:rPr>
        <w:t>were</w:t>
      </w:r>
      <w:r>
        <w:rPr>
          <w:spacing w:val="-13"/>
          <w:w w:val="110"/>
        </w:rPr>
        <w:t> </w:t>
      </w:r>
      <w:r>
        <w:rPr>
          <w:w w:val="110"/>
        </w:rPr>
        <w:t>only</w:t>
      </w:r>
      <w:r>
        <w:rPr>
          <w:spacing w:val="-13"/>
          <w:w w:val="110"/>
        </w:rPr>
        <w:t> </w:t>
      </w:r>
      <w:r>
        <w:rPr>
          <w:w w:val="110"/>
        </w:rPr>
        <w:t>partly</w:t>
      </w:r>
      <w:r>
        <w:rPr>
          <w:spacing w:val="-13"/>
          <w:w w:val="110"/>
        </w:rPr>
        <w:t> </w:t>
      </w:r>
      <w:r>
        <w:rPr>
          <w:w w:val="110"/>
        </w:rPr>
        <w:t>offset</w:t>
      </w:r>
      <w:r>
        <w:rPr>
          <w:spacing w:val="-13"/>
          <w:w w:val="110"/>
        </w:rPr>
        <w:t> </w:t>
      </w:r>
      <w:r>
        <w:rPr>
          <w:spacing w:val="-3"/>
          <w:w w:val="110"/>
        </w:rPr>
        <w:t>by</w:t>
      </w:r>
      <w:r>
        <w:rPr>
          <w:spacing w:val="-13"/>
          <w:w w:val="110"/>
        </w:rPr>
        <w:t> </w:t>
      </w:r>
      <w:r>
        <w:rPr>
          <w:spacing w:val="-3"/>
          <w:w w:val="110"/>
        </w:rPr>
        <w:t>lower</w:t>
      </w:r>
      <w:r>
        <w:rPr>
          <w:spacing w:val="-13"/>
          <w:w w:val="110"/>
        </w:rPr>
        <w:t> </w:t>
      </w:r>
      <w:r>
        <w:rPr>
          <w:w w:val="110"/>
        </w:rPr>
        <w:t>metals</w:t>
      </w:r>
      <w:r>
        <w:rPr>
          <w:spacing w:val="-13"/>
          <w:w w:val="110"/>
        </w:rPr>
        <w:t> </w:t>
      </w:r>
      <w:r>
        <w:rPr>
          <w:w w:val="110"/>
        </w:rPr>
        <w:t>prices.</w:t>
      </w:r>
    </w:p>
    <w:p>
      <w:pPr>
        <w:pStyle w:val="BodyText"/>
        <w:spacing w:before="5"/>
        <w:rPr>
          <w:sz w:val="17"/>
        </w:rPr>
      </w:pPr>
    </w:p>
    <w:p>
      <w:pPr>
        <w:pStyle w:val="Heading3"/>
        <w:numPr>
          <w:ilvl w:val="1"/>
          <w:numId w:val="29"/>
        </w:numPr>
        <w:tabs>
          <w:tab w:pos="777" w:val="left" w:leader="none"/>
          <w:tab w:pos="778" w:val="left" w:leader="none"/>
          <w:tab w:pos="5657" w:val="left" w:leader="none"/>
        </w:tabs>
        <w:spacing w:line="240" w:lineRule="auto" w:before="0" w:after="0"/>
        <w:ind w:left="777" w:right="0" w:hanging="601"/>
        <w:jc w:val="left"/>
        <w:rPr>
          <w:color w:val="89C6DC"/>
          <w:u w:val="none"/>
        </w:rPr>
      </w:pPr>
      <w:r>
        <w:rPr>
          <w:smallCaps w:val="0"/>
          <w:color w:val="89C6DC"/>
          <w:w w:val="95"/>
          <w:u w:val="single" w:color="006CB4"/>
        </w:rPr>
        <w:t>Import</w:t>
      </w:r>
      <w:r>
        <w:rPr>
          <w:smallCaps w:val="0"/>
          <w:color w:val="89C6DC"/>
          <w:spacing w:val="-40"/>
          <w:w w:val="95"/>
          <w:u w:val="single" w:color="006CB4"/>
        </w:rPr>
        <w:t> </w:t>
      </w:r>
      <w:r>
        <w:rPr>
          <w:smallCaps w:val="0"/>
          <w:color w:val="89C6DC"/>
          <w:w w:val="95"/>
          <w:u w:val="single" w:color="006CB4"/>
        </w:rPr>
        <w:t>prices</w:t>
      </w:r>
      <w:r>
        <w:rPr>
          <w:smallCaps w:val="0"/>
          <w:color w:val="89C6DC"/>
          <w:spacing w:val="-39"/>
          <w:w w:val="95"/>
          <w:u w:val="single" w:color="006CB4"/>
        </w:rPr>
        <w:t> </w:t>
      </w:r>
      <w:r>
        <w:rPr>
          <w:smallCaps w:val="0"/>
          <w:color w:val="89C6DC"/>
          <w:w w:val="95"/>
          <w:u w:val="single" w:color="006CB4"/>
        </w:rPr>
        <w:t>and</w:t>
      </w:r>
      <w:r>
        <w:rPr>
          <w:smallCaps w:val="0"/>
          <w:color w:val="89C6DC"/>
          <w:spacing w:val="-39"/>
          <w:w w:val="95"/>
          <w:u w:val="single" w:color="006CB4"/>
        </w:rPr>
        <w:t> </w:t>
      </w:r>
      <w:r>
        <w:rPr>
          <w:smallCaps w:val="0"/>
          <w:color w:val="89C6DC"/>
          <w:w w:val="95"/>
          <w:u w:val="single" w:color="006CB4"/>
        </w:rPr>
        <w:t>the</w:t>
      </w:r>
      <w:r>
        <w:rPr>
          <w:smallCaps w:val="0"/>
          <w:color w:val="89C6DC"/>
          <w:spacing w:val="-39"/>
          <w:w w:val="95"/>
          <w:u w:val="single" w:color="006CB4"/>
        </w:rPr>
        <w:t> </w:t>
      </w:r>
      <w:r>
        <w:rPr>
          <w:smallCaps w:val="0"/>
          <w:color w:val="89C6DC"/>
          <w:w w:val="95"/>
          <w:u w:val="single" w:color="006CB4"/>
        </w:rPr>
        <w:t>exchange</w:t>
      </w:r>
      <w:r>
        <w:rPr>
          <w:smallCaps w:val="0"/>
          <w:color w:val="89C6DC"/>
          <w:spacing w:val="-40"/>
          <w:w w:val="95"/>
          <w:u w:val="single" w:color="006CB4"/>
        </w:rPr>
        <w:t> </w:t>
      </w:r>
      <w:r>
        <w:rPr>
          <w:smallCaps w:val="0"/>
          <w:color w:val="89C6DC"/>
          <w:w w:val="95"/>
          <w:u w:val="single" w:color="006CB4"/>
        </w:rPr>
        <w:t>rate</w:t>
      </w:r>
      <w:r>
        <w:rPr>
          <w:smallCaps w:val="0"/>
          <w:color w:val="89C6DC"/>
          <w:u w:val="single" w:color="006CB4"/>
        </w:rPr>
        <w:tab/>
      </w:r>
    </w:p>
    <w:p>
      <w:pPr>
        <w:pStyle w:val="BodyText"/>
        <w:spacing w:before="9"/>
        <w:rPr>
          <w:rFonts w:ascii="Trebuchet MS"/>
          <w:b/>
          <w:sz w:val="26"/>
        </w:rPr>
      </w:pPr>
    </w:p>
    <w:p>
      <w:pPr>
        <w:pStyle w:val="BodyText"/>
        <w:spacing w:line="292" w:lineRule="auto"/>
        <w:ind w:left="297" w:right="387"/>
      </w:pPr>
      <w:r>
        <w:rPr>
          <w:w w:val="110"/>
        </w:rPr>
        <w:t>Sterling</w:t>
      </w:r>
      <w:r>
        <w:rPr>
          <w:spacing w:val="-20"/>
          <w:w w:val="110"/>
        </w:rPr>
        <w:t> </w:t>
      </w:r>
      <w:r>
        <w:rPr>
          <w:w w:val="110"/>
        </w:rPr>
        <w:t>import</w:t>
      </w:r>
      <w:r>
        <w:rPr>
          <w:spacing w:val="-19"/>
          <w:w w:val="110"/>
        </w:rPr>
        <w:t> </w:t>
      </w:r>
      <w:r>
        <w:rPr>
          <w:w w:val="110"/>
        </w:rPr>
        <w:t>prices</w:t>
      </w:r>
      <w:r>
        <w:rPr>
          <w:spacing w:val="-19"/>
          <w:w w:val="110"/>
        </w:rPr>
        <w:t> </w:t>
      </w:r>
      <w:r>
        <w:rPr>
          <w:w w:val="110"/>
        </w:rPr>
        <w:t>of</w:t>
      </w:r>
      <w:r>
        <w:rPr>
          <w:spacing w:val="-19"/>
          <w:w w:val="110"/>
        </w:rPr>
        <w:t> </w:t>
      </w:r>
      <w:r>
        <w:rPr>
          <w:w w:val="110"/>
        </w:rPr>
        <w:t>goods</w:t>
      </w:r>
      <w:r>
        <w:rPr>
          <w:spacing w:val="-19"/>
          <w:w w:val="110"/>
        </w:rPr>
        <w:t> </w:t>
      </w:r>
      <w:r>
        <w:rPr>
          <w:w w:val="110"/>
        </w:rPr>
        <w:t>and</w:t>
      </w:r>
      <w:r>
        <w:rPr>
          <w:spacing w:val="-19"/>
          <w:w w:val="110"/>
        </w:rPr>
        <w:t> </w:t>
      </w:r>
      <w:r>
        <w:rPr>
          <w:w w:val="110"/>
        </w:rPr>
        <w:t>services</w:t>
      </w:r>
      <w:r>
        <w:rPr>
          <w:spacing w:val="-19"/>
          <w:w w:val="110"/>
        </w:rPr>
        <w:t> </w:t>
      </w:r>
      <w:r>
        <w:rPr>
          <w:w w:val="110"/>
        </w:rPr>
        <w:t>rose</w:t>
      </w:r>
      <w:r>
        <w:rPr>
          <w:spacing w:val="-19"/>
          <w:w w:val="110"/>
        </w:rPr>
        <w:t> </w:t>
      </w:r>
      <w:r>
        <w:rPr>
          <w:spacing w:val="-3"/>
          <w:w w:val="110"/>
        </w:rPr>
        <w:t>by</w:t>
      </w:r>
      <w:r>
        <w:rPr>
          <w:spacing w:val="-19"/>
          <w:w w:val="110"/>
        </w:rPr>
        <w:t> </w:t>
      </w:r>
      <w:r>
        <w:rPr>
          <w:w w:val="110"/>
        </w:rPr>
        <w:t>0.1%</w:t>
      </w:r>
      <w:r>
        <w:rPr>
          <w:spacing w:val="-19"/>
          <w:w w:val="110"/>
        </w:rPr>
        <w:t> </w:t>
      </w:r>
      <w:r>
        <w:rPr>
          <w:w w:val="110"/>
        </w:rPr>
        <w:t>in Q3,</w:t>
      </w:r>
      <w:r>
        <w:rPr>
          <w:spacing w:val="-12"/>
          <w:w w:val="110"/>
        </w:rPr>
        <w:t> </w:t>
      </w:r>
      <w:r>
        <w:rPr>
          <w:spacing w:val="-4"/>
          <w:w w:val="110"/>
        </w:rPr>
        <w:t>to</w:t>
      </w:r>
      <w:r>
        <w:rPr>
          <w:spacing w:val="-12"/>
          <w:w w:val="110"/>
        </w:rPr>
        <w:t> </w:t>
      </w:r>
      <w:r>
        <w:rPr>
          <w:w w:val="110"/>
        </w:rPr>
        <w:t>lie</w:t>
      </w:r>
      <w:r>
        <w:rPr>
          <w:spacing w:val="-12"/>
          <w:w w:val="110"/>
        </w:rPr>
        <w:t> </w:t>
      </w:r>
      <w:r>
        <w:rPr>
          <w:w w:val="110"/>
        </w:rPr>
        <w:t>0.6%</w:t>
      </w:r>
      <w:r>
        <w:rPr>
          <w:spacing w:val="-12"/>
          <w:w w:val="110"/>
        </w:rPr>
        <w:t> </w:t>
      </w:r>
      <w:r>
        <w:rPr>
          <w:w w:val="110"/>
        </w:rPr>
        <w:t>higher</w:t>
      </w:r>
      <w:r>
        <w:rPr>
          <w:spacing w:val="-12"/>
          <w:w w:val="110"/>
        </w:rPr>
        <w:t> </w:t>
      </w:r>
      <w:r>
        <w:rPr>
          <w:w w:val="110"/>
        </w:rPr>
        <w:t>than</w:t>
      </w:r>
      <w:r>
        <w:rPr>
          <w:spacing w:val="-12"/>
          <w:w w:val="110"/>
        </w:rPr>
        <w:t> </w:t>
      </w:r>
      <w:r>
        <w:rPr>
          <w:w w:val="110"/>
        </w:rPr>
        <w:t>a</w:t>
      </w:r>
      <w:r>
        <w:rPr>
          <w:spacing w:val="-12"/>
          <w:w w:val="110"/>
        </w:rPr>
        <w:t> </w:t>
      </w:r>
      <w:r>
        <w:rPr>
          <w:w w:val="110"/>
        </w:rPr>
        <w:t>year</w:t>
      </w:r>
      <w:r>
        <w:rPr>
          <w:spacing w:val="-12"/>
          <w:w w:val="110"/>
        </w:rPr>
        <w:t> </w:t>
      </w:r>
      <w:r>
        <w:rPr>
          <w:w w:val="110"/>
        </w:rPr>
        <w:t>earlier</w:t>
      </w:r>
      <w:r>
        <w:rPr>
          <w:w w:val="110"/>
          <w:position w:val="5"/>
          <w:sz w:val="14"/>
        </w:rPr>
        <w:t>(1)</w:t>
      </w:r>
      <w:r>
        <w:rPr>
          <w:spacing w:val="4"/>
          <w:w w:val="110"/>
          <w:position w:val="5"/>
          <w:sz w:val="14"/>
        </w:rPr>
        <w:t> </w:t>
      </w:r>
      <w:r>
        <w:rPr>
          <w:w w:val="110"/>
        </w:rPr>
        <w:t>(see</w:t>
      </w:r>
      <w:r>
        <w:rPr>
          <w:spacing w:val="-12"/>
          <w:w w:val="110"/>
        </w:rPr>
        <w:t> </w:t>
      </w:r>
      <w:r>
        <w:rPr>
          <w:w w:val="110"/>
        </w:rPr>
        <w:t>Chart</w:t>
      </w:r>
      <w:r>
        <w:rPr>
          <w:spacing w:val="-12"/>
          <w:w w:val="110"/>
        </w:rPr>
        <w:t> </w:t>
      </w:r>
      <w:r>
        <w:rPr>
          <w:w w:val="110"/>
        </w:rPr>
        <w:t>4.4). Sterling import prices are affected by </w:t>
      </w:r>
      <w:r>
        <w:rPr>
          <w:spacing w:val="-3"/>
          <w:w w:val="110"/>
        </w:rPr>
        <w:t>several </w:t>
      </w:r>
      <w:r>
        <w:rPr>
          <w:w w:val="110"/>
        </w:rPr>
        <w:t>factors: the sterling </w:t>
      </w:r>
      <w:r>
        <w:rPr>
          <w:spacing w:val="-3"/>
          <w:w w:val="110"/>
        </w:rPr>
        <w:t>exchange </w:t>
      </w:r>
      <w:r>
        <w:rPr>
          <w:spacing w:val="-4"/>
          <w:w w:val="110"/>
        </w:rPr>
        <w:t>rate; </w:t>
      </w:r>
      <w:r>
        <w:rPr>
          <w:spacing w:val="-3"/>
          <w:w w:val="110"/>
        </w:rPr>
        <w:t>average world </w:t>
      </w:r>
      <w:r>
        <w:rPr>
          <w:w w:val="110"/>
        </w:rPr>
        <w:t>export prices in local currencies; and the profit margin on </w:t>
      </w:r>
      <w:r>
        <w:rPr>
          <w:spacing w:val="-3"/>
          <w:w w:val="110"/>
        </w:rPr>
        <w:t>overseas </w:t>
      </w:r>
      <w:r>
        <w:rPr>
          <w:w w:val="110"/>
        </w:rPr>
        <w:t>sales </w:t>
      </w:r>
      <w:r>
        <w:rPr>
          <w:spacing w:val="-4"/>
          <w:w w:val="110"/>
        </w:rPr>
        <w:t>to </w:t>
      </w:r>
      <w:r>
        <w:rPr>
          <w:w w:val="110"/>
        </w:rPr>
        <w:t>the United Kingdom relative </w:t>
      </w:r>
      <w:r>
        <w:rPr>
          <w:spacing w:val="-4"/>
          <w:w w:val="110"/>
        </w:rPr>
        <w:t>to </w:t>
      </w:r>
      <w:r>
        <w:rPr>
          <w:w w:val="110"/>
        </w:rPr>
        <w:t>sales </w:t>
      </w:r>
      <w:r>
        <w:rPr>
          <w:spacing w:val="-4"/>
          <w:w w:val="110"/>
        </w:rPr>
        <w:t>to </w:t>
      </w:r>
      <w:r>
        <w:rPr>
          <w:w w:val="110"/>
        </w:rPr>
        <w:t>other markets. The sterling</w:t>
      </w:r>
      <w:r>
        <w:rPr>
          <w:spacing w:val="-19"/>
          <w:w w:val="110"/>
        </w:rPr>
        <w:t> </w:t>
      </w:r>
      <w:r>
        <w:rPr>
          <w:w w:val="110"/>
        </w:rPr>
        <w:t>effective</w:t>
      </w:r>
      <w:r>
        <w:rPr>
          <w:spacing w:val="-18"/>
          <w:w w:val="110"/>
        </w:rPr>
        <w:t> </w:t>
      </w:r>
      <w:r>
        <w:rPr>
          <w:spacing w:val="-3"/>
          <w:w w:val="110"/>
        </w:rPr>
        <w:t>exchange</w:t>
      </w:r>
      <w:r>
        <w:rPr>
          <w:spacing w:val="-18"/>
          <w:w w:val="110"/>
        </w:rPr>
        <w:t> </w:t>
      </w:r>
      <w:r>
        <w:rPr>
          <w:spacing w:val="-4"/>
          <w:w w:val="110"/>
        </w:rPr>
        <w:t>rate</w:t>
      </w:r>
      <w:r>
        <w:rPr>
          <w:spacing w:val="-19"/>
          <w:w w:val="110"/>
        </w:rPr>
        <w:t> </w:t>
      </w:r>
      <w:r>
        <w:rPr>
          <w:w w:val="110"/>
        </w:rPr>
        <w:t>depreciated</w:t>
      </w:r>
      <w:r>
        <w:rPr>
          <w:spacing w:val="-18"/>
          <w:w w:val="110"/>
        </w:rPr>
        <w:t> </w:t>
      </w:r>
      <w:r>
        <w:rPr>
          <w:spacing w:val="-3"/>
          <w:w w:val="110"/>
        </w:rPr>
        <w:t>by</w:t>
      </w:r>
      <w:r>
        <w:rPr>
          <w:spacing w:val="-18"/>
          <w:w w:val="110"/>
        </w:rPr>
        <w:t> </w:t>
      </w:r>
      <w:r>
        <w:rPr>
          <w:w w:val="110"/>
        </w:rPr>
        <w:t>1.2%</w:t>
      </w:r>
      <w:r>
        <w:rPr>
          <w:spacing w:val="-19"/>
          <w:w w:val="110"/>
        </w:rPr>
        <w:t> </w:t>
      </w:r>
      <w:r>
        <w:rPr>
          <w:w w:val="110"/>
        </w:rPr>
        <w:t>in</w:t>
      </w:r>
      <w:r>
        <w:rPr>
          <w:spacing w:val="-18"/>
          <w:w w:val="110"/>
        </w:rPr>
        <w:t> </w:t>
      </w:r>
      <w:r>
        <w:rPr>
          <w:w w:val="110"/>
        </w:rPr>
        <w:t>Q3, while</w:t>
      </w:r>
      <w:r>
        <w:rPr>
          <w:spacing w:val="-17"/>
          <w:w w:val="110"/>
        </w:rPr>
        <w:t> </w:t>
      </w:r>
      <w:r>
        <w:rPr>
          <w:spacing w:val="-3"/>
          <w:w w:val="110"/>
        </w:rPr>
        <w:t>world</w:t>
      </w:r>
      <w:r>
        <w:rPr>
          <w:spacing w:val="-16"/>
          <w:w w:val="110"/>
        </w:rPr>
        <w:t> </w:t>
      </w:r>
      <w:r>
        <w:rPr>
          <w:w w:val="110"/>
        </w:rPr>
        <w:t>local</w:t>
      </w:r>
      <w:r>
        <w:rPr>
          <w:spacing w:val="-16"/>
          <w:w w:val="110"/>
        </w:rPr>
        <w:t> </w:t>
      </w:r>
      <w:r>
        <w:rPr>
          <w:w w:val="110"/>
        </w:rPr>
        <w:t>currency</w:t>
      </w:r>
      <w:r>
        <w:rPr>
          <w:spacing w:val="-16"/>
          <w:w w:val="110"/>
        </w:rPr>
        <w:t> </w:t>
      </w:r>
      <w:r>
        <w:rPr>
          <w:w w:val="110"/>
        </w:rPr>
        <w:t>export</w:t>
      </w:r>
      <w:r>
        <w:rPr>
          <w:spacing w:val="-16"/>
          <w:w w:val="110"/>
        </w:rPr>
        <w:t> </w:t>
      </w:r>
      <w:r>
        <w:rPr>
          <w:w w:val="110"/>
        </w:rPr>
        <w:t>prices</w:t>
      </w:r>
      <w:r>
        <w:rPr>
          <w:spacing w:val="-16"/>
          <w:w w:val="110"/>
        </w:rPr>
        <w:t> </w:t>
      </w:r>
      <w:r>
        <w:rPr>
          <w:w w:val="110"/>
        </w:rPr>
        <w:t>rose</w:t>
      </w:r>
      <w:r>
        <w:rPr>
          <w:spacing w:val="-16"/>
          <w:w w:val="110"/>
        </w:rPr>
        <w:t> </w:t>
      </w:r>
      <w:r>
        <w:rPr>
          <w:spacing w:val="-3"/>
          <w:w w:val="110"/>
        </w:rPr>
        <w:t>by</w:t>
      </w:r>
      <w:r>
        <w:rPr>
          <w:spacing w:val="-16"/>
          <w:w w:val="110"/>
        </w:rPr>
        <w:t> </w:t>
      </w:r>
      <w:r>
        <w:rPr>
          <w:w w:val="110"/>
        </w:rPr>
        <w:t>0.5%</w:t>
      </w:r>
      <w:r>
        <w:rPr>
          <w:spacing w:val="-16"/>
          <w:w w:val="110"/>
        </w:rPr>
        <w:t> </w:t>
      </w:r>
      <w:r>
        <w:rPr>
          <w:w w:val="110"/>
        </w:rPr>
        <w:t>in</w:t>
      </w:r>
    </w:p>
    <w:p>
      <w:pPr>
        <w:pStyle w:val="BodyText"/>
        <w:spacing w:line="292" w:lineRule="auto"/>
        <w:ind w:left="297" w:right="159"/>
      </w:pPr>
      <w:r>
        <w:rPr>
          <w:w w:val="110"/>
        </w:rPr>
        <w:t>UK </w:t>
      </w:r>
      <w:r>
        <w:rPr>
          <w:spacing w:val="-3"/>
          <w:w w:val="110"/>
        </w:rPr>
        <w:t>trade-weighted </w:t>
      </w:r>
      <w:r>
        <w:rPr>
          <w:w w:val="110"/>
        </w:rPr>
        <w:t>terms. So the negligible rise in import prices</w:t>
      </w:r>
      <w:r>
        <w:rPr>
          <w:spacing w:val="-23"/>
          <w:w w:val="110"/>
        </w:rPr>
        <w:t> </w:t>
      </w:r>
      <w:r>
        <w:rPr>
          <w:w w:val="110"/>
        </w:rPr>
        <w:t>in</w:t>
      </w:r>
      <w:r>
        <w:rPr>
          <w:spacing w:val="-22"/>
          <w:w w:val="110"/>
        </w:rPr>
        <w:t> </w:t>
      </w:r>
      <w:r>
        <w:rPr>
          <w:w w:val="110"/>
        </w:rPr>
        <w:t>Q3</w:t>
      </w:r>
      <w:r>
        <w:rPr>
          <w:spacing w:val="-22"/>
          <w:w w:val="110"/>
        </w:rPr>
        <w:t> </w:t>
      </w:r>
      <w:r>
        <w:rPr>
          <w:w w:val="110"/>
        </w:rPr>
        <w:t>suggests</w:t>
      </w:r>
      <w:r>
        <w:rPr>
          <w:spacing w:val="-22"/>
          <w:w w:val="110"/>
        </w:rPr>
        <w:t> </w:t>
      </w:r>
      <w:r>
        <w:rPr>
          <w:w w:val="110"/>
        </w:rPr>
        <w:t>a</w:t>
      </w:r>
      <w:r>
        <w:rPr>
          <w:spacing w:val="-22"/>
          <w:w w:val="110"/>
        </w:rPr>
        <w:t> </w:t>
      </w:r>
      <w:r>
        <w:rPr>
          <w:w w:val="110"/>
        </w:rPr>
        <w:t>reduction</w:t>
      </w:r>
      <w:r>
        <w:rPr>
          <w:spacing w:val="-23"/>
          <w:w w:val="110"/>
        </w:rPr>
        <w:t> </w:t>
      </w:r>
      <w:r>
        <w:rPr>
          <w:w w:val="110"/>
        </w:rPr>
        <w:t>in</w:t>
      </w:r>
      <w:r>
        <w:rPr>
          <w:spacing w:val="-22"/>
          <w:w w:val="110"/>
        </w:rPr>
        <w:t> </w:t>
      </w:r>
      <w:r>
        <w:rPr>
          <w:w w:val="110"/>
        </w:rPr>
        <w:t>foreign</w:t>
      </w:r>
      <w:r>
        <w:rPr>
          <w:spacing w:val="-22"/>
          <w:w w:val="110"/>
        </w:rPr>
        <w:t> </w:t>
      </w:r>
      <w:r>
        <w:rPr>
          <w:w w:val="110"/>
        </w:rPr>
        <w:t>exporters’</w:t>
      </w:r>
      <w:r>
        <w:rPr>
          <w:spacing w:val="-22"/>
          <w:w w:val="110"/>
        </w:rPr>
        <w:t> </w:t>
      </w:r>
      <w:r>
        <w:rPr>
          <w:w w:val="110"/>
        </w:rPr>
        <w:t>relative margins</w:t>
      </w:r>
      <w:r>
        <w:rPr>
          <w:spacing w:val="-12"/>
          <w:w w:val="110"/>
        </w:rPr>
        <w:t> </w:t>
      </w:r>
      <w:r>
        <w:rPr>
          <w:w w:val="110"/>
        </w:rPr>
        <w:t>on</w:t>
      </w:r>
      <w:r>
        <w:rPr>
          <w:spacing w:val="-12"/>
          <w:w w:val="110"/>
        </w:rPr>
        <w:t> </w:t>
      </w:r>
      <w:r>
        <w:rPr>
          <w:w w:val="110"/>
        </w:rPr>
        <w:t>sales</w:t>
      </w:r>
      <w:r>
        <w:rPr>
          <w:spacing w:val="-12"/>
          <w:w w:val="110"/>
        </w:rPr>
        <w:t> </w:t>
      </w:r>
      <w:r>
        <w:rPr>
          <w:spacing w:val="-4"/>
          <w:w w:val="110"/>
        </w:rPr>
        <w:t>to</w:t>
      </w:r>
      <w:r>
        <w:rPr>
          <w:spacing w:val="-12"/>
          <w:w w:val="110"/>
        </w:rPr>
        <w:t> </w:t>
      </w:r>
      <w:r>
        <w:rPr>
          <w:w w:val="110"/>
        </w:rPr>
        <w:t>the</w:t>
      </w:r>
      <w:r>
        <w:rPr>
          <w:spacing w:val="-12"/>
          <w:w w:val="110"/>
        </w:rPr>
        <w:t> </w:t>
      </w:r>
      <w:r>
        <w:rPr>
          <w:w w:val="110"/>
        </w:rPr>
        <w:t>United</w:t>
      </w:r>
      <w:r>
        <w:rPr>
          <w:spacing w:val="-12"/>
          <w:w w:val="110"/>
        </w:rPr>
        <w:t> </w:t>
      </w:r>
      <w:r>
        <w:rPr>
          <w:w w:val="110"/>
        </w:rPr>
        <w:t>Kingdom</w:t>
      </w:r>
      <w:r>
        <w:rPr>
          <w:spacing w:val="-12"/>
          <w:w w:val="110"/>
        </w:rPr>
        <w:t> </w:t>
      </w:r>
      <w:r>
        <w:rPr>
          <w:w w:val="110"/>
        </w:rPr>
        <w:t>(see</w:t>
      </w:r>
      <w:r>
        <w:rPr>
          <w:spacing w:val="-12"/>
          <w:w w:val="110"/>
        </w:rPr>
        <w:t> </w:t>
      </w:r>
      <w:r>
        <w:rPr>
          <w:w w:val="110"/>
        </w:rPr>
        <w:t>Chart</w:t>
      </w:r>
      <w:r>
        <w:rPr>
          <w:spacing w:val="-12"/>
          <w:w w:val="110"/>
        </w:rPr>
        <w:t> </w:t>
      </w:r>
      <w:r>
        <w:rPr>
          <w:w w:val="110"/>
        </w:rPr>
        <w:t>4.5).</w:t>
      </w:r>
    </w:p>
    <w:p>
      <w:pPr>
        <w:pStyle w:val="BodyText"/>
        <w:spacing w:line="292" w:lineRule="auto"/>
        <w:ind w:left="297" w:right="159"/>
      </w:pPr>
      <w:r>
        <w:rPr>
          <w:w w:val="110"/>
        </w:rPr>
        <w:t>That</w:t>
      </w:r>
      <w:r>
        <w:rPr>
          <w:spacing w:val="-25"/>
          <w:w w:val="110"/>
        </w:rPr>
        <w:t> </w:t>
      </w:r>
      <w:r>
        <w:rPr>
          <w:w w:val="110"/>
        </w:rPr>
        <w:t>relative</w:t>
      </w:r>
      <w:r>
        <w:rPr>
          <w:spacing w:val="-25"/>
          <w:w w:val="110"/>
        </w:rPr>
        <w:t> </w:t>
      </w:r>
      <w:r>
        <w:rPr>
          <w:w w:val="110"/>
        </w:rPr>
        <w:t>margin</w:t>
      </w:r>
      <w:r>
        <w:rPr>
          <w:spacing w:val="-25"/>
          <w:w w:val="110"/>
        </w:rPr>
        <w:t> </w:t>
      </w:r>
      <w:r>
        <w:rPr>
          <w:w w:val="110"/>
        </w:rPr>
        <w:t>has</w:t>
      </w:r>
      <w:r>
        <w:rPr>
          <w:spacing w:val="-25"/>
          <w:w w:val="110"/>
        </w:rPr>
        <w:t> </w:t>
      </w:r>
      <w:r>
        <w:rPr>
          <w:w w:val="110"/>
        </w:rPr>
        <w:t>widened</w:t>
      </w:r>
      <w:r>
        <w:rPr>
          <w:spacing w:val="-25"/>
          <w:w w:val="110"/>
        </w:rPr>
        <w:t> </w:t>
      </w:r>
      <w:r>
        <w:rPr>
          <w:w w:val="110"/>
        </w:rPr>
        <w:t>in</w:t>
      </w:r>
      <w:r>
        <w:rPr>
          <w:spacing w:val="-24"/>
          <w:w w:val="110"/>
        </w:rPr>
        <w:t> </w:t>
      </w:r>
      <w:r>
        <w:rPr>
          <w:w w:val="110"/>
        </w:rPr>
        <w:t>recent</w:t>
      </w:r>
      <w:r>
        <w:rPr>
          <w:spacing w:val="-25"/>
          <w:w w:val="110"/>
        </w:rPr>
        <w:t> </w:t>
      </w:r>
      <w:r>
        <w:rPr>
          <w:spacing w:val="-3"/>
          <w:w w:val="110"/>
        </w:rPr>
        <w:t>years,</w:t>
      </w:r>
      <w:r>
        <w:rPr>
          <w:spacing w:val="-25"/>
          <w:w w:val="110"/>
        </w:rPr>
        <w:t> </w:t>
      </w:r>
      <w:r>
        <w:rPr>
          <w:w w:val="110"/>
        </w:rPr>
        <w:t>which</w:t>
      </w:r>
      <w:r>
        <w:rPr>
          <w:spacing w:val="-25"/>
          <w:w w:val="110"/>
        </w:rPr>
        <w:t> </w:t>
      </w:r>
      <w:r>
        <w:rPr>
          <w:spacing w:val="-3"/>
          <w:w w:val="110"/>
        </w:rPr>
        <w:t>may </w:t>
      </w:r>
      <w:r>
        <w:rPr>
          <w:w w:val="110"/>
        </w:rPr>
        <w:t>have</w:t>
      </w:r>
      <w:r>
        <w:rPr>
          <w:spacing w:val="-7"/>
          <w:w w:val="110"/>
        </w:rPr>
        <w:t> </w:t>
      </w:r>
      <w:r>
        <w:rPr>
          <w:w w:val="110"/>
        </w:rPr>
        <w:t>reflected</w:t>
      </w:r>
      <w:r>
        <w:rPr>
          <w:spacing w:val="-6"/>
          <w:w w:val="110"/>
        </w:rPr>
        <w:t> </w:t>
      </w:r>
      <w:r>
        <w:rPr>
          <w:w w:val="110"/>
        </w:rPr>
        <w:t>a</w:t>
      </w:r>
      <w:r>
        <w:rPr>
          <w:spacing w:val="-6"/>
          <w:w w:val="110"/>
        </w:rPr>
        <w:t> </w:t>
      </w:r>
      <w:r>
        <w:rPr>
          <w:w w:val="110"/>
        </w:rPr>
        <w:t>perception</w:t>
      </w:r>
      <w:r>
        <w:rPr>
          <w:spacing w:val="-7"/>
          <w:w w:val="110"/>
        </w:rPr>
        <w:t> </w:t>
      </w:r>
      <w:r>
        <w:rPr>
          <w:w w:val="110"/>
        </w:rPr>
        <w:t>that</w:t>
      </w:r>
      <w:r>
        <w:rPr>
          <w:spacing w:val="-6"/>
          <w:w w:val="110"/>
        </w:rPr>
        <w:t> </w:t>
      </w:r>
      <w:r>
        <w:rPr>
          <w:w w:val="110"/>
        </w:rPr>
        <w:t>the</w:t>
      </w:r>
      <w:r>
        <w:rPr>
          <w:spacing w:val="-6"/>
          <w:w w:val="110"/>
        </w:rPr>
        <w:t> </w:t>
      </w:r>
      <w:r>
        <w:rPr>
          <w:w w:val="110"/>
        </w:rPr>
        <w:t>appreciation</w:t>
      </w:r>
      <w:r>
        <w:rPr>
          <w:spacing w:val="-6"/>
          <w:w w:val="110"/>
        </w:rPr>
        <w:t> </w:t>
      </w:r>
      <w:r>
        <w:rPr>
          <w:w w:val="110"/>
        </w:rPr>
        <w:t>of</w:t>
      </w:r>
    </w:p>
    <w:p>
      <w:pPr>
        <w:pStyle w:val="BodyText"/>
        <w:spacing w:line="229" w:lineRule="exact"/>
        <w:ind w:left="297"/>
      </w:pPr>
      <w:r>
        <w:rPr>
          <w:w w:val="110"/>
        </w:rPr>
        <w:t>sterling over this period would prove temporary and so the</w:t>
      </w:r>
    </w:p>
    <w:p>
      <w:pPr>
        <w:pStyle w:val="BodyText"/>
        <w:spacing w:line="146" w:lineRule="exact" w:before="44"/>
        <w:ind w:left="297"/>
      </w:pPr>
      <w:r>
        <w:rPr>
          <w:w w:val="110"/>
        </w:rPr>
        <w:t>gains to foreign exporters from switching supplies to</w:t>
      </w:r>
    </w:p>
    <w:p>
      <w:pPr>
        <w:spacing w:after="0" w:line="146" w:lineRule="exact"/>
        <w:sectPr>
          <w:type w:val="continuous"/>
          <w:pgSz w:w="11900" w:h="16840"/>
          <w:pgMar w:top="1260" w:bottom="280" w:left="640" w:right="640"/>
          <w:cols w:num="3" w:equalWidth="0">
            <w:col w:w="3445" w:space="40"/>
            <w:col w:w="255" w:space="1063"/>
            <w:col w:w="5817"/>
          </w:cols>
        </w:sectPr>
      </w:pPr>
    </w:p>
    <w:p>
      <w:pPr>
        <w:pStyle w:val="Heading6"/>
        <w:spacing w:line="247" w:lineRule="auto"/>
        <w:ind w:left="177" w:right="33"/>
      </w:pPr>
      <w:r>
        <w:rPr>
          <w:color w:val="89C6DC"/>
          <w:spacing w:val="-3"/>
          <w:w w:val="90"/>
        </w:rPr>
        <w:t>Foreign</w:t>
      </w:r>
      <w:r>
        <w:rPr>
          <w:color w:val="89C6DC"/>
          <w:spacing w:val="-9"/>
          <w:w w:val="90"/>
        </w:rPr>
        <w:t> </w:t>
      </w:r>
      <w:r>
        <w:rPr>
          <w:color w:val="89C6DC"/>
          <w:w w:val="90"/>
        </w:rPr>
        <w:t>exporters’</w:t>
      </w:r>
      <w:r>
        <w:rPr>
          <w:color w:val="89C6DC"/>
          <w:spacing w:val="-16"/>
          <w:w w:val="90"/>
        </w:rPr>
        <w:t> </w:t>
      </w:r>
      <w:r>
        <w:rPr>
          <w:color w:val="89C6DC"/>
          <w:w w:val="90"/>
        </w:rPr>
        <w:t>relative</w:t>
      </w:r>
      <w:r>
        <w:rPr>
          <w:color w:val="89C6DC"/>
          <w:spacing w:val="-9"/>
          <w:w w:val="90"/>
        </w:rPr>
        <w:t> </w:t>
      </w:r>
      <w:r>
        <w:rPr>
          <w:color w:val="89C6DC"/>
          <w:w w:val="90"/>
        </w:rPr>
        <w:t>prices</w:t>
      </w:r>
      <w:r>
        <w:rPr>
          <w:color w:val="89C6DC"/>
          <w:spacing w:val="-9"/>
          <w:w w:val="90"/>
        </w:rPr>
        <w:t> </w:t>
      </w:r>
      <w:r>
        <w:rPr>
          <w:color w:val="89C6DC"/>
          <w:w w:val="90"/>
        </w:rPr>
        <w:t>to</w:t>
      </w:r>
      <w:r>
        <w:rPr>
          <w:color w:val="89C6DC"/>
          <w:spacing w:val="-8"/>
          <w:w w:val="90"/>
        </w:rPr>
        <w:t> </w:t>
      </w:r>
      <w:r>
        <w:rPr>
          <w:color w:val="89C6DC"/>
          <w:w w:val="90"/>
        </w:rPr>
        <w:t>the </w:t>
      </w:r>
      <w:r>
        <w:rPr>
          <w:color w:val="89C6DC"/>
          <w:spacing w:val="-2"/>
          <w:w w:val="95"/>
        </w:rPr>
        <w:t>United</w:t>
      </w:r>
      <w:r>
        <w:rPr>
          <w:color w:val="89C6DC"/>
          <w:spacing w:val="-23"/>
          <w:w w:val="95"/>
        </w:rPr>
        <w:t> </w:t>
      </w:r>
      <w:r>
        <w:rPr>
          <w:color w:val="89C6DC"/>
          <w:w w:val="95"/>
        </w:rPr>
        <w:t>Kingdom</w:t>
      </w:r>
      <w:r>
        <w:rPr>
          <w:color w:val="89C6DC"/>
          <w:spacing w:val="-22"/>
          <w:w w:val="95"/>
        </w:rPr>
        <w:t> </w:t>
      </w:r>
      <w:r>
        <w:rPr>
          <w:color w:val="89C6DC"/>
          <w:w w:val="95"/>
        </w:rPr>
        <w:t>and</w:t>
      </w:r>
      <w:r>
        <w:rPr>
          <w:color w:val="89C6DC"/>
          <w:spacing w:val="-22"/>
          <w:w w:val="95"/>
        </w:rPr>
        <w:t> </w:t>
      </w:r>
      <w:r>
        <w:rPr>
          <w:color w:val="89C6DC"/>
          <w:w w:val="95"/>
        </w:rPr>
        <w:t>the</w:t>
      </w:r>
      <w:r>
        <w:rPr>
          <w:color w:val="89C6DC"/>
          <w:spacing w:val="-22"/>
          <w:w w:val="95"/>
        </w:rPr>
        <w:t> </w:t>
      </w:r>
      <w:r>
        <w:rPr>
          <w:color w:val="89C6DC"/>
          <w:w w:val="95"/>
        </w:rPr>
        <w:t>exchange</w:t>
      </w:r>
      <w:r>
        <w:rPr>
          <w:color w:val="89C6DC"/>
          <w:spacing w:val="-22"/>
          <w:w w:val="95"/>
        </w:rPr>
        <w:t> </w:t>
      </w:r>
      <w:r>
        <w:rPr>
          <w:color w:val="89C6DC"/>
          <w:w w:val="95"/>
        </w:rPr>
        <w:t>rate</w:t>
      </w:r>
    </w:p>
    <w:p>
      <w:pPr>
        <w:pStyle w:val="BodyText"/>
        <w:spacing w:before="133"/>
        <w:ind w:left="177"/>
      </w:pPr>
      <w:r>
        <w:rPr/>
        <w:br w:type="column"/>
      </w:r>
      <w:r>
        <w:rPr>
          <w:w w:val="105"/>
        </w:rPr>
        <w:t>UK markets would be short-lived and would not exceed the</w:t>
      </w:r>
    </w:p>
    <w:p>
      <w:pPr>
        <w:spacing w:after="0"/>
        <w:sectPr>
          <w:type w:val="continuous"/>
          <w:pgSz w:w="11900" w:h="16840"/>
          <w:pgMar w:top="1260" w:bottom="280" w:left="640" w:right="640"/>
          <w:cols w:num="2" w:equalWidth="0">
            <w:col w:w="3578" w:space="1345"/>
            <w:col w:w="5697"/>
          </w:cols>
        </w:sectPr>
      </w:pPr>
    </w:p>
    <w:p>
      <w:pPr>
        <w:pStyle w:val="BodyText"/>
        <w:spacing w:before="5"/>
        <w:rPr>
          <w:sz w:val="10"/>
        </w:rPr>
      </w:pPr>
    </w:p>
    <w:p>
      <w:pPr>
        <w:spacing w:before="1"/>
        <w:ind w:left="173" w:right="0" w:firstLine="0"/>
        <w:jc w:val="left"/>
        <w:rPr>
          <w:sz w:val="12"/>
        </w:rPr>
      </w:pPr>
      <w:r>
        <w:rPr>
          <w:w w:val="120"/>
          <w:sz w:val="12"/>
        </w:rPr>
        <w:t>120</w:t>
      </w:r>
    </w:p>
    <w:p>
      <w:pPr>
        <w:spacing w:before="26"/>
        <w:ind w:left="-14" w:right="0" w:firstLine="0"/>
        <w:jc w:val="left"/>
        <w:rPr>
          <w:sz w:val="12"/>
        </w:rPr>
      </w:pPr>
      <w:r>
        <w:rPr/>
        <w:br w:type="column"/>
      </w:r>
      <w:r>
        <w:rPr>
          <w:w w:val="110"/>
          <w:sz w:val="12"/>
        </w:rPr>
        <w:t>Index, 1990 = 100</w:t>
      </w:r>
    </w:p>
    <w:p>
      <w:pPr>
        <w:pStyle w:val="BodyText"/>
        <w:spacing w:before="6"/>
        <w:rPr>
          <w:sz w:val="2"/>
        </w:rPr>
      </w:pPr>
    </w:p>
    <w:p>
      <w:pPr>
        <w:pStyle w:val="BodyText"/>
        <w:spacing w:line="20" w:lineRule="exact"/>
        <w:ind w:left="-19"/>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spacing w:line="134" w:lineRule="exact" w:before="91"/>
        <w:ind w:left="173" w:right="0" w:firstLine="0"/>
        <w:jc w:val="left"/>
        <w:rPr>
          <w:sz w:val="12"/>
        </w:rPr>
      </w:pPr>
      <w:r>
        <w:rPr>
          <w:w w:val="105"/>
          <w:sz w:val="12"/>
        </w:rPr>
        <w:t>Foreign exporters’ relative</w:t>
      </w:r>
    </w:p>
    <w:p>
      <w:pPr>
        <w:spacing w:before="26"/>
        <w:ind w:left="173" w:right="0" w:firstLine="0"/>
        <w:jc w:val="left"/>
        <w:rPr>
          <w:sz w:val="12"/>
        </w:rPr>
      </w:pPr>
      <w:r>
        <w:rPr/>
        <w:br w:type="column"/>
      </w:r>
      <w:r>
        <w:rPr>
          <w:w w:val="105"/>
          <w:sz w:val="12"/>
        </w:rPr>
        <w:t>Ratio</w:t>
      </w:r>
    </w:p>
    <w:p>
      <w:pPr>
        <w:pStyle w:val="BodyText"/>
        <w:spacing w:before="6"/>
        <w:rPr>
          <w:sz w:val="2"/>
        </w:rPr>
      </w:pPr>
    </w:p>
    <w:p>
      <w:pPr>
        <w:pStyle w:val="BodyText"/>
        <w:spacing w:line="20" w:lineRule="exact"/>
        <w:ind w:left="355"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5"/>
        <w:rPr>
          <w:sz w:val="10"/>
        </w:rPr>
      </w:pPr>
      <w:r>
        <w:rPr/>
        <w:br w:type="column"/>
      </w:r>
      <w:r>
        <w:rPr>
          <w:sz w:val="10"/>
        </w:rPr>
      </w:r>
    </w:p>
    <w:p>
      <w:pPr>
        <w:spacing w:before="1"/>
        <w:ind w:left="-10" w:right="0" w:firstLine="0"/>
        <w:jc w:val="left"/>
        <w:rPr>
          <w:sz w:val="12"/>
        </w:rPr>
      </w:pPr>
      <w:r>
        <w:rPr>
          <w:w w:val="115"/>
          <w:sz w:val="12"/>
        </w:rPr>
        <w:t>1.15</w:t>
      </w:r>
    </w:p>
    <w:p>
      <w:pPr>
        <w:pStyle w:val="BodyText"/>
        <w:spacing w:line="165" w:lineRule="exact"/>
        <w:ind w:left="173"/>
      </w:pPr>
      <w:r>
        <w:rPr/>
        <w:br w:type="column"/>
      </w:r>
      <w:r>
        <w:rPr>
          <w:w w:val="110"/>
        </w:rPr>
        <w:t>costs of doing so. The MPC has maintained the assumption</w:t>
      </w:r>
    </w:p>
    <w:p>
      <w:pPr>
        <w:pStyle w:val="BodyText"/>
        <w:spacing w:before="50"/>
        <w:ind w:left="173"/>
      </w:pPr>
      <w:r>
        <w:rPr>
          <w:w w:val="105"/>
        </w:rPr>
        <w:t>that foreign exporters’ relative margins on sales to the</w:t>
      </w:r>
    </w:p>
    <w:p>
      <w:pPr>
        <w:spacing w:after="0"/>
        <w:sectPr>
          <w:type w:val="continuous"/>
          <w:pgSz w:w="11900" w:h="16840"/>
          <w:pgMar w:top="1260" w:bottom="280" w:left="640" w:right="640"/>
          <w:cols w:num="6" w:equalWidth="0">
            <w:col w:w="393" w:space="40"/>
            <w:col w:w="1013" w:space="64"/>
            <w:col w:w="1561" w:space="94"/>
            <w:col w:w="448" w:space="39"/>
            <w:col w:w="276" w:space="999"/>
            <w:col w:w="5693"/>
          </w:cols>
        </w:sectPr>
      </w:pPr>
    </w:p>
    <w:p>
      <w:pPr>
        <w:spacing w:line="117" w:lineRule="exact" w:before="0"/>
        <w:ind w:left="173" w:right="0" w:firstLine="0"/>
        <w:jc w:val="left"/>
        <w:rPr>
          <w:sz w:val="12"/>
        </w:rPr>
      </w:pPr>
      <w:r>
        <w:rPr/>
        <w:pict>
          <v:group style="position:absolute;margin-left:52.932999pt;margin-top:6.844933pt;width:159.7pt;height:109.9pt;mso-position-horizontal-relative:page;mso-position-vertical-relative:paragraph;z-index:-23063040" coordorigin="1059,137" coordsize="3194,2198">
            <v:shape style="position:absolute;left:1194;top:1019;width:368;height:395" type="#_x0000_t75" stroked="false">
              <v:imagedata r:id="rId142" o:title=""/>
            </v:shape>
            <v:line style="position:absolute" from="1552,1114" to="1602,1574" stroked="true" strokeweight="1pt" strokecolor="#008360">
              <v:stroke dashstyle="solid"/>
            </v:line>
            <v:shape style="position:absolute;left:1592;top:866;width:670;height:718" type="#_x0000_t75" stroked="false">
              <v:imagedata r:id="rId143" o:title=""/>
            </v:shape>
            <v:shape style="position:absolute;left:2252;top:1149;width:923;height:985" coordorigin="2252,1149" coordsize="923,985" path="m2252,1369l2302,2134m2302,2134l2364,1897m2364,1897l2414,1574m2414,1574l2477,1437m2477,1437l2539,1369m2539,1369l2589,1284m2589,1284l2652,1369m2652,1369l2712,1234m2712,1234l2762,1149m2762,1149l2824,1217m2824,1217l2887,1522m2887,1522l2937,1404m2937,1404l2999,1574m2999,1574l3049,1504m3049,1504l3112,1284m3112,1284l3174,1404e" filled="false" stroked="true" strokeweight="1pt" strokecolor="#008360">
              <v:path arrowok="t"/>
              <v:stroke dashstyle="solid"/>
            </v:shape>
            <v:line style="position:absolute" from="3199,764" to="3199,1414" stroked="true" strokeweight="3.5pt" strokecolor="#008360">
              <v:stroke dashstyle="solid"/>
            </v:line>
            <v:shape style="position:absolute;left:3214;top:136;width:433;height:648" type="#_x0000_t75" stroked="false">
              <v:imagedata r:id="rId144" o:title=""/>
            </v:shape>
            <v:line style="position:absolute" from="3637,672" to="3700,1097" stroked="true" strokeweight="1pt" strokecolor="#008360">
              <v:stroke dashstyle="solid"/>
            </v:line>
            <v:shape style="position:absolute;left:3689;top:374;width:418;height:733" type="#_x0000_t75" stroked="false">
              <v:imagedata r:id="rId145" o:title=""/>
            </v:shape>
            <v:shape style="position:absolute;left:1194;top:611;width:543;height:768" type="#_x0000_t75" stroked="false">
              <v:imagedata r:id="rId146" o:title=""/>
            </v:shape>
            <v:line style="position:absolute" from="1727,1352" to="1777,912" stroked="true" strokeweight="1pt" strokecolor="#f6bd61">
              <v:stroke dashstyle="solid"/>
            </v:line>
            <v:shape style="position:absolute;left:1767;top:901;width:495;height:290" type="#_x0000_t75" stroked="false">
              <v:imagedata r:id="rId147" o:title=""/>
            </v:shape>
            <v:shape style="position:absolute;left:2252;top:1181;width:225;height:918" coordorigin="2252,1182" coordsize="225,918" path="m2252,1182l2302,2014m2302,2014l2364,2099m2364,2099l2414,1947m2414,1947l2477,1844e" filled="false" stroked="true" strokeweight="1pt" strokecolor="#f6bd61">
              <v:path arrowok="t"/>
              <v:stroke dashstyle="solid"/>
            </v:shape>
            <v:line style="position:absolute" from="2467,1846" to="2549,1846" stroked="true" strokeweight="1.125pt" strokecolor="#f6bd61">
              <v:stroke dashstyle="solid"/>
            </v:line>
            <v:shape style="position:absolute;left:2539;top:1811;width:348;height:458" coordorigin="2539,1812" coordsize="348,458" path="m2539,1844l2589,1812m2589,1812l2652,1929m2652,1929l2712,2014m2712,2014l2762,1929m2762,1929l2824,2067m2824,2067l2887,2269e" filled="false" stroked="true" strokeweight="1pt" strokecolor="#f6bd61">
              <v:path arrowok="t"/>
              <v:stroke dashstyle="solid"/>
            </v:shape>
            <v:line style="position:absolute" from="2877,2271" to="2947,2271" stroked="true" strokeweight="1.125pt" strokecolor="#f6bd61">
              <v:stroke dashstyle="solid"/>
            </v:line>
            <v:line style="position:absolute" from="2937,2269" to="2999,2322" stroked="true" strokeweight="1pt" strokecolor="#f6bd61">
              <v:stroke dashstyle="solid"/>
            </v:line>
            <v:line style="position:absolute" from="2989,2323" to="3059,2323" stroked="true" strokeweight="1.125pt" strokecolor="#f6bd61">
              <v:stroke dashstyle="solid"/>
            </v:line>
            <v:shape style="position:absolute;left:3049;top:756;width:475;height:1565" coordorigin="3049,757" coordsize="475,1565" path="m3049,2322l3112,2237m3112,2237l3174,2184m3174,2184l3224,1759m3224,1759l3287,1369m3287,1369l3349,1164m3349,1164l3399,962m3399,962l3462,912m3462,912l3524,757e" filled="false" stroked="true" strokeweight="1pt" strokecolor="#f6bd61">
              <v:path arrowok="t"/>
              <v:stroke dashstyle="solid"/>
            </v:shape>
            <v:line style="position:absolute" from="3514,758" to="3584,758" stroked="true" strokeweight="1.125pt" strokecolor="#f6bd61">
              <v:stroke dashstyle="solid"/>
            </v:line>
            <v:shape style="position:absolute;left:3574;top:536;width:523;height:560" coordorigin="3574,537" coordsize="523,560" path="m3574,757l3637,827m3637,827l3699,1097m3699,1097l3749,1064m3749,1064l3812,842m3812,842l3862,859m3862,859l3924,724m3924,724l3987,537m3987,537l4034,587m4034,587l4097,672e" filled="false" stroked="true" strokeweight="1pt" strokecolor="#f6bd61">
              <v:path arrowok="t"/>
              <v:stroke dashstyle="solid"/>
            </v:shape>
            <v:shape style="position:absolute;left:1058;top:273;width:3194;height:1944" coordorigin="1059,273" coordsize="3194,1944" path="m1059,417l1145,417m1059,777l1145,777m1059,1137l1145,1137m1059,1497l1145,1497m1059,2217l1145,2217m1059,1857l1145,1857m4165,273l4252,273m4165,849l4252,849m4165,2001l4252,2001m4165,1425l4252,1425e" filled="false" stroked="true" strokeweight=".5pt" strokecolor="#000000">
              <v:path arrowok="t"/>
              <v:stroke dashstyle="solid"/>
            </v:shape>
            <w10:wrap type="none"/>
          </v:group>
        </w:pict>
      </w:r>
      <w:r>
        <w:rPr/>
        <w:pict>
          <v:line style="position:absolute;mso-position-horizontal-relative:page;mso-position-vertical-relative:paragraph;z-index:16267264" from="52.932999pt,2.864933pt" to="57.265999pt,2.864933pt" stroked="true" strokeweight=".5pt" strokecolor="#000000">
            <v:stroke dashstyle="solid"/>
            <w10:wrap type="none"/>
          </v:line>
        </w:pict>
      </w:r>
      <w:r>
        <w:rPr>
          <w:w w:val="120"/>
          <w:sz w:val="12"/>
        </w:rPr>
        <w:t>115</w:t>
      </w:r>
    </w:p>
    <w:p>
      <w:pPr>
        <w:pStyle w:val="BodyText"/>
        <w:rPr>
          <w:sz w:val="12"/>
        </w:rPr>
      </w:pPr>
    </w:p>
    <w:p>
      <w:pPr>
        <w:spacing w:before="83"/>
        <w:ind w:left="173" w:right="0" w:firstLine="0"/>
        <w:jc w:val="left"/>
        <w:rPr>
          <w:sz w:val="12"/>
        </w:rPr>
      </w:pPr>
      <w:r>
        <w:rPr>
          <w:w w:val="120"/>
          <w:sz w:val="12"/>
        </w:rPr>
        <w:t>110</w:t>
      </w:r>
    </w:p>
    <w:p>
      <w:pPr>
        <w:pStyle w:val="BodyText"/>
        <w:rPr>
          <w:sz w:val="12"/>
        </w:rPr>
      </w:pPr>
    </w:p>
    <w:p>
      <w:pPr>
        <w:spacing w:before="83"/>
        <w:ind w:left="173" w:right="0" w:firstLine="0"/>
        <w:jc w:val="left"/>
        <w:rPr>
          <w:sz w:val="12"/>
        </w:rPr>
      </w:pPr>
      <w:r>
        <w:rPr>
          <w:w w:val="120"/>
          <w:sz w:val="12"/>
        </w:rPr>
        <w:t>105</w:t>
      </w:r>
    </w:p>
    <w:p>
      <w:pPr>
        <w:pStyle w:val="BodyText"/>
        <w:rPr>
          <w:sz w:val="12"/>
        </w:rPr>
      </w:pPr>
    </w:p>
    <w:p>
      <w:pPr>
        <w:spacing w:before="83"/>
        <w:ind w:left="173" w:right="0" w:firstLine="0"/>
        <w:jc w:val="left"/>
        <w:rPr>
          <w:sz w:val="12"/>
        </w:rPr>
      </w:pPr>
      <w:r>
        <w:rPr>
          <w:w w:val="120"/>
          <w:sz w:val="12"/>
        </w:rPr>
        <w:t>100</w:t>
      </w:r>
    </w:p>
    <w:p>
      <w:pPr>
        <w:pStyle w:val="BodyText"/>
        <w:rPr>
          <w:sz w:val="12"/>
        </w:rPr>
      </w:pPr>
    </w:p>
    <w:p>
      <w:pPr>
        <w:spacing w:before="83"/>
        <w:ind w:left="246" w:right="0" w:firstLine="0"/>
        <w:jc w:val="left"/>
        <w:rPr>
          <w:sz w:val="12"/>
        </w:rPr>
      </w:pPr>
      <w:r>
        <w:rPr>
          <w:w w:val="120"/>
          <w:sz w:val="12"/>
        </w:rPr>
        <w:t>95</w:t>
      </w:r>
    </w:p>
    <w:p>
      <w:pPr>
        <w:pStyle w:val="BodyText"/>
        <w:rPr>
          <w:sz w:val="12"/>
        </w:rPr>
      </w:pPr>
      <w:r>
        <w:rPr/>
        <w:br w:type="column"/>
      </w:r>
      <w:r>
        <w:rPr>
          <w:sz w:val="12"/>
        </w:rPr>
      </w:r>
    </w:p>
    <w:p>
      <w:pPr>
        <w:pStyle w:val="BodyText"/>
        <w:rPr>
          <w:sz w:val="12"/>
        </w:rPr>
      </w:pPr>
    </w:p>
    <w:p>
      <w:pPr>
        <w:pStyle w:val="BodyText"/>
        <w:rPr>
          <w:sz w:val="12"/>
        </w:rPr>
      </w:pPr>
    </w:p>
    <w:p>
      <w:pPr>
        <w:spacing w:line="208" w:lineRule="auto" w:before="72"/>
        <w:ind w:left="234" w:right="0" w:hanging="61"/>
        <w:jc w:val="left"/>
        <w:rPr>
          <w:sz w:val="12"/>
        </w:rPr>
      </w:pPr>
      <w:r>
        <w:rPr>
          <w:w w:val="105"/>
          <w:sz w:val="12"/>
        </w:rPr>
        <w:t>Sterling effective </w:t>
      </w:r>
      <w:r>
        <w:rPr>
          <w:w w:val="110"/>
          <w:sz w:val="12"/>
        </w:rPr>
        <w:t>exchange rate (left-hand</w:t>
      </w:r>
      <w:r>
        <w:rPr>
          <w:spacing w:val="-14"/>
          <w:w w:val="110"/>
          <w:sz w:val="12"/>
        </w:rPr>
        <w:t> </w:t>
      </w:r>
      <w:r>
        <w:rPr>
          <w:spacing w:val="-4"/>
          <w:w w:val="110"/>
          <w:sz w:val="12"/>
        </w:rPr>
        <w:t>scale)</w:t>
      </w:r>
    </w:p>
    <w:p>
      <w:pPr>
        <w:spacing w:line="208" w:lineRule="auto" w:before="1"/>
        <w:ind w:left="-3" w:right="0" w:firstLine="0"/>
        <w:jc w:val="left"/>
        <w:rPr>
          <w:sz w:val="12"/>
        </w:rPr>
      </w:pPr>
      <w:r>
        <w:rPr/>
        <w:br w:type="column"/>
      </w:r>
      <w:r>
        <w:rPr>
          <w:w w:val="110"/>
          <w:sz w:val="12"/>
        </w:rPr>
        <w:t>prices</w:t>
      </w:r>
      <w:r>
        <w:rPr>
          <w:spacing w:val="-9"/>
          <w:w w:val="110"/>
          <w:sz w:val="12"/>
        </w:rPr>
        <w:t> </w:t>
      </w:r>
      <w:r>
        <w:rPr>
          <w:w w:val="110"/>
          <w:sz w:val="12"/>
        </w:rPr>
        <w:t>to</w:t>
      </w:r>
      <w:r>
        <w:rPr>
          <w:spacing w:val="-8"/>
          <w:w w:val="110"/>
          <w:sz w:val="12"/>
        </w:rPr>
        <w:t> </w:t>
      </w:r>
      <w:r>
        <w:rPr>
          <w:w w:val="110"/>
          <w:sz w:val="12"/>
        </w:rPr>
        <w:t>the</w:t>
      </w:r>
      <w:r>
        <w:rPr>
          <w:spacing w:val="-9"/>
          <w:w w:val="110"/>
          <w:sz w:val="12"/>
        </w:rPr>
        <w:t> </w:t>
      </w:r>
      <w:r>
        <w:rPr>
          <w:w w:val="110"/>
          <w:sz w:val="12"/>
        </w:rPr>
        <w:t>United</w:t>
      </w:r>
      <w:r>
        <w:rPr>
          <w:spacing w:val="-8"/>
          <w:w w:val="110"/>
          <w:sz w:val="12"/>
        </w:rPr>
        <w:t> </w:t>
      </w:r>
      <w:r>
        <w:rPr>
          <w:w w:val="110"/>
          <w:sz w:val="12"/>
        </w:rPr>
        <w:t>Kingdom</w:t>
      </w:r>
      <w:r>
        <w:rPr>
          <w:spacing w:val="-9"/>
          <w:w w:val="110"/>
          <w:sz w:val="12"/>
        </w:rPr>
        <w:t> </w:t>
      </w:r>
      <w:r>
        <w:rPr>
          <w:spacing w:val="-7"/>
          <w:w w:val="110"/>
          <w:sz w:val="12"/>
        </w:rPr>
        <w:t>(a) </w:t>
      </w:r>
      <w:r>
        <w:rPr>
          <w:w w:val="110"/>
          <w:sz w:val="12"/>
        </w:rPr>
        <w:t>(right-hand</w:t>
      </w:r>
      <w:r>
        <w:rPr>
          <w:spacing w:val="-4"/>
          <w:w w:val="110"/>
          <w:sz w:val="12"/>
        </w:rPr>
        <w:t> </w:t>
      </w:r>
      <w:r>
        <w:rPr>
          <w:w w:val="110"/>
          <w:sz w:val="12"/>
        </w:rPr>
        <w:t>scale)</w:t>
      </w:r>
    </w:p>
    <w:p>
      <w:pPr>
        <w:pStyle w:val="BodyText"/>
        <w:spacing w:before="10"/>
        <w:rPr>
          <w:sz w:val="16"/>
        </w:rPr>
      </w:pPr>
      <w:r>
        <w:rPr/>
        <w:br w:type="column"/>
      </w:r>
      <w:r>
        <w:rPr>
          <w:sz w:val="16"/>
        </w:rPr>
      </w:r>
    </w:p>
    <w:p>
      <w:pPr>
        <w:spacing w:before="0"/>
        <w:ind w:left="156" w:right="0" w:firstLine="0"/>
        <w:jc w:val="left"/>
        <w:rPr>
          <w:sz w:val="12"/>
        </w:rPr>
      </w:pPr>
      <w:r>
        <w:rPr>
          <w:w w:val="115"/>
          <w:sz w:val="12"/>
        </w:rPr>
        <w:t>1.10</w:t>
      </w:r>
    </w:p>
    <w:p>
      <w:pPr>
        <w:pStyle w:val="BodyText"/>
        <w:rPr>
          <w:sz w:val="12"/>
        </w:rPr>
      </w:pPr>
    </w:p>
    <w:p>
      <w:pPr>
        <w:pStyle w:val="BodyText"/>
        <w:rPr>
          <w:sz w:val="12"/>
        </w:rPr>
      </w:pPr>
    </w:p>
    <w:p>
      <w:pPr>
        <w:pStyle w:val="BodyText"/>
        <w:spacing w:before="11"/>
        <w:rPr>
          <w:sz w:val="13"/>
        </w:rPr>
      </w:pPr>
    </w:p>
    <w:p>
      <w:pPr>
        <w:spacing w:before="0"/>
        <w:ind w:left="156" w:right="0" w:firstLine="0"/>
        <w:jc w:val="left"/>
        <w:rPr>
          <w:sz w:val="12"/>
        </w:rPr>
      </w:pPr>
      <w:r>
        <w:rPr>
          <w:w w:val="115"/>
          <w:sz w:val="12"/>
        </w:rPr>
        <w:t>1.05</w:t>
      </w:r>
    </w:p>
    <w:p>
      <w:pPr>
        <w:pStyle w:val="BodyText"/>
        <w:rPr>
          <w:sz w:val="12"/>
        </w:rPr>
      </w:pPr>
    </w:p>
    <w:p>
      <w:pPr>
        <w:pStyle w:val="BodyText"/>
        <w:rPr>
          <w:sz w:val="12"/>
        </w:rPr>
      </w:pPr>
    </w:p>
    <w:p>
      <w:pPr>
        <w:pStyle w:val="BodyText"/>
        <w:spacing w:before="11"/>
        <w:rPr>
          <w:sz w:val="13"/>
        </w:rPr>
      </w:pPr>
    </w:p>
    <w:p>
      <w:pPr>
        <w:spacing w:before="0"/>
        <w:ind w:left="156" w:right="0" w:firstLine="0"/>
        <w:jc w:val="left"/>
        <w:rPr>
          <w:sz w:val="12"/>
        </w:rPr>
      </w:pPr>
      <w:r>
        <w:rPr>
          <w:w w:val="115"/>
          <w:sz w:val="12"/>
        </w:rPr>
        <w:t>1.00</w:t>
      </w:r>
    </w:p>
    <w:p>
      <w:pPr>
        <w:pStyle w:val="BodyText"/>
        <w:spacing w:line="292" w:lineRule="auto"/>
        <w:ind w:left="173" w:right="439"/>
      </w:pPr>
      <w:r>
        <w:rPr/>
        <w:br w:type="column"/>
      </w:r>
      <w:r>
        <w:rPr>
          <w:w w:val="105"/>
        </w:rPr>
        <w:t>United Kingdom will be gradually compressed, as increased competitive pressures erode any unusual profits. Looking forward, lower commodity prices and slower world output growth will tend to be associated with weaker world output prices in local currencies than expected at the time of the November </w:t>
      </w:r>
      <w:r>
        <w:rPr>
          <w:i/>
          <w:w w:val="105"/>
        </w:rPr>
        <w:t>Report</w:t>
      </w:r>
      <w:r>
        <w:rPr>
          <w:w w:val="105"/>
        </w:rPr>
        <w:t>.</w:t>
      </w:r>
    </w:p>
    <w:p>
      <w:pPr>
        <w:spacing w:after="0" w:line="292" w:lineRule="auto"/>
        <w:sectPr>
          <w:type w:val="continuous"/>
          <w:pgSz w:w="11900" w:h="16840"/>
          <w:pgMar w:top="1260" w:bottom="280" w:left="640" w:right="640"/>
          <w:cols w:num="5" w:equalWidth="0">
            <w:col w:w="433" w:space="204"/>
            <w:col w:w="1071" w:space="40"/>
            <w:col w:w="1699" w:space="39"/>
            <w:col w:w="441" w:space="999"/>
            <w:col w:w="5694"/>
          </w:cols>
        </w:sectPr>
      </w:pPr>
    </w:p>
    <w:p>
      <w:pPr>
        <w:spacing w:before="90"/>
        <w:ind w:left="246" w:right="0" w:firstLine="0"/>
        <w:jc w:val="left"/>
        <w:rPr>
          <w:sz w:val="12"/>
        </w:rPr>
      </w:pPr>
      <w:r>
        <w:rPr>
          <w:w w:val="120"/>
          <w:sz w:val="12"/>
        </w:rPr>
        <w:t>90</w:t>
      </w:r>
    </w:p>
    <w:p>
      <w:pPr>
        <w:spacing w:before="6"/>
        <w:ind w:left="3642" w:right="0" w:firstLine="0"/>
        <w:jc w:val="left"/>
        <w:rPr>
          <w:sz w:val="12"/>
        </w:rPr>
      </w:pPr>
      <w:r>
        <w:rPr>
          <w:w w:val="115"/>
          <w:sz w:val="12"/>
        </w:rPr>
        <w:t>0.95</w:t>
      </w:r>
    </w:p>
    <w:p>
      <w:pPr>
        <w:spacing w:before="77"/>
        <w:ind w:left="246" w:right="0" w:firstLine="0"/>
        <w:jc w:val="left"/>
        <w:rPr>
          <w:sz w:val="12"/>
        </w:rPr>
      </w:pPr>
      <w:r>
        <w:rPr>
          <w:w w:val="120"/>
          <w:sz w:val="12"/>
        </w:rPr>
        <w:t>85</w:t>
      </w:r>
    </w:p>
    <w:p>
      <w:pPr>
        <w:pStyle w:val="BodyText"/>
        <w:rPr>
          <w:sz w:val="12"/>
        </w:rPr>
      </w:pPr>
    </w:p>
    <w:p>
      <w:pPr>
        <w:tabs>
          <w:tab w:pos="3602" w:val="left" w:leader="none"/>
        </w:tabs>
        <w:spacing w:line="115" w:lineRule="exact" w:before="83"/>
        <w:ind w:left="206" w:right="0" w:firstLine="0"/>
        <w:jc w:val="center"/>
        <w:rPr>
          <w:sz w:val="12"/>
        </w:rPr>
      </w:pPr>
      <w:r>
        <w:rPr/>
        <w:pict>
          <v:shape style="position:absolute;margin-left:52.932999pt;margin-top:5.005403pt;width:151.6pt;height:3.4pt;mso-position-horizontal-relative:page;mso-position-vertical-relative:paragraph;z-index:-23062016" coordorigin="1059,100" coordsize="3032,68" path="m1059,167l1145,167m1210,167l4090,167m1207,100l1207,167m1671,100l1671,167m2135,100l2135,167m2598,100l2598,167m3062,100l3062,167m3526,100l3526,167m3989,100l3989,167m1439,100l1439,167m1903,100l1903,167m2367,100l2367,167m2830,100l2830,167m3294,100l3294,167m3758,100l3758,167e" filled="false" stroked="true" strokeweight=".5pt" strokecolor="#000000">
            <v:path arrowok="t"/>
            <v:stroke dashstyle="solid"/>
            <w10:wrap type="none"/>
          </v:shape>
        </w:pict>
      </w:r>
      <w:r>
        <w:rPr/>
        <w:pict>
          <v:line style="position:absolute;mso-position-horizontal-relative:page;mso-position-vertical-relative:paragraph;z-index:16268288" from="208.268005pt,8.361403pt" to="212.600005pt,8.361403pt" stroked="true" strokeweight=".5pt" strokecolor="#000000">
            <v:stroke dashstyle="solid"/>
            <w10:wrap type="none"/>
          </v:line>
        </w:pict>
      </w:r>
      <w:r>
        <w:rPr>
          <w:w w:val="120"/>
          <w:sz w:val="12"/>
        </w:rPr>
        <w:t>80</w:t>
        <w:tab/>
        <w:t>0.90</w:t>
      </w:r>
    </w:p>
    <w:p>
      <w:pPr>
        <w:tabs>
          <w:tab w:pos="768" w:val="left" w:leader="none"/>
          <w:tab w:pos="1231" w:val="left" w:leader="none"/>
          <w:tab w:pos="1693" w:val="left" w:leader="none"/>
          <w:tab w:pos="2153" w:val="left" w:leader="none"/>
          <w:tab w:pos="2628" w:val="left" w:leader="none"/>
          <w:tab w:pos="3031" w:val="left" w:leader="none"/>
        </w:tabs>
        <w:spacing w:line="125" w:lineRule="exact" w:before="0"/>
        <w:ind w:left="215" w:right="0" w:firstLine="0"/>
        <w:jc w:val="center"/>
        <w:rPr>
          <w:sz w:val="12"/>
        </w:rPr>
      </w:pPr>
      <w:r>
        <w:rPr>
          <w:w w:val="120"/>
          <w:position w:val="1"/>
          <w:sz w:val="12"/>
        </w:rPr>
        <w:t>1988</w:t>
        <w:tab/>
      </w:r>
      <w:r>
        <w:rPr>
          <w:w w:val="120"/>
          <w:sz w:val="12"/>
        </w:rPr>
        <w:t>90</w:t>
        <w:tab/>
        <w:t>92</w:t>
        <w:tab/>
        <w:t>94</w:t>
        <w:tab/>
        <w:t>96</w:t>
        <w:tab/>
        <w:t>98</w:t>
        <w:tab/>
        <w:t>2000</w:t>
      </w:r>
    </w:p>
    <w:p>
      <w:pPr>
        <w:spacing w:before="96"/>
        <w:ind w:left="202" w:right="0" w:firstLine="0"/>
        <w:jc w:val="left"/>
        <w:rPr>
          <w:sz w:val="12"/>
        </w:rPr>
      </w:pPr>
      <w:r>
        <w:rPr>
          <w:w w:val="105"/>
          <w:sz w:val="12"/>
        </w:rPr>
        <w:t>Sources: ONS and Bank of England.</w:t>
      </w:r>
    </w:p>
    <w:p>
      <w:pPr>
        <w:pStyle w:val="BodyText"/>
        <w:spacing w:before="2"/>
        <w:rPr>
          <w:sz w:val="10"/>
        </w:rPr>
      </w:pPr>
    </w:p>
    <w:p>
      <w:pPr>
        <w:spacing w:line="208" w:lineRule="auto" w:before="0"/>
        <w:ind w:left="442" w:right="94" w:hanging="240"/>
        <w:jc w:val="left"/>
        <w:rPr>
          <w:sz w:val="12"/>
        </w:rPr>
      </w:pPr>
      <w:r>
        <w:rPr>
          <w:w w:val="105"/>
          <w:sz w:val="12"/>
        </w:rPr>
        <w:t>(a)  Estimated as sterling import prices (ie the sterling price of exports to the United Kingdom) divided by average sterling export prices of the major six overseas</w:t>
      </w:r>
      <w:r>
        <w:rPr>
          <w:spacing w:val="-8"/>
          <w:w w:val="105"/>
          <w:sz w:val="12"/>
        </w:rPr>
        <w:t> </w:t>
      </w:r>
      <w:r>
        <w:rPr>
          <w:w w:val="105"/>
          <w:sz w:val="12"/>
        </w:rPr>
        <w:t>economies.</w:t>
      </w:r>
    </w:p>
    <w:p>
      <w:pPr>
        <w:pStyle w:val="Heading3"/>
        <w:numPr>
          <w:ilvl w:val="1"/>
          <w:numId w:val="29"/>
        </w:numPr>
        <w:tabs>
          <w:tab w:pos="802" w:val="left" w:leader="none"/>
          <w:tab w:pos="803" w:val="left" w:leader="none"/>
          <w:tab w:pos="5682" w:val="left" w:leader="none"/>
        </w:tabs>
        <w:spacing w:line="240" w:lineRule="auto" w:before="194" w:after="0"/>
        <w:ind w:left="802" w:right="0" w:hanging="601"/>
        <w:jc w:val="left"/>
        <w:rPr>
          <w:color w:val="89C6DC"/>
          <w:u w:val="none"/>
        </w:rPr>
      </w:pPr>
      <w:r>
        <w:rPr>
          <w:color w:val="89C6DC"/>
          <w:spacing w:val="-1"/>
          <w:w w:val="90"/>
          <w:u w:val="single" w:color="006CB4"/>
        </w:rPr>
        <w:br w:type="column"/>
      </w:r>
      <w:r>
        <w:rPr>
          <w:color w:val="89C6DC"/>
          <w:w w:val="95"/>
          <w:u w:val="single" w:color="006CB4"/>
        </w:rPr>
        <w:t>Costs</w:t>
      </w:r>
      <w:r>
        <w:rPr>
          <w:color w:val="89C6DC"/>
          <w:spacing w:val="-40"/>
          <w:w w:val="95"/>
          <w:u w:val="single" w:color="006CB4"/>
        </w:rPr>
        <w:t> </w:t>
      </w:r>
      <w:r>
        <w:rPr>
          <w:color w:val="89C6DC"/>
          <w:w w:val="95"/>
          <w:u w:val="single" w:color="006CB4"/>
        </w:rPr>
        <w:t>and</w:t>
      </w:r>
      <w:r>
        <w:rPr>
          <w:color w:val="89C6DC"/>
          <w:spacing w:val="-39"/>
          <w:w w:val="95"/>
          <w:u w:val="single" w:color="006CB4"/>
        </w:rPr>
        <w:t> </w:t>
      </w:r>
      <w:r>
        <w:rPr>
          <w:color w:val="89C6DC"/>
          <w:w w:val="95"/>
          <w:u w:val="single" w:color="006CB4"/>
        </w:rPr>
        <w:t>prices</w:t>
      </w:r>
      <w:r>
        <w:rPr>
          <w:color w:val="89C6DC"/>
          <w:spacing w:val="-39"/>
          <w:w w:val="95"/>
          <w:u w:val="single" w:color="006CB4"/>
        </w:rPr>
        <w:t> </w:t>
      </w:r>
      <w:r>
        <w:rPr>
          <w:color w:val="89C6DC"/>
          <w:w w:val="95"/>
          <w:u w:val="single" w:color="006CB4"/>
        </w:rPr>
        <w:t>in</w:t>
      </w:r>
      <w:r>
        <w:rPr>
          <w:color w:val="89C6DC"/>
          <w:spacing w:val="-39"/>
          <w:w w:val="95"/>
          <w:u w:val="single" w:color="006CB4"/>
        </w:rPr>
        <w:t> </w:t>
      </w:r>
      <w:r>
        <w:rPr>
          <w:color w:val="89C6DC"/>
          <w:w w:val="95"/>
          <w:u w:val="single" w:color="006CB4"/>
        </w:rPr>
        <w:t>manufacturing</w:t>
      </w:r>
      <w:r>
        <w:rPr>
          <w:color w:val="89C6DC"/>
          <w:u w:val="single" w:color="006CB4"/>
        </w:rPr>
        <w:tab/>
      </w:r>
    </w:p>
    <w:p>
      <w:pPr>
        <w:pStyle w:val="BodyText"/>
        <w:spacing w:before="9"/>
        <w:rPr>
          <w:rFonts w:ascii="Trebuchet MS"/>
          <w:b/>
          <w:sz w:val="26"/>
        </w:rPr>
      </w:pPr>
    </w:p>
    <w:p>
      <w:pPr>
        <w:pStyle w:val="BodyText"/>
        <w:spacing w:line="292" w:lineRule="auto"/>
        <w:ind w:left="322" w:right="331"/>
      </w:pPr>
      <w:r>
        <w:rPr>
          <w:w w:val="110"/>
        </w:rPr>
        <w:t>Developments</w:t>
      </w:r>
      <w:r>
        <w:rPr>
          <w:spacing w:val="-25"/>
          <w:w w:val="110"/>
        </w:rPr>
        <w:t> </w:t>
      </w:r>
      <w:r>
        <w:rPr>
          <w:w w:val="110"/>
        </w:rPr>
        <w:t>in</w:t>
      </w:r>
      <w:r>
        <w:rPr>
          <w:spacing w:val="-24"/>
          <w:w w:val="110"/>
        </w:rPr>
        <w:t> </w:t>
      </w:r>
      <w:r>
        <w:rPr>
          <w:w w:val="110"/>
        </w:rPr>
        <w:t>manufacturing</w:t>
      </w:r>
      <w:r>
        <w:rPr>
          <w:spacing w:val="-24"/>
          <w:w w:val="110"/>
        </w:rPr>
        <w:t> </w:t>
      </w:r>
      <w:r>
        <w:rPr>
          <w:w w:val="110"/>
        </w:rPr>
        <w:t>output</w:t>
      </w:r>
      <w:r>
        <w:rPr>
          <w:spacing w:val="-25"/>
          <w:w w:val="110"/>
        </w:rPr>
        <w:t> </w:t>
      </w:r>
      <w:r>
        <w:rPr>
          <w:w w:val="110"/>
        </w:rPr>
        <w:t>prices</w:t>
      </w:r>
      <w:r>
        <w:rPr>
          <w:spacing w:val="-24"/>
          <w:w w:val="110"/>
        </w:rPr>
        <w:t> </w:t>
      </w:r>
      <w:r>
        <w:rPr>
          <w:spacing w:val="-3"/>
          <w:w w:val="110"/>
        </w:rPr>
        <w:t>may</w:t>
      </w:r>
      <w:r>
        <w:rPr>
          <w:spacing w:val="-24"/>
          <w:w w:val="110"/>
        </w:rPr>
        <w:t> </w:t>
      </w:r>
      <w:r>
        <w:rPr>
          <w:w w:val="110"/>
        </w:rPr>
        <w:t>contain information</w:t>
      </w:r>
      <w:r>
        <w:rPr>
          <w:spacing w:val="-9"/>
          <w:w w:val="110"/>
        </w:rPr>
        <w:t> </w:t>
      </w:r>
      <w:r>
        <w:rPr>
          <w:w w:val="110"/>
        </w:rPr>
        <w:t>about</w:t>
      </w:r>
      <w:r>
        <w:rPr>
          <w:spacing w:val="-9"/>
          <w:w w:val="110"/>
        </w:rPr>
        <w:t> </w:t>
      </w:r>
      <w:r>
        <w:rPr>
          <w:spacing w:val="-3"/>
          <w:w w:val="110"/>
        </w:rPr>
        <w:t>pressures</w:t>
      </w:r>
      <w:r>
        <w:rPr>
          <w:spacing w:val="-9"/>
          <w:w w:val="110"/>
        </w:rPr>
        <w:t> </w:t>
      </w:r>
      <w:r>
        <w:rPr>
          <w:w w:val="110"/>
        </w:rPr>
        <w:t>on</w:t>
      </w:r>
      <w:r>
        <w:rPr>
          <w:spacing w:val="-9"/>
          <w:w w:val="110"/>
        </w:rPr>
        <w:t> </w:t>
      </w:r>
      <w:r>
        <w:rPr>
          <w:w w:val="110"/>
        </w:rPr>
        <w:t>retail</w:t>
      </w:r>
      <w:r>
        <w:rPr>
          <w:spacing w:val="-9"/>
          <w:w w:val="110"/>
        </w:rPr>
        <w:t> </w:t>
      </w:r>
      <w:r>
        <w:rPr>
          <w:w w:val="110"/>
        </w:rPr>
        <w:t>goods</w:t>
      </w:r>
      <w:r>
        <w:rPr>
          <w:spacing w:val="-8"/>
          <w:w w:val="110"/>
        </w:rPr>
        <w:t> </w:t>
      </w:r>
      <w:r>
        <w:rPr>
          <w:w w:val="110"/>
        </w:rPr>
        <w:t>prices.</w:t>
      </w:r>
    </w:p>
    <w:p>
      <w:pPr>
        <w:pStyle w:val="BodyText"/>
        <w:spacing w:line="292" w:lineRule="auto"/>
        <w:ind w:left="322" w:right="331"/>
      </w:pPr>
      <w:r>
        <w:rPr>
          <w:w w:val="105"/>
        </w:rPr>
        <w:t>Manufacturing output prices are in turn affected </w:t>
      </w:r>
      <w:r>
        <w:rPr>
          <w:spacing w:val="-3"/>
          <w:w w:val="105"/>
        </w:rPr>
        <w:t>by </w:t>
      </w:r>
      <w:r>
        <w:rPr>
          <w:w w:val="105"/>
        </w:rPr>
        <w:t>developments in manufacturers’ costs. Manufacturers’ </w:t>
      </w:r>
      <w:r>
        <w:rPr>
          <w:spacing w:val="-3"/>
          <w:w w:val="105"/>
        </w:rPr>
        <w:t>profitability </w:t>
      </w:r>
      <w:r>
        <w:rPr>
          <w:w w:val="105"/>
        </w:rPr>
        <w:t>varies when prices change at different </w:t>
      </w:r>
      <w:r>
        <w:rPr>
          <w:spacing w:val="-4"/>
          <w:w w:val="105"/>
        </w:rPr>
        <w:t>rates to </w:t>
      </w:r>
      <w:r>
        <w:rPr>
          <w:w w:val="105"/>
        </w:rPr>
        <w:t>costs, although the </w:t>
      </w:r>
      <w:r>
        <w:rPr>
          <w:spacing w:val="-3"/>
          <w:w w:val="105"/>
        </w:rPr>
        <w:t>extent </w:t>
      </w:r>
      <w:r>
        <w:rPr>
          <w:spacing w:val="-4"/>
          <w:w w:val="105"/>
        </w:rPr>
        <w:t>to </w:t>
      </w:r>
      <w:r>
        <w:rPr>
          <w:w w:val="105"/>
        </w:rPr>
        <w:t>which firms can determine their output prices depends on the </w:t>
      </w:r>
      <w:r>
        <w:rPr>
          <w:spacing w:val="-3"/>
          <w:w w:val="105"/>
        </w:rPr>
        <w:t>extent </w:t>
      </w:r>
      <w:r>
        <w:rPr>
          <w:w w:val="105"/>
        </w:rPr>
        <w:t>of competitive </w:t>
      </w:r>
      <w:r>
        <w:rPr>
          <w:spacing w:val="-3"/>
          <w:w w:val="105"/>
        </w:rPr>
        <w:t>pressures </w:t>
      </w:r>
      <w:r>
        <w:rPr>
          <w:w w:val="105"/>
        </w:rPr>
        <w:t>in the markets for their products. </w:t>
      </w:r>
      <w:r>
        <w:rPr>
          <w:spacing w:val="-3"/>
          <w:w w:val="105"/>
        </w:rPr>
        <w:t>Moreover, </w:t>
      </w:r>
      <w:r>
        <w:rPr>
          <w:w w:val="105"/>
        </w:rPr>
        <w:t>firms </w:t>
      </w:r>
      <w:r>
        <w:rPr>
          <w:spacing w:val="-3"/>
          <w:w w:val="105"/>
        </w:rPr>
        <w:t>may</w:t>
      </w:r>
      <w:r>
        <w:rPr>
          <w:spacing w:val="31"/>
          <w:w w:val="105"/>
        </w:rPr>
        <w:t> </w:t>
      </w:r>
      <w:r>
        <w:rPr>
          <w:w w:val="105"/>
        </w:rPr>
        <w:t>not</w:t>
      </w:r>
    </w:p>
    <w:p>
      <w:pPr>
        <w:spacing w:after="0" w:line="292" w:lineRule="auto"/>
        <w:sectPr>
          <w:type w:val="continuous"/>
          <w:pgSz w:w="11900" w:h="16840"/>
          <w:pgMar w:top="1260" w:bottom="280" w:left="640" w:right="640"/>
          <w:cols w:num="2" w:equalWidth="0">
            <w:col w:w="3928" w:space="850"/>
            <w:col w:w="5842"/>
          </w:cols>
        </w:sectPr>
      </w:pPr>
    </w:p>
    <w:p>
      <w:pPr>
        <w:pStyle w:val="BodyText"/>
        <w:spacing w:before="3"/>
        <w:rPr>
          <w:sz w:val="22"/>
        </w:rPr>
      </w:pPr>
    </w:p>
    <w:p>
      <w:pPr>
        <w:pStyle w:val="BodyText"/>
        <w:spacing w:line="20" w:lineRule="exact"/>
        <w:ind w:left="4939"/>
        <w:rPr>
          <w:sz w:val="2"/>
        </w:rPr>
      </w:pPr>
      <w:r>
        <w:rPr>
          <w:sz w:val="2"/>
        </w:rPr>
        <w:pict>
          <v:group style="width:276.75pt;height:.15pt;mso-position-horizontal-relative:char;mso-position-vertical-relative:line" coordorigin="0,0" coordsize="5535,3">
            <v:line style="position:absolute" from="0,1" to="5535,1" stroked="true" strokeweight=".125pt" strokecolor="#006cb4">
              <v:stroke dashstyle="solid"/>
            </v:line>
          </v:group>
        </w:pict>
      </w:r>
      <w:r>
        <w:rPr>
          <w:sz w:val="2"/>
        </w:rPr>
      </w:r>
    </w:p>
    <w:p>
      <w:pPr>
        <w:pStyle w:val="ListParagraph"/>
        <w:numPr>
          <w:ilvl w:val="2"/>
          <w:numId w:val="29"/>
        </w:numPr>
        <w:tabs>
          <w:tab w:pos="5201" w:val="left" w:leader="none"/>
        </w:tabs>
        <w:spacing w:line="240" w:lineRule="auto" w:before="20" w:after="0"/>
        <w:ind w:left="5200" w:right="683" w:hanging="240"/>
        <w:jc w:val="left"/>
        <w:rPr>
          <w:sz w:val="14"/>
        </w:rPr>
      </w:pPr>
      <w:r>
        <w:rPr>
          <w:w w:val="110"/>
          <w:sz w:val="14"/>
        </w:rPr>
        <w:t>These </w:t>
      </w:r>
      <w:r>
        <w:rPr>
          <w:spacing w:val="-3"/>
          <w:w w:val="110"/>
          <w:sz w:val="14"/>
        </w:rPr>
        <w:t>rates </w:t>
      </w:r>
      <w:r>
        <w:rPr>
          <w:w w:val="110"/>
          <w:sz w:val="14"/>
        </w:rPr>
        <w:t>of change are based on data in the Q3 National Accounts. Data subsequently released, which revised some of the components, give slightly different</w:t>
      </w:r>
      <w:r>
        <w:rPr>
          <w:spacing w:val="-11"/>
          <w:w w:val="110"/>
          <w:sz w:val="14"/>
        </w:rPr>
        <w:t> </w:t>
      </w:r>
      <w:r>
        <w:rPr>
          <w:spacing w:val="-3"/>
          <w:w w:val="110"/>
          <w:sz w:val="14"/>
        </w:rPr>
        <w:t>rates</w:t>
      </w:r>
      <w:r>
        <w:rPr>
          <w:spacing w:val="-11"/>
          <w:w w:val="110"/>
          <w:sz w:val="14"/>
        </w:rPr>
        <w:t> </w:t>
      </w:r>
      <w:r>
        <w:rPr>
          <w:w w:val="110"/>
          <w:sz w:val="14"/>
        </w:rPr>
        <w:t>of</w:t>
      </w:r>
      <w:r>
        <w:rPr>
          <w:spacing w:val="-10"/>
          <w:w w:val="110"/>
          <w:sz w:val="14"/>
        </w:rPr>
        <w:t> </w:t>
      </w:r>
      <w:r>
        <w:rPr>
          <w:w w:val="110"/>
          <w:sz w:val="14"/>
        </w:rPr>
        <w:t>change.</w:t>
      </w:r>
      <w:r>
        <w:rPr>
          <w:spacing w:val="17"/>
          <w:w w:val="110"/>
          <w:sz w:val="14"/>
        </w:rPr>
        <w:t> </w:t>
      </w:r>
      <w:r>
        <w:rPr>
          <w:w w:val="110"/>
          <w:sz w:val="14"/>
        </w:rPr>
        <w:t>But</w:t>
      </w:r>
      <w:r>
        <w:rPr>
          <w:spacing w:val="-11"/>
          <w:w w:val="110"/>
          <w:sz w:val="14"/>
        </w:rPr>
        <w:t> </w:t>
      </w:r>
      <w:r>
        <w:rPr>
          <w:w w:val="110"/>
          <w:sz w:val="14"/>
        </w:rPr>
        <w:t>these</w:t>
      </w:r>
      <w:r>
        <w:rPr>
          <w:spacing w:val="-11"/>
          <w:w w:val="110"/>
          <w:sz w:val="14"/>
        </w:rPr>
        <w:t> </w:t>
      </w:r>
      <w:r>
        <w:rPr>
          <w:w w:val="110"/>
          <w:sz w:val="14"/>
        </w:rPr>
        <w:t>are</w:t>
      </w:r>
      <w:r>
        <w:rPr>
          <w:spacing w:val="-10"/>
          <w:w w:val="110"/>
          <w:sz w:val="14"/>
        </w:rPr>
        <w:t> </w:t>
      </w:r>
      <w:r>
        <w:rPr>
          <w:w w:val="110"/>
          <w:sz w:val="14"/>
        </w:rPr>
        <w:t>subject</w:t>
      </w:r>
      <w:r>
        <w:rPr>
          <w:spacing w:val="-11"/>
          <w:w w:val="110"/>
          <w:sz w:val="14"/>
        </w:rPr>
        <w:t> </w:t>
      </w:r>
      <w:r>
        <w:rPr>
          <w:spacing w:val="-3"/>
          <w:w w:val="110"/>
          <w:sz w:val="14"/>
        </w:rPr>
        <w:t>to</w:t>
      </w:r>
      <w:r>
        <w:rPr>
          <w:spacing w:val="-11"/>
          <w:w w:val="110"/>
          <w:sz w:val="14"/>
        </w:rPr>
        <w:t> </w:t>
      </w:r>
      <w:r>
        <w:rPr>
          <w:w w:val="110"/>
          <w:sz w:val="14"/>
        </w:rPr>
        <w:t>further</w:t>
      </w:r>
      <w:r>
        <w:rPr>
          <w:spacing w:val="-10"/>
          <w:w w:val="110"/>
          <w:sz w:val="14"/>
        </w:rPr>
        <w:t> </w:t>
      </w:r>
      <w:r>
        <w:rPr>
          <w:w w:val="110"/>
          <w:sz w:val="14"/>
        </w:rPr>
        <w:t>revisions</w:t>
      </w:r>
      <w:r>
        <w:rPr>
          <w:spacing w:val="-11"/>
          <w:w w:val="110"/>
          <w:sz w:val="14"/>
        </w:rPr>
        <w:t> </w:t>
      </w:r>
      <w:r>
        <w:rPr>
          <w:w w:val="110"/>
          <w:sz w:val="14"/>
        </w:rPr>
        <w:t>and</w:t>
      </w:r>
      <w:r>
        <w:rPr>
          <w:spacing w:val="-11"/>
          <w:w w:val="110"/>
          <w:sz w:val="14"/>
        </w:rPr>
        <w:t> </w:t>
      </w:r>
      <w:r>
        <w:rPr>
          <w:w w:val="110"/>
          <w:sz w:val="14"/>
        </w:rPr>
        <w:t>are</w:t>
      </w:r>
      <w:r>
        <w:rPr>
          <w:spacing w:val="-10"/>
          <w:w w:val="110"/>
          <w:sz w:val="14"/>
        </w:rPr>
        <w:t> </w:t>
      </w:r>
      <w:r>
        <w:rPr>
          <w:w w:val="110"/>
          <w:sz w:val="14"/>
        </w:rPr>
        <w:t>less comparable</w:t>
      </w:r>
      <w:r>
        <w:rPr>
          <w:spacing w:val="-6"/>
          <w:w w:val="110"/>
          <w:sz w:val="14"/>
        </w:rPr>
        <w:t> </w:t>
      </w:r>
      <w:r>
        <w:rPr>
          <w:w w:val="110"/>
          <w:sz w:val="14"/>
        </w:rPr>
        <w:t>with</w:t>
      </w:r>
      <w:r>
        <w:rPr>
          <w:spacing w:val="-6"/>
          <w:w w:val="110"/>
          <w:sz w:val="14"/>
        </w:rPr>
        <w:t> </w:t>
      </w:r>
      <w:r>
        <w:rPr>
          <w:w w:val="110"/>
          <w:sz w:val="14"/>
        </w:rPr>
        <w:t>the</w:t>
      </w:r>
      <w:r>
        <w:rPr>
          <w:spacing w:val="-5"/>
          <w:w w:val="110"/>
          <w:sz w:val="14"/>
        </w:rPr>
        <w:t> </w:t>
      </w:r>
      <w:r>
        <w:rPr>
          <w:w w:val="110"/>
          <w:sz w:val="14"/>
        </w:rPr>
        <w:t>deflators</w:t>
      </w:r>
      <w:r>
        <w:rPr>
          <w:spacing w:val="-6"/>
          <w:w w:val="110"/>
          <w:sz w:val="14"/>
        </w:rPr>
        <w:t> </w:t>
      </w:r>
      <w:r>
        <w:rPr>
          <w:w w:val="110"/>
          <w:sz w:val="14"/>
        </w:rPr>
        <w:t>discussed</w:t>
      </w:r>
      <w:r>
        <w:rPr>
          <w:spacing w:val="-5"/>
          <w:w w:val="110"/>
          <w:sz w:val="14"/>
        </w:rPr>
        <w:t> </w:t>
      </w:r>
      <w:hyperlink w:history="true" w:anchor="_bookmark42">
        <w:r>
          <w:rPr>
            <w:w w:val="110"/>
            <w:sz w:val="14"/>
          </w:rPr>
          <w:t>in</w:t>
        </w:r>
        <w:r>
          <w:rPr>
            <w:spacing w:val="-6"/>
            <w:w w:val="110"/>
            <w:sz w:val="14"/>
          </w:rPr>
          <w:t> </w:t>
        </w:r>
        <w:r>
          <w:rPr>
            <w:color w:val="FF0000"/>
            <w:w w:val="110"/>
            <w:sz w:val="14"/>
          </w:rPr>
          <w:t>Section</w:t>
        </w:r>
        <w:r>
          <w:rPr>
            <w:color w:val="FF0000"/>
            <w:spacing w:val="-5"/>
            <w:w w:val="110"/>
            <w:sz w:val="14"/>
          </w:rPr>
          <w:t> </w:t>
        </w:r>
        <w:r>
          <w:rPr>
            <w:color w:val="FF0000"/>
            <w:w w:val="110"/>
            <w:sz w:val="14"/>
          </w:rPr>
          <w:t>4.6</w:t>
        </w:r>
        <w:r>
          <w:rPr>
            <w:w w:val="110"/>
            <w:sz w:val="14"/>
          </w:rPr>
          <w:t>.</w:t>
        </w:r>
      </w:hyperlink>
    </w:p>
    <w:p>
      <w:pPr>
        <w:spacing w:after="0" w:line="240" w:lineRule="auto"/>
        <w:jc w:val="left"/>
        <w:rPr>
          <w:sz w:val="14"/>
        </w:rPr>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spacing w:before="9"/>
        <w:rPr>
          <w:sz w:val="22"/>
        </w:rPr>
      </w:pPr>
    </w:p>
    <w:p>
      <w:pPr>
        <w:pStyle w:val="Heading6"/>
        <w:spacing w:line="247" w:lineRule="auto"/>
        <w:ind w:left="175"/>
      </w:pPr>
      <w:r>
        <w:rPr>
          <w:color w:val="89C6DC"/>
        </w:rPr>
        <w:t>Chart 4.6 </w:t>
      </w:r>
      <w:r>
        <w:rPr>
          <w:color w:val="89C6DC"/>
          <w:w w:val="90"/>
        </w:rPr>
        <w:t>Manufacturing costs</w:t>
      </w:r>
    </w:p>
    <w:p>
      <w:pPr>
        <w:pStyle w:val="BodyText"/>
        <w:spacing w:before="4"/>
        <w:rPr>
          <w:rFonts w:ascii="Trebuchet MS"/>
          <w:b/>
          <w:sz w:val="19"/>
        </w:rPr>
      </w:pPr>
      <w:r>
        <w:rPr/>
        <w:br w:type="column"/>
      </w:r>
      <w:r>
        <w:rPr>
          <w:rFonts w:ascii="Trebuchet MS"/>
          <w:b/>
          <w:sz w:val="19"/>
        </w:rPr>
      </w:r>
    </w:p>
    <w:p>
      <w:pPr>
        <w:pStyle w:val="BodyText"/>
        <w:spacing w:line="292" w:lineRule="auto"/>
        <w:ind w:left="175" w:right="205"/>
      </w:pPr>
      <w:r>
        <w:rPr>
          <w:w w:val="110"/>
        </w:rPr>
        <w:t>pass on cost increases they perceive </w:t>
      </w:r>
      <w:r>
        <w:rPr>
          <w:spacing w:val="-4"/>
          <w:w w:val="110"/>
        </w:rPr>
        <w:t>to </w:t>
      </w:r>
      <w:r>
        <w:rPr>
          <w:w w:val="110"/>
        </w:rPr>
        <w:t>be temporary—either because</w:t>
      </w:r>
      <w:r>
        <w:rPr>
          <w:spacing w:val="-15"/>
          <w:w w:val="110"/>
        </w:rPr>
        <w:t> </w:t>
      </w:r>
      <w:r>
        <w:rPr>
          <w:w w:val="110"/>
        </w:rPr>
        <w:t>of</w:t>
      </w:r>
      <w:r>
        <w:rPr>
          <w:spacing w:val="-14"/>
          <w:w w:val="110"/>
        </w:rPr>
        <w:t> </w:t>
      </w:r>
      <w:r>
        <w:rPr>
          <w:w w:val="110"/>
        </w:rPr>
        <w:t>costs</w:t>
      </w:r>
      <w:r>
        <w:rPr>
          <w:spacing w:val="-14"/>
          <w:w w:val="110"/>
        </w:rPr>
        <w:t> </w:t>
      </w:r>
      <w:r>
        <w:rPr>
          <w:w w:val="110"/>
        </w:rPr>
        <w:t>of</w:t>
      </w:r>
      <w:r>
        <w:rPr>
          <w:spacing w:val="-14"/>
          <w:w w:val="110"/>
        </w:rPr>
        <w:t> </w:t>
      </w:r>
      <w:r>
        <w:rPr>
          <w:w w:val="110"/>
        </w:rPr>
        <w:t>changing</w:t>
      </w:r>
      <w:r>
        <w:rPr>
          <w:spacing w:val="-14"/>
          <w:w w:val="110"/>
        </w:rPr>
        <w:t> </w:t>
      </w:r>
      <w:r>
        <w:rPr>
          <w:w w:val="110"/>
        </w:rPr>
        <w:t>prices</w:t>
      </w:r>
      <w:r>
        <w:rPr>
          <w:spacing w:val="-14"/>
          <w:w w:val="110"/>
        </w:rPr>
        <w:t> </w:t>
      </w:r>
      <w:r>
        <w:rPr>
          <w:w w:val="110"/>
        </w:rPr>
        <w:t>or</w:t>
      </w:r>
      <w:r>
        <w:rPr>
          <w:spacing w:val="-15"/>
          <w:w w:val="110"/>
        </w:rPr>
        <w:t> </w:t>
      </w:r>
      <w:r>
        <w:rPr>
          <w:w w:val="110"/>
        </w:rPr>
        <w:t>their</w:t>
      </w:r>
      <w:r>
        <w:rPr>
          <w:spacing w:val="-14"/>
          <w:w w:val="110"/>
        </w:rPr>
        <w:t> </w:t>
      </w:r>
      <w:r>
        <w:rPr>
          <w:w w:val="110"/>
        </w:rPr>
        <w:t>desire</w:t>
      </w:r>
      <w:r>
        <w:rPr>
          <w:spacing w:val="-14"/>
          <w:w w:val="110"/>
        </w:rPr>
        <w:t> </w:t>
      </w:r>
      <w:r>
        <w:rPr>
          <w:spacing w:val="-4"/>
          <w:w w:val="110"/>
        </w:rPr>
        <w:t>to</w:t>
      </w:r>
      <w:r>
        <w:rPr>
          <w:spacing w:val="-14"/>
          <w:w w:val="110"/>
        </w:rPr>
        <w:t> </w:t>
      </w:r>
      <w:r>
        <w:rPr>
          <w:w w:val="110"/>
        </w:rPr>
        <w:t>maintain</w:t>
      </w:r>
    </w:p>
    <w:p>
      <w:pPr>
        <w:spacing w:after="0" w:line="292" w:lineRule="auto"/>
        <w:sectPr>
          <w:type w:val="continuous"/>
          <w:pgSz w:w="11900" w:h="16840"/>
          <w:pgMar w:top="1260" w:bottom="280" w:left="640" w:right="640"/>
          <w:cols w:num="2" w:equalWidth="0">
            <w:col w:w="1935" w:space="2970"/>
            <w:col w:w="5715"/>
          </w:cols>
        </w:sectPr>
      </w:pPr>
    </w:p>
    <w:p>
      <w:pPr>
        <w:spacing w:line="107" w:lineRule="exact" w:before="0"/>
        <w:ind w:left="369" w:right="0" w:firstLine="0"/>
        <w:jc w:val="left"/>
        <w:rPr>
          <w:sz w:val="12"/>
        </w:rPr>
      </w:pPr>
      <w:r>
        <w:rPr>
          <w:w w:val="105"/>
          <w:sz w:val="12"/>
        </w:rPr>
        <w:t>Index</w:t>
      </w:r>
    </w:p>
    <w:p>
      <w:pPr>
        <w:spacing w:line="116" w:lineRule="exact" w:before="0"/>
        <w:ind w:left="188" w:right="0" w:firstLine="0"/>
        <w:jc w:val="left"/>
        <w:rPr>
          <w:sz w:val="12"/>
        </w:rPr>
      </w:pPr>
      <w:r>
        <w:rPr/>
        <w:pict>
          <v:group style="position:absolute;margin-left:59.333pt;margin-top:2.256753pt;width:145.7pt;height:129.35pt;mso-position-horizontal-relative:page;mso-position-vertical-relative:paragraph;z-index:16279552" coordorigin="1187,45" coordsize="2914,2587">
            <v:line style="position:absolute" from="1187,1483" to="4080,1483" stroked="true" strokeweight=".5pt" strokecolor="#000000">
              <v:stroke dashstyle="solid"/>
            </v:line>
            <v:shape style="position:absolute;left:1202;top:447;width:523;height:813" coordorigin="1203,448" coordsize="523,813" path="m1203,460l1248,538m1248,538l1280,485m1280,485l1325,448m1325,448l1358,550m1358,550l1403,525m1403,525l1448,638m1448,638l1480,675m1480,675l1525,550m1525,550l1568,753m1568,753l1603,1030m1603,1030l1648,955m1648,955l1680,1170m1680,1170l1725,1260e" filled="false" stroked="true" strokeweight="1pt" strokecolor="#006caa">
              <v:path arrowok="t"/>
              <v:stroke dashstyle="solid"/>
            </v:shape>
            <v:line style="position:absolute" from="1715,1261" to="1778,1261" stroked="true" strokeweight="1.125pt" strokecolor="#006caa">
              <v:stroke dashstyle="solid"/>
            </v:line>
            <v:shape style="position:absolute;left:1767;top:1260;width:923;height:1305" coordorigin="1768,1260" coordsize="923,1305" path="m1768,1260l1803,1360m1803,1360l1845,1590m1845,1590l1880,1728m1880,1728l1925,1780m1925,1780l1968,1805m1968,1805l2003,1843m2003,1843l2045,1665m2045,1665l2080,1843m2080,1843l2125,1930m2125,1930l2168,1983m2168,1983l2203,2095m2203,2095l2245,2298m2245,2298l2290,2565m2290,2565l2323,2363m2323,2363l2368,2338m2368,2338l2403,2273m2403,2273l2445,2198m2445,2198l2490,2285m2490,2285l2523,2325m2523,2325l2568,2298m2568,2298l2600,2363m2600,2363l2645,2450m2645,2450l2690,2400e" filled="false" stroked="true" strokeweight="1pt" strokecolor="#006caa">
              <v:path arrowok="t"/>
              <v:stroke dashstyle="solid"/>
            </v:shape>
            <v:line style="position:absolute" from="2680,2401" to="2733,2401" stroked="true" strokeweight="1.125pt" strokecolor="#006caa">
              <v:stroke dashstyle="solid"/>
            </v:line>
            <v:shape style="position:absolute;left:2722;top:2222;width:123;height:178" coordorigin="2723,2223" coordsize="123,178" path="m2723,2400l2768,2285m2768,2285l2800,2223m2800,2223l2845,2313e" filled="false" stroked="true" strokeweight="1pt" strokecolor="#006caa">
              <v:path arrowok="t"/>
              <v:stroke dashstyle="solid"/>
            </v:shape>
            <v:line style="position:absolute" from="2835,2314" to="2900,2314" stroked="true" strokeweight="1.125pt" strokecolor="#006caa">
              <v:stroke dashstyle="solid"/>
            </v:line>
            <v:shape style="position:absolute;left:2890;top:2312;width:155;height:178" coordorigin="2890,2313" coordsize="155,178" path="m2890,2313l2923,2425m2923,2425l2968,2463m2968,2463l3013,2490m3013,2490l3045,2338e" filled="false" stroked="true" strokeweight="1pt" strokecolor="#006caa">
              <v:path arrowok="t"/>
              <v:stroke dashstyle="solid"/>
            </v:shape>
            <v:line style="position:absolute" from="3035,2339" to="3100,2339" stroked="true" strokeweight="1.125pt" strokecolor="#006caa">
              <v:stroke dashstyle="solid"/>
            </v:line>
            <v:shape style="position:absolute;left:3090;top:1867;width:123;height:470" coordorigin="3090,1868" coordsize="123,470" path="m3090,2338l3123,2148m3123,2148l3168,2095m3168,2095l3213,1868e" filled="false" stroked="true" strokeweight="1pt" strokecolor="#006caa">
              <v:path arrowok="t"/>
              <v:stroke dashstyle="solid"/>
            </v:shape>
            <v:line style="position:absolute" from="3229,1515" to="3229,1878" stroked="true" strokeweight="2.625pt" strokecolor="#006caa">
              <v:stroke dashstyle="solid"/>
            </v:line>
            <v:shape style="position:absolute;left:3245;top:270;width:368;height:1470" coordorigin="3245,270" coordsize="368,1470" path="m3245,1525l3290,1740m3290,1740l3323,1590m3323,1590l3368,1260m3368,1260l3413,1108m3413,1108l3445,943m3445,943l3490,840m3490,840l3523,538m3523,538l3568,270m3568,270l3613,448e" filled="false" stroked="true" strokeweight="1pt" strokecolor="#006caa">
              <v:path arrowok="t"/>
              <v:stroke dashstyle="solid"/>
            </v:shape>
            <v:line style="position:absolute" from="3629,95" to="3629,458" stroked="true" strokeweight="2.625pt" strokecolor="#006caa">
              <v:stroke dashstyle="solid"/>
            </v:line>
            <v:line style="position:absolute" from="3645,105" to="3690,195" stroked="true" strokeweight="1pt" strokecolor="#006caa">
              <v:stroke dashstyle="solid"/>
            </v:line>
            <v:line style="position:absolute" from="3711,185" to="3711,738" stroked="true" strokeweight="3.125pt" strokecolor="#006caa">
              <v:stroke dashstyle="solid"/>
            </v:line>
            <v:line style="position:absolute" from="3750,235" to="3750,738" stroked="true" strokeweight="2.75pt" strokecolor="#006caa">
              <v:stroke dashstyle="solid"/>
            </v:line>
            <v:shape style="position:absolute;left:3757;top:82;width:263;height:350" type="#_x0000_t75" stroked="false">
              <v:imagedata r:id="rId148" o:title=""/>
            </v:shape>
            <v:line style="position:absolute" from="4028,413" to="4028,953" stroked="true" strokeweight="2.75pt" strokecolor="#006caa">
              <v:stroke dashstyle="solid"/>
            </v:line>
            <v:shape style="position:absolute;left:1202;top:827;width:600;height:368" coordorigin="1203,828" coordsize="600,368" path="m1203,1195l1248,1145m1248,1145l1280,1170m1280,1170l1325,993m1325,993l1358,980m1358,980l1403,1108m1403,1108l1448,1005m1448,1005l1480,1120m1480,1120l1525,930m1525,930l1568,840m1568,840l1603,868m1603,868l1648,828m1648,828l1680,1083m1680,1083l1725,943m1725,943l1768,968m1768,968l1803,930e" filled="false" stroked="true" strokeweight="1pt" strokecolor="#00a2a0">
              <v:path arrowok="t"/>
              <v:stroke dashstyle="solid"/>
            </v:shape>
            <v:line style="position:absolute" from="1793,931" to="1855,931" stroked="true" strokeweight="1.125pt" strokecolor="#00a2a0">
              <v:stroke dashstyle="solid"/>
            </v:line>
            <v:shape style="position:absolute;left:1845;top:765;width:800;height:483" coordorigin="1845,765" coordsize="800,483" path="m1845,930l1880,980m1880,980l1925,918m1925,918l1968,765m1968,765l2003,955m2003,955l2045,1030m2045,1030l2080,1045m2080,1045l2125,1120m2125,1120l2168,1145m2168,1145l2203,1235m2203,1235l2245,1158m2245,1158l2290,1208m2290,1208l2323,1095m2323,1095l2368,1045m2368,1045l2403,1248m2403,1248l2445,1183m2445,1183l2490,1145m2490,1145l2523,1120m2523,1120l2568,955m2568,955l2600,1083m2600,1083l2645,853e" filled="false" stroked="true" strokeweight="1pt" strokecolor="#00a2a0">
              <v:path arrowok="t"/>
              <v:stroke dashstyle="solid"/>
            </v:shape>
            <v:line style="position:absolute" from="2635,854" to="2700,854" stroked="true" strokeweight="1.125pt" strokecolor="#00a2a0">
              <v:stroke dashstyle="solid"/>
            </v:line>
            <v:line style="position:absolute" from="2690,853" to="2723,955" stroked="true" strokeweight="1pt" strokecolor="#00a2a0">
              <v:stroke dashstyle="solid"/>
            </v:line>
            <v:line style="position:absolute" from="2713,956" to="2778,956" stroked="true" strokeweight="1.125pt" strokecolor="#00a2a0">
              <v:stroke dashstyle="solid"/>
            </v:line>
            <v:shape style="position:absolute;left:2767;top:942;width:155;height:153" coordorigin="2768,943" coordsize="155,153" path="m2768,955l2800,1045m2800,1045l2845,1095m2845,1095l2890,943m2890,943l2923,1018e" filled="false" stroked="true" strokeweight="1pt" strokecolor="#00a2a0">
              <v:path arrowok="t"/>
              <v:stroke dashstyle="solid"/>
            </v:shape>
            <v:line style="position:absolute" from="2913,1019" to="2978,1019" stroked="true" strokeweight="1.125pt" strokecolor="#00a2a0">
              <v:stroke dashstyle="solid"/>
            </v:line>
            <v:shape style="position:absolute;left:2967;top:1017;width:78;height:190" coordorigin="2968,1018" coordsize="78,190" path="m2968,1018l3013,1058m3013,1058l3045,1208e" filled="false" stroked="true" strokeweight="1pt" strokecolor="#00a2a0">
              <v:path arrowok="t"/>
              <v:stroke dashstyle="solid"/>
            </v:shape>
            <v:line style="position:absolute" from="3035,1209" to="3100,1209" stroked="true" strokeweight="1.125pt" strokecolor="#00a2a0">
              <v:stroke dashstyle="solid"/>
            </v:line>
            <v:shape style="position:absolute;left:3090;top:1207;width:920;height:433" coordorigin="3090,1208" coordsize="920,433" path="m3090,1208l3123,1235m3123,1235l3168,1260m3168,1260l3213,1348m3213,1348l3245,1360m3245,1360l3290,1450m3290,1450l3323,1360m3323,1360l3368,1525m3368,1525l3413,1590m3413,1590l3445,1640m3445,1640l3490,1563m3490,1563l3523,1628m3523,1628l3568,1475m3568,1475l3613,1398m3613,1398l3645,1488m3645,1488l3690,1475m3690,1475l3733,1438m3733,1438l3768,1385m3768,1385l3813,1525m3813,1525l3845,1398m3845,1398l3890,1463m3890,1463l3933,1373m3933,1373l3968,1475m3968,1475l4010,1398e" filled="false" stroked="true" strokeweight="1pt" strokecolor="#00a2a0">
              <v:path arrowok="t"/>
              <v:stroke dashstyle="solid"/>
            </v:shape>
            <v:shape style="position:absolute;left:1202;top:55;width:123;height:280" coordorigin="1203,55" coordsize="123,280" path="m1203,320l1248,335m1248,335l1280,270m1280,270l1325,55e" filled="false" stroked="true" strokeweight="1pt" strokecolor="#f6bd61">
              <v:path arrowok="t"/>
              <v:stroke dashstyle="solid"/>
            </v:shape>
            <v:line style="position:absolute" from="1341,45" to="1341,458" stroked="true" strokeweight="2.625pt" strokecolor="#f6bd61">
              <v:stroke dashstyle="solid"/>
            </v:line>
            <v:shape style="position:absolute;left:1357;top:270;width:90;height:268" coordorigin="1358,270" coordsize="90,268" path="m1358,448l1403,270m1403,270l1448,538e" filled="false" stroked="true" strokeweight="1pt" strokecolor="#f6bd61">
              <v:path arrowok="t"/>
              <v:stroke dashstyle="solid"/>
            </v:shape>
            <v:line style="position:absolute" from="1464,528" to="1464,890" stroked="true" strokeweight="2.625pt" strokecolor="#f6bd61">
              <v:stroke dashstyle="solid"/>
            </v:line>
            <v:shape style="position:absolute;left:1480;top:880;width:245;height:938" coordorigin="1480,880" coordsize="245,938" path="m1480,880l1525,1133m1525,1133l1568,1513m1568,1513l1603,1603m1603,1603l1648,1538m1648,1538l1680,1575m1680,1575l1725,1818e" filled="false" stroked="true" strokeweight="1pt" strokecolor="#f6bd61">
              <v:path arrowok="t"/>
              <v:stroke dashstyle="solid"/>
            </v:shape>
            <v:line style="position:absolute" from="1715,1819" to="1778,1819" stroked="true" strokeweight="1.125pt" strokecolor="#f6bd61">
              <v:stroke dashstyle="solid"/>
            </v:line>
            <v:shape style="position:absolute;left:1767;top:1690;width:1245;height:545" coordorigin="1768,1690" coordsize="1245,545" path="m1768,1818l1803,1843m1803,1843l1845,1818m1845,1818l1880,1958m1880,1958l1925,1995m1925,1995l1968,1945m1968,1945l2003,1880m2003,1880l2045,1843m2045,1843l2080,1945m2080,1945l2125,1905m2125,1905l2168,1918m2168,1918l2203,2008m2203,2008l2245,1930m2245,1930l2290,1905m2290,1905l2323,1970m2323,1970l2368,1793m2368,1793l2403,2033m2403,2033l2445,1983m2445,1983l2490,1945m2490,1945l2523,1855m2523,1855l2568,1780m2568,1780l2600,1753m2600,1753l2645,1868m2645,1868l2690,1740m2690,1740l2723,1843m2723,1843l2768,1893m2768,1893l2800,1843m2800,1843l2845,1690m2845,1690l2890,1918m2890,1918l2923,2083m2923,2083l2968,2108m2968,2108l3013,2235e" filled="false" stroked="true" strokeweight="1pt" strokecolor="#f6bd61">
              <v:path arrowok="t"/>
              <v:stroke dashstyle="solid"/>
            </v:shape>
            <v:line style="position:absolute" from="3003,2236" to="3055,2236" stroked="true" strokeweight="1.125pt" strokecolor="#f6bd61">
              <v:stroke dashstyle="solid"/>
            </v:line>
            <v:shape style="position:absolute;left:3045;top:852;width:845;height:1383" coordorigin="3045,853" coordsize="845,1383" path="m3045,2235l3090,2185m3090,2185l3123,2160m3123,2160l3168,2135m3168,2135l3213,2020m3213,2020l3245,1970m3245,1970l3290,1843m3290,1843l3323,1753m3323,1753l3368,1603m3368,1603l3413,1385m3413,1385l3445,1298m3445,1298l3490,1208m3490,1208l3523,1170m3523,1170l3568,1208m3568,1208l3613,1170m3613,1170l3645,1108m3645,1108l3690,1070m3690,1070l3733,853m3733,853l3768,1070m3768,1070l3813,1108m3813,1108l3845,930m3845,930l3890,1183e" filled="false" stroked="true" strokeweight="1pt" strokecolor="#f6bd61">
              <v:path arrowok="t"/>
              <v:stroke dashstyle="solid"/>
            </v:shape>
            <v:line style="position:absolute" from="3880,1184" to="3943,1184" stroked="true" strokeweight="1.125pt" strokecolor="#f6bd61">
              <v:stroke dashstyle="solid"/>
            </v:line>
            <v:line style="position:absolute" from="3933,1183" to="3968,1208" stroked="true" strokeweight="1pt" strokecolor="#f6bd61">
              <v:stroke dashstyle="solid"/>
            </v:line>
            <v:line style="position:absolute" from="3958,1209" to="4020,1209" stroked="true" strokeweight="1.125pt" strokecolor="#f6bd61">
              <v:stroke dashstyle="solid"/>
            </v:line>
            <v:shape style="position:absolute;left:4010;top:1070;width:80;height:253" coordorigin="4010,1070" coordsize="80,253" path="m4010,1208l4045,1323m4045,1323l4090,1070e" filled="false" stroked="true" strokeweight="1pt" strokecolor="#f6bd61">
              <v:path arrowok="t"/>
              <v:stroke dashstyle="solid"/>
            </v:shape>
            <v:shape style="position:absolute;left:1394;top:150;width:1567;height:704" type="#_x0000_t202" filled="false" stroked="false">
              <v:textbox inset="0,0,0,0">
                <w:txbxContent>
                  <w:p>
                    <w:pPr>
                      <w:spacing w:line="208" w:lineRule="auto" w:before="0"/>
                      <w:ind w:left="60" w:right="233" w:hanging="61"/>
                      <w:jc w:val="left"/>
                      <w:rPr>
                        <w:sz w:val="12"/>
                      </w:rPr>
                    </w:pPr>
                    <w:r>
                      <w:rPr>
                        <w:w w:val="105"/>
                        <w:sz w:val="12"/>
                      </w:rPr>
                      <w:t>CIPS input price index (a) (left-hand scale)</w:t>
                    </w:r>
                  </w:p>
                  <w:p>
                    <w:pPr>
                      <w:spacing w:line="240" w:lineRule="auto" w:before="0"/>
                      <w:rPr>
                        <w:sz w:val="12"/>
                      </w:rPr>
                    </w:pPr>
                  </w:p>
                  <w:p>
                    <w:pPr>
                      <w:spacing w:line="208" w:lineRule="auto" w:before="78"/>
                      <w:ind w:left="625" w:right="3" w:hanging="61"/>
                      <w:jc w:val="left"/>
                      <w:rPr>
                        <w:sz w:val="12"/>
                      </w:rPr>
                    </w:pPr>
                    <w:r>
                      <w:rPr>
                        <w:w w:val="110"/>
                        <w:sz w:val="12"/>
                      </w:rPr>
                      <w:t>Unit wage costs (right-hand scale)</w:t>
                    </w:r>
                  </w:p>
                </w:txbxContent>
              </v:textbox>
              <w10:wrap type="none"/>
            </v:shape>
            <v:shape style="position:absolute;left:3064;top:2391;width:1002;height:241" type="#_x0000_t202" filled="false" stroked="false">
              <v:textbox inset="0,0,0,0">
                <w:txbxContent>
                  <w:p>
                    <w:pPr>
                      <w:spacing w:line="107" w:lineRule="exact" w:before="0"/>
                      <w:ind w:left="0" w:right="0" w:firstLine="0"/>
                      <w:jc w:val="left"/>
                      <w:rPr>
                        <w:sz w:val="12"/>
                      </w:rPr>
                    </w:pPr>
                    <w:r>
                      <w:rPr>
                        <w:w w:val="110"/>
                        <w:sz w:val="12"/>
                      </w:rPr>
                      <w:t>Input prices</w:t>
                    </w:r>
                  </w:p>
                  <w:p>
                    <w:pPr>
                      <w:spacing w:line="129" w:lineRule="exact" w:before="0"/>
                      <w:ind w:left="60" w:right="0" w:firstLine="0"/>
                      <w:jc w:val="left"/>
                      <w:rPr>
                        <w:sz w:val="12"/>
                      </w:rPr>
                    </w:pPr>
                    <w:r>
                      <w:rPr>
                        <w:w w:val="110"/>
                        <w:sz w:val="12"/>
                      </w:rPr>
                      <w:t>(right-hand scale)</w:t>
                    </w:r>
                  </w:p>
                </w:txbxContent>
              </v:textbox>
              <w10:wrap type="none"/>
            </v:shape>
            <w10:wrap type="none"/>
          </v:group>
        </w:pict>
      </w:r>
      <w:r>
        <w:rPr/>
        <w:pict>
          <v:line style="position:absolute;mso-position-horizontal-relative:page;mso-position-vertical-relative:paragraph;z-index:16283136" from="50.491001pt,2.402753pt" to="54.824001pt,2.402753pt" stroked="true" strokeweight=".5pt" strokecolor="#000000">
            <v:stroke dashstyle="solid"/>
            <w10:wrap type="none"/>
          </v:line>
        </w:pict>
      </w:r>
      <w:r>
        <w:rPr>
          <w:w w:val="120"/>
          <w:sz w:val="12"/>
        </w:rPr>
        <w:t>80</w:t>
      </w:r>
    </w:p>
    <w:p>
      <w:pPr>
        <w:spacing w:line="107" w:lineRule="exact" w:before="0"/>
        <w:ind w:left="188" w:right="0" w:firstLine="0"/>
        <w:jc w:val="left"/>
        <w:rPr>
          <w:sz w:val="12"/>
        </w:rPr>
      </w:pPr>
      <w:r>
        <w:rPr/>
        <w:br w:type="column"/>
      </w:r>
      <w:r>
        <w:rPr>
          <w:w w:val="110"/>
          <w:sz w:val="12"/>
        </w:rPr>
        <w:t>Percentage changes on a year earlier</w:t>
      </w:r>
    </w:p>
    <w:p>
      <w:pPr>
        <w:spacing w:line="116" w:lineRule="exact" w:before="0"/>
        <w:ind w:left="2108" w:right="0" w:firstLine="0"/>
        <w:jc w:val="left"/>
        <w:rPr>
          <w:sz w:val="12"/>
        </w:rPr>
      </w:pPr>
      <w:r>
        <w:rPr/>
        <w:pict>
          <v:line style="position:absolute;mso-position-horizontal-relative:page;mso-position-vertical-relative:paragraph;z-index:16286208" from="208.908005pt,2.150295pt" to="213.242005pt,2.150295pt" stroked="true" strokeweight=".5pt" strokecolor="#000000">
            <v:stroke dashstyle="solid"/>
            <w10:wrap type="none"/>
          </v:line>
        </w:pict>
      </w:r>
      <w:r>
        <w:rPr>
          <w:w w:val="120"/>
          <w:sz w:val="12"/>
        </w:rPr>
        <w:t>15</w:t>
      </w:r>
    </w:p>
    <w:p>
      <w:pPr>
        <w:pStyle w:val="BodyText"/>
        <w:spacing w:line="230" w:lineRule="exact"/>
        <w:ind w:left="188"/>
      </w:pPr>
      <w:r>
        <w:rPr/>
        <w:br w:type="column"/>
      </w:r>
      <w:r>
        <w:rPr>
          <w:w w:val="105"/>
        </w:rPr>
        <w:t>long-term relationships with customers.</w:t>
      </w:r>
    </w:p>
    <w:p>
      <w:pPr>
        <w:spacing w:after="0" w:line="230" w:lineRule="exact"/>
        <w:sectPr>
          <w:type w:val="continuous"/>
          <w:pgSz w:w="11900" w:h="16840"/>
          <w:pgMar w:top="1260" w:bottom="280" w:left="640" w:right="640"/>
          <w:cols w:num="3" w:equalWidth="0">
            <w:col w:w="697" w:space="848"/>
            <w:col w:w="2295" w:space="1052"/>
            <w:col w:w="5728"/>
          </w:cols>
        </w:sectPr>
      </w:pPr>
    </w:p>
    <w:p>
      <w:pPr>
        <w:pStyle w:val="BodyText"/>
        <w:spacing w:before="6"/>
        <w:rPr>
          <w:sz w:val="22"/>
        </w:rPr>
      </w:pPr>
    </w:p>
    <w:p>
      <w:pPr>
        <w:spacing w:after="0"/>
        <w:rPr>
          <w:sz w:val="22"/>
        </w:rPr>
        <w:sectPr>
          <w:type w:val="continuous"/>
          <w:pgSz w:w="11900" w:h="16840"/>
          <w:pgMar w:top="1260" w:bottom="280" w:left="640" w:right="640"/>
        </w:sectPr>
      </w:pPr>
    </w:p>
    <w:p>
      <w:pPr>
        <w:spacing w:before="79"/>
        <w:ind w:left="188" w:right="0" w:firstLine="0"/>
        <w:jc w:val="left"/>
        <w:rPr>
          <w:sz w:val="12"/>
        </w:rPr>
      </w:pPr>
      <w:r>
        <w:rPr/>
        <w:pict>
          <v:line style="position:absolute;mso-position-horizontal-relative:page;mso-position-vertical-relative:paragraph;z-index:16280064" from="50.491001pt,7.379076pt" to="54.824001pt,7.379076pt" stroked="true" strokeweight=".5pt" strokecolor="#000000">
            <v:stroke dashstyle="solid"/>
            <w10:wrap type="none"/>
          </v:line>
        </w:pict>
      </w:r>
      <w:r>
        <w:rPr>
          <w:w w:val="120"/>
          <w:sz w:val="12"/>
        </w:rPr>
        <w:t>70</w:t>
      </w:r>
    </w:p>
    <w:p>
      <w:pPr>
        <w:pStyle w:val="BodyText"/>
        <w:rPr>
          <w:sz w:val="12"/>
        </w:rPr>
      </w:pPr>
    </w:p>
    <w:p>
      <w:pPr>
        <w:pStyle w:val="BodyText"/>
        <w:spacing w:before="10"/>
        <w:rPr>
          <w:sz w:val="17"/>
        </w:rPr>
      </w:pPr>
    </w:p>
    <w:p>
      <w:pPr>
        <w:spacing w:before="0"/>
        <w:ind w:left="188" w:right="0" w:firstLine="0"/>
        <w:jc w:val="left"/>
        <w:rPr>
          <w:sz w:val="12"/>
        </w:rPr>
      </w:pPr>
      <w:r>
        <w:rPr/>
        <w:pict>
          <v:line style="position:absolute;mso-position-horizontal-relative:page;mso-position-vertical-relative:paragraph;z-index:16280576" from="50.491001pt,3.369645pt" to="54.824001pt,3.369645pt" stroked="true" strokeweight=".5pt" strokecolor="#000000">
            <v:stroke dashstyle="solid"/>
            <w10:wrap type="none"/>
          </v:line>
        </w:pict>
      </w:r>
      <w:r>
        <w:rPr>
          <w:w w:val="120"/>
          <w:sz w:val="12"/>
        </w:rPr>
        <w:t>60</w:t>
      </w:r>
    </w:p>
    <w:p>
      <w:pPr>
        <w:pStyle w:val="BodyText"/>
        <w:rPr>
          <w:sz w:val="12"/>
        </w:rPr>
      </w:pPr>
    </w:p>
    <w:p>
      <w:pPr>
        <w:pStyle w:val="BodyText"/>
        <w:spacing w:before="2"/>
        <w:rPr>
          <w:sz w:val="16"/>
        </w:rPr>
      </w:pPr>
    </w:p>
    <w:p>
      <w:pPr>
        <w:spacing w:before="0"/>
        <w:ind w:left="188" w:right="0" w:firstLine="0"/>
        <w:jc w:val="left"/>
        <w:rPr>
          <w:sz w:val="12"/>
        </w:rPr>
      </w:pPr>
      <w:r>
        <w:rPr/>
        <w:pict>
          <v:line style="position:absolute;mso-position-horizontal-relative:page;mso-position-vertical-relative:paragraph;z-index:16281088" from="50.491001pt,3.91504pt" to="54.824001pt,3.91504pt" stroked="true" strokeweight=".5pt" strokecolor="#000000">
            <v:stroke dashstyle="solid"/>
            <w10:wrap type="none"/>
          </v:line>
        </w:pict>
      </w:r>
      <w:r>
        <w:rPr>
          <w:w w:val="120"/>
          <w:sz w:val="12"/>
        </w:rPr>
        <w:t>50</w:t>
      </w:r>
    </w:p>
    <w:p>
      <w:pPr>
        <w:pStyle w:val="BodyText"/>
        <w:rPr>
          <w:sz w:val="12"/>
        </w:rPr>
      </w:pPr>
    </w:p>
    <w:p>
      <w:pPr>
        <w:pStyle w:val="BodyText"/>
        <w:rPr>
          <w:sz w:val="12"/>
        </w:rPr>
      </w:pPr>
    </w:p>
    <w:p>
      <w:pPr>
        <w:spacing w:before="88"/>
        <w:ind w:left="188" w:right="0" w:firstLine="0"/>
        <w:jc w:val="left"/>
        <w:rPr>
          <w:sz w:val="12"/>
        </w:rPr>
      </w:pPr>
      <w:r>
        <w:rPr/>
        <w:pict>
          <v:line style="position:absolute;mso-position-horizontal-relative:page;mso-position-vertical-relative:paragraph;z-index:16281600" from="50.491001pt,7.654065pt" to="54.824001pt,7.654065pt" stroked="true" strokeweight=".5pt" strokecolor="#000000">
            <v:stroke dashstyle="solid"/>
            <w10:wrap type="none"/>
          </v:line>
        </w:pict>
      </w:r>
      <w:r>
        <w:rPr>
          <w:w w:val="120"/>
          <w:sz w:val="12"/>
        </w:rPr>
        <w:t>40</w:t>
      </w:r>
    </w:p>
    <w:p>
      <w:pPr>
        <w:pStyle w:val="BodyText"/>
        <w:rPr>
          <w:sz w:val="12"/>
        </w:rPr>
      </w:pPr>
    </w:p>
    <w:p>
      <w:pPr>
        <w:pStyle w:val="BodyText"/>
        <w:spacing w:before="11"/>
        <w:rPr>
          <w:sz w:val="17"/>
        </w:rPr>
      </w:pPr>
    </w:p>
    <w:p>
      <w:pPr>
        <w:spacing w:before="0"/>
        <w:ind w:left="188" w:right="0" w:firstLine="0"/>
        <w:jc w:val="left"/>
        <w:rPr>
          <w:sz w:val="12"/>
        </w:rPr>
      </w:pPr>
      <w:r>
        <w:rPr/>
        <w:pict>
          <v:line style="position:absolute;mso-position-horizontal-relative:page;mso-position-vertical-relative:paragraph;z-index:16282112" from="50.491001pt,3.195244pt" to="54.824001pt,3.195244pt" stroked="true" strokeweight=".5pt" strokecolor="#000000">
            <v:stroke dashstyle="solid"/>
            <w10:wrap type="none"/>
          </v:line>
        </w:pict>
      </w:r>
      <w:r>
        <w:rPr>
          <w:w w:val="120"/>
          <w:sz w:val="12"/>
        </w:rPr>
        <w:t>30</w:t>
      </w:r>
    </w:p>
    <w:p>
      <w:pPr>
        <w:pStyle w:val="BodyText"/>
        <w:rPr>
          <w:sz w:val="12"/>
        </w:rPr>
      </w:pPr>
    </w:p>
    <w:p>
      <w:pPr>
        <w:pStyle w:val="BodyText"/>
        <w:spacing w:before="11"/>
        <w:rPr>
          <w:sz w:val="17"/>
        </w:rPr>
      </w:pPr>
    </w:p>
    <w:p>
      <w:pPr>
        <w:spacing w:line="110" w:lineRule="exact" w:before="0"/>
        <w:ind w:left="188" w:right="0" w:firstLine="0"/>
        <w:jc w:val="left"/>
        <w:rPr>
          <w:sz w:val="12"/>
        </w:rPr>
      </w:pPr>
      <w:r>
        <w:rPr/>
        <w:pict>
          <v:line style="position:absolute;mso-position-horizontal-relative:page;mso-position-vertical-relative:paragraph;z-index:16282624" from="50.491001pt,3.136873pt" to="54.824001pt,3.136873pt" stroked="true" strokeweight=".5pt" strokecolor="#000000">
            <v:stroke dashstyle="solid"/>
            <w10:wrap type="none"/>
          </v:line>
        </w:pict>
      </w:r>
      <w:r>
        <w:rPr/>
        <w:pict>
          <v:shape style="position:absolute;margin-left:59.604pt;margin-top:-.467126pt;width:144.75pt;height:3.4pt;mso-position-horizontal-relative:page;mso-position-vertical-relative:paragraph;z-index:16286720" coordorigin="1192,-9" coordsize="2895,68" path="m1195,58l4086,58m1192,-9l1192,58m1675,-9l1675,58m2157,-9l2157,58m2639,-9l2639,58m3122,-9l3122,58m3604,-9l3604,58m4087,-9l4087,58e" filled="false" stroked="true" strokeweight=".5pt" strokecolor="#000000">
            <v:path arrowok="t"/>
            <v:stroke dashstyle="solid"/>
            <w10:wrap type="none"/>
          </v:shape>
        </w:pict>
      </w:r>
      <w:r>
        <w:rPr>
          <w:w w:val="120"/>
          <w:sz w:val="12"/>
        </w:rPr>
        <w:t>20</w:t>
      </w:r>
    </w:p>
    <w:p>
      <w:pPr>
        <w:tabs>
          <w:tab w:pos="1196" w:val="left" w:leader="none"/>
          <w:tab w:pos="1686" w:val="left" w:leader="none"/>
          <w:tab w:pos="2164" w:val="left" w:leader="none"/>
          <w:tab w:pos="2641" w:val="left" w:leader="none"/>
        </w:tabs>
        <w:spacing w:line="110" w:lineRule="exact" w:before="0"/>
        <w:ind w:left="638" w:right="0" w:firstLine="0"/>
        <w:jc w:val="left"/>
        <w:rPr>
          <w:sz w:val="12"/>
        </w:rPr>
      </w:pPr>
      <w:r>
        <w:rPr>
          <w:w w:val="120"/>
          <w:sz w:val="12"/>
        </w:rPr>
        <w:t>1995</w:t>
        <w:tab/>
        <w:t>96</w:t>
        <w:tab/>
        <w:t>97</w:t>
        <w:tab/>
        <w:t>98</w:t>
        <w:tab/>
      </w:r>
      <w:r>
        <w:rPr>
          <w:spacing w:val="-10"/>
          <w:w w:val="120"/>
          <w:sz w:val="12"/>
        </w:rPr>
        <w:t>99</w:t>
      </w:r>
    </w:p>
    <w:p>
      <w:pPr>
        <w:spacing w:before="79"/>
        <w:ind w:left="0" w:right="38" w:firstLine="0"/>
        <w:jc w:val="right"/>
        <w:rPr>
          <w:sz w:val="12"/>
        </w:rPr>
      </w:pPr>
      <w:r>
        <w:rPr/>
        <w:br w:type="column"/>
      </w:r>
      <w:r>
        <w:rPr>
          <w:w w:val="120"/>
          <w:sz w:val="12"/>
        </w:rPr>
        <w:t>10</w:t>
      </w:r>
    </w:p>
    <w:p>
      <w:pPr>
        <w:pStyle w:val="BodyText"/>
        <w:rPr>
          <w:sz w:val="12"/>
        </w:rPr>
      </w:pPr>
    </w:p>
    <w:p>
      <w:pPr>
        <w:pStyle w:val="BodyText"/>
        <w:spacing w:before="10"/>
        <w:rPr>
          <w:sz w:val="17"/>
        </w:rPr>
      </w:pPr>
    </w:p>
    <w:p>
      <w:pPr>
        <w:spacing w:before="0"/>
        <w:ind w:left="0" w:right="38" w:firstLine="0"/>
        <w:jc w:val="right"/>
        <w:rPr>
          <w:sz w:val="12"/>
        </w:rPr>
      </w:pPr>
      <w:r>
        <w:rPr/>
        <w:pict>
          <v:line style="position:absolute;mso-position-horizontal-relative:page;mso-position-vertical-relative:paragraph;z-index:16283648" from="208.908005pt,-20.925745pt" to="213.242005pt,-20.925745pt" stroked="true" strokeweight=".5pt" strokecolor="#000000">
            <v:stroke dashstyle="solid"/>
            <w10:wrap type="none"/>
          </v:line>
        </w:pict>
      </w:r>
      <w:r>
        <w:rPr/>
        <w:pict>
          <v:line style="position:absolute;mso-position-horizontal-relative:page;mso-position-vertical-relative:paragraph;z-index:16284160" from="208.908005pt,3.120255pt" to="213.242005pt,3.120255pt" stroked="true" strokeweight=".5pt" strokecolor="#000000">
            <v:stroke dashstyle="solid"/>
            <w10:wrap type="none"/>
          </v:line>
        </w:pict>
      </w:r>
      <w:r>
        <w:rPr>
          <w:w w:val="121"/>
          <w:sz w:val="12"/>
        </w:rPr>
        <w:t>5</w:t>
      </w:r>
    </w:p>
    <w:p>
      <w:pPr>
        <w:pStyle w:val="BodyText"/>
        <w:spacing w:before="1"/>
        <w:rPr>
          <w:sz w:val="14"/>
        </w:rPr>
      </w:pPr>
    </w:p>
    <w:p>
      <w:pPr>
        <w:spacing w:line="183" w:lineRule="exact" w:before="0"/>
        <w:ind w:left="764" w:right="0" w:firstLine="0"/>
        <w:jc w:val="left"/>
        <w:rPr>
          <w:sz w:val="16"/>
        </w:rPr>
      </w:pPr>
      <w:r>
        <w:rPr>
          <w:w w:val="107"/>
          <w:sz w:val="16"/>
        </w:rPr>
        <w:t>+</w:t>
      </w:r>
    </w:p>
    <w:p>
      <w:pPr>
        <w:spacing w:line="113" w:lineRule="exact" w:before="0"/>
        <w:ind w:left="865" w:right="0" w:firstLine="0"/>
        <w:jc w:val="left"/>
        <w:rPr>
          <w:sz w:val="12"/>
        </w:rPr>
      </w:pPr>
      <w:r>
        <w:rPr/>
        <w:pict>
          <v:line style="position:absolute;mso-position-horizontal-relative:page;mso-position-vertical-relative:paragraph;z-index:16278016" from="208.908005pt,2.86667pt" to="213.242005pt,2.86667pt" stroked="true" strokeweight=".5pt" strokecolor="#000000">
            <v:stroke dashstyle="solid"/>
            <w10:wrap type="none"/>
          </v:line>
        </w:pict>
      </w:r>
      <w:r>
        <w:rPr>
          <w:w w:val="121"/>
          <w:sz w:val="12"/>
        </w:rPr>
        <w:t>0</w:t>
      </w:r>
    </w:p>
    <w:p>
      <w:pPr>
        <w:spacing w:line="160" w:lineRule="exact" w:before="0"/>
        <w:ind w:left="766" w:right="0" w:firstLine="0"/>
        <w:jc w:val="left"/>
        <w:rPr>
          <w:sz w:val="16"/>
        </w:rPr>
      </w:pPr>
      <w:r>
        <w:rPr>
          <w:w w:val="117"/>
          <w:sz w:val="16"/>
        </w:rPr>
        <w:t>–</w:t>
      </w:r>
    </w:p>
    <w:p>
      <w:pPr>
        <w:pStyle w:val="BodyText"/>
        <w:spacing w:before="1"/>
        <w:rPr>
          <w:sz w:val="18"/>
        </w:rPr>
      </w:pPr>
    </w:p>
    <w:p>
      <w:pPr>
        <w:spacing w:before="0"/>
        <w:ind w:left="0" w:right="38" w:firstLine="0"/>
        <w:jc w:val="right"/>
        <w:rPr>
          <w:sz w:val="12"/>
        </w:rPr>
      </w:pPr>
      <w:r>
        <w:rPr/>
        <w:pict>
          <v:line style="position:absolute;mso-position-horizontal-relative:page;mso-position-vertical-relative:paragraph;z-index:16284672" from="208.908005pt,3.003614pt" to="213.242005pt,3.003614pt" stroked="true" strokeweight=".5pt" strokecolor="#000000">
            <v:stroke dashstyle="solid"/>
            <w10:wrap type="none"/>
          </v:line>
        </w:pict>
      </w:r>
      <w:r>
        <w:rPr>
          <w:w w:val="121"/>
          <w:sz w:val="12"/>
        </w:rPr>
        <w:t>5</w:t>
      </w:r>
    </w:p>
    <w:p>
      <w:pPr>
        <w:pStyle w:val="BodyText"/>
        <w:rPr>
          <w:sz w:val="12"/>
        </w:rPr>
      </w:pPr>
    </w:p>
    <w:p>
      <w:pPr>
        <w:pStyle w:val="BodyText"/>
        <w:spacing w:before="10"/>
        <w:rPr>
          <w:sz w:val="17"/>
        </w:rPr>
      </w:pPr>
    </w:p>
    <w:p>
      <w:pPr>
        <w:spacing w:before="1"/>
        <w:ind w:left="0" w:right="38" w:firstLine="0"/>
        <w:jc w:val="right"/>
        <w:rPr>
          <w:sz w:val="12"/>
        </w:rPr>
      </w:pPr>
      <w:r>
        <w:rPr/>
        <w:pict>
          <v:line style="position:absolute;mso-position-horizontal-relative:page;mso-position-vertical-relative:paragraph;z-index:16285184" from="208.908005pt,2.994122pt" to="213.242005pt,2.994122pt" stroked="true" strokeweight=".5pt" strokecolor="#000000">
            <v:stroke dashstyle="solid"/>
            <w10:wrap type="none"/>
          </v:line>
        </w:pict>
      </w:r>
      <w:r>
        <w:rPr>
          <w:w w:val="120"/>
          <w:sz w:val="12"/>
        </w:rPr>
        <w:t>10</w:t>
      </w:r>
    </w:p>
    <w:p>
      <w:pPr>
        <w:pStyle w:val="BodyText"/>
        <w:rPr>
          <w:sz w:val="12"/>
        </w:rPr>
      </w:pPr>
    </w:p>
    <w:p>
      <w:pPr>
        <w:pStyle w:val="BodyText"/>
        <w:spacing w:before="10"/>
        <w:rPr>
          <w:sz w:val="17"/>
        </w:rPr>
      </w:pPr>
    </w:p>
    <w:p>
      <w:pPr>
        <w:spacing w:line="110" w:lineRule="exact" w:before="0"/>
        <w:ind w:left="792" w:right="0" w:firstLine="0"/>
        <w:jc w:val="left"/>
        <w:rPr>
          <w:sz w:val="12"/>
        </w:rPr>
      </w:pPr>
      <w:r>
        <w:rPr/>
        <w:pict>
          <v:line style="position:absolute;mso-position-horizontal-relative:page;mso-position-vertical-relative:paragraph;z-index:16285696" from="208.908005pt,2.88669pt" to="213.242005pt,2.88669pt" stroked="true" strokeweight=".5pt" strokecolor="#000000">
            <v:stroke dashstyle="solid"/>
            <w10:wrap type="none"/>
          </v:line>
        </w:pict>
      </w:r>
      <w:r>
        <w:rPr>
          <w:w w:val="120"/>
          <w:sz w:val="12"/>
        </w:rPr>
        <w:t>15</w:t>
      </w:r>
    </w:p>
    <w:p>
      <w:pPr>
        <w:spacing w:line="110" w:lineRule="exact" w:before="0"/>
        <w:ind w:left="188" w:right="0" w:firstLine="0"/>
        <w:jc w:val="left"/>
        <w:rPr>
          <w:sz w:val="12"/>
        </w:rPr>
      </w:pPr>
      <w:r>
        <w:rPr>
          <w:w w:val="120"/>
          <w:sz w:val="12"/>
        </w:rPr>
        <w:t>2000 01</w:t>
      </w:r>
    </w:p>
    <w:p>
      <w:pPr>
        <w:pStyle w:val="BodyText"/>
        <w:spacing w:line="292" w:lineRule="auto" w:before="71"/>
        <w:ind w:left="188" w:right="81"/>
      </w:pPr>
      <w:r>
        <w:rPr/>
        <w:br w:type="column"/>
      </w:r>
      <w:r>
        <w:rPr>
          <w:w w:val="110"/>
        </w:rPr>
        <w:t>Materials and fuels are important components of manufacturers’ costs. The annual </w:t>
      </w:r>
      <w:r>
        <w:rPr>
          <w:spacing w:val="-4"/>
          <w:w w:val="110"/>
        </w:rPr>
        <w:t>rate </w:t>
      </w:r>
      <w:r>
        <w:rPr>
          <w:w w:val="110"/>
        </w:rPr>
        <w:t>of increase of manufacturing</w:t>
      </w:r>
      <w:r>
        <w:rPr>
          <w:spacing w:val="-22"/>
          <w:w w:val="110"/>
        </w:rPr>
        <w:t> </w:t>
      </w:r>
      <w:r>
        <w:rPr>
          <w:w w:val="110"/>
        </w:rPr>
        <w:t>materials</w:t>
      </w:r>
      <w:r>
        <w:rPr>
          <w:spacing w:val="-22"/>
          <w:w w:val="110"/>
        </w:rPr>
        <w:t> </w:t>
      </w:r>
      <w:r>
        <w:rPr>
          <w:w w:val="110"/>
        </w:rPr>
        <w:t>and</w:t>
      </w:r>
      <w:r>
        <w:rPr>
          <w:spacing w:val="-22"/>
          <w:w w:val="110"/>
        </w:rPr>
        <w:t> </w:t>
      </w:r>
      <w:r>
        <w:rPr>
          <w:w w:val="110"/>
        </w:rPr>
        <w:t>fuels</w:t>
      </w:r>
      <w:r>
        <w:rPr>
          <w:spacing w:val="-22"/>
          <w:w w:val="110"/>
        </w:rPr>
        <w:t> </w:t>
      </w:r>
      <w:r>
        <w:rPr>
          <w:w w:val="110"/>
        </w:rPr>
        <w:t>input</w:t>
      </w:r>
      <w:r>
        <w:rPr>
          <w:spacing w:val="-22"/>
          <w:w w:val="110"/>
        </w:rPr>
        <w:t> </w:t>
      </w:r>
      <w:r>
        <w:rPr>
          <w:w w:val="110"/>
        </w:rPr>
        <w:t>prices</w:t>
      </w:r>
      <w:r>
        <w:rPr>
          <w:spacing w:val="-22"/>
          <w:w w:val="110"/>
        </w:rPr>
        <w:t> </w:t>
      </w:r>
      <w:r>
        <w:rPr>
          <w:spacing w:val="-2"/>
          <w:w w:val="110"/>
        </w:rPr>
        <w:t>slowed</w:t>
      </w:r>
      <w:r>
        <w:rPr>
          <w:spacing w:val="-22"/>
          <w:w w:val="110"/>
        </w:rPr>
        <w:t> </w:t>
      </w:r>
      <w:r>
        <w:rPr>
          <w:spacing w:val="-4"/>
          <w:w w:val="110"/>
        </w:rPr>
        <w:t>to</w:t>
      </w:r>
      <w:r>
        <w:rPr>
          <w:spacing w:val="-22"/>
          <w:w w:val="110"/>
        </w:rPr>
        <w:t> </w:t>
      </w:r>
      <w:r>
        <w:rPr>
          <w:w w:val="110"/>
        </w:rPr>
        <w:t>5.7% in</w:t>
      </w:r>
      <w:r>
        <w:rPr>
          <w:spacing w:val="-9"/>
          <w:w w:val="110"/>
        </w:rPr>
        <w:t> </w:t>
      </w:r>
      <w:r>
        <w:rPr>
          <w:w w:val="110"/>
        </w:rPr>
        <w:t>December</w:t>
      </w:r>
      <w:r>
        <w:rPr>
          <w:spacing w:val="-9"/>
          <w:w w:val="110"/>
        </w:rPr>
        <w:t> </w:t>
      </w:r>
      <w:r>
        <w:rPr>
          <w:w w:val="110"/>
        </w:rPr>
        <w:t>(see</w:t>
      </w:r>
      <w:r>
        <w:rPr>
          <w:spacing w:val="-9"/>
          <w:w w:val="110"/>
        </w:rPr>
        <w:t> </w:t>
      </w:r>
      <w:r>
        <w:rPr>
          <w:w w:val="110"/>
        </w:rPr>
        <w:t>Chart</w:t>
      </w:r>
      <w:r>
        <w:rPr>
          <w:spacing w:val="-9"/>
          <w:w w:val="110"/>
        </w:rPr>
        <w:t> </w:t>
      </w:r>
      <w:r>
        <w:rPr>
          <w:w w:val="110"/>
        </w:rPr>
        <w:t>4.6),</w:t>
      </w:r>
      <w:r>
        <w:rPr>
          <w:spacing w:val="-9"/>
          <w:w w:val="110"/>
        </w:rPr>
        <w:t> </w:t>
      </w:r>
      <w:r>
        <w:rPr>
          <w:w w:val="110"/>
        </w:rPr>
        <w:t>the</w:t>
      </w:r>
      <w:r>
        <w:rPr>
          <w:spacing w:val="-9"/>
          <w:w w:val="110"/>
        </w:rPr>
        <w:t> </w:t>
      </w:r>
      <w:r>
        <w:rPr>
          <w:w w:val="110"/>
        </w:rPr>
        <w:t>smallest</w:t>
      </w:r>
      <w:r>
        <w:rPr>
          <w:spacing w:val="-9"/>
          <w:w w:val="110"/>
        </w:rPr>
        <w:t> </w:t>
      </w:r>
      <w:r>
        <w:rPr>
          <w:w w:val="110"/>
        </w:rPr>
        <w:t>rise</w:t>
      </w:r>
      <w:r>
        <w:rPr>
          <w:spacing w:val="-9"/>
          <w:w w:val="110"/>
        </w:rPr>
        <w:t> </w:t>
      </w:r>
      <w:r>
        <w:rPr>
          <w:w w:val="110"/>
        </w:rPr>
        <w:t>since</w:t>
      </w:r>
    </w:p>
    <w:p>
      <w:pPr>
        <w:pStyle w:val="BodyText"/>
        <w:spacing w:line="292" w:lineRule="auto"/>
        <w:ind w:left="188" w:right="81"/>
      </w:pPr>
      <w:r>
        <w:rPr>
          <w:w w:val="110"/>
        </w:rPr>
        <w:t>August</w:t>
      </w:r>
      <w:r>
        <w:rPr>
          <w:spacing w:val="-29"/>
          <w:w w:val="110"/>
        </w:rPr>
        <w:t> </w:t>
      </w:r>
      <w:r>
        <w:rPr>
          <w:spacing w:val="-12"/>
          <w:w w:val="110"/>
        </w:rPr>
        <w:t>1999.</w:t>
      </w:r>
      <w:r>
        <w:rPr>
          <w:spacing w:val="-2"/>
          <w:w w:val="110"/>
        </w:rPr>
        <w:t> </w:t>
      </w:r>
      <w:r>
        <w:rPr>
          <w:w w:val="110"/>
        </w:rPr>
        <w:t>That</w:t>
      </w:r>
      <w:r>
        <w:rPr>
          <w:spacing w:val="-29"/>
          <w:w w:val="110"/>
        </w:rPr>
        <w:t> </w:t>
      </w:r>
      <w:r>
        <w:rPr>
          <w:spacing w:val="-3"/>
          <w:w w:val="110"/>
        </w:rPr>
        <w:t>slowdown</w:t>
      </w:r>
      <w:r>
        <w:rPr>
          <w:spacing w:val="-29"/>
          <w:w w:val="110"/>
        </w:rPr>
        <w:t> </w:t>
      </w:r>
      <w:r>
        <w:rPr>
          <w:w w:val="110"/>
        </w:rPr>
        <w:t>largely</w:t>
      </w:r>
      <w:r>
        <w:rPr>
          <w:spacing w:val="-29"/>
          <w:w w:val="110"/>
        </w:rPr>
        <w:t> </w:t>
      </w:r>
      <w:r>
        <w:rPr>
          <w:w w:val="110"/>
        </w:rPr>
        <w:t>reflected</w:t>
      </w:r>
      <w:r>
        <w:rPr>
          <w:spacing w:val="-29"/>
          <w:w w:val="110"/>
        </w:rPr>
        <w:t> </w:t>
      </w:r>
      <w:r>
        <w:rPr>
          <w:w w:val="110"/>
        </w:rPr>
        <w:t>falling</w:t>
      </w:r>
      <w:r>
        <w:rPr>
          <w:spacing w:val="-29"/>
          <w:w w:val="110"/>
        </w:rPr>
        <w:t> </w:t>
      </w:r>
      <w:r>
        <w:rPr>
          <w:w w:val="110"/>
        </w:rPr>
        <w:t>prices</w:t>
      </w:r>
      <w:r>
        <w:rPr>
          <w:spacing w:val="-28"/>
          <w:w w:val="110"/>
        </w:rPr>
        <w:t> </w:t>
      </w:r>
      <w:r>
        <w:rPr>
          <w:w w:val="110"/>
        </w:rPr>
        <w:t>of oil inputs, although their annual </w:t>
      </w:r>
      <w:r>
        <w:rPr>
          <w:spacing w:val="-4"/>
          <w:w w:val="110"/>
        </w:rPr>
        <w:t>rate </w:t>
      </w:r>
      <w:r>
        <w:rPr>
          <w:w w:val="110"/>
        </w:rPr>
        <w:t>of increase remained high.</w:t>
      </w:r>
      <w:r>
        <w:rPr>
          <w:spacing w:val="33"/>
          <w:w w:val="110"/>
        </w:rPr>
        <w:t> </w:t>
      </w:r>
      <w:r>
        <w:rPr>
          <w:w w:val="110"/>
        </w:rPr>
        <w:t>By</w:t>
      </w:r>
      <w:r>
        <w:rPr>
          <w:spacing w:val="-12"/>
          <w:w w:val="110"/>
        </w:rPr>
        <w:t> </w:t>
      </w:r>
      <w:r>
        <w:rPr>
          <w:w w:val="110"/>
        </w:rPr>
        <w:t>contrast,</w:t>
      </w:r>
      <w:r>
        <w:rPr>
          <w:spacing w:val="-11"/>
          <w:w w:val="110"/>
        </w:rPr>
        <w:t> </w:t>
      </w:r>
      <w:r>
        <w:rPr>
          <w:w w:val="110"/>
        </w:rPr>
        <w:t>gas</w:t>
      </w:r>
      <w:r>
        <w:rPr>
          <w:spacing w:val="-11"/>
          <w:w w:val="110"/>
        </w:rPr>
        <w:t> </w:t>
      </w:r>
      <w:r>
        <w:rPr>
          <w:w w:val="110"/>
        </w:rPr>
        <w:t>input</w:t>
      </w:r>
      <w:r>
        <w:rPr>
          <w:spacing w:val="-12"/>
          <w:w w:val="110"/>
        </w:rPr>
        <w:t> </w:t>
      </w:r>
      <w:r>
        <w:rPr>
          <w:w w:val="110"/>
        </w:rPr>
        <w:t>prices</w:t>
      </w:r>
      <w:r>
        <w:rPr>
          <w:spacing w:val="-11"/>
          <w:w w:val="110"/>
        </w:rPr>
        <w:t> </w:t>
      </w:r>
      <w:r>
        <w:rPr>
          <w:w w:val="110"/>
        </w:rPr>
        <w:t>rose</w:t>
      </w:r>
      <w:r>
        <w:rPr>
          <w:spacing w:val="-12"/>
          <w:w w:val="110"/>
        </w:rPr>
        <w:t> </w:t>
      </w:r>
      <w:r>
        <w:rPr>
          <w:w w:val="110"/>
        </w:rPr>
        <w:t>markedly</w:t>
      </w:r>
      <w:r>
        <w:rPr>
          <w:spacing w:val="-11"/>
          <w:w w:val="110"/>
        </w:rPr>
        <w:t> </w:t>
      </w:r>
      <w:r>
        <w:rPr>
          <w:w w:val="110"/>
        </w:rPr>
        <w:t>in</w:t>
      </w:r>
    </w:p>
    <w:p>
      <w:pPr>
        <w:pStyle w:val="BodyText"/>
        <w:spacing w:line="292" w:lineRule="auto"/>
        <w:ind w:left="188" w:right="81"/>
      </w:pPr>
      <w:r>
        <w:rPr>
          <w:w w:val="105"/>
        </w:rPr>
        <w:t>2000 Q4—prices were 33% higher than a year earlier in December—as contracts under review took account of the doubling of wholesale gas prices over the previous year. The</w:t>
      </w:r>
    </w:p>
    <w:p>
      <w:pPr>
        <w:spacing w:after="0" w:line="292" w:lineRule="auto"/>
        <w:sectPr>
          <w:type w:val="continuous"/>
          <w:pgSz w:w="11900" w:h="16840"/>
          <w:pgMar w:top="1260" w:bottom="280" w:left="640" w:right="640"/>
          <w:cols w:num="3" w:equalWidth="0">
            <w:col w:w="2788" w:space="72"/>
            <w:col w:w="979" w:space="1052"/>
            <w:col w:w="5729"/>
          </w:cols>
        </w:sectPr>
      </w:pPr>
    </w:p>
    <w:p>
      <w:pPr>
        <w:spacing w:line="102" w:lineRule="exact" w:before="0"/>
        <w:ind w:left="192" w:right="0" w:firstLine="0"/>
        <w:jc w:val="left"/>
        <w:rPr>
          <w:sz w:val="12"/>
        </w:rPr>
      </w:pPr>
      <w:r>
        <w:rPr>
          <w:w w:val="105"/>
          <w:sz w:val="12"/>
        </w:rPr>
        <w:t>Sources: ONS and CIPS.</w:t>
      </w:r>
    </w:p>
    <w:p>
      <w:pPr>
        <w:pStyle w:val="BodyText"/>
        <w:spacing w:before="1"/>
        <w:rPr>
          <w:sz w:val="10"/>
        </w:rPr>
      </w:pPr>
    </w:p>
    <w:p>
      <w:pPr>
        <w:spacing w:line="208" w:lineRule="auto" w:before="0"/>
        <w:ind w:left="432" w:right="-15" w:hanging="240"/>
        <w:jc w:val="left"/>
        <w:rPr>
          <w:sz w:val="12"/>
        </w:rPr>
      </w:pPr>
      <w:r>
        <w:rPr>
          <w:w w:val="110"/>
          <w:sz w:val="12"/>
        </w:rPr>
        <w:t>(a) Survey responses to question asking how prices compare with the same month a year ago. Readings above 50 suggest that prices are rising, readings below 50 indicate falling prices.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5"/>
        </w:rPr>
      </w:pPr>
    </w:p>
    <w:p>
      <w:pPr>
        <w:pStyle w:val="Heading6"/>
        <w:spacing w:before="1"/>
        <w:ind w:left="220"/>
      </w:pPr>
      <w:r>
        <w:rPr>
          <w:color w:val="89C6DC"/>
          <w:w w:val="95"/>
        </w:rPr>
        <w:t>Chart 4.7</w:t>
      </w:r>
    </w:p>
    <w:p>
      <w:pPr>
        <w:spacing w:before="7"/>
        <w:ind w:left="220" w:right="0" w:firstLine="0"/>
        <w:jc w:val="left"/>
        <w:rPr>
          <w:rFonts w:ascii="Trebuchet MS"/>
          <w:b/>
          <w:sz w:val="20"/>
        </w:rPr>
      </w:pPr>
      <w:r>
        <w:rPr>
          <w:rFonts w:ascii="Trebuchet MS"/>
          <w:b/>
          <w:color w:val="89C6DC"/>
          <w:sz w:val="20"/>
        </w:rPr>
        <w:t>Manufacturing output price inflation</w:t>
      </w:r>
    </w:p>
    <w:p>
      <w:pPr>
        <w:spacing w:line="113" w:lineRule="exact" w:before="47"/>
        <w:ind w:left="1507" w:right="0" w:firstLine="0"/>
        <w:jc w:val="left"/>
        <w:rPr>
          <w:sz w:val="12"/>
        </w:rPr>
      </w:pPr>
      <w:r>
        <w:rPr>
          <w:w w:val="110"/>
          <w:sz w:val="12"/>
        </w:rPr>
        <w:t>Percentage changes on a year earlier</w:t>
      </w:r>
    </w:p>
    <w:p>
      <w:pPr>
        <w:spacing w:line="113" w:lineRule="exact" w:before="0"/>
        <w:ind w:left="3441" w:right="0" w:firstLine="0"/>
        <w:jc w:val="left"/>
        <w:rPr>
          <w:sz w:val="12"/>
        </w:rPr>
      </w:pPr>
      <w:r>
        <w:rPr/>
        <w:pict>
          <v:group style="position:absolute;margin-left:42.237999pt;margin-top:10.121357pt;width:171.45pt;height:129.5pt;mso-position-horizontal-relative:page;mso-position-vertical-relative:paragraph;z-index:16290816" coordorigin="845,202" coordsize="3429,2590">
            <v:shape style="position:absolute;left:1005;top:539;width:938;height:1035" coordorigin="1006,539" coordsize="938,1035" path="m1006,1274l1031,1184m1031,1184l1066,1139m1066,1139l1088,1184m1088,1184l1113,1274m1113,1274l1136,1184m1136,1184l1171,1289m1171,1289l1193,1334m1193,1334l1218,1337m1218,1334l1253,1244m1253,1244l1276,1109m1276,1109l1301,1019m1301,1019l1336,884m1336,884l1381,704m1381,704l1406,659m1406,659l1441,674m1441,674l1463,677m1463,674l1488,584m1488,584l1523,539m1523,539l1546,542m1546,539l1568,734m1568,734l1603,914m1603,914l1628,1064m1628,1064l1651,1154m1651,1154l1676,1379m1676,1379l1711,1514m1711,1514l1733,1517m1733,1514l1756,1424m1756,1424l1791,1484m1791,1484l1816,1574m1816,1574l1838,1529m1838,1529l1873,1484m1873,1484l1898,1439m1898,1439l1921,1394m1921,1394l1943,1274e" filled="false" stroked="true" strokeweight="1pt" strokecolor="#f6bd61">
              <v:path arrowok="t"/>
              <v:stroke dashstyle="solid"/>
            </v:shape>
            <v:line style="position:absolute" from="1961,919" to="1961,1284" stroked="true" strokeweight="2.75pt" strokecolor="#f6bd61">
              <v:stroke dashstyle="solid"/>
            </v:line>
            <v:shape style="position:absolute;left:1978;top:554;width:295;height:375" coordorigin="1978,554" coordsize="295,375" path="m1978,929l2003,839m2003,839l2026,749m2026,749l2061,719m2061,719l2086,722m2086,719l2108,644m2108,644l2143,554m2143,554l2168,557m2168,554l2191,569m2191,569l2213,572m2213,569l2248,659m2248,659l2273,569e" filled="false" stroked="true" strokeweight="1pt" strokecolor="#f6bd61">
              <v:path arrowok="t"/>
              <v:stroke dashstyle="solid"/>
            </v:shape>
            <v:line style="position:absolute" from="2284,559" to="2284,939" stroked="true" strokeweight="2.125pt" strokecolor="#f6bd61">
              <v:stroke dashstyle="solid"/>
            </v:line>
            <v:shape style="position:absolute;left:2295;top:929;width:458;height:1380" coordorigin="2296,929" coordsize="458,1380" path="m2296,929l2331,974m2331,974l2356,1019m2356,1019l2378,1064m2378,1064l2413,1199m2413,1199l2436,1364m2436,1364l2461,1484m2461,1484l2483,1574m2483,1574l2518,1529m2518,1529l2543,1619m2543,1619l2566,1574m2566,1574l2601,1784m2601,1784l2623,1904m2623,1904l2648,2069m2648,2069l2683,2219m2683,2219l2706,2309m2706,2309l2731,2264m2731,2264l2753,2267e" filled="false" stroked="true" strokeweight="1pt" strokecolor="#f6bd61">
              <v:path arrowok="t"/>
              <v:stroke dashstyle="solid"/>
            </v:shape>
            <v:line style="position:absolute" from="2743,2266" to="2798,2266" stroked="true" strokeweight="1.125pt" strokecolor="#f6bd61">
              <v:stroke dashstyle="solid"/>
            </v:line>
            <v:shape style="position:absolute;left:2788;top:2264;width:48;height:90" coordorigin="2788,2264" coordsize="48,90" path="m2788,2264l2811,2267m2811,2264l2836,2354e" filled="false" stroked="true" strokeweight="1pt" strokecolor="#f6bd61">
              <v:path arrowok="t"/>
              <v:stroke dashstyle="solid"/>
            </v:shape>
            <v:line style="position:absolute" from="2826,2356" to="2881,2356" stroked="true" strokeweight="1.125pt" strokecolor="#f6bd61">
              <v:stroke dashstyle="solid"/>
            </v:line>
            <v:shape style="position:absolute;left:2870;top:1544;width:833;height:1170" coordorigin="2871,1544" coordsize="833,1170" path="m2871,2354l2893,2384m2893,2384l2918,2387m2918,2384l2953,2474m2953,2474l2976,2384m2976,2384l2998,2354m2998,2354l3023,2384m3023,2384l3058,2429m3058,2429l3081,2384m3081,2384l3106,2354m3106,2354l3141,2474m3141,2474l3163,2594m3163,2594l3186,2624m3186,2624l3221,2669m3221,2669l3246,2714m3246,2714l3268,2669m3268,2669l3293,2549m3293,2549l3328,2504m3328,2504l3351,2429m3351,2429l3373,2384m3373,2384l3408,2474m3408,2474l3433,2354m3433,2354l3456,2189m3456,2189l3491,2024m3491,2024l3516,1949m3516,1949l3538,1814m3538,1814l3561,1694m3561,1694l3596,1619m3596,1619l3621,1622m3621,1619l3643,1544m3643,1544l3678,1619m3678,1619l3703,1574e" filled="false" stroked="true" strokeweight="1pt" strokecolor="#f6bd61">
              <v:path arrowok="t"/>
              <v:stroke dashstyle="solid"/>
            </v:shape>
            <v:line style="position:absolute" from="3714,1324" to="3714,1584" stroked="true" strokeweight="2.125pt" strokecolor="#f6bd61">
              <v:stroke dashstyle="solid"/>
            </v:line>
            <v:shape style="position:absolute;left:3725;top:1334;width:165;height:300" coordorigin="3726,1334" coordsize="165,300" path="m3726,1334l3761,1454m3761,1454l3786,1619m3786,1619l3808,1589m3808,1589l3831,1499m3831,1499l3866,1544m3866,1544l3891,1634e" filled="false" stroked="true" strokeweight="1pt" strokecolor="#f6bd61">
              <v:path arrowok="t"/>
              <v:stroke dashstyle="solid"/>
            </v:shape>
            <v:shape style="position:absolute;left:1005;top:1244;width:400;height:243" coordorigin="1006,1244" coordsize="400,243" path="m1006,1334l1031,1379m1031,1379l1066,1334m1066,1334l1088,1379m1088,1379l1113,1334m1113,1334l1136,1244m1136,1244l1171,1349m1171,1349l1193,1352m1193,1349l1218,1394m1218,1394l1253,1484m1253,1484l1276,1487m1276,1484l1301,1349m1301,1349l1336,1394m1336,1394l1358,1349m1358,1349l1381,1454m1381,1454l1406,1364e" filled="false" stroked="true" strokeweight="1pt" strokecolor="#a64991">
              <v:path arrowok="t"/>
              <v:stroke dashstyle="solid"/>
            </v:shape>
            <v:line style="position:absolute" from="1396,1366" to="1451,1366" stroked="true" strokeweight="1.125pt" strokecolor="#a64991">
              <v:stroke dashstyle="solid"/>
            </v:line>
            <v:shape style="position:absolute;left:1440;top:299;width:1208;height:1845" coordorigin="1441,299" coordsize="1208,1845" path="m1441,1364l1463,1319m1463,1319l1488,1274m1488,1274l1523,1184m1523,1184l1568,1004m1568,1004l1603,1049m1603,1049l1628,1154m1628,1154l1651,1244m1651,1244l1676,1334m1676,1334l1711,1289m1711,1289l1733,1379m1733,1379l1756,1382m1756,1379l1791,1469m1791,1469l1816,1472m1816,1469l1838,1484m1838,1484l1873,1529m1873,1529l1898,1439m1898,1439l1921,1304m1921,1304l1943,1184m1943,1184l1978,884m1978,884l2003,749m2003,749l2026,794m2026,794l2061,749m2061,749l2086,629m2086,629l2108,539m2108,539l2143,419m2143,419l2168,389m2168,389l2191,299m2191,299l2213,479m2213,479l2248,614m2248,614l2273,749m2273,749l2296,929m2296,929l2331,1049m2331,1049l2356,1064m2356,1064l2378,1109m2378,1109l2413,1274m2413,1274l2436,1394m2436,1394l2461,1604m2461,1604l2483,1769m2483,1769l2518,1934m2518,1934l2543,1937m2543,1934l2566,1904m2566,1904l2601,1934m2601,1934l2623,2099m2623,2099l2648,2144e" filled="false" stroked="true" strokeweight="1pt" strokecolor="#a64991">
              <v:path arrowok="t"/>
              <v:stroke dashstyle="solid"/>
            </v:shape>
            <v:line style="position:absolute" from="2638,2146" to="2693,2146" stroked="true" strokeweight="1.125pt" strokecolor="#a64991">
              <v:stroke dashstyle="solid"/>
            </v:line>
            <v:shape style="position:absolute;left:2683;top:2144;width:153;height:165" coordorigin="2683,2144" coordsize="153,165" path="m2683,2144l2706,2189m2706,2189l2731,2264m2731,2264l2753,2309m2753,2309l2788,2219m2788,2219l2811,2222m2811,2219l2836,2189e" filled="false" stroked="true" strokeweight="1pt" strokecolor="#a64991">
              <v:path arrowok="t"/>
              <v:stroke dashstyle="solid"/>
            </v:shape>
            <v:line style="position:absolute" from="2826,2191" to="2881,2191" stroked="true" strokeweight="1.125pt" strokecolor="#a64991">
              <v:stroke dashstyle="solid"/>
            </v:line>
            <v:shape style="position:absolute;left:2870;top:2189;width:48;height:33" coordorigin="2871,2189" coordsize="48,33" path="m2871,2189l2893,2219m2893,2219l2918,2222e" filled="false" stroked="true" strokeweight="1pt" strokecolor="#a64991">
              <v:path arrowok="t"/>
              <v:stroke dashstyle="solid"/>
            </v:shape>
            <v:line style="position:absolute" from="2908,2221" to="2963,2221" stroked="true" strokeweight="1.125pt" strokecolor="#a64991">
              <v:stroke dashstyle="solid"/>
            </v:line>
            <v:shape style="position:absolute;left:2953;top:2219;width:70;height:93" coordorigin="2953,2219" coordsize="70,93" path="m2953,2219l2998,2309m2998,2309l3023,2312e" filled="false" stroked="true" strokeweight="1pt" strokecolor="#a64991">
              <v:path arrowok="t"/>
              <v:stroke dashstyle="solid"/>
            </v:shape>
            <v:line style="position:absolute" from="3013,2311" to="3068,2311" stroked="true" strokeweight="1.125pt" strokecolor="#a64991">
              <v:stroke dashstyle="solid"/>
            </v:line>
            <v:shape style="position:absolute;left:3058;top:2219;width:315;height:378" coordorigin="3058,2219" coordsize="315,378" path="m3058,2309l3081,2219m3081,2219l3106,2309m3106,2309l3141,2354m3141,2354l3163,2429m3163,2429l3186,2474m3186,2474l3221,2549m3221,2549l3246,2594m3246,2594l3268,2597m3268,2594l3293,2504m3293,2504l3328,2549m3328,2549l3351,2594m3351,2594l3373,2549e" filled="false" stroked="true" strokeweight="1pt" strokecolor="#a64991">
              <v:path arrowok="t"/>
              <v:stroke dashstyle="solid"/>
            </v:shape>
            <v:line style="position:absolute" from="3363,2551" to="3418,2551" stroked="true" strokeweight="1.125pt" strokecolor="#a64991">
              <v:stroke dashstyle="solid"/>
            </v:line>
            <v:shape style="position:absolute;left:3408;top:2099;width:153;height:495" coordorigin="3408,2099" coordsize="153,495" path="m3408,2549l3433,2594m3433,2594l3456,2549m3456,2549l3491,2429m3491,2429l3516,2309m3516,2309l3538,2219m3538,2219l3561,2099e" filled="false" stroked="true" strokeweight="1pt" strokecolor="#a64991">
              <v:path arrowok="t"/>
              <v:stroke dashstyle="solid"/>
            </v:shape>
            <v:line style="position:absolute" from="3551,2101" to="3606,2101" stroked="true" strokeweight="1.125pt" strokecolor="#a64991">
              <v:stroke dashstyle="solid"/>
            </v:line>
            <v:shape style="position:absolute;left:3595;top:1814;width:295;height:288" coordorigin="3596,1814" coordsize="295,288" path="m3596,2099l3621,2102m3621,2099l3643,2024m3643,2024l3678,1949m3678,1949l3703,1904m3703,1904l3726,1907m3726,1904l3761,1814m3761,1814l3786,1817m3786,1814l3831,1904m3831,1904l3866,1949m3866,1949l3891,2069e" filled="false" stroked="true" strokeweight="1pt" strokecolor="#a64991">
              <v:path arrowok="t"/>
              <v:stroke dashstyle="solid"/>
            </v:shape>
            <v:shape style="position:absolute;left:844;top:253;width:3195;height:2468" coordorigin="845,254" coordsize="3195,2468" path="m845,257l931,257m845,463l931,463m845,668l931,668m845,1079l931,1079m845,1489l931,1489m845,1900l931,1900m845,2311l931,2311m845,2722l931,2722m845,2516l931,2516m845,873l931,873m845,1284l931,1284m845,1695l931,1695m845,2106l931,2106m3952,254l4039,254m3952,459l4039,459m3952,665l4039,665m3952,1075l4039,1075m3952,1486l4039,1486m3952,1897l4039,1897m3952,2718l4039,2718m3952,2513l4039,2513m3952,870l4039,870m3952,1281l4039,1281m3952,1691l4039,1691m3952,2102l4039,2102e" filled="false" stroked="true" strokeweight=".5pt" strokecolor="#000000">
              <v:path arrowok="t"/>
              <v:stroke dashstyle="solid"/>
            </v:shape>
            <v:shape style="position:absolute;left:4081;top:202;width:192;height:738" type="#_x0000_t202" filled="false" stroked="false">
              <v:textbox inset="0,0,0,0">
                <w:txbxContent>
                  <w:p>
                    <w:pPr>
                      <w:spacing w:line="116" w:lineRule="exact" w:before="0"/>
                      <w:ind w:left="0" w:right="0" w:firstLine="0"/>
                      <w:jc w:val="left"/>
                      <w:rPr>
                        <w:sz w:val="12"/>
                      </w:rPr>
                    </w:pPr>
                    <w:r>
                      <w:rPr>
                        <w:w w:val="115"/>
                        <w:sz w:val="12"/>
                      </w:rPr>
                      <w:t>5.0</w:t>
                    </w:r>
                  </w:p>
                  <w:p>
                    <w:pPr>
                      <w:spacing w:before="67"/>
                      <w:ind w:left="0" w:right="0" w:firstLine="0"/>
                      <w:jc w:val="left"/>
                      <w:rPr>
                        <w:sz w:val="12"/>
                      </w:rPr>
                    </w:pPr>
                    <w:r>
                      <w:rPr>
                        <w:w w:val="115"/>
                        <w:sz w:val="12"/>
                      </w:rPr>
                      <w:t>4.5</w:t>
                    </w:r>
                  </w:p>
                  <w:p>
                    <w:pPr>
                      <w:spacing w:before="68"/>
                      <w:ind w:left="0" w:right="0" w:firstLine="0"/>
                      <w:jc w:val="left"/>
                      <w:rPr>
                        <w:sz w:val="12"/>
                      </w:rPr>
                    </w:pPr>
                    <w:r>
                      <w:rPr>
                        <w:w w:val="115"/>
                        <w:sz w:val="12"/>
                      </w:rPr>
                      <w:t>4.0</w:t>
                    </w:r>
                  </w:p>
                  <w:p>
                    <w:pPr>
                      <w:spacing w:before="68"/>
                      <w:ind w:left="0" w:right="0" w:firstLine="0"/>
                      <w:jc w:val="left"/>
                      <w:rPr>
                        <w:sz w:val="12"/>
                      </w:rPr>
                    </w:pPr>
                    <w:r>
                      <w:rPr>
                        <w:w w:val="115"/>
                        <w:sz w:val="12"/>
                      </w:rPr>
                      <w:t>3.5</w:t>
                    </w:r>
                  </w:p>
                </w:txbxContent>
              </v:textbox>
              <w10:wrap type="none"/>
            </v:shape>
            <v:shape style="position:absolute;left:2793;top:1095;width:1050;height:361" type="#_x0000_t202" filled="false" stroked="false">
              <v:textbox inset="0,0,0,0">
                <w:txbxContent>
                  <w:p>
                    <w:pPr>
                      <w:spacing w:line="208" w:lineRule="auto" w:before="0"/>
                      <w:ind w:left="60" w:right="14" w:hanging="61"/>
                      <w:jc w:val="left"/>
                      <w:rPr>
                        <w:sz w:val="12"/>
                      </w:rPr>
                    </w:pPr>
                    <w:r>
                      <w:rPr>
                        <w:w w:val="110"/>
                        <w:sz w:val="12"/>
                      </w:rPr>
                      <w:t>Output price </w:t>
                    </w:r>
                    <w:r>
                      <w:rPr>
                        <w:w w:val="105"/>
                        <w:sz w:val="12"/>
                      </w:rPr>
                      <w:t>inflation excluding </w:t>
                    </w:r>
                    <w:r>
                      <w:rPr>
                        <w:w w:val="110"/>
                        <w:sz w:val="12"/>
                      </w:rPr>
                      <w:t>excise duties</w:t>
                    </w:r>
                  </w:p>
                </w:txbxContent>
              </v:textbox>
              <w10:wrap type="none"/>
            </v:shape>
            <v:shape style="position:absolute;left:1305;top:1723;width:1202;height:361" type="#_x0000_t202" filled="false" stroked="false">
              <v:textbox inset="0,0,0,0">
                <w:txbxContent>
                  <w:p>
                    <w:pPr>
                      <w:spacing w:line="208" w:lineRule="auto" w:before="0"/>
                      <w:ind w:left="60" w:right="7" w:hanging="61"/>
                      <w:jc w:val="left"/>
                      <w:rPr>
                        <w:sz w:val="12"/>
                      </w:rPr>
                    </w:pPr>
                    <w:r>
                      <w:rPr>
                        <w:w w:val="110"/>
                        <w:sz w:val="12"/>
                      </w:rPr>
                      <w:t>Output price inflation excluding</w:t>
                    </w:r>
                    <w:r>
                      <w:rPr>
                        <w:spacing w:val="-21"/>
                        <w:w w:val="110"/>
                        <w:sz w:val="12"/>
                      </w:rPr>
                      <w:t> </w:t>
                    </w:r>
                    <w:r>
                      <w:rPr>
                        <w:w w:val="110"/>
                        <w:sz w:val="12"/>
                      </w:rPr>
                      <w:t>food,</w:t>
                    </w:r>
                    <w:r>
                      <w:rPr>
                        <w:spacing w:val="-20"/>
                        <w:w w:val="110"/>
                        <w:sz w:val="12"/>
                      </w:rPr>
                      <w:t> </w:t>
                    </w:r>
                    <w:r>
                      <w:rPr>
                        <w:spacing w:val="-3"/>
                        <w:w w:val="110"/>
                        <w:sz w:val="12"/>
                      </w:rPr>
                      <w:t>drink, </w:t>
                    </w:r>
                    <w:r>
                      <w:rPr>
                        <w:w w:val="110"/>
                        <w:sz w:val="12"/>
                      </w:rPr>
                      <w:t>tobacco and</w:t>
                    </w:r>
                    <w:r>
                      <w:rPr>
                        <w:spacing w:val="-7"/>
                        <w:w w:val="110"/>
                        <w:sz w:val="12"/>
                      </w:rPr>
                      <w:t> </w:t>
                    </w:r>
                    <w:r>
                      <w:rPr>
                        <w:w w:val="110"/>
                        <w:sz w:val="12"/>
                      </w:rPr>
                      <w:t>oil</w:t>
                    </w:r>
                  </w:p>
                </w:txbxContent>
              </v:textbox>
              <w10:wrap type="none"/>
            </v:shape>
            <v:shape style="position:absolute;left:4081;top:1025;width:192;height:944" type="#_x0000_t202" filled="false" stroked="false">
              <v:textbox inset="0,0,0,0">
                <w:txbxContent>
                  <w:p>
                    <w:pPr>
                      <w:spacing w:line="116" w:lineRule="exact" w:before="0"/>
                      <w:ind w:left="0" w:right="0" w:firstLine="0"/>
                      <w:jc w:val="left"/>
                      <w:rPr>
                        <w:sz w:val="12"/>
                      </w:rPr>
                    </w:pPr>
                    <w:r>
                      <w:rPr>
                        <w:w w:val="115"/>
                        <w:sz w:val="12"/>
                      </w:rPr>
                      <w:t>3.0</w:t>
                    </w:r>
                  </w:p>
                  <w:p>
                    <w:pPr>
                      <w:spacing w:before="67"/>
                      <w:ind w:left="0" w:right="0" w:firstLine="0"/>
                      <w:jc w:val="left"/>
                      <w:rPr>
                        <w:sz w:val="12"/>
                      </w:rPr>
                    </w:pPr>
                    <w:r>
                      <w:rPr>
                        <w:w w:val="115"/>
                        <w:sz w:val="12"/>
                      </w:rPr>
                      <w:t>2.5</w:t>
                    </w:r>
                  </w:p>
                  <w:p>
                    <w:pPr>
                      <w:spacing w:before="68"/>
                      <w:ind w:left="0" w:right="0" w:firstLine="0"/>
                      <w:jc w:val="left"/>
                      <w:rPr>
                        <w:sz w:val="12"/>
                      </w:rPr>
                    </w:pPr>
                    <w:r>
                      <w:rPr>
                        <w:w w:val="115"/>
                        <w:sz w:val="12"/>
                      </w:rPr>
                      <w:t>2.0</w:t>
                    </w:r>
                  </w:p>
                  <w:p>
                    <w:pPr>
                      <w:spacing w:before="68"/>
                      <w:ind w:left="0" w:right="0" w:firstLine="0"/>
                      <w:jc w:val="left"/>
                      <w:rPr>
                        <w:sz w:val="12"/>
                      </w:rPr>
                    </w:pPr>
                    <w:r>
                      <w:rPr>
                        <w:w w:val="115"/>
                        <w:sz w:val="12"/>
                      </w:rPr>
                      <w:t>1.5</w:t>
                    </w:r>
                  </w:p>
                  <w:p>
                    <w:pPr>
                      <w:spacing w:before="68"/>
                      <w:ind w:left="0" w:right="0" w:firstLine="0"/>
                      <w:jc w:val="left"/>
                      <w:rPr>
                        <w:sz w:val="12"/>
                      </w:rPr>
                    </w:pPr>
                    <w:r>
                      <w:rPr>
                        <w:w w:val="115"/>
                        <w:sz w:val="12"/>
                      </w:rPr>
                      <w:t>1.0</w:t>
                    </w:r>
                  </w:p>
                </w:txbxContent>
              </v:textbox>
              <w10:wrap type="none"/>
            </v:shape>
            <v:shape style="position:absolute;left:1002;top:2115;width:3123;height:184" type="#_x0000_t202" filled="false" stroked="false">
              <v:textbox inset="0,0,0,0">
                <w:txbxContent>
                  <w:p>
                    <w:pPr>
                      <w:tabs>
                        <w:tab w:pos="2893" w:val="left" w:leader="none"/>
                      </w:tabs>
                      <w:spacing w:line="178" w:lineRule="exact" w:before="0"/>
                      <w:ind w:left="0" w:right="0" w:firstLine="0"/>
                      <w:jc w:val="left"/>
                      <w:rPr>
                        <w:sz w:val="16"/>
                      </w:rPr>
                    </w:pPr>
                    <w:r>
                      <w:rPr>
                        <w:sz w:val="16"/>
                        <w:u w:val="single"/>
                      </w:rPr>
                      <w:t> </w:t>
                      <w:tab/>
                    </w:r>
                    <w:r>
                      <w:rPr>
                        <w:spacing w:val="16"/>
                        <w:sz w:val="16"/>
                      </w:rPr>
                      <w:t> </w:t>
                    </w:r>
                    <w:r>
                      <w:rPr>
                        <w:sz w:val="16"/>
                        <w:u w:val="single"/>
                      </w:rPr>
                      <w:t> </w:t>
                    </w:r>
                    <w:r>
                      <w:rPr>
                        <w:spacing w:val="-25"/>
                        <w:sz w:val="16"/>
                        <w:u w:val="single"/>
                      </w:rPr>
                      <w:t> </w:t>
                    </w:r>
                    <w:r>
                      <w:rPr>
                        <w:w w:val="110"/>
                        <w:sz w:val="16"/>
                      </w:rPr>
                      <w:t>+</w:t>
                    </w:r>
                  </w:p>
                </w:txbxContent>
              </v:textbox>
              <w10:wrap type="none"/>
            </v:shape>
            <v:shape style="position:absolute;left:4081;top:2053;width:192;height:121" type="#_x0000_t202" filled="false" stroked="false">
              <v:textbox inset="0,0,0,0">
                <w:txbxContent>
                  <w:p>
                    <w:pPr>
                      <w:spacing w:line="116" w:lineRule="exact" w:before="0"/>
                      <w:ind w:left="0" w:right="0" w:firstLine="0"/>
                      <w:jc w:val="left"/>
                      <w:rPr>
                        <w:sz w:val="12"/>
                      </w:rPr>
                    </w:pPr>
                    <w:r>
                      <w:rPr>
                        <w:w w:val="115"/>
                        <w:sz w:val="12"/>
                      </w:rPr>
                      <w:t>0.5</w:t>
                    </w:r>
                  </w:p>
                </w:txbxContent>
              </v:textbox>
              <w10:wrap type="none"/>
            </v:shape>
            <v:shape style="position:absolute;left:4009;top:2259;width:264;height:532" type="#_x0000_t202" filled="false" stroked="false">
              <v:textbox inset="0,0,0,0">
                <w:txbxContent>
                  <w:p>
                    <w:pPr>
                      <w:spacing w:line="144" w:lineRule="auto" w:before="1"/>
                      <w:ind w:left="0" w:right="0" w:firstLine="0"/>
                      <w:jc w:val="left"/>
                      <w:rPr>
                        <w:sz w:val="12"/>
                      </w:rPr>
                    </w:pPr>
                    <w:r>
                      <w:rPr>
                        <w:spacing w:val="-6"/>
                        <w:w w:val="115"/>
                        <w:position w:val="-8"/>
                        <w:sz w:val="16"/>
                      </w:rPr>
                      <w:t>–</w:t>
                    </w:r>
                    <w:r>
                      <w:rPr>
                        <w:spacing w:val="-6"/>
                        <w:w w:val="115"/>
                        <w:sz w:val="12"/>
                      </w:rPr>
                      <w:t>0.0</w:t>
                    </w:r>
                  </w:p>
                  <w:p>
                    <w:pPr>
                      <w:spacing w:before="19"/>
                      <w:ind w:left="71" w:right="0" w:firstLine="0"/>
                      <w:jc w:val="left"/>
                      <w:rPr>
                        <w:sz w:val="12"/>
                      </w:rPr>
                    </w:pPr>
                    <w:r>
                      <w:rPr>
                        <w:w w:val="115"/>
                        <w:sz w:val="12"/>
                      </w:rPr>
                      <w:t>0.5</w:t>
                    </w:r>
                  </w:p>
                  <w:p>
                    <w:pPr>
                      <w:spacing w:before="68"/>
                      <w:ind w:left="71" w:right="0" w:firstLine="0"/>
                      <w:jc w:val="left"/>
                      <w:rPr>
                        <w:sz w:val="12"/>
                      </w:rPr>
                    </w:pPr>
                    <w:r>
                      <w:rPr>
                        <w:w w:val="115"/>
                        <w:sz w:val="12"/>
                      </w:rPr>
                      <w:t>1.0</w:t>
                    </w:r>
                  </w:p>
                </w:txbxContent>
              </v:textbox>
              <w10:wrap type="none"/>
            </v:shape>
            <w10:wrap type="none"/>
          </v:group>
        </w:pict>
      </w:r>
      <w:r>
        <w:rPr/>
        <w:pict>
          <v:line style="position:absolute;mso-position-horizontal-relative:page;mso-position-vertical-relative:paragraph;z-index:16291840" from="42.237999pt,2.604123pt" to="46.570999pt,2.604123pt" stroked="true" strokeweight=".5pt" strokecolor="#000000">
            <v:stroke dashstyle="solid"/>
            <w10:wrap type="none"/>
          </v:line>
        </w:pict>
      </w:r>
      <w:r>
        <w:rPr/>
        <w:pict>
          <v:line style="position:absolute;mso-position-horizontal-relative:page;mso-position-vertical-relative:paragraph;z-index:16292352" from="197.613998pt,2.432123pt" to="201.945998pt,2.432123pt" stroked="true" strokeweight=".5pt" strokecolor="#000000">
            <v:stroke dashstyle="solid"/>
            <w10:wrap type="none"/>
          </v:line>
        </w:pict>
      </w:r>
      <w:r>
        <w:rPr>
          <w:w w:val="115"/>
          <w:sz w:val="12"/>
        </w:rPr>
        <w:t>5.5</w:t>
      </w:r>
    </w:p>
    <w:p>
      <w:pPr>
        <w:pStyle w:val="BodyText"/>
        <w:spacing w:line="292" w:lineRule="auto"/>
        <w:ind w:left="192" w:right="164"/>
      </w:pPr>
      <w:r>
        <w:rPr/>
        <w:br w:type="column"/>
      </w:r>
      <w:r>
        <w:rPr>
          <w:spacing w:val="-4"/>
          <w:w w:val="105"/>
        </w:rPr>
        <w:t>rate </w:t>
      </w:r>
      <w:r>
        <w:rPr>
          <w:w w:val="105"/>
        </w:rPr>
        <w:t>of increase of materials input prices has </w:t>
      </w:r>
      <w:r>
        <w:rPr>
          <w:spacing w:val="-2"/>
          <w:w w:val="105"/>
        </w:rPr>
        <w:t>slowed </w:t>
      </w:r>
      <w:r>
        <w:rPr>
          <w:w w:val="105"/>
        </w:rPr>
        <w:t>in recent months, due </w:t>
      </w:r>
      <w:r>
        <w:rPr>
          <w:spacing w:val="-4"/>
          <w:w w:val="105"/>
        </w:rPr>
        <w:t>to </w:t>
      </w:r>
      <w:r>
        <w:rPr>
          <w:spacing w:val="-3"/>
          <w:w w:val="105"/>
        </w:rPr>
        <w:t>lower </w:t>
      </w:r>
      <w:r>
        <w:rPr>
          <w:w w:val="105"/>
        </w:rPr>
        <w:t>prices of imported materials such as metals and chemicals. Surveys, </w:t>
      </w:r>
      <w:r>
        <w:rPr>
          <w:spacing w:val="-4"/>
          <w:w w:val="105"/>
        </w:rPr>
        <w:t>however, </w:t>
      </w:r>
      <w:r>
        <w:rPr>
          <w:w w:val="105"/>
        </w:rPr>
        <w:t>provide less evidence of a slowing in manufacturers’ input costs. Although CIPS </w:t>
      </w:r>
      <w:r>
        <w:rPr>
          <w:spacing w:val="-3"/>
          <w:w w:val="105"/>
        </w:rPr>
        <w:t>surveys </w:t>
      </w:r>
      <w:r>
        <w:rPr>
          <w:w w:val="105"/>
        </w:rPr>
        <w:t>in </w:t>
      </w:r>
      <w:r>
        <w:rPr>
          <w:spacing w:val="-4"/>
          <w:w w:val="105"/>
        </w:rPr>
        <w:t>2000 </w:t>
      </w:r>
      <w:r>
        <w:rPr>
          <w:w w:val="105"/>
        </w:rPr>
        <w:t>H2 reported an easing of input cost inflation, this </w:t>
      </w:r>
      <w:r>
        <w:rPr>
          <w:spacing w:val="-3"/>
          <w:w w:val="105"/>
        </w:rPr>
        <w:t>was </w:t>
      </w:r>
      <w:r>
        <w:rPr>
          <w:w w:val="105"/>
        </w:rPr>
        <w:t>partly </w:t>
      </w:r>
      <w:r>
        <w:rPr>
          <w:spacing w:val="-3"/>
          <w:w w:val="105"/>
        </w:rPr>
        <w:t>reversed </w:t>
      </w:r>
      <w:r>
        <w:rPr>
          <w:w w:val="105"/>
        </w:rPr>
        <w:t>in </w:t>
      </w:r>
      <w:r>
        <w:rPr>
          <w:spacing w:val="-3"/>
          <w:w w:val="105"/>
        </w:rPr>
        <w:t>January. </w:t>
      </w:r>
      <w:r>
        <w:rPr>
          <w:w w:val="105"/>
        </w:rPr>
        <w:t>And the Q4 BCC </w:t>
      </w:r>
      <w:r>
        <w:rPr>
          <w:spacing w:val="-3"/>
          <w:w w:val="105"/>
        </w:rPr>
        <w:t>survey </w:t>
      </w:r>
      <w:r>
        <w:rPr>
          <w:w w:val="105"/>
        </w:rPr>
        <w:t>continued </w:t>
      </w:r>
      <w:r>
        <w:rPr>
          <w:spacing w:val="-4"/>
          <w:w w:val="105"/>
        </w:rPr>
        <w:t>to </w:t>
      </w:r>
      <w:r>
        <w:rPr>
          <w:w w:val="105"/>
        </w:rPr>
        <w:t>show a historically high balance of manufacturers citing</w:t>
      </w:r>
      <w:r>
        <w:rPr>
          <w:spacing w:val="7"/>
          <w:w w:val="105"/>
        </w:rPr>
        <w:t> </w:t>
      </w:r>
      <w:r>
        <w:rPr>
          <w:spacing w:val="-4"/>
          <w:w w:val="105"/>
        </w:rPr>
        <w:t>raw</w:t>
      </w:r>
      <w:r>
        <w:rPr>
          <w:spacing w:val="8"/>
          <w:w w:val="105"/>
        </w:rPr>
        <w:t> </w:t>
      </w:r>
      <w:r>
        <w:rPr>
          <w:w w:val="105"/>
        </w:rPr>
        <w:t>materials</w:t>
      </w:r>
      <w:r>
        <w:rPr>
          <w:spacing w:val="8"/>
          <w:w w:val="105"/>
        </w:rPr>
        <w:t> </w:t>
      </w:r>
      <w:r>
        <w:rPr>
          <w:w w:val="105"/>
        </w:rPr>
        <w:t>costs</w:t>
      </w:r>
      <w:r>
        <w:rPr>
          <w:spacing w:val="8"/>
          <w:w w:val="105"/>
        </w:rPr>
        <w:t> </w:t>
      </w:r>
      <w:r>
        <w:rPr>
          <w:w w:val="105"/>
        </w:rPr>
        <w:t>as</w:t>
      </w:r>
      <w:r>
        <w:rPr>
          <w:spacing w:val="8"/>
          <w:w w:val="105"/>
        </w:rPr>
        <w:t> </w:t>
      </w:r>
      <w:r>
        <w:rPr>
          <w:w w:val="105"/>
        </w:rPr>
        <w:t>putting</w:t>
      </w:r>
      <w:r>
        <w:rPr>
          <w:spacing w:val="8"/>
          <w:w w:val="105"/>
        </w:rPr>
        <w:t> </w:t>
      </w:r>
      <w:r>
        <w:rPr>
          <w:spacing w:val="-3"/>
          <w:w w:val="105"/>
        </w:rPr>
        <w:t>upward</w:t>
      </w:r>
      <w:r>
        <w:rPr>
          <w:spacing w:val="8"/>
          <w:w w:val="105"/>
        </w:rPr>
        <w:t> </w:t>
      </w:r>
      <w:r>
        <w:rPr>
          <w:spacing w:val="-3"/>
          <w:w w:val="105"/>
        </w:rPr>
        <w:t>pressure</w:t>
      </w:r>
      <w:r>
        <w:rPr>
          <w:spacing w:val="8"/>
          <w:w w:val="105"/>
        </w:rPr>
        <w:t> </w:t>
      </w:r>
      <w:r>
        <w:rPr>
          <w:w w:val="105"/>
        </w:rPr>
        <w:t>on</w:t>
      </w:r>
      <w:r>
        <w:rPr>
          <w:spacing w:val="8"/>
          <w:w w:val="105"/>
        </w:rPr>
        <w:t> </w:t>
      </w:r>
      <w:r>
        <w:rPr>
          <w:w w:val="105"/>
        </w:rPr>
        <w:t>prices.</w:t>
      </w:r>
    </w:p>
    <w:p>
      <w:pPr>
        <w:spacing w:after="0" w:line="292" w:lineRule="auto"/>
        <w:sectPr>
          <w:type w:val="continuous"/>
          <w:pgSz w:w="11900" w:h="16840"/>
          <w:pgMar w:top="1260" w:bottom="280" w:left="640" w:right="640"/>
          <w:cols w:num="2" w:equalWidth="0">
            <w:col w:w="3654" w:space="1234"/>
            <w:col w:w="5732"/>
          </w:cols>
        </w:sectPr>
      </w:pPr>
    </w:p>
    <w:p>
      <w:pPr>
        <w:pStyle w:val="BodyText"/>
        <w:spacing w:before="10"/>
        <w:rPr>
          <w:sz w:val="17"/>
        </w:rPr>
      </w:pPr>
    </w:p>
    <w:p>
      <w:pPr>
        <w:spacing w:after="0"/>
        <w:rPr>
          <w:sz w:val="17"/>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0"/>
        <w:ind w:left="376" w:right="0" w:firstLine="0"/>
        <w:jc w:val="left"/>
        <w:rPr>
          <w:sz w:val="12"/>
        </w:rPr>
      </w:pPr>
      <w:r>
        <w:rPr/>
        <w:pict>
          <v:shape style="position:absolute;margin-left:42.237999pt;margin-top:-.861424pt;width:159.75pt;height:4.150pt;mso-position-horizontal-relative:page;mso-position-vertical-relative:paragraph;z-index:16291328" coordorigin="845,-17" coordsize="3195,83" path="m845,65l931,65m3952,65l4039,65m1002,65l3902,65m1004,-17l1004,65m1327,-17l1327,65m1650,-17l1650,65m1974,-17l1974,65m2297,-17l2297,65m2620,-17l2620,65m2944,-17l2944,65m3267,-17l3267,65m3591,-17l3591,65e" filled="false" stroked="true" strokeweight=".5pt" strokecolor="#000000">
            <v:path arrowok="t"/>
            <v:stroke dashstyle="solid"/>
            <w10:wrap type="none"/>
          </v:shape>
        </w:pict>
      </w:r>
      <w:r>
        <w:rPr>
          <w:w w:val="120"/>
          <w:sz w:val="12"/>
        </w:rPr>
        <w:t>1992 93 94 95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101"/>
      </w:pPr>
      <w:r>
        <w:rPr>
          <w:color w:val="89C6DC"/>
          <w:w w:val="95"/>
        </w:rPr>
        <w:t>Chart 4.8</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10"/>
        <w:rPr>
          <w:rFonts w:ascii="Trebuchet MS"/>
          <w:b/>
          <w:sz w:val="16"/>
        </w:rPr>
      </w:pPr>
    </w:p>
    <w:p>
      <w:pPr>
        <w:spacing w:before="0"/>
        <w:ind w:left="131" w:right="0" w:firstLine="0"/>
        <w:jc w:val="left"/>
        <w:rPr>
          <w:sz w:val="12"/>
        </w:rPr>
      </w:pPr>
      <w:r>
        <w:rPr>
          <w:w w:val="120"/>
          <w:sz w:val="12"/>
        </w:rPr>
        <w:t>96 97 98 99 2000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1"/>
        </w:rPr>
      </w:pPr>
    </w:p>
    <w:p>
      <w:pPr>
        <w:spacing w:before="0"/>
        <w:ind w:left="133" w:right="0" w:firstLine="0"/>
        <w:jc w:val="left"/>
        <w:rPr>
          <w:sz w:val="12"/>
        </w:rPr>
      </w:pPr>
      <w:r>
        <w:rPr>
          <w:w w:val="115"/>
          <w:sz w:val="12"/>
        </w:rPr>
        <w:t>1.5</w:t>
      </w:r>
    </w:p>
    <w:p>
      <w:pPr>
        <w:pStyle w:val="BodyText"/>
        <w:spacing w:line="292" w:lineRule="auto" w:before="64"/>
        <w:ind w:left="178" w:right="79"/>
      </w:pPr>
      <w:r>
        <w:rPr/>
        <w:br w:type="column"/>
      </w:r>
      <w:r>
        <w:rPr>
          <w:w w:val="110"/>
        </w:rPr>
        <w:t>Unit labour costs form a major component of manufacturers’ costs. Manufacturing</w:t>
      </w:r>
      <w:r>
        <w:rPr>
          <w:spacing w:val="-27"/>
          <w:w w:val="110"/>
        </w:rPr>
        <w:t> </w:t>
      </w:r>
      <w:r>
        <w:rPr>
          <w:w w:val="110"/>
        </w:rPr>
        <w:t>unit</w:t>
      </w:r>
      <w:r>
        <w:rPr>
          <w:spacing w:val="-27"/>
          <w:w w:val="110"/>
        </w:rPr>
        <w:t> </w:t>
      </w:r>
      <w:r>
        <w:rPr>
          <w:w w:val="110"/>
        </w:rPr>
        <w:t>wage</w:t>
      </w:r>
      <w:r>
        <w:rPr>
          <w:spacing w:val="-28"/>
          <w:w w:val="110"/>
        </w:rPr>
        <w:t> </w:t>
      </w:r>
      <w:r>
        <w:rPr>
          <w:w w:val="110"/>
        </w:rPr>
        <w:t>costs</w:t>
      </w:r>
      <w:r>
        <w:rPr>
          <w:spacing w:val="-27"/>
          <w:w w:val="110"/>
        </w:rPr>
        <w:t> </w:t>
      </w:r>
      <w:r>
        <w:rPr>
          <w:w w:val="110"/>
        </w:rPr>
        <w:t>growth</w:t>
      </w:r>
      <w:r>
        <w:rPr>
          <w:spacing w:val="-28"/>
          <w:w w:val="110"/>
        </w:rPr>
        <w:t> </w:t>
      </w:r>
      <w:r>
        <w:rPr>
          <w:w w:val="110"/>
        </w:rPr>
        <w:t>has</w:t>
      </w:r>
      <w:r>
        <w:rPr>
          <w:spacing w:val="-27"/>
          <w:w w:val="110"/>
        </w:rPr>
        <w:t> </w:t>
      </w:r>
      <w:r>
        <w:rPr>
          <w:w w:val="110"/>
        </w:rPr>
        <w:t>remained</w:t>
      </w:r>
      <w:r>
        <w:rPr>
          <w:spacing w:val="-27"/>
          <w:w w:val="110"/>
        </w:rPr>
        <w:t> </w:t>
      </w:r>
      <w:r>
        <w:rPr>
          <w:w w:val="110"/>
        </w:rPr>
        <w:t>low in recent months (see Chart 4.6), as continuing strong productivity growth has counterbalanced a slight rise in annual</w:t>
      </w:r>
      <w:r>
        <w:rPr>
          <w:spacing w:val="-12"/>
          <w:w w:val="110"/>
        </w:rPr>
        <w:t> </w:t>
      </w:r>
      <w:r>
        <w:rPr>
          <w:w w:val="110"/>
        </w:rPr>
        <w:t>manufacturing</w:t>
      </w:r>
      <w:r>
        <w:rPr>
          <w:spacing w:val="-11"/>
          <w:w w:val="110"/>
        </w:rPr>
        <w:t> </w:t>
      </w:r>
      <w:r>
        <w:rPr>
          <w:w w:val="110"/>
        </w:rPr>
        <w:t>earnings</w:t>
      </w:r>
      <w:r>
        <w:rPr>
          <w:spacing w:val="-11"/>
          <w:w w:val="110"/>
        </w:rPr>
        <w:t> </w:t>
      </w:r>
      <w:r>
        <w:rPr>
          <w:w w:val="110"/>
        </w:rPr>
        <w:t>growth</w:t>
      </w:r>
      <w:r>
        <w:rPr>
          <w:spacing w:val="-11"/>
          <w:w w:val="110"/>
        </w:rPr>
        <w:t> </w:t>
      </w:r>
      <w:hyperlink w:history="true" w:anchor="_bookmark30">
        <w:r>
          <w:rPr>
            <w:w w:val="110"/>
          </w:rPr>
          <w:t>(see</w:t>
        </w:r>
        <w:r>
          <w:rPr>
            <w:spacing w:val="-12"/>
            <w:w w:val="110"/>
          </w:rPr>
          <w:t> </w:t>
        </w:r>
        <w:r>
          <w:rPr>
            <w:color w:val="FF0000"/>
            <w:w w:val="110"/>
          </w:rPr>
          <w:t>Section</w:t>
        </w:r>
        <w:r>
          <w:rPr>
            <w:color w:val="FF0000"/>
            <w:spacing w:val="-11"/>
            <w:w w:val="110"/>
          </w:rPr>
          <w:t> </w:t>
        </w:r>
        <w:r>
          <w:rPr>
            <w:color w:val="FF0000"/>
            <w:w w:val="110"/>
          </w:rPr>
          <w:t>3</w:t>
        </w:r>
        <w:r>
          <w:rPr>
            <w:w w:val="110"/>
          </w:rPr>
          <w:t>).</w:t>
        </w:r>
      </w:hyperlink>
    </w:p>
    <w:p>
      <w:pPr>
        <w:pStyle w:val="BodyText"/>
        <w:spacing w:line="292" w:lineRule="auto"/>
        <w:ind w:left="178" w:right="670"/>
        <w:jc w:val="both"/>
      </w:pPr>
      <w:r>
        <w:rPr>
          <w:w w:val="105"/>
        </w:rPr>
        <w:t>Nevertheless, the latest BCC survey reported the highest balance of firms citing pay settlements as putting upward pressure on prices in the survey’s four-year history.</w:t>
      </w:r>
    </w:p>
    <w:p>
      <w:pPr>
        <w:pStyle w:val="BodyText"/>
        <w:spacing w:before="7"/>
        <w:rPr>
          <w:sz w:val="19"/>
        </w:rPr>
      </w:pPr>
    </w:p>
    <w:p>
      <w:pPr>
        <w:pStyle w:val="BodyText"/>
        <w:spacing w:line="280" w:lineRule="atLeast"/>
        <w:ind w:left="178" w:right="188"/>
      </w:pPr>
      <w:r>
        <w:rPr>
          <w:w w:val="105"/>
        </w:rPr>
        <w:t>Producer output prices (excluding excise duties) rose by 1.6% in the year to December (see Chart 4.7), the slowest rate of increase for a year, as petroleum products’ prices fell. And output prices excluding food, drink, tobacco and oil rose at</w:t>
      </w:r>
    </w:p>
    <w:p>
      <w:pPr>
        <w:spacing w:after="0" w:line="280" w:lineRule="atLeast"/>
        <w:sectPr>
          <w:type w:val="continuous"/>
          <w:pgSz w:w="11900" w:h="16840"/>
          <w:pgMar w:top="1260" w:bottom="280" w:left="640" w:right="640"/>
          <w:cols w:num="4" w:equalWidth="0">
            <w:col w:w="1568" w:space="40"/>
            <w:col w:w="1661" w:space="39"/>
            <w:col w:w="346" w:space="1248"/>
            <w:col w:w="5718"/>
          </w:cols>
        </w:sectPr>
      </w:pPr>
    </w:p>
    <w:p>
      <w:pPr>
        <w:pStyle w:val="Heading6"/>
        <w:spacing w:line="174" w:lineRule="exact"/>
        <w:rPr>
          <w:rFonts w:ascii="Times New Roman"/>
          <w:b w:val="0"/>
          <w:sz w:val="12"/>
        </w:rPr>
      </w:pPr>
      <w:r>
        <w:rPr>
          <w:color w:val="89C6DC"/>
          <w:w w:val="90"/>
        </w:rPr>
        <w:t>Manufacturing output price expectations</w:t>
      </w:r>
      <w:r>
        <w:rPr>
          <w:rFonts w:ascii="Times New Roman"/>
          <w:b w:val="0"/>
          <w:w w:val="90"/>
          <w:position w:val="4"/>
          <w:sz w:val="12"/>
        </w:rPr>
        <w:t>(a)</w:t>
      </w:r>
    </w:p>
    <w:p>
      <w:pPr>
        <w:spacing w:line="114" w:lineRule="exact" w:before="44"/>
        <w:ind w:left="2327" w:right="0" w:firstLine="0"/>
        <w:jc w:val="left"/>
        <w:rPr>
          <w:sz w:val="12"/>
        </w:rPr>
      </w:pPr>
      <w:r>
        <w:rPr/>
        <w:pict>
          <v:line style="position:absolute;mso-position-horizontal-relative:page;mso-position-vertical-relative:paragraph;z-index:16297472" from="196.710999pt,10.456308pt" to="201.042999pt,10.456308pt" stroked="true" strokeweight=".5pt" strokecolor="#000000">
            <v:stroke dashstyle="solid"/>
            <w10:wrap type="none"/>
          </v:line>
        </w:pict>
      </w:r>
      <w:r>
        <w:rPr>
          <w:w w:val="110"/>
          <w:sz w:val="12"/>
        </w:rPr>
        <w:t>Percentage balances</w:t>
      </w:r>
    </w:p>
    <w:p>
      <w:pPr>
        <w:pStyle w:val="BodyText"/>
        <w:spacing w:before="50"/>
        <w:ind w:left="178"/>
      </w:pPr>
      <w:r>
        <w:rPr/>
        <w:br w:type="column"/>
      </w:r>
      <w:r>
        <w:rPr>
          <w:w w:val="110"/>
        </w:rPr>
        <w:t>their lowest annual rate for ten months in December. The</w:t>
      </w:r>
    </w:p>
    <w:p>
      <w:pPr>
        <w:spacing w:after="0"/>
        <w:sectPr>
          <w:type w:val="continuous"/>
          <w:pgSz w:w="11900" w:h="16840"/>
          <w:pgMar w:top="1260" w:bottom="280" w:left="640" w:right="640"/>
          <w:cols w:num="2" w:equalWidth="0">
            <w:col w:w="3803" w:space="1099"/>
            <w:col w:w="5718"/>
          </w:cols>
        </w:sectPr>
      </w:pPr>
    </w:p>
    <w:p>
      <w:pPr>
        <w:pStyle w:val="BodyText"/>
        <w:rPr>
          <w:sz w:val="4"/>
        </w:rPr>
      </w:pPr>
    </w:p>
    <w:p>
      <w:pPr>
        <w:pStyle w:val="BodyText"/>
        <w:spacing w:line="20" w:lineRule="exact"/>
        <w:ind w:left="161"/>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9"/>
        <w:rPr>
          <w:sz w:val="12"/>
        </w:rPr>
      </w:pPr>
      <w:r>
        <w:rPr/>
        <w:pict>
          <v:shape style="position:absolute;margin-left:40.339001pt;margin-top:9.566568pt;width:4.350pt;height:.1pt;mso-position-horizontal-relative:page;mso-position-vertical-relative:paragraph;z-index:-15183360;mso-wrap-distance-left:0;mso-wrap-distance-right:0" coordorigin="807,191" coordsize="87,0" path="m807,191l893,191e" filled="false" stroked="true" strokeweight=".5pt" strokecolor="#000000">
            <v:path arrowok="t"/>
            <v:stroke dashstyle="solid"/>
            <w10:wrap type="topAndBottom"/>
          </v:shape>
        </w:pict>
      </w:r>
    </w:p>
    <w:p>
      <w:pPr>
        <w:pStyle w:val="BodyText"/>
        <w:spacing w:before="4"/>
        <w:rPr>
          <w:sz w:val="10"/>
        </w:rPr>
      </w:pPr>
    </w:p>
    <w:p>
      <w:pPr>
        <w:spacing w:before="1"/>
        <w:ind w:left="486" w:right="0" w:firstLine="0"/>
        <w:jc w:val="left"/>
        <w:rPr>
          <w:sz w:val="12"/>
        </w:rPr>
      </w:pPr>
      <w:r>
        <w:rPr/>
        <w:pict>
          <v:line style="position:absolute;mso-position-horizontal-relative:page;mso-position-vertical-relative:paragraph;z-index:16293376" from="40.339001pt,2.647479pt" to="44.671001pt,2.647479pt" stroked="true" strokeweight=".5pt" strokecolor="#000000">
            <v:stroke dashstyle="solid"/>
            <w10:wrap type="none"/>
          </v:line>
        </w:pict>
      </w:r>
      <w:r>
        <w:rPr>
          <w:w w:val="105"/>
          <w:sz w:val="12"/>
        </w:rPr>
        <w:t>Dun &amp; Bradstreet</w:t>
      </w:r>
    </w:p>
    <w:p>
      <w:pPr>
        <w:pStyle w:val="BodyText"/>
        <w:spacing w:before="11"/>
        <w:rPr>
          <w:sz w:val="9"/>
        </w:rPr>
      </w:pPr>
    </w:p>
    <w:p>
      <w:pPr>
        <w:pStyle w:val="BodyText"/>
        <w:spacing w:line="20" w:lineRule="exact"/>
        <w:ind w:left="161"/>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8"/>
        <w:rPr>
          <w:sz w:val="12"/>
        </w:rPr>
      </w:pPr>
      <w:r>
        <w:rPr/>
        <w:pict>
          <v:shape style="position:absolute;margin-left:40.339001pt;margin-top:9.548513pt;width:4.350pt;height:.1pt;mso-position-horizontal-relative:page;mso-position-vertical-relative:paragraph;z-index:-15182336;mso-wrap-distance-left:0;mso-wrap-distance-right:0" coordorigin="807,191" coordsize="87,0" path="m807,191l893,191e" filled="false" stroked="true" strokeweight=".5pt" strokecolor="#000000">
            <v:path arrowok="t"/>
            <v:stroke dashstyle="solid"/>
            <w10:wrap type="topAndBottom"/>
          </v:shape>
        </w:pict>
      </w:r>
      <w:r>
        <w:rPr/>
        <w:pict>
          <v:shape style="position:absolute;margin-left:40.339001pt;margin-top:19.839514pt;width:4.350pt;height:.1pt;mso-position-horizontal-relative:page;mso-position-vertical-relative:paragraph;z-index:-15181824;mso-wrap-distance-left:0;mso-wrap-distance-right:0" coordorigin="807,397" coordsize="87,0" path="m807,397l893,397e" filled="false" stroked="true" strokeweight=".5pt" strokecolor="#000000">
            <v:path arrowok="t"/>
            <v:stroke dashstyle="solid"/>
            <w10:wrap type="topAndBottom"/>
          </v:shape>
        </w:pict>
      </w:r>
      <w:r>
        <w:rPr/>
        <w:pict>
          <v:shape style="position:absolute;margin-left:40.339001pt;margin-top:30.130514pt;width:4.350pt;height:.1pt;mso-position-horizontal-relative:page;mso-position-vertical-relative:paragraph;z-index:-15181312;mso-wrap-distance-left:0;mso-wrap-distance-right:0" coordorigin="807,603" coordsize="87,0" path="m807,603l893,603e" filled="false" stroked="true" strokeweight=".5pt" strokecolor="#000000">
            <v:path arrowok="t"/>
            <v:stroke dashstyle="solid"/>
            <w10:wrap type="topAndBottom"/>
          </v:shape>
        </w:pict>
      </w:r>
    </w:p>
    <w:p>
      <w:pPr>
        <w:pStyle w:val="BodyText"/>
        <w:spacing w:before="1"/>
        <w:rPr>
          <w:sz w:val="11"/>
        </w:rPr>
      </w:pPr>
    </w:p>
    <w:p>
      <w:pPr>
        <w:pStyle w:val="BodyText"/>
        <w:spacing w:before="1"/>
        <w:rPr>
          <w:sz w:val="11"/>
        </w:rPr>
      </w:pPr>
    </w:p>
    <w:p>
      <w:pPr>
        <w:spacing w:line="116" w:lineRule="exact" w:before="0"/>
        <w:ind w:left="0" w:right="38" w:firstLine="0"/>
        <w:jc w:val="right"/>
        <w:rPr>
          <w:sz w:val="12"/>
        </w:rPr>
      </w:pPr>
      <w:r>
        <w:rPr/>
        <w:br w:type="column"/>
      </w:r>
      <w:r>
        <w:rPr>
          <w:w w:val="120"/>
          <w:sz w:val="12"/>
        </w:rPr>
        <w:t>35</w:t>
      </w:r>
    </w:p>
    <w:p>
      <w:pPr>
        <w:spacing w:before="68"/>
        <w:ind w:left="0" w:right="38" w:firstLine="0"/>
        <w:jc w:val="right"/>
        <w:rPr>
          <w:sz w:val="12"/>
        </w:rPr>
      </w:pPr>
      <w:r>
        <w:rPr/>
        <w:pict>
          <v:line style="position:absolute;mso-position-horizontal-relative:page;mso-position-vertical-relative:paragraph;z-index:16296448" from="196.710999pt,7.059271pt" to="201.042999pt,7.059271pt" stroked="true" strokeweight=".5pt" strokecolor="#000000">
            <v:stroke dashstyle="solid"/>
            <w10:wrap type="none"/>
          </v:line>
        </w:pict>
      </w:r>
      <w:r>
        <w:rPr>
          <w:w w:val="120"/>
          <w:sz w:val="12"/>
        </w:rPr>
        <w:t>30</w:t>
      </w:r>
    </w:p>
    <w:p>
      <w:pPr>
        <w:spacing w:before="67"/>
        <w:ind w:left="0" w:right="38" w:firstLine="0"/>
        <w:jc w:val="right"/>
        <w:rPr>
          <w:sz w:val="12"/>
        </w:rPr>
      </w:pPr>
      <w:r>
        <w:rPr/>
        <w:pict>
          <v:group style="position:absolute;margin-left:48.264999pt;margin-top:5.987066pt;width:152.8pt;height:114.5pt;mso-position-horizontal-relative:page;mso-position-vertical-relative:paragraph;z-index:-23036928" coordorigin="965,120" coordsize="3056,2290">
            <v:shape style="position:absolute;left:975;top:419;width:333;height:788" coordorigin="975,420" coordsize="333,788" path="m975,420l1018,580m1018,580l1073,625m1073,625l1115,755m1115,755l1168,1002m1168,1002l1210,915m1210,915l1265,1207m1265,1207l1308,1162e" filled="false" stroked="true" strokeweight="1pt" strokecolor="#de0035">
              <v:path arrowok="t"/>
              <v:stroke dashstyle="solid"/>
            </v:shape>
            <v:line style="position:absolute" from="1298,1163" to="1373,1163" stroked="true" strokeweight="1.125pt" strokecolor="#de0035">
              <v:stroke dashstyle="solid"/>
            </v:line>
            <v:shape style="position:absolute;left:1362;top:507;width:193;height:655" coordorigin="1363,507" coordsize="193,655" path="m1363,1162l1405,872m1405,872l1458,827m1458,827l1503,667m1503,667l1555,507e" filled="false" stroked="true" strokeweight="1pt" strokecolor="#de0035">
              <v:path arrowok="t"/>
              <v:stroke dashstyle="solid"/>
            </v:shape>
            <v:line style="position:absolute" from="1577,497" to="1577,1012" stroked="true" strokeweight="3.125pt" strokecolor="#de0035">
              <v:stroke dashstyle="solid"/>
            </v:line>
            <v:shape style="position:absolute;left:1597;top:799;width:238;height:480" coordorigin="1598,800" coordsize="238,480" path="m1598,1002l1653,800m1653,800l1695,1162m1695,1162l1738,1002m1738,1002l1793,1207m1793,1207l1835,1280e" filled="false" stroked="true" strokeweight="1pt" strokecolor="#de0035">
              <v:path arrowok="t"/>
              <v:stroke dashstyle="solid"/>
            </v:shape>
            <v:line style="position:absolute" from="1825,1281" to="1900,1281" stroked="true" strokeweight="1.125pt" strokecolor="#de0035">
              <v:stroke dashstyle="solid"/>
            </v:line>
            <v:shape style="position:absolute;left:1890;top:1047;width:570;height:1018" coordorigin="1890,1047" coordsize="570,1018" path="m1890,1280l1933,1322m1933,1322l1985,1075m1985,1075l2030,1207m2030,1207l2083,1047m2083,1047l2125,1120m2125,1120l2180,1280m2180,1280l2223,1455m2223,1455l2278,1497m2278,1497l2320,1775m2320,1775l2373,2065m2373,2065l2418,1775m2418,1775l2460,1862e" filled="false" stroked="true" strokeweight="1pt" strokecolor="#de0035">
              <v:path arrowok="t"/>
              <v:stroke dashstyle="solid"/>
            </v:shape>
            <v:line style="position:absolute" from="2450,1863" to="2523,1863" stroked="true" strokeweight="1.125pt" strokecolor="#de0035">
              <v:stroke dashstyle="solid"/>
            </v:line>
            <v:shape style="position:absolute;left:2512;top:1322;width:765;height:1078" coordorigin="2513,1322" coordsize="765,1078" path="m2513,1862l2558,1905m2558,1905l2610,2400m2610,2400l2653,2195m2653,2195l2708,2022m2708,2022l2750,2065m2750,2065l2805,2022m2805,2022l2848,1817m2848,1817l2900,2022m2900,2022l2943,1775m2943,1775l2998,1950m2998,1950l3040,1775m3040,1775l3095,1702m3095,1702l3138,1570m3138,1570l3180,1410m3180,1410l3235,1497m3235,1497l3278,1322e" filled="false" stroked="true" strokeweight="1pt" strokecolor="#de0035">
              <v:path arrowok="t"/>
              <v:stroke dashstyle="solid"/>
            </v:shape>
            <v:line style="position:absolute" from="3268,1323" to="3340,1323" stroked="true" strokeweight="1.125pt" strokecolor="#de0035">
              <v:stroke dashstyle="solid"/>
            </v:line>
            <v:shape style="position:absolute;left:3330;top:1322;width:238;height:700" coordorigin="3330,1322" coordsize="238,700" path="m3330,1322l3375,1615m3375,1615l3428,1702m3428,1702l3470,2022m3470,2022l3525,1905m3525,1905l3568,1775e" filled="false" stroked="true" strokeweight="1pt" strokecolor="#de0035">
              <v:path arrowok="t"/>
              <v:stroke dashstyle="solid"/>
            </v:shape>
            <v:line style="position:absolute" from="3558,1776" to="3633,1776" stroked="true" strokeweight="1.125pt" strokecolor="#de0035">
              <v:stroke dashstyle="solid"/>
            </v:line>
            <v:shape style="position:absolute;left:3622;top:1002;width:235;height:990" coordorigin="3623,1002" coordsize="235,990" path="m3623,1775l3665,1992m3665,1992l3718,1657m3718,1657l3763,1702m3763,1702l3815,1322m3815,1322l3858,1002e" filled="false" stroked="true" strokeweight="1pt" strokecolor="#de0035">
              <v:path arrowok="t"/>
              <v:stroke dashstyle="solid"/>
            </v:shape>
            <v:shape style="position:absolute;left:1072;top:624;width:2743;height:1368" coordorigin="1073,625" coordsize="2743,1368" path="m1073,800l1210,755m1210,755l1363,1075m1363,1075l1503,625m1503,625l1653,1075m1653,1075l1793,1250m1793,1250l1933,1207m1933,1207l2083,827m2083,827l2223,1120m2223,1120l2373,960m2373,960l2513,1657m2513,1657l2653,1702m2653,1702l2805,1992m2805,1992l2943,1280m2943,1280l3095,1410m3095,1410l3235,1047m3235,1047l3375,1120m3375,1120l3525,1497m3525,1497l3665,915m3665,915l3815,667e" filled="false" stroked="true" strokeweight="1pt" strokecolor="#0099d9">
              <v:path arrowok="t"/>
              <v:stroke dashstyle="solid"/>
            </v:shape>
            <v:shape style="position:absolute;left:1072;top:129;width:430;height:378" coordorigin="1073,130" coordsize="430,378" path="m1073,130l1210,507m1210,507l1363,305m1363,305l1503,465e" filled="false" stroked="true" strokeweight="1pt" strokecolor="#acbc4a">
              <v:path arrowok="t"/>
              <v:stroke dashstyle="solid"/>
            </v:shape>
            <v:line style="position:absolute" from="1493,466" to="1663,466" stroked="true" strokeweight="1.125pt" strokecolor="#acbc4a">
              <v:stroke dashstyle="solid"/>
            </v:line>
            <v:shape style="position:absolute;left:1652;top:464;width:860;height:1033" coordorigin="1653,465" coordsize="860,1033" path="m1653,465l1793,800m1793,800l1933,872m1933,872l2083,827m2083,827l2223,1075m2223,1075l2373,1410m2373,1410l2513,1497e" filled="false" stroked="true" strokeweight="1pt" strokecolor="#acbc4a">
              <v:path arrowok="t"/>
              <v:stroke dashstyle="solid"/>
            </v:shape>
            <v:line style="position:absolute" from="2503,1498" to="2663,1498" stroked="true" strokeweight="1.125pt" strokecolor="#acbc4a">
              <v:stroke dashstyle="solid"/>
            </v:line>
            <v:shape style="position:absolute;left:2652;top:624;width:1163;height:1193" coordorigin="2653,625" coordsize="1163,1193" path="m2653,1497l2805,1817m2805,1817l2943,1570m2943,1570l3095,1410m3095,1410l3235,1322m3235,1322l3375,872m3375,872l3525,1162m3525,1162l3665,1280m3665,1280l3815,625e" filled="false" stroked="true" strokeweight="1pt" strokecolor="#acbc4a">
              <v:path arrowok="t"/>
              <v:stroke dashstyle="solid"/>
            </v:shape>
            <v:shape style="position:absolute;left:1792;top:464;width:2023;height:1063" coordorigin="1793,465" coordsize="2023,1063" path="m1793,827l1933,800m1933,800l2083,552m2083,552l2223,755m2223,755l2373,872m2373,872l2513,1410m2513,1410l2653,1497m2653,1497l2805,1455m2805,1455l2943,1527m2943,1527l3095,872m3095,872l3235,465m3235,465l3375,755m3375,755l3525,915m3525,915l3665,755m3665,755l3815,552e" filled="false" stroked="true" strokeweight="1pt" strokecolor="#a64991">
              <v:path arrowok="t"/>
              <v:stroke dashstyle="solid"/>
            </v:shape>
            <v:line style="position:absolute" from="2427,1683" to="1936,1879" stroked="true" strokeweight=".5pt" strokecolor="#000000">
              <v:stroke dashstyle="solid"/>
            </v:line>
            <v:shape style="position:absolute;left:2401;top:1657;width:88;height:55" coordorigin="2402,1658" coordsize="88,55" path="m2490,1658l2402,1666,2420,1712,2473,1668,2482,1662,2490,1658xe" filled="true" fillcolor="#000000" stroked="false">
              <v:path arrowok="t"/>
              <v:fill type="solid"/>
            </v:shape>
            <v:shape style="position:absolute;left:3934;top:140;width:87;height:2264" coordorigin="3934,140" coordsize="87,2264" path="m3934,140l4021,140m3934,346l4021,346m3934,758l4021,758m3934,1581l4021,1581m3934,2404l4021,2404m3934,1992l4021,1992m3934,963l4021,963m3934,1375l4021,1375m3934,1787l4021,1787m3934,2198l4021,2198m3934,552l4021,552e" filled="false" stroked="true" strokeweight=".5pt" strokecolor="#000000">
              <v:path arrowok="t"/>
              <v:stroke dashstyle="solid"/>
            </v:shape>
            <w10:wrap type="none"/>
          </v:group>
        </w:pict>
      </w:r>
      <w:r>
        <w:rPr>
          <w:w w:val="120"/>
          <w:sz w:val="12"/>
        </w:rPr>
        <w:t>25</w:t>
      </w:r>
    </w:p>
    <w:p>
      <w:pPr>
        <w:spacing w:line="134" w:lineRule="exact" w:before="68"/>
        <w:ind w:left="0" w:right="38" w:firstLine="0"/>
        <w:jc w:val="right"/>
        <w:rPr>
          <w:sz w:val="12"/>
        </w:rPr>
      </w:pPr>
      <w:r>
        <w:rPr>
          <w:w w:val="120"/>
          <w:sz w:val="12"/>
        </w:rPr>
        <w:t>20</w:t>
      </w:r>
    </w:p>
    <w:p>
      <w:pPr>
        <w:tabs>
          <w:tab w:pos="1406" w:val="right" w:leader="none"/>
        </w:tabs>
        <w:spacing w:line="230" w:lineRule="auto" w:before="0"/>
        <w:ind w:left="486" w:right="0" w:firstLine="0"/>
        <w:jc w:val="left"/>
        <w:rPr>
          <w:sz w:val="12"/>
        </w:rPr>
      </w:pPr>
      <w:r>
        <w:rPr>
          <w:w w:val="110"/>
          <w:sz w:val="12"/>
        </w:rPr>
        <w:t>BCC</w:t>
        <w:tab/>
      </w:r>
      <w:r>
        <w:rPr>
          <w:w w:val="110"/>
          <w:position w:val="-7"/>
          <w:sz w:val="12"/>
        </w:rPr>
        <w:t>15</w:t>
      </w:r>
    </w:p>
    <w:p>
      <w:pPr>
        <w:spacing w:before="66"/>
        <w:ind w:left="1260" w:right="0" w:firstLine="0"/>
        <w:jc w:val="left"/>
        <w:rPr>
          <w:sz w:val="12"/>
        </w:rPr>
      </w:pPr>
      <w:r>
        <w:rPr>
          <w:w w:val="120"/>
          <w:sz w:val="12"/>
        </w:rPr>
        <w:t>10</w:t>
      </w:r>
    </w:p>
    <w:p>
      <w:pPr>
        <w:spacing w:line="86" w:lineRule="exact" w:before="68"/>
        <w:ind w:left="1333" w:right="0" w:firstLine="0"/>
        <w:jc w:val="left"/>
        <w:rPr>
          <w:sz w:val="12"/>
        </w:rPr>
      </w:pPr>
      <w:r>
        <w:rPr>
          <w:w w:val="121"/>
          <w:sz w:val="12"/>
        </w:rPr>
        <w:t>5</w:t>
      </w:r>
    </w:p>
    <w:p>
      <w:pPr>
        <w:pStyle w:val="BodyText"/>
        <w:spacing w:line="292" w:lineRule="auto"/>
        <w:ind w:left="486" w:right="247"/>
      </w:pPr>
      <w:r>
        <w:rPr/>
        <w:br w:type="column"/>
      </w:r>
      <w:r>
        <w:rPr>
          <w:w w:val="110"/>
        </w:rPr>
        <w:t>continued low outturn suggests that there have not been any significant second-round effects from the sharp rise in oil prices over the past two years. And the lower oil prices of recent months reduce the likelihood of such effects.</w:t>
      </w:r>
    </w:p>
    <w:p>
      <w:pPr>
        <w:spacing w:after="0" w:line="292" w:lineRule="auto"/>
        <w:sectPr>
          <w:type w:val="continuous"/>
          <w:pgSz w:w="11900" w:h="16840"/>
          <w:pgMar w:top="1260" w:bottom="280" w:left="640" w:right="640"/>
          <w:cols w:num="3" w:equalWidth="0">
            <w:col w:w="1437" w:space="731"/>
            <w:col w:w="1447" w:space="979"/>
            <w:col w:w="6026"/>
          </w:cols>
        </w:sectPr>
      </w:pPr>
    </w:p>
    <w:p>
      <w:pPr>
        <w:tabs>
          <w:tab w:pos="2891" w:val="left" w:leader="none"/>
        </w:tabs>
        <w:spacing w:line="128" w:lineRule="exact" w:before="0"/>
        <w:ind w:left="0" w:right="127" w:firstLine="0"/>
        <w:jc w:val="right"/>
        <w:rPr>
          <w:sz w:val="16"/>
        </w:rPr>
      </w:pPr>
      <w:r>
        <w:rPr>
          <w:sz w:val="16"/>
          <w:u w:val="single"/>
        </w:rPr>
        <w:t> </w:t>
        <w:tab/>
      </w:r>
      <w:r>
        <w:rPr>
          <w:sz w:val="16"/>
        </w:rPr>
        <w:t> </w:t>
      </w:r>
      <w:r>
        <w:rPr>
          <w:spacing w:val="-12"/>
          <w:sz w:val="16"/>
        </w:rPr>
        <w:t> </w:t>
      </w:r>
      <w:r>
        <w:rPr>
          <w:sz w:val="16"/>
          <w:u w:val="single"/>
        </w:rPr>
        <w:t> </w:t>
      </w:r>
      <w:r>
        <w:rPr>
          <w:spacing w:val="6"/>
          <w:sz w:val="16"/>
          <w:u w:val="single"/>
        </w:rPr>
        <w:t> </w:t>
      </w:r>
      <w:r>
        <w:rPr>
          <w:w w:val="105"/>
          <w:sz w:val="16"/>
        </w:rPr>
        <w:t>+</w:t>
      </w:r>
    </w:p>
    <w:p>
      <w:pPr>
        <w:spacing w:line="132" w:lineRule="auto" w:before="2"/>
        <w:ind w:left="0" w:right="38" w:firstLine="0"/>
        <w:jc w:val="right"/>
        <w:rPr>
          <w:sz w:val="12"/>
        </w:rPr>
      </w:pPr>
      <w:r>
        <w:rPr/>
        <w:pict>
          <v:line style="position:absolute;mso-position-horizontal-relative:page;mso-position-vertical-relative:paragraph;z-index:16293888" from="40.339001pt,2.177052pt" to="44.671001pt,2.177052pt" stroked="true" strokeweight=".5pt" strokecolor="#000000">
            <v:stroke dashstyle="solid"/>
            <w10:wrap type="none"/>
          </v:line>
        </w:pict>
      </w:r>
      <w:r>
        <w:rPr>
          <w:w w:val="120"/>
          <w:position w:val="-7"/>
          <w:sz w:val="16"/>
        </w:rPr>
        <w:t>–</w:t>
      </w:r>
      <w:r>
        <w:rPr>
          <w:spacing w:val="-32"/>
          <w:w w:val="120"/>
          <w:position w:val="-7"/>
          <w:sz w:val="16"/>
        </w:rPr>
        <w:t> </w:t>
      </w:r>
      <w:r>
        <w:rPr>
          <w:w w:val="120"/>
          <w:sz w:val="12"/>
        </w:rPr>
        <w:t>0</w:t>
      </w:r>
    </w:p>
    <w:p>
      <w:pPr>
        <w:spacing w:before="31"/>
        <w:ind w:left="0" w:right="38" w:firstLine="0"/>
        <w:jc w:val="right"/>
        <w:rPr>
          <w:sz w:val="12"/>
        </w:rPr>
      </w:pPr>
      <w:r>
        <w:rPr/>
        <w:pict>
          <v:line style="position:absolute;mso-position-horizontal-relative:page;mso-position-vertical-relative:paragraph;z-index:16295424" from="40.339001pt,5.1848pt" to="44.671001pt,5.1848pt" stroked="true" strokeweight=".5pt" strokecolor="#000000">
            <v:stroke dashstyle="solid"/>
            <w10:wrap type="none"/>
          </v:line>
        </w:pict>
      </w:r>
      <w:r>
        <w:rPr>
          <w:w w:val="121"/>
          <w:sz w:val="12"/>
        </w:rPr>
        <w:t>5</w:t>
      </w:r>
    </w:p>
    <w:p>
      <w:pPr>
        <w:spacing w:before="67"/>
        <w:ind w:left="0" w:right="38" w:firstLine="0"/>
        <w:jc w:val="right"/>
        <w:rPr>
          <w:sz w:val="12"/>
        </w:rPr>
      </w:pPr>
      <w:r>
        <w:rPr/>
        <w:pict>
          <v:line style="position:absolute;mso-position-horizontal-relative:page;mso-position-vertical-relative:paragraph;z-index:16294400" from="40.339001pt,6.980863pt" to="44.671001pt,6.980863pt" stroked="true" strokeweight=".5pt" strokecolor="#000000">
            <v:stroke dashstyle="solid"/>
            <w10:wrap type="none"/>
          </v:line>
        </w:pict>
      </w:r>
      <w:r>
        <w:rPr>
          <w:w w:val="120"/>
          <w:sz w:val="12"/>
        </w:rPr>
        <w:t>10</w:t>
      </w:r>
    </w:p>
    <w:p>
      <w:pPr>
        <w:spacing w:line="118" w:lineRule="exact" w:before="68"/>
        <w:ind w:left="0" w:right="38" w:firstLine="0"/>
        <w:jc w:val="right"/>
        <w:rPr>
          <w:sz w:val="12"/>
        </w:rPr>
      </w:pPr>
      <w:r>
        <w:rPr/>
        <w:pict>
          <v:line style="position:absolute;mso-position-horizontal-relative:page;mso-position-vertical-relative:paragraph;z-index:16295936" from="40.339001pt,7.027063pt" to="44.671001pt,7.027063pt" stroked="true" strokeweight=".5pt" strokecolor="#000000">
            <v:stroke dashstyle="solid"/>
            <w10:wrap type="none"/>
          </v:line>
        </w:pict>
      </w:r>
      <w:r>
        <w:rPr>
          <w:w w:val="120"/>
          <w:sz w:val="12"/>
        </w:rPr>
        <w:t>15</w:t>
      </w:r>
    </w:p>
    <w:p>
      <w:pPr>
        <w:pStyle w:val="BodyText"/>
        <w:spacing w:line="280" w:lineRule="atLeast" w:before="28"/>
        <w:ind w:left="334" w:right="276"/>
        <w:jc w:val="both"/>
      </w:pPr>
      <w:r>
        <w:rPr/>
        <w:br w:type="column"/>
      </w:r>
      <w:r>
        <w:rPr>
          <w:spacing w:val="-3"/>
          <w:w w:val="110"/>
        </w:rPr>
        <w:t>Survey</w:t>
      </w:r>
      <w:r>
        <w:rPr>
          <w:spacing w:val="-37"/>
          <w:w w:val="110"/>
        </w:rPr>
        <w:t> </w:t>
      </w:r>
      <w:r>
        <w:rPr>
          <w:w w:val="110"/>
        </w:rPr>
        <w:t>evidence,</w:t>
      </w:r>
      <w:r>
        <w:rPr>
          <w:spacing w:val="-38"/>
          <w:w w:val="110"/>
        </w:rPr>
        <w:t> </w:t>
      </w:r>
      <w:r>
        <w:rPr>
          <w:spacing w:val="-4"/>
          <w:w w:val="110"/>
        </w:rPr>
        <w:t>however,</w:t>
      </w:r>
      <w:r>
        <w:rPr>
          <w:spacing w:val="-37"/>
          <w:w w:val="110"/>
        </w:rPr>
        <w:t> </w:t>
      </w:r>
      <w:r>
        <w:rPr>
          <w:w w:val="110"/>
        </w:rPr>
        <w:t>suggests</w:t>
      </w:r>
      <w:r>
        <w:rPr>
          <w:spacing w:val="-37"/>
          <w:w w:val="110"/>
        </w:rPr>
        <w:t> </w:t>
      </w:r>
      <w:r>
        <w:rPr>
          <w:w w:val="110"/>
        </w:rPr>
        <w:t>potentially</w:t>
      </w:r>
      <w:r>
        <w:rPr>
          <w:spacing w:val="-37"/>
          <w:w w:val="110"/>
        </w:rPr>
        <w:t> </w:t>
      </w:r>
      <w:r>
        <w:rPr>
          <w:spacing w:val="-3"/>
          <w:w w:val="110"/>
        </w:rPr>
        <w:t>greater</w:t>
      </w:r>
      <w:r>
        <w:rPr>
          <w:spacing w:val="-37"/>
          <w:w w:val="110"/>
        </w:rPr>
        <w:t> </w:t>
      </w:r>
      <w:r>
        <w:rPr>
          <w:spacing w:val="-3"/>
          <w:w w:val="110"/>
        </w:rPr>
        <w:t>upward pressure</w:t>
      </w:r>
      <w:r>
        <w:rPr>
          <w:spacing w:val="-17"/>
          <w:w w:val="110"/>
        </w:rPr>
        <w:t> </w:t>
      </w:r>
      <w:r>
        <w:rPr>
          <w:w w:val="110"/>
        </w:rPr>
        <w:t>on</w:t>
      </w:r>
      <w:r>
        <w:rPr>
          <w:spacing w:val="-16"/>
          <w:w w:val="110"/>
        </w:rPr>
        <w:t> </w:t>
      </w:r>
      <w:r>
        <w:rPr>
          <w:w w:val="110"/>
        </w:rPr>
        <w:t>output</w:t>
      </w:r>
      <w:r>
        <w:rPr>
          <w:spacing w:val="-17"/>
          <w:w w:val="110"/>
        </w:rPr>
        <w:t> </w:t>
      </w:r>
      <w:r>
        <w:rPr>
          <w:w w:val="110"/>
        </w:rPr>
        <w:t>prices</w:t>
      </w:r>
      <w:r>
        <w:rPr>
          <w:spacing w:val="-16"/>
          <w:w w:val="110"/>
        </w:rPr>
        <w:t> </w:t>
      </w:r>
      <w:r>
        <w:rPr>
          <w:w w:val="110"/>
        </w:rPr>
        <w:t>in</w:t>
      </w:r>
      <w:r>
        <w:rPr>
          <w:spacing w:val="-16"/>
          <w:w w:val="110"/>
        </w:rPr>
        <w:t> </w:t>
      </w:r>
      <w:r>
        <w:rPr>
          <w:w w:val="110"/>
        </w:rPr>
        <w:t>coming</w:t>
      </w:r>
      <w:r>
        <w:rPr>
          <w:spacing w:val="-17"/>
          <w:w w:val="110"/>
        </w:rPr>
        <w:t> </w:t>
      </w:r>
      <w:r>
        <w:rPr>
          <w:w w:val="110"/>
        </w:rPr>
        <w:t>months.</w:t>
      </w:r>
      <w:r>
        <w:rPr>
          <w:spacing w:val="23"/>
          <w:w w:val="110"/>
        </w:rPr>
        <w:t> </w:t>
      </w:r>
      <w:r>
        <w:rPr>
          <w:spacing w:val="-3"/>
          <w:w w:val="110"/>
        </w:rPr>
        <w:t>Several</w:t>
      </w:r>
      <w:r>
        <w:rPr>
          <w:spacing w:val="-16"/>
          <w:w w:val="110"/>
        </w:rPr>
        <w:t> </w:t>
      </w:r>
      <w:r>
        <w:rPr>
          <w:spacing w:val="-3"/>
          <w:w w:val="110"/>
        </w:rPr>
        <w:t>surveys have</w:t>
      </w:r>
      <w:r>
        <w:rPr>
          <w:spacing w:val="-13"/>
          <w:w w:val="110"/>
        </w:rPr>
        <w:t> </w:t>
      </w:r>
      <w:r>
        <w:rPr>
          <w:w w:val="110"/>
        </w:rPr>
        <w:t>recently</w:t>
      </w:r>
      <w:r>
        <w:rPr>
          <w:spacing w:val="-12"/>
          <w:w w:val="110"/>
        </w:rPr>
        <w:t> </w:t>
      </w:r>
      <w:r>
        <w:rPr>
          <w:w w:val="110"/>
        </w:rPr>
        <w:t>reported,</w:t>
      </w:r>
      <w:r>
        <w:rPr>
          <w:spacing w:val="-12"/>
          <w:w w:val="110"/>
        </w:rPr>
        <w:t> </w:t>
      </w:r>
      <w:r>
        <w:rPr>
          <w:w w:val="110"/>
        </w:rPr>
        <w:t>for</w:t>
      </w:r>
      <w:r>
        <w:rPr>
          <w:spacing w:val="-12"/>
          <w:w w:val="110"/>
        </w:rPr>
        <w:t> </w:t>
      </w:r>
      <w:r>
        <w:rPr>
          <w:w w:val="110"/>
        </w:rPr>
        <w:t>the</w:t>
      </w:r>
      <w:r>
        <w:rPr>
          <w:spacing w:val="-12"/>
          <w:w w:val="110"/>
        </w:rPr>
        <w:t> </w:t>
      </w:r>
      <w:r>
        <w:rPr>
          <w:w w:val="110"/>
        </w:rPr>
        <w:t>first</w:t>
      </w:r>
      <w:r>
        <w:rPr>
          <w:spacing w:val="-12"/>
          <w:w w:val="110"/>
        </w:rPr>
        <w:t> </w:t>
      </w:r>
      <w:r>
        <w:rPr>
          <w:w w:val="110"/>
        </w:rPr>
        <w:t>time</w:t>
      </w:r>
      <w:r>
        <w:rPr>
          <w:spacing w:val="-12"/>
          <w:w w:val="110"/>
        </w:rPr>
        <w:t> </w:t>
      </w:r>
      <w:r>
        <w:rPr>
          <w:w w:val="110"/>
        </w:rPr>
        <w:t>in</w:t>
      </w:r>
      <w:r>
        <w:rPr>
          <w:spacing w:val="-12"/>
          <w:w w:val="110"/>
        </w:rPr>
        <w:t> </w:t>
      </w:r>
      <w:r>
        <w:rPr>
          <w:spacing w:val="-3"/>
          <w:w w:val="110"/>
        </w:rPr>
        <w:t>several</w:t>
      </w:r>
      <w:r>
        <w:rPr>
          <w:spacing w:val="-12"/>
          <w:w w:val="110"/>
        </w:rPr>
        <w:t> </w:t>
      </w:r>
      <w:r>
        <w:rPr>
          <w:spacing w:val="-3"/>
          <w:w w:val="110"/>
        </w:rPr>
        <w:t>years,</w:t>
      </w:r>
    </w:p>
    <w:p>
      <w:pPr>
        <w:spacing w:after="0" w:line="280" w:lineRule="atLeast"/>
        <w:jc w:val="both"/>
        <w:sectPr>
          <w:type w:val="continuous"/>
          <w:pgSz w:w="11900" w:h="16840"/>
          <w:pgMar w:top="1260" w:bottom="280" w:left="640" w:right="640"/>
          <w:cols w:num="2" w:equalWidth="0">
            <w:col w:w="3615" w:space="1131"/>
            <w:col w:w="5874"/>
          </w:cols>
        </w:sectPr>
      </w:pPr>
    </w:p>
    <w:p>
      <w:pPr>
        <w:spacing w:line="136" w:lineRule="exact" w:before="0"/>
        <w:ind w:left="389" w:right="0" w:firstLine="0"/>
        <w:jc w:val="left"/>
        <w:rPr>
          <w:sz w:val="12"/>
        </w:rPr>
      </w:pPr>
      <w:r>
        <w:rPr>
          <w:w w:val="110"/>
          <w:sz w:val="12"/>
        </w:rPr>
        <w:t>Institute of Directors</w:t>
      </w:r>
    </w:p>
    <w:p>
      <w:pPr>
        <w:pStyle w:val="BodyText"/>
        <w:spacing w:line="20" w:lineRule="exact"/>
        <w:ind w:left="161"/>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6"/>
        <w:rPr>
          <w:sz w:val="11"/>
        </w:rPr>
      </w:pPr>
      <w:r>
        <w:rPr/>
        <w:pict>
          <v:shape style="position:absolute;margin-left:40.339001pt;margin-top:8.861902pt;width:4.350pt;height:.1pt;mso-position-horizontal-relative:page;mso-position-vertical-relative:paragraph;z-index:-15180288;mso-wrap-distance-left:0;mso-wrap-distance-right:0" coordorigin="807,177" coordsize="87,0" path="m807,177l893,177e" filled="false" stroked="true" strokeweight=".5pt" strokecolor="#000000">
            <v:path arrowok="t"/>
            <v:stroke dashstyle="solid"/>
            <w10:wrap type="topAndBottom"/>
          </v:shape>
        </w:pict>
      </w:r>
      <w:r>
        <w:rPr/>
        <w:pict>
          <v:shape style="position:absolute;margin-left:40.339001pt;margin-top:19.152903pt;width:4.350pt;height:.1pt;mso-position-horizontal-relative:page;mso-position-vertical-relative:paragraph;z-index:-15179776;mso-wrap-distance-left:0;mso-wrap-distance-right:0" coordorigin="807,383" coordsize="87,0" path="m807,383l893,383e" filled="false" stroked="true" strokeweight=".5pt" strokecolor="#000000">
            <v:path arrowok="t"/>
            <v:stroke dashstyle="solid"/>
            <w10:wrap type="topAndBottom"/>
          </v:shape>
        </w:pict>
      </w:r>
    </w:p>
    <w:p>
      <w:pPr>
        <w:pStyle w:val="BodyText"/>
        <w:spacing w:before="1"/>
        <w:rPr>
          <w:sz w:val="11"/>
        </w:rPr>
      </w:pPr>
    </w:p>
    <w:p>
      <w:pPr>
        <w:spacing w:line="69" w:lineRule="exact" w:before="0"/>
        <w:ind w:left="389" w:right="0" w:firstLine="0"/>
        <w:jc w:val="left"/>
        <w:rPr>
          <w:sz w:val="12"/>
        </w:rPr>
      </w:pPr>
      <w:r>
        <w:rPr/>
        <w:br w:type="column"/>
      </w:r>
      <w:r>
        <w:rPr>
          <w:sz w:val="12"/>
        </w:rPr>
        <w:t>CBI</w:t>
      </w:r>
    </w:p>
    <w:p>
      <w:pPr>
        <w:spacing w:line="124" w:lineRule="exact" w:before="0"/>
        <w:ind w:left="0" w:right="38" w:firstLine="0"/>
        <w:jc w:val="right"/>
        <w:rPr>
          <w:sz w:val="12"/>
        </w:rPr>
      </w:pPr>
      <w:r>
        <w:rPr>
          <w:w w:val="120"/>
          <w:sz w:val="12"/>
        </w:rPr>
        <w:t>20</w:t>
      </w:r>
    </w:p>
    <w:p>
      <w:pPr>
        <w:spacing w:before="68"/>
        <w:ind w:left="0" w:right="38" w:firstLine="0"/>
        <w:jc w:val="right"/>
        <w:rPr>
          <w:sz w:val="12"/>
        </w:rPr>
      </w:pPr>
      <w:r>
        <w:rPr>
          <w:w w:val="120"/>
          <w:sz w:val="12"/>
        </w:rPr>
        <w:t>25</w:t>
      </w:r>
    </w:p>
    <w:p>
      <w:pPr>
        <w:spacing w:before="68"/>
        <w:ind w:left="0" w:right="38" w:firstLine="0"/>
        <w:jc w:val="right"/>
        <w:rPr>
          <w:sz w:val="12"/>
        </w:rPr>
      </w:pPr>
      <w:r>
        <w:rPr>
          <w:w w:val="120"/>
          <w:sz w:val="12"/>
        </w:rPr>
        <w:t>30</w:t>
      </w:r>
    </w:p>
    <w:p>
      <w:pPr>
        <w:pStyle w:val="BodyText"/>
        <w:spacing w:line="292" w:lineRule="auto" w:before="50"/>
        <w:ind w:left="389" w:right="69"/>
      </w:pPr>
      <w:r>
        <w:rPr/>
        <w:br w:type="column"/>
      </w:r>
      <w:r>
        <w:rPr>
          <w:w w:val="110"/>
        </w:rPr>
        <w:t>positive</w:t>
      </w:r>
      <w:r>
        <w:rPr>
          <w:spacing w:val="-22"/>
          <w:w w:val="110"/>
        </w:rPr>
        <w:t> </w:t>
      </w:r>
      <w:r>
        <w:rPr>
          <w:w w:val="110"/>
        </w:rPr>
        <w:t>balances</w:t>
      </w:r>
      <w:r>
        <w:rPr>
          <w:spacing w:val="-22"/>
          <w:w w:val="110"/>
        </w:rPr>
        <w:t> </w:t>
      </w:r>
      <w:r>
        <w:rPr>
          <w:w w:val="110"/>
        </w:rPr>
        <w:t>of</w:t>
      </w:r>
      <w:r>
        <w:rPr>
          <w:spacing w:val="-22"/>
          <w:w w:val="110"/>
        </w:rPr>
        <w:t> </w:t>
      </w:r>
      <w:r>
        <w:rPr>
          <w:w w:val="110"/>
        </w:rPr>
        <w:t>manufacturers</w:t>
      </w:r>
      <w:r>
        <w:rPr>
          <w:spacing w:val="-21"/>
          <w:w w:val="110"/>
        </w:rPr>
        <w:t> </w:t>
      </w:r>
      <w:r>
        <w:rPr>
          <w:w w:val="110"/>
        </w:rPr>
        <w:t>expecting</w:t>
      </w:r>
      <w:r>
        <w:rPr>
          <w:spacing w:val="-22"/>
          <w:w w:val="110"/>
        </w:rPr>
        <w:t> </w:t>
      </w:r>
      <w:r>
        <w:rPr>
          <w:spacing w:val="-4"/>
          <w:w w:val="110"/>
        </w:rPr>
        <w:t>to</w:t>
      </w:r>
      <w:r>
        <w:rPr>
          <w:spacing w:val="-22"/>
          <w:w w:val="110"/>
        </w:rPr>
        <w:t> </w:t>
      </w:r>
      <w:r>
        <w:rPr>
          <w:w w:val="110"/>
        </w:rPr>
        <w:t>raise</w:t>
      </w:r>
      <w:r>
        <w:rPr>
          <w:spacing w:val="-21"/>
          <w:w w:val="110"/>
        </w:rPr>
        <w:t> </w:t>
      </w:r>
      <w:r>
        <w:rPr>
          <w:w w:val="110"/>
        </w:rPr>
        <w:t>their prices</w:t>
      </w:r>
      <w:r>
        <w:rPr>
          <w:spacing w:val="-17"/>
          <w:w w:val="110"/>
        </w:rPr>
        <w:t> </w:t>
      </w:r>
      <w:r>
        <w:rPr>
          <w:w w:val="110"/>
        </w:rPr>
        <w:t>(see</w:t>
      </w:r>
      <w:r>
        <w:rPr>
          <w:spacing w:val="-17"/>
          <w:w w:val="110"/>
        </w:rPr>
        <w:t> </w:t>
      </w:r>
      <w:r>
        <w:rPr>
          <w:w w:val="110"/>
        </w:rPr>
        <w:t>Chart</w:t>
      </w:r>
      <w:r>
        <w:rPr>
          <w:spacing w:val="-17"/>
          <w:w w:val="110"/>
        </w:rPr>
        <w:t> </w:t>
      </w:r>
      <w:r>
        <w:rPr>
          <w:w w:val="110"/>
        </w:rPr>
        <w:t>4.8).</w:t>
      </w:r>
      <w:r>
        <w:rPr>
          <w:spacing w:val="22"/>
          <w:w w:val="110"/>
        </w:rPr>
        <w:t> </w:t>
      </w:r>
      <w:r>
        <w:rPr>
          <w:w w:val="110"/>
        </w:rPr>
        <w:t>These</w:t>
      </w:r>
      <w:r>
        <w:rPr>
          <w:spacing w:val="-17"/>
          <w:w w:val="110"/>
        </w:rPr>
        <w:t> </w:t>
      </w:r>
      <w:r>
        <w:rPr>
          <w:w w:val="110"/>
        </w:rPr>
        <w:t>expectations</w:t>
      </w:r>
      <w:r>
        <w:rPr>
          <w:spacing w:val="-17"/>
          <w:w w:val="110"/>
        </w:rPr>
        <w:t> </w:t>
      </w:r>
      <w:r>
        <w:rPr>
          <w:w w:val="110"/>
        </w:rPr>
        <w:t>of</w:t>
      </w:r>
      <w:r>
        <w:rPr>
          <w:spacing w:val="-17"/>
          <w:w w:val="110"/>
        </w:rPr>
        <w:t> </w:t>
      </w:r>
      <w:r>
        <w:rPr>
          <w:w w:val="110"/>
        </w:rPr>
        <w:t>rising</w:t>
      </w:r>
      <w:r>
        <w:rPr>
          <w:spacing w:val="-17"/>
          <w:w w:val="110"/>
        </w:rPr>
        <w:t> </w:t>
      </w:r>
      <w:r>
        <w:rPr>
          <w:w w:val="110"/>
        </w:rPr>
        <w:t>output</w:t>
      </w:r>
    </w:p>
    <w:p>
      <w:pPr>
        <w:spacing w:after="0" w:line="292" w:lineRule="auto"/>
        <w:sectPr>
          <w:type w:val="continuous"/>
          <w:pgSz w:w="11900" w:h="16840"/>
          <w:pgMar w:top="1260" w:bottom="280" w:left="640" w:right="640"/>
          <w:cols w:num="3" w:equalWidth="0">
            <w:col w:w="1518" w:space="667"/>
            <w:col w:w="1430" w:space="1076"/>
            <w:col w:w="5929"/>
          </w:cols>
        </w:sectPr>
      </w:pPr>
    </w:p>
    <w:p>
      <w:pPr>
        <w:spacing w:line="115" w:lineRule="exact" w:before="61"/>
        <w:ind w:left="3428" w:right="0" w:firstLine="0"/>
        <w:jc w:val="left"/>
        <w:rPr>
          <w:sz w:val="12"/>
        </w:rPr>
      </w:pPr>
      <w:r>
        <w:rPr/>
        <w:pict>
          <v:line style="position:absolute;mso-position-horizontal-relative:page;mso-position-vertical-relative:paragraph;z-index:16294912" from="40.339001pt,6.661467pt" to="44.671001pt,6.661467pt" stroked="true" strokeweight=".5pt" strokecolor="#000000">
            <v:stroke dashstyle="solid"/>
            <w10:wrap type="none"/>
          </v:line>
        </w:pict>
      </w:r>
      <w:r>
        <w:rPr/>
        <w:pict>
          <v:shape style="position:absolute;margin-left:48.780998pt;margin-top:3.307467pt;width:152.3pt;height:3.4pt;mso-position-horizontal-relative:page;mso-position-vertical-relative:paragraph;z-index:16296960" coordorigin="976,66" coordsize="3046,68" path="m3934,133l4021,133m978,133l3862,133m976,66l976,133m1553,66l1553,133m2129,66l2129,133m2706,66l2706,133m3283,66l3283,133m3860,66l3860,133e" filled="false" stroked="true" strokeweight=".5pt" strokecolor="#000000">
            <v:path arrowok="t"/>
            <v:stroke dashstyle="solid"/>
            <w10:wrap type="none"/>
          </v:shape>
        </w:pict>
      </w:r>
      <w:r>
        <w:rPr>
          <w:w w:val="120"/>
          <w:sz w:val="12"/>
        </w:rPr>
        <w:t>35</w:t>
      </w:r>
    </w:p>
    <w:p>
      <w:pPr>
        <w:tabs>
          <w:tab w:pos="1140" w:val="left" w:leader="none"/>
          <w:tab w:pos="1710" w:val="left" w:leader="none"/>
          <w:tab w:pos="2290" w:val="left" w:leader="none"/>
          <w:tab w:pos="2800" w:val="left" w:leader="none"/>
        </w:tabs>
        <w:spacing w:line="115" w:lineRule="exact" w:before="0"/>
        <w:ind w:left="477" w:right="0" w:firstLine="0"/>
        <w:jc w:val="left"/>
        <w:rPr>
          <w:sz w:val="12"/>
        </w:rPr>
      </w:pPr>
      <w:r>
        <w:rPr>
          <w:w w:val="120"/>
          <w:sz w:val="12"/>
        </w:rPr>
        <w:t>1996</w:t>
        <w:tab/>
        <w:t>97</w:t>
        <w:tab/>
        <w:t>98</w:t>
        <w:tab/>
        <w:t>99</w:t>
        <w:tab/>
        <w:t>2000</w:t>
      </w:r>
      <w:r>
        <w:rPr>
          <w:spacing w:val="12"/>
          <w:w w:val="120"/>
          <w:sz w:val="12"/>
        </w:rPr>
        <w:t> </w:t>
      </w:r>
      <w:r>
        <w:rPr>
          <w:w w:val="120"/>
          <w:sz w:val="12"/>
        </w:rPr>
        <w:t>01</w:t>
      </w:r>
    </w:p>
    <w:p>
      <w:pPr>
        <w:spacing w:before="92"/>
        <w:ind w:left="187" w:right="0" w:firstLine="0"/>
        <w:jc w:val="left"/>
        <w:rPr>
          <w:sz w:val="12"/>
        </w:rPr>
      </w:pPr>
      <w:r>
        <w:rPr>
          <w:w w:val="105"/>
          <w:sz w:val="12"/>
        </w:rPr>
        <w:t>Sources: BCC, CBI, Institute of Directors and Dun &amp; Bradstreet.</w:t>
      </w:r>
    </w:p>
    <w:p>
      <w:pPr>
        <w:pStyle w:val="BodyText"/>
        <w:spacing w:before="2"/>
        <w:rPr>
          <w:sz w:val="10"/>
        </w:rPr>
      </w:pPr>
    </w:p>
    <w:p>
      <w:pPr>
        <w:spacing w:line="208" w:lineRule="auto" w:before="0"/>
        <w:ind w:left="427" w:right="16" w:hanging="240"/>
        <w:jc w:val="left"/>
        <w:rPr>
          <w:sz w:val="12"/>
        </w:rPr>
      </w:pPr>
      <w:r>
        <w:rPr>
          <w:w w:val="110"/>
          <w:sz w:val="12"/>
        </w:rPr>
        <w:t>(a) Balance of manufacturers expecting to raise prices minus those expecting to reduce prices. Next four months for </w:t>
      </w:r>
      <w:r>
        <w:rPr>
          <w:spacing w:val="-3"/>
          <w:w w:val="110"/>
          <w:sz w:val="12"/>
        </w:rPr>
        <w:t>CBI, </w:t>
      </w:r>
      <w:r>
        <w:rPr>
          <w:w w:val="110"/>
          <w:sz w:val="12"/>
        </w:rPr>
        <w:t>next three months for BCC, Institute of Directors and</w:t>
      </w:r>
    </w:p>
    <w:p>
      <w:pPr>
        <w:spacing w:line="123" w:lineRule="exact" w:before="0"/>
        <w:ind w:left="427" w:right="0" w:firstLine="0"/>
        <w:jc w:val="left"/>
        <w:rPr>
          <w:sz w:val="12"/>
        </w:rPr>
      </w:pPr>
      <w:r>
        <w:rPr>
          <w:w w:val="105"/>
          <w:sz w:val="12"/>
        </w:rPr>
        <w:t>Dun &amp; Bradstreet.</w:t>
      </w:r>
    </w:p>
    <w:p>
      <w:pPr>
        <w:pStyle w:val="BodyText"/>
        <w:spacing w:line="292" w:lineRule="auto"/>
        <w:ind w:left="187" w:right="324"/>
      </w:pPr>
      <w:r>
        <w:rPr/>
        <w:br w:type="column"/>
      </w:r>
      <w:r>
        <w:rPr>
          <w:w w:val="110"/>
        </w:rPr>
        <w:t>prices </w:t>
      </w:r>
      <w:r>
        <w:rPr>
          <w:spacing w:val="-3"/>
          <w:w w:val="110"/>
        </w:rPr>
        <w:t>may </w:t>
      </w:r>
      <w:r>
        <w:rPr>
          <w:w w:val="110"/>
        </w:rPr>
        <w:t>be linked </w:t>
      </w:r>
      <w:r>
        <w:rPr>
          <w:spacing w:val="-4"/>
          <w:w w:val="110"/>
        </w:rPr>
        <w:t>to </w:t>
      </w:r>
      <w:r>
        <w:rPr>
          <w:w w:val="110"/>
        </w:rPr>
        <w:t>the depreciation of sterling and </w:t>
      </w:r>
      <w:r>
        <w:rPr>
          <w:spacing w:val="-4"/>
          <w:w w:val="110"/>
        </w:rPr>
        <w:t>to </w:t>
      </w:r>
      <w:r>
        <w:rPr>
          <w:w w:val="110"/>
        </w:rPr>
        <w:t>improvements</w:t>
      </w:r>
      <w:r>
        <w:rPr>
          <w:spacing w:val="-23"/>
          <w:w w:val="110"/>
        </w:rPr>
        <w:t> </w:t>
      </w:r>
      <w:r>
        <w:rPr>
          <w:w w:val="110"/>
        </w:rPr>
        <w:t>in</w:t>
      </w:r>
      <w:r>
        <w:rPr>
          <w:spacing w:val="-23"/>
          <w:w w:val="110"/>
        </w:rPr>
        <w:t> </w:t>
      </w:r>
      <w:r>
        <w:rPr>
          <w:w w:val="110"/>
        </w:rPr>
        <w:t>manufacturing</w:t>
      </w:r>
      <w:r>
        <w:rPr>
          <w:spacing w:val="-23"/>
          <w:w w:val="110"/>
        </w:rPr>
        <w:t> </w:t>
      </w:r>
      <w:r>
        <w:rPr>
          <w:w w:val="110"/>
        </w:rPr>
        <w:t>confidence</w:t>
      </w:r>
      <w:r>
        <w:rPr>
          <w:spacing w:val="-23"/>
          <w:w w:val="110"/>
        </w:rPr>
        <w:t> </w:t>
      </w:r>
      <w:r>
        <w:rPr>
          <w:w w:val="110"/>
        </w:rPr>
        <w:t>and</w:t>
      </w:r>
      <w:r>
        <w:rPr>
          <w:spacing w:val="-23"/>
          <w:w w:val="110"/>
        </w:rPr>
        <w:t> </w:t>
      </w:r>
      <w:r>
        <w:rPr>
          <w:w w:val="110"/>
        </w:rPr>
        <w:t>order</w:t>
      </w:r>
      <w:r>
        <w:rPr>
          <w:spacing w:val="-23"/>
          <w:w w:val="110"/>
        </w:rPr>
        <w:t> </w:t>
      </w:r>
      <w:r>
        <w:rPr>
          <w:w w:val="110"/>
        </w:rPr>
        <w:t>levels observed</w:t>
      </w:r>
      <w:r>
        <w:rPr>
          <w:spacing w:val="-11"/>
          <w:w w:val="110"/>
        </w:rPr>
        <w:t> </w:t>
      </w:r>
      <w:r>
        <w:rPr>
          <w:w w:val="110"/>
        </w:rPr>
        <w:t>in</w:t>
      </w:r>
      <w:r>
        <w:rPr>
          <w:spacing w:val="-11"/>
          <w:w w:val="110"/>
        </w:rPr>
        <w:t> </w:t>
      </w:r>
      <w:r>
        <w:rPr>
          <w:w w:val="110"/>
        </w:rPr>
        <w:t>recent</w:t>
      </w:r>
      <w:r>
        <w:rPr>
          <w:spacing w:val="-10"/>
          <w:w w:val="110"/>
        </w:rPr>
        <w:t> </w:t>
      </w:r>
      <w:r>
        <w:rPr>
          <w:w w:val="110"/>
        </w:rPr>
        <w:t>months</w:t>
      </w:r>
      <w:r>
        <w:rPr>
          <w:spacing w:val="-11"/>
          <w:w w:val="110"/>
        </w:rPr>
        <w:t> </w:t>
      </w:r>
      <w:hyperlink w:history="true" w:anchor="_bookmark8">
        <w:r>
          <w:rPr>
            <w:w w:val="110"/>
          </w:rPr>
          <w:t>(see</w:t>
        </w:r>
        <w:r>
          <w:rPr>
            <w:spacing w:val="-11"/>
            <w:w w:val="110"/>
          </w:rPr>
          <w:t> </w:t>
        </w:r>
        <w:r>
          <w:rPr>
            <w:color w:val="FF0000"/>
            <w:w w:val="110"/>
          </w:rPr>
          <w:t>Sections</w:t>
        </w:r>
        <w:r>
          <w:rPr>
            <w:color w:val="FF0000"/>
            <w:spacing w:val="-10"/>
            <w:w w:val="110"/>
          </w:rPr>
          <w:t> </w:t>
        </w:r>
        <w:r>
          <w:rPr>
            <w:color w:val="FF0000"/>
            <w:w w:val="110"/>
          </w:rPr>
          <w:t>1.2</w:t>
        </w:r>
        <w:r>
          <w:rPr>
            <w:color w:val="FF0000"/>
            <w:spacing w:val="-11"/>
            <w:w w:val="110"/>
          </w:rPr>
          <w:t> </w:t>
        </w:r>
      </w:hyperlink>
      <w:r>
        <w:rPr>
          <w:w w:val="110"/>
        </w:rPr>
        <w:t>and</w:t>
      </w:r>
      <w:r>
        <w:rPr>
          <w:spacing w:val="-11"/>
          <w:w w:val="110"/>
        </w:rPr>
        <w:t> </w:t>
      </w:r>
      <w:hyperlink w:history="true" w:anchor="_bookmark27">
        <w:r>
          <w:rPr>
            <w:color w:val="FF0000"/>
            <w:w w:val="110"/>
          </w:rPr>
          <w:t>2.3</w:t>
        </w:r>
        <w:r>
          <w:rPr>
            <w:w w:val="110"/>
          </w:rPr>
          <w:t>).</w:t>
        </w:r>
      </w:hyperlink>
      <w:r>
        <w:rPr>
          <w:spacing w:val="35"/>
          <w:w w:val="110"/>
        </w:rPr>
        <w:t> </w:t>
      </w:r>
      <w:r>
        <w:rPr>
          <w:spacing w:val="-4"/>
          <w:w w:val="110"/>
        </w:rPr>
        <w:t>These </w:t>
      </w:r>
      <w:r>
        <w:rPr>
          <w:w w:val="110"/>
        </w:rPr>
        <w:t>surveys</w:t>
      </w:r>
      <w:r>
        <w:rPr>
          <w:spacing w:val="-18"/>
          <w:w w:val="110"/>
        </w:rPr>
        <w:t> </w:t>
      </w:r>
      <w:r>
        <w:rPr>
          <w:w w:val="110"/>
        </w:rPr>
        <w:t>have,</w:t>
      </w:r>
      <w:r>
        <w:rPr>
          <w:spacing w:val="-18"/>
          <w:w w:val="110"/>
        </w:rPr>
        <w:t> </w:t>
      </w:r>
      <w:r>
        <w:rPr>
          <w:spacing w:val="-4"/>
          <w:w w:val="110"/>
        </w:rPr>
        <w:t>however,</w:t>
      </w:r>
      <w:r>
        <w:rPr>
          <w:spacing w:val="-18"/>
          <w:w w:val="110"/>
        </w:rPr>
        <w:t> </w:t>
      </w:r>
      <w:r>
        <w:rPr>
          <w:w w:val="110"/>
        </w:rPr>
        <w:t>often</w:t>
      </w:r>
      <w:r>
        <w:rPr>
          <w:spacing w:val="-18"/>
          <w:w w:val="110"/>
        </w:rPr>
        <w:t> </w:t>
      </w:r>
      <w:r>
        <w:rPr>
          <w:w w:val="110"/>
        </w:rPr>
        <w:t>not</w:t>
      </w:r>
      <w:r>
        <w:rPr>
          <w:spacing w:val="-18"/>
          <w:w w:val="110"/>
        </w:rPr>
        <w:t> </w:t>
      </w:r>
      <w:r>
        <w:rPr>
          <w:w w:val="110"/>
        </w:rPr>
        <w:t>been</w:t>
      </w:r>
      <w:r>
        <w:rPr>
          <w:spacing w:val="-18"/>
          <w:w w:val="110"/>
        </w:rPr>
        <w:t> </w:t>
      </w:r>
      <w:r>
        <w:rPr>
          <w:w w:val="110"/>
        </w:rPr>
        <w:t>very</w:t>
      </w:r>
      <w:r>
        <w:rPr>
          <w:spacing w:val="-18"/>
          <w:w w:val="110"/>
        </w:rPr>
        <w:t> </w:t>
      </w:r>
      <w:r>
        <w:rPr>
          <w:w w:val="110"/>
        </w:rPr>
        <w:t>good</w:t>
      </w:r>
      <w:r>
        <w:rPr>
          <w:spacing w:val="-17"/>
          <w:w w:val="110"/>
        </w:rPr>
        <w:t> </w:t>
      </w:r>
      <w:r>
        <w:rPr>
          <w:w w:val="110"/>
        </w:rPr>
        <w:t>guides</w:t>
      </w:r>
      <w:r>
        <w:rPr>
          <w:spacing w:val="-18"/>
          <w:w w:val="110"/>
        </w:rPr>
        <w:t> </w:t>
      </w:r>
      <w:r>
        <w:rPr>
          <w:spacing w:val="-4"/>
          <w:w w:val="110"/>
        </w:rPr>
        <w:t>to</w:t>
      </w:r>
    </w:p>
    <w:p>
      <w:pPr>
        <w:spacing w:after="0" w:line="292" w:lineRule="auto"/>
        <w:sectPr>
          <w:type w:val="continuous"/>
          <w:pgSz w:w="11900" w:h="16840"/>
          <w:pgMar w:top="1260" w:bottom="280" w:left="640" w:right="640"/>
          <w:cols w:num="2" w:equalWidth="0">
            <w:col w:w="3615" w:space="1278"/>
            <w:col w:w="5727"/>
          </w:cols>
        </w:sectPr>
      </w:pPr>
    </w:p>
    <w:p>
      <w:pPr>
        <w:pStyle w:val="BodyText"/>
      </w:pPr>
    </w:p>
    <w:p>
      <w:pPr>
        <w:pStyle w:val="BodyText"/>
        <w:spacing w:before="9"/>
        <w:rPr>
          <w:sz w:val="15"/>
        </w:rPr>
      </w:pPr>
    </w:p>
    <w:p>
      <w:pPr>
        <w:pStyle w:val="BodyText"/>
        <w:spacing w:line="292" w:lineRule="auto" w:before="64"/>
        <w:ind w:left="5100"/>
      </w:pPr>
      <w:bookmarkStart w:name="Costs and prices in the service sector" w:id="79"/>
      <w:bookmarkEnd w:id="79"/>
      <w:r>
        <w:rPr/>
      </w:r>
      <w:bookmarkStart w:name="_bookmark39" w:id="80"/>
      <w:bookmarkEnd w:id="80"/>
      <w:r>
        <w:rPr/>
      </w:r>
      <w:r>
        <w:rPr>
          <w:w w:val="110"/>
        </w:rPr>
        <w:t>future</w:t>
      </w:r>
      <w:r>
        <w:rPr>
          <w:spacing w:val="-27"/>
          <w:w w:val="110"/>
        </w:rPr>
        <w:t> </w:t>
      </w:r>
      <w:r>
        <w:rPr>
          <w:w w:val="110"/>
        </w:rPr>
        <w:t>output</w:t>
      </w:r>
      <w:r>
        <w:rPr>
          <w:spacing w:val="-27"/>
          <w:w w:val="110"/>
        </w:rPr>
        <w:t> </w:t>
      </w:r>
      <w:r>
        <w:rPr>
          <w:w w:val="110"/>
        </w:rPr>
        <w:t>price</w:t>
      </w:r>
      <w:r>
        <w:rPr>
          <w:spacing w:val="-27"/>
          <w:w w:val="110"/>
        </w:rPr>
        <w:t> </w:t>
      </w:r>
      <w:r>
        <w:rPr>
          <w:w w:val="110"/>
        </w:rPr>
        <w:t>movements.</w:t>
      </w:r>
      <w:r>
        <w:rPr>
          <w:spacing w:val="2"/>
          <w:w w:val="110"/>
        </w:rPr>
        <w:t> </w:t>
      </w:r>
      <w:r>
        <w:rPr>
          <w:w w:val="110"/>
        </w:rPr>
        <w:t>And,</w:t>
      </w:r>
      <w:r>
        <w:rPr>
          <w:spacing w:val="-26"/>
          <w:w w:val="110"/>
        </w:rPr>
        <w:t> </w:t>
      </w:r>
      <w:r>
        <w:rPr>
          <w:w w:val="110"/>
        </w:rPr>
        <w:t>working</w:t>
      </w:r>
      <w:r>
        <w:rPr>
          <w:spacing w:val="-27"/>
          <w:w w:val="110"/>
        </w:rPr>
        <w:t> </w:t>
      </w:r>
      <w:r>
        <w:rPr>
          <w:w w:val="110"/>
        </w:rPr>
        <w:t>against</w:t>
      </w:r>
      <w:r>
        <w:rPr>
          <w:spacing w:val="-27"/>
          <w:w w:val="110"/>
        </w:rPr>
        <w:t> </w:t>
      </w:r>
      <w:r>
        <w:rPr>
          <w:w w:val="110"/>
        </w:rPr>
        <w:t>higher prices, recent BCC </w:t>
      </w:r>
      <w:r>
        <w:rPr>
          <w:spacing w:val="-3"/>
          <w:w w:val="110"/>
        </w:rPr>
        <w:t>surveys have </w:t>
      </w:r>
      <w:r>
        <w:rPr>
          <w:w w:val="110"/>
        </w:rPr>
        <w:t>reported a rise in the proportion of manufacturers concerned about competitive </w:t>
      </w:r>
      <w:r>
        <w:rPr>
          <w:spacing w:val="-3"/>
          <w:w w:val="110"/>
        </w:rPr>
        <w:t>pressures</w:t>
      </w:r>
      <w:r>
        <w:rPr>
          <w:spacing w:val="-19"/>
          <w:w w:val="110"/>
        </w:rPr>
        <w:t> </w:t>
      </w:r>
      <w:r>
        <w:rPr>
          <w:w w:val="110"/>
        </w:rPr>
        <w:t>(although</w:t>
      </w:r>
      <w:r>
        <w:rPr>
          <w:spacing w:val="-19"/>
          <w:w w:val="110"/>
        </w:rPr>
        <w:t> </w:t>
      </w:r>
      <w:r>
        <w:rPr>
          <w:w w:val="110"/>
        </w:rPr>
        <w:t>the</w:t>
      </w:r>
      <w:r>
        <w:rPr>
          <w:spacing w:val="-19"/>
          <w:w w:val="110"/>
        </w:rPr>
        <w:t> </w:t>
      </w:r>
      <w:r>
        <w:rPr>
          <w:w w:val="110"/>
        </w:rPr>
        <w:t>balance</w:t>
      </w:r>
      <w:r>
        <w:rPr>
          <w:spacing w:val="-19"/>
          <w:w w:val="110"/>
        </w:rPr>
        <w:t> </w:t>
      </w:r>
      <w:r>
        <w:rPr>
          <w:w w:val="110"/>
        </w:rPr>
        <w:t>remained</w:t>
      </w:r>
      <w:r>
        <w:rPr>
          <w:spacing w:val="-19"/>
          <w:w w:val="110"/>
        </w:rPr>
        <w:t> </w:t>
      </w:r>
      <w:r>
        <w:rPr>
          <w:w w:val="110"/>
        </w:rPr>
        <w:t>below</w:t>
      </w:r>
      <w:r>
        <w:rPr>
          <w:spacing w:val="-18"/>
          <w:w w:val="110"/>
        </w:rPr>
        <w:t> </w:t>
      </w:r>
      <w:r>
        <w:rPr>
          <w:w w:val="110"/>
        </w:rPr>
        <w:t>the</w:t>
      </w:r>
      <w:r>
        <w:rPr>
          <w:spacing w:val="-19"/>
          <w:w w:val="110"/>
        </w:rPr>
        <w:t> </w:t>
      </w:r>
      <w:r>
        <w:rPr>
          <w:spacing w:val="-3"/>
          <w:w w:val="110"/>
        </w:rPr>
        <w:t>levels</w:t>
      </w:r>
      <w:r>
        <w:rPr>
          <w:spacing w:val="-19"/>
          <w:w w:val="110"/>
        </w:rPr>
        <w:t> </w:t>
      </w:r>
      <w:r>
        <w:rPr>
          <w:w w:val="110"/>
        </w:rPr>
        <w:t>of </w:t>
      </w:r>
      <w:r>
        <w:rPr>
          <w:spacing w:val="-10"/>
          <w:w w:val="110"/>
        </w:rPr>
        <w:t>1999).</w:t>
      </w:r>
    </w:p>
    <w:p>
      <w:pPr>
        <w:pStyle w:val="BodyText"/>
        <w:spacing w:before="9"/>
        <w:rPr>
          <w:sz w:val="16"/>
        </w:rPr>
      </w:pPr>
    </w:p>
    <w:p>
      <w:pPr>
        <w:spacing w:after="0"/>
        <w:rPr>
          <w:sz w:val="16"/>
        </w:rPr>
        <w:sectPr>
          <w:pgSz w:w="11900" w:h="16840"/>
          <w:pgMar w:header="601" w:footer="575" w:top="800" w:bottom="760" w:left="640" w:right="640"/>
        </w:sectPr>
      </w:pPr>
    </w:p>
    <w:p>
      <w:pPr>
        <w:pStyle w:val="BodyText"/>
        <w:spacing w:before="1"/>
        <w:rPr>
          <w:sz w:val="23"/>
        </w:rPr>
      </w:pPr>
    </w:p>
    <w:p>
      <w:pPr>
        <w:pStyle w:val="Heading6"/>
        <w:ind w:left="170"/>
      </w:pPr>
      <w:r>
        <w:rPr>
          <w:color w:val="89C6DC"/>
        </w:rPr>
        <w:t>Table 4.A</w:t>
      </w:r>
    </w:p>
    <w:p>
      <w:pPr>
        <w:spacing w:before="8"/>
        <w:ind w:left="170" w:right="0" w:firstLine="0"/>
        <w:jc w:val="left"/>
        <w:rPr>
          <w:rFonts w:ascii="Trebuchet MS" w:hAnsi="Trebuchet MS"/>
          <w:b/>
          <w:sz w:val="20"/>
        </w:rPr>
      </w:pPr>
      <w:r>
        <w:rPr>
          <w:rFonts w:ascii="Trebuchet MS" w:hAnsi="Trebuchet MS"/>
          <w:b/>
          <w:color w:val="89C6DC"/>
          <w:sz w:val="20"/>
        </w:rPr>
        <w:t>Manufacturers’ costs and prices</w:t>
      </w:r>
    </w:p>
    <w:p>
      <w:pPr>
        <w:spacing w:before="105"/>
        <w:ind w:left="170" w:right="0" w:firstLine="0"/>
        <w:jc w:val="left"/>
        <w:rPr>
          <w:sz w:val="14"/>
        </w:rPr>
      </w:pPr>
      <w:r>
        <w:rPr>
          <w:w w:val="110"/>
          <w:sz w:val="14"/>
        </w:rPr>
        <w:t>Percentage changes on a year earlier</w:t>
      </w:r>
    </w:p>
    <w:p>
      <w:pPr>
        <w:tabs>
          <w:tab w:pos="563" w:val="left" w:leader="none"/>
          <w:tab w:pos="1983" w:val="left" w:leader="none"/>
        </w:tabs>
        <w:spacing w:before="119"/>
        <w:ind w:left="0" w:right="58" w:firstLine="0"/>
        <w:jc w:val="right"/>
        <w:rPr>
          <w:sz w:val="14"/>
        </w:rPr>
      </w:pPr>
      <w:r>
        <w:rPr>
          <w:spacing w:val="-11"/>
          <w:w w:val="120"/>
          <w:sz w:val="14"/>
          <w:u w:val="single"/>
        </w:rPr>
        <w:t>1999</w:t>
        <w:tab/>
      </w:r>
      <w:r>
        <w:rPr>
          <w:spacing w:val="-3"/>
          <w:w w:val="120"/>
          <w:sz w:val="14"/>
          <w:u w:val="single"/>
        </w:rPr>
        <w:t>2000</w:t>
      </w:r>
      <w:r>
        <w:rPr>
          <w:spacing w:val="-3"/>
          <w:sz w:val="14"/>
          <w:u w:val="single"/>
        </w:rPr>
        <w:tab/>
      </w:r>
    </w:p>
    <w:p>
      <w:pPr>
        <w:pStyle w:val="BodyText"/>
        <w:spacing w:before="10"/>
        <w:rPr>
          <w:sz w:val="3"/>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15"/>
        <w:gridCol w:w="265"/>
        <w:gridCol w:w="104"/>
        <w:gridCol w:w="250"/>
        <w:gridCol w:w="94"/>
        <w:gridCol w:w="260"/>
        <w:gridCol w:w="86"/>
        <w:gridCol w:w="607"/>
        <w:gridCol w:w="123"/>
        <w:gridCol w:w="283"/>
      </w:tblGrid>
      <w:tr>
        <w:trPr>
          <w:trHeight w:val="153" w:hRule="atLeast"/>
        </w:trPr>
        <w:tc>
          <w:tcPr>
            <w:tcW w:w="2315" w:type="dxa"/>
          </w:tcPr>
          <w:p>
            <w:pPr>
              <w:pStyle w:val="TableParagraph"/>
              <w:rPr>
                <w:sz w:val="8"/>
              </w:rPr>
            </w:pPr>
          </w:p>
        </w:tc>
        <w:tc>
          <w:tcPr>
            <w:tcW w:w="265" w:type="dxa"/>
            <w:tcBorders>
              <w:bottom w:val="single" w:sz="2" w:space="0" w:color="000000"/>
            </w:tcBorders>
          </w:tcPr>
          <w:p>
            <w:pPr>
              <w:pStyle w:val="TableParagraph"/>
              <w:spacing w:line="134" w:lineRule="exact"/>
              <w:ind w:left="-1" w:right="30"/>
              <w:jc w:val="right"/>
              <w:rPr>
                <w:sz w:val="14"/>
              </w:rPr>
            </w:pPr>
            <w:r>
              <w:rPr>
                <w:w w:val="110"/>
                <w:sz w:val="14"/>
              </w:rPr>
              <w:t>Q3</w:t>
            </w:r>
          </w:p>
        </w:tc>
        <w:tc>
          <w:tcPr>
            <w:tcW w:w="104" w:type="dxa"/>
          </w:tcPr>
          <w:p>
            <w:pPr>
              <w:pStyle w:val="TableParagraph"/>
              <w:rPr>
                <w:sz w:val="8"/>
              </w:rPr>
            </w:pPr>
          </w:p>
        </w:tc>
        <w:tc>
          <w:tcPr>
            <w:tcW w:w="250" w:type="dxa"/>
            <w:tcBorders>
              <w:bottom w:val="single" w:sz="2" w:space="0" w:color="000000"/>
            </w:tcBorders>
          </w:tcPr>
          <w:p>
            <w:pPr>
              <w:pStyle w:val="TableParagraph"/>
              <w:spacing w:line="134" w:lineRule="exact"/>
              <w:ind w:left="5" w:right="15"/>
              <w:jc w:val="center"/>
              <w:rPr>
                <w:sz w:val="14"/>
              </w:rPr>
            </w:pPr>
            <w:r>
              <w:rPr>
                <w:w w:val="110"/>
                <w:sz w:val="14"/>
              </w:rPr>
              <w:t>Q4</w:t>
            </w:r>
          </w:p>
        </w:tc>
        <w:tc>
          <w:tcPr>
            <w:tcW w:w="94" w:type="dxa"/>
          </w:tcPr>
          <w:p>
            <w:pPr>
              <w:pStyle w:val="TableParagraph"/>
              <w:rPr>
                <w:sz w:val="8"/>
              </w:rPr>
            </w:pPr>
          </w:p>
        </w:tc>
        <w:tc>
          <w:tcPr>
            <w:tcW w:w="260" w:type="dxa"/>
            <w:tcBorders>
              <w:bottom w:val="single" w:sz="2" w:space="0" w:color="000000"/>
            </w:tcBorders>
          </w:tcPr>
          <w:p>
            <w:pPr>
              <w:pStyle w:val="TableParagraph"/>
              <w:spacing w:line="134" w:lineRule="exact"/>
              <w:ind w:left="-2" w:right="31"/>
              <w:jc w:val="right"/>
              <w:rPr>
                <w:sz w:val="14"/>
              </w:rPr>
            </w:pPr>
            <w:r>
              <w:rPr>
                <w:w w:val="110"/>
                <w:sz w:val="14"/>
              </w:rPr>
              <w:t>Q1</w:t>
            </w:r>
          </w:p>
        </w:tc>
        <w:tc>
          <w:tcPr>
            <w:tcW w:w="86" w:type="dxa"/>
          </w:tcPr>
          <w:p>
            <w:pPr>
              <w:pStyle w:val="TableParagraph"/>
              <w:rPr>
                <w:sz w:val="8"/>
              </w:rPr>
            </w:pPr>
          </w:p>
        </w:tc>
        <w:tc>
          <w:tcPr>
            <w:tcW w:w="607" w:type="dxa"/>
            <w:tcBorders>
              <w:bottom w:val="single" w:sz="2" w:space="0" w:color="000000"/>
            </w:tcBorders>
          </w:tcPr>
          <w:p>
            <w:pPr>
              <w:pStyle w:val="TableParagraph"/>
              <w:spacing w:line="134" w:lineRule="exact"/>
              <w:ind w:left="28" w:right="23"/>
              <w:jc w:val="center"/>
              <w:rPr>
                <w:sz w:val="14"/>
              </w:rPr>
            </w:pPr>
            <w:r>
              <w:rPr>
                <w:w w:val="110"/>
                <w:sz w:val="14"/>
              </w:rPr>
              <w:t>Q2 Q3</w:t>
            </w:r>
          </w:p>
        </w:tc>
        <w:tc>
          <w:tcPr>
            <w:tcW w:w="123" w:type="dxa"/>
          </w:tcPr>
          <w:p>
            <w:pPr>
              <w:pStyle w:val="TableParagraph"/>
              <w:rPr>
                <w:sz w:val="8"/>
              </w:rPr>
            </w:pPr>
          </w:p>
        </w:tc>
        <w:tc>
          <w:tcPr>
            <w:tcW w:w="283" w:type="dxa"/>
            <w:tcBorders>
              <w:bottom w:val="single" w:sz="2" w:space="0" w:color="000000"/>
            </w:tcBorders>
          </w:tcPr>
          <w:p>
            <w:pPr>
              <w:pStyle w:val="TableParagraph"/>
              <w:spacing w:line="134" w:lineRule="exact"/>
              <w:ind w:left="-1"/>
              <w:rPr>
                <w:sz w:val="14"/>
              </w:rPr>
            </w:pPr>
            <w:r>
              <w:rPr>
                <w:w w:val="110"/>
                <w:sz w:val="14"/>
              </w:rPr>
              <w:t>Q4</w:t>
            </w:r>
          </w:p>
        </w:tc>
      </w:tr>
      <w:tr>
        <w:trPr>
          <w:trHeight w:val="301" w:hRule="atLeast"/>
        </w:trPr>
        <w:tc>
          <w:tcPr>
            <w:tcW w:w="2315" w:type="dxa"/>
          </w:tcPr>
          <w:p>
            <w:pPr>
              <w:pStyle w:val="TableParagraph"/>
              <w:spacing w:before="9"/>
              <w:rPr>
                <w:sz w:val="11"/>
              </w:rPr>
            </w:pPr>
          </w:p>
          <w:p>
            <w:pPr>
              <w:pStyle w:val="TableParagraph"/>
              <w:spacing w:line="146" w:lineRule="exact"/>
              <w:ind w:left="50"/>
              <w:rPr>
                <w:sz w:val="12"/>
              </w:rPr>
            </w:pPr>
            <w:r>
              <w:rPr>
                <w:w w:val="105"/>
                <w:sz w:val="14"/>
              </w:rPr>
              <w:t>Weighted costs </w:t>
            </w:r>
            <w:r>
              <w:rPr>
                <w:w w:val="105"/>
                <w:sz w:val="12"/>
              </w:rPr>
              <w:t>(a)</w:t>
            </w:r>
          </w:p>
        </w:tc>
        <w:tc>
          <w:tcPr>
            <w:tcW w:w="265" w:type="dxa"/>
            <w:tcBorders>
              <w:top w:val="single" w:sz="2" w:space="0" w:color="000000"/>
            </w:tcBorders>
          </w:tcPr>
          <w:p>
            <w:pPr>
              <w:pStyle w:val="TableParagraph"/>
              <w:spacing w:before="9"/>
              <w:rPr>
                <w:sz w:val="11"/>
              </w:rPr>
            </w:pPr>
          </w:p>
          <w:p>
            <w:pPr>
              <w:pStyle w:val="TableParagraph"/>
              <w:spacing w:line="146" w:lineRule="exact"/>
              <w:ind w:left="-1" w:right="13"/>
              <w:jc w:val="right"/>
              <w:rPr>
                <w:sz w:val="14"/>
              </w:rPr>
            </w:pPr>
            <w:r>
              <w:rPr>
                <w:w w:val="110"/>
                <w:sz w:val="14"/>
              </w:rPr>
              <w:t>1.0</w:t>
            </w:r>
          </w:p>
        </w:tc>
        <w:tc>
          <w:tcPr>
            <w:tcW w:w="104" w:type="dxa"/>
          </w:tcPr>
          <w:p>
            <w:pPr>
              <w:pStyle w:val="TableParagraph"/>
              <w:rPr>
                <w:sz w:val="16"/>
              </w:rPr>
            </w:pPr>
          </w:p>
        </w:tc>
        <w:tc>
          <w:tcPr>
            <w:tcW w:w="250" w:type="dxa"/>
            <w:tcBorders>
              <w:top w:val="single" w:sz="2" w:space="0" w:color="000000"/>
            </w:tcBorders>
          </w:tcPr>
          <w:p>
            <w:pPr>
              <w:pStyle w:val="TableParagraph"/>
              <w:spacing w:before="9"/>
              <w:rPr>
                <w:sz w:val="11"/>
              </w:rPr>
            </w:pPr>
          </w:p>
          <w:p>
            <w:pPr>
              <w:pStyle w:val="TableParagraph"/>
              <w:spacing w:line="146" w:lineRule="exact"/>
              <w:ind w:left="47"/>
              <w:jc w:val="center"/>
              <w:rPr>
                <w:sz w:val="14"/>
              </w:rPr>
            </w:pPr>
            <w:r>
              <w:rPr>
                <w:w w:val="115"/>
                <w:sz w:val="14"/>
              </w:rPr>
              <w:t>2.6</w:t>
            </w:r>
          </w:p>
        </w:tc>
        <w:tc>
          <w:tcPr>
            <w:tcW w:w="94" w:type="dxa"/>
          </w:tcPr>
          <w:p>
            <w:pPr>
              <w:pStyle w:val="TableParagraph"/>
              <w:rPr>
                <w:sz w:val="16"/>
              </w:rPr>
            </w:pPr>
          </w:p>
        </w:tc>
        <w:tc>
          <w:tcPr>
            <w:tcW w:w="260" w:type="dxa"/>
            <w:tcBorders>
              <w:top w:val="single" w:sz="2" w:space="0" w:color="000000"/>
            </w:tcBorders>
          </w:tcPr>
          <w:p>
            <w:pPr>
              <w:pStyle w:val="TableParagraph"/>
              <w:spacing w:before="9"/>
              <w:rPr>
                <w:sz w:val="11"/>
              </w:rPr>
            </w:pPr>
          </w:p>
          <w:p>
            <w:pPr>
              <w:pStyle w:val="TableParagraph"/>
              <w:spacing w:line="146" w:lineRule="exact"/>
              <w:ind w:left="-2" w:right="-15"/>
              <w:jc w:val="right"/>
              <w:rPr>
                <w:sz w:val="14"/>
              </w:rPr>
            </w:pPr>
            <w:r>
              <w:rPr>
                <w:w w:val="110"/>
                <w:sz w:val="14"/>
              </w:rPr>
              <w:t>3.1</w:t>
            </w:r>
          </w:p>
        </w:tc>
        <w:tc>
          <w:tcPr>
            <w:tcW w:w="86" w:type="dxa"/>
          </w:tcPr>
          <w:p>
            <w:pPr>
              <w:pStyle w:val="TableParagraph"/>
              <w:rPr>
                <w:sz w:val="16"/>
              </w:rPr>
            </w:pPr>
          </w:p>
        </w:tc>
        <w:tc>
          <w:tcPr>
            <w:tcW w:w="607" w:type="dxa"/>
            <w:tcBorders>
              <w:top w:val="single" w:sz="2" w:space="0" w:color="000000"/>
            </w:tcBorders>
          </w:tcPr>
          <w:p>
            <w:pPr>
              <w:pStyle w:val="TableParagraph"/>
              <w:spacing w:line="20" w:lineRule="exact"/>
              <w:ind w:left="28"/>
              <w:rPr>
                <w:sz w:val="2"/>
              </w:rPr>
            </w:pPr>
            <w:r>
              <w:rPr>
                <w:sz w:val="2"/>
              </w:rPr>
              <w:pict>
                <v:group style="width:10.8pt;height:.15pt;mso-position-horizontal-relative:char;mso-position-vertical-relative:line" coordorigin="0,0" coordsize="216,3">
                  <v:line style="position:absolute" from="0,1" to="216,1" stroked="true" strokeweight=".125pt" strokecolor="#000000">
                    <v:stroke dashstyle="solid"/>
                  </v:line>
                </v:group>
              </w:pict>
            </w:r>
            <w:r>
              <w:rPr>
                <w:sz w:val="2"/>
              </w:rPr>
            </w:r>
          </w:p>
          <w:p>
            <w:pPr>
              <w:pStyle w:val="TableParagraph"/>
              <w:spacing w:line="146" w:lineRule="exact" w:before="115"/>
              <w:ind w:left="72" w:right="23"/>
              <w:jc w:val="center"/>
              <w:rPr>
                <w:sz w:val="14"/>
              </w:rPr>
            </w:pPr>
            <w:r>
              <w:rPr>
                <w:w w:val="115"/>
                <w:sz w:val="14"/>
              </w:rPr>
              <w:t>3.0 3.4</w:t>
            </w:r>
          </w:p>
        </w:tc>
        <w:tc>
          <w:tcPr>
            <w:tcW w:w="123" w:type="dxa"/>
          </w:tcPr>
          <w:p>
            <w:pPr>
              <w:pStyle w:val="TableParagraph"/>
              <w:rPr>
                <w:sz w:val="16"/>
              </w:rPr>
            </w:pPr>
          </w:p>
        </w:tc>
        <w:tc>
          <w:tcPr>
            <w:tcW w:w="283" w:type="dxa"/>
            <w:tcBorders>
              <w:top w:val="single" w:sz="2" w:space="0" w:color="000000"/>
            </w:tcBorders>
          </w:tcPr>
          <w:p>
            <w:pPr>
              <w:pStyle w:val="TableParagraph"/>
              <w:spacing w:before="9"/>
              <w:rPr>
                <w:sz w:val="11"/>
              </w:rPr>
            </w:pPr>
          </w:p>
          <w:p>
            <w:pPr>
              <w:pStyle w:val="TableParagraph"/>
              <w:spacing w:line="146" w:lineRule="exact"/>
              <w:ind w:left="22"/>
              <w:rPr>
                <w:sz w:val="14"/>
              </w:rPr>
            </w:pPr>
            <w:r>
              <w:rPr>
                <w:w w:val="105"/>
                <w:sz w:val="14"/>
              </w:rPr>
              <w:t>n.a.</w:t>
            </w:r>
          </w:p>
        </w:tc>
      </w:tr>
      <w:tr>
        <w:trPr>
          <w:trHeight w:val="140" w:hRule="atLeast"/>
        </w:trPr>
        <w:tc>
          <w:tcPr>
            <w:tcW w:w="2315" w:type="dxa"/>
          </w:tcPr>
          <w:p>
            <w:pPr>
              <w:pStyle w:val="TableParagraph"/>
              <w:spacing w:line="120" w:lineRule="exact"/>
              <w:ind w:left="156"/>
              <w:rPr>
                <w:sz w:val="14"/>
              </w:rPr>
            </w:pPr>
            <w:r>
              <w:rPr>
                <w:w w:val="110"/>
                <w:sz w:val="14"/>
              </w:rPr>
              <w:t>Unit labour costs (46.8%)</w:t>
            </w:r>
          </w:p>
        </w:tc>
        <w:tc>
          <w:tcPr>
            <w:tcW w:w="265" w:type="dxa"/>
          </w:tcPr>
          <w:p>
            <w:pPr>
              <w:pStyle w:val="TableParagraph"/>
              <w:spacing w:line="120" w:lineRule="exact"/>
              <w:ind w:left="-1" w:right="13"/>
              <w:jc w:val="right"/>
              <w:rPr>
                <w:sz w:val="14"/>
              </w:rPr>
            </w:pPr>
            <w:r>
              <w:rPr>
                <w:spacing w:val="-1"/>
                <w:w w:val="110"/>
                <w:sz w:val="14"/>
              </w:rPr>
              <w:t>-0.8</w:t>
            </w:r>
          </w:p>
        </w:tc>
        <w:tc>
          <w:tcPr>
            <w:tcW w:w="104" w:type="dxa"/>
          </w:tcPr>
          <w:p>
            <w:pPr>
              <w:pStyle w:val="TableParagraph"/>
              <w:rPr>
                <w:sz w:val="8"/>
              </w:rPr>
            </w:pPr>
          </w:p>
        </w:tc>
        <w:tc>
          <w:tcPr>
            <w:tcW w:w="250" w:type="dxa"/>
          </w:tcPr>
          <w:p>
            <w:pPr>
              <w:pStyle w:val="TableParagraph"/>
              <w:spacing w:line="120" w:lineRule="exact"/>
              <w:ind w:left="-2" w:right="1"/>
              <w:jc w:val="center"/>
              <w:rPr>
                <w:sz w:val="14"/>
              </w:rPr>
            </w:pPr>
            <w:r>
              <w:rPr>
                <w:spacing w:val="-1"/>
                <w:w w:val="110"/>
                <w:sz w:val="14"/>
              </w:rPr>
              <w:t>-0.4</w:t>
            </w:r>
          </w:p>
        </w:tc>
        <w:tc>
          <w:tcPr>
            <w:tcW w:w="94" w:type="dxa"/>
          </w:tcPr>
          <w:p>
            <w:pPr>
              <w:pStyle w:val="TableParagraph"/>
              <w:rPr>
                <w:sz w:val="8"/>
              </w:rPr>
            </w:pPr>
          </w:p>
        </w:tc>
        <w:tc>
          <w:tcPr>
            <w:tcW w:w="260" w:type="dxa"/>
          </w:tcPr>
          <w:p>
            <w:pPr>
              <w:pStyle w:val="TableParagraph"/>
              <w:spacing w:line="120" w:lineRule="exact"/>
              <w:ind w:left="-2" w:right="-15"/>
              <w:jc w:val="right"/>
              <w:rPr>
                <w:sz w:val="14"/>
              </w:rPr>
            </w:pPr>
            <w:r>
              <w:rPr>
                <w:w w:val="110"/>
                <w:sz w:val="14"/>
              </w:rPr>
              <w:t>0.1</w:t>
            </w:r>
          </w:p>
        </w:tc>
        <w:tc>
          <w:tcPr>
            <w:tcW w:w="86" w:type="dxa"/>
          </w:tcPr>
          <w:p>
            <w:pPr>
              <w:pStyle w:val="TableParagraph"/>
              <w:rPr>
                <w:sz w:val="8"/>
              </w:rPr>
            </w:pPr>
          </w:p>
        </w:tc>
        <w:tc>
          <w:tcPr>
            <w:tcW w:w="607" w:type="dxa"/>
          </w:tcPr>
          <w:p>
            <w:pPr>
              <w:pStyle w:val="TableParagraph"/>
              <w:spacing w:line="120" w:lineRule="exact"/>
              <w:ind w:left="72" w:right="23"/>
              <w:jc w:val="center"/>
              <w:rPr>
                <w:sz w:val="14"/>
              </w:rPr>
            </w:pPr>
            <w:r>
              <w:rPr>
                <w:w w:val="115"/>
                <w:sz w:val="14"/>
              </w:rPr>
              <w:t>0.7 0.8</w:t>
            </w:r>
          </w:p>
        </w:tc>
        <w:tc>
          <w:tcPr>
            <w:tcW w:w="123" w:type="dxa"/>
          </w:tcPr>
          <w:p>
            <w:pPr>
              <w:pStyle w:val="TableParagraph"/>
              <w:rPr>
                <w:sz w:val="8"/>
              </w:rPr>
            </w:pPr>
          </w:p>
        </w:tc>
        <w:tc>
          <w:tcPr>
            <w:tcW w:w="283" w:type="dxa"/>
          </w:tcPr>
          <w:p>
            <w:pPr>
              <w:pStyle w:val="TableParagraph"/>
              <w:spacing w:line="120" w:lineRule="exact"/>
              <w:ind w:left="22"/>
              <w:rPr>
                <w:sz w:val="14"/>
              </w:rPr>
            </w:pPr>
            <w:r>
              <w:rPr>
                <w:w w:val="105"/>
                <w:sz w:val="14"/>
              </w:rPr>
              <w:t>n.a.</w:t>
            </w:r>
          </w:p>
        </w:tc>
      </w:tr>
      <w:tr>
        <w:trPr>
          <w:trHeight w:val="140" w:hRule="atLeast"/>
        </w:trPr>
        <w:tc>
          <w:tcPr>
            <w:tcW w:w="2315" w:type="dxa"/>
          </w:tcPr>
          <w:p>
            <w:pPr>
              <w:pStyle w:val="TableParagraph"/>
              <w:spacing w:line="120" w:lineRule="exact"/>
              <w:ind w:left="156"/>
              <w:rPr>
                <w:sz w:val="12"/>
              </w:rPr>
            </w:pPr>
            <w:r>
              <w:rPr>
                <w:w w:val="105"/>
                <w:sz w:val="14"/>
              </w:rPr>
              <w:t>Materials and fuels (30.1%) </w:t>
            </w:r>
            <w:r>
              <w:rPr>
                <w:w w:val="105"/>
                <w:sz w:val="12"/>
              </w:rPr>
              <w:t>(b)</w:t>
            </w:r>
          </w:p>
        </w:tc>
        <w:tc>
          <w:tcPr>
            <w:tcW w:w="265" w:type="dxa"/>
          </w:tcPr>
          <w:p>
            <w:pPr>
              <w:pStyle w:val="TableParagraph"/>
              <w:spacing w:line="120" w:lineRule="exact"/>
              <w:ind w:left="-1" w:right="13"/>
              <w:jc w:val="right"/>
              <w:rPr>
                <w:sz w:val="14"/>
              </w:rPr>
            </w:pPr>
            <w:r>
              <w:rPr>
                <w:w w:val="110"/>
                <w:sz w:val="14"/>
              </w:rPr>
              <w:t>4.0</w:t>
            </w:r>
          </w:p>
        </w:tc>
        <w:tc>
          <w:tcPr>
            <w:tcW w:w="104" w:type="dxa"/>
          </w:tcPr>
          <w:p>
            <w:pPr>
              <w:pStyle w:val="TableParagraph"/>
              <w:rPr>
                <w:sz w:val="8"/>
              </w:rPr>
            </w:pPr>
          </w:p>
        </w:tc>
        <w:tc>
          <w:tcPr>
            <w:tcW w:w="250" w:type="dxa"/>
          </w:tcPr>
          <w:p>
            <w:pPr>
              <w:pStyle w:val="TableParagraph"/>
              <w:spacing w:line="120" w:lineRule="exact"/>
              <w:ind w:left="47"/>
              <w:jc w:val="center"/>
              <w:rPr>
                <w:sz w:val="14"/>
              </w:rPr>
            </w:pPr>
            <w:r>
              <w:rPr>
                <w:w w:val="115"/>
                <w:sz w:val="14"/>
              </w:rPr>
              <w:t>9.8</w:t>
            </w:r>
          </w:p>
        </w:tc>
        <w:tc>
          <w:tcPr>
            <w:tcW w:w="94" w:type="dxa"/>
          </w:tcPr>
          <w:p>
            <w:pPr>
              <w:pStyle w:val="TableParagraph"/>
              <w:rPr>
                <w:sz w:val="8"/>
              </w:rPr>
            </w:pPr>
          </w:p>
        </w:tc>
        <w:tc>
          <w:tcPr>
            <w:tcW w:w="260" w:type="dxa"/>
          </w:tcPr>
          <w:p>
            <w:pPr>
              <w:pStyle w:val="TableParagraph"/>
              <w:spacing w:line="120" w:lineRule="exact"/>
              <w:ind w:left="-2" w:right="-15"/>
              <w:jc w:val="right"/>
              <w:rPr>
                <w:sz w:val="14"/>
              </w:rPr>
            </w:pPr>
            <w:r>
              <w:rPr>
                <w:spacing w:val="-5"/>
                <w:w w:val="115"/>
                <w:sz w:val="14"/>
              </w:rPr>
              <w:t>12.8</w:t>
            </w:r>
          </w:p>
        </w:tc>
        <w:tc>
          <w:tcPr>
            <w:tcW w:w="86" w:type="dxa"/>
          </w:tcPr>
          <w:p>
            <w:pPr>
              <w:pStyle w:val="TableParagraph"/>
              <w:rPr>
                <w:sz w:val="8"/>
              </w:rPr>
            </w:pPr>
          </w:p>
        </w:tc>
        <w:tc>
          <w:tcPr>
            <w:tcW w:w="607" w:type="dxa"/>
          </w:tcPr>
          <w:p>
            <w:pPr>
              <w:pStyle w:val="TableParagraph"/>
              <w:spacing w:line="120" w:lineRule="exact"/>
              <w:ind w:left="20" w:right="23"/>
              <w:jc w:val="center"/>
              <w:rPr>
                <w:sz w:val="14"/>
              </w:rPr>
            </w:pPr>
            <w:r>
              <w:rPr>
                <w:spacing w:val="-9"/>
                <w:w w:val="115"/>
                <w:sz w:val="14"/>
              </w:rPr>
              <w:t>11.7</w:t>
            </w:r>
            <w:r>
              <w:rPr>
                <w:spacing w:val="-8"/>
                <w:w w:val="115"/>
                <w:sz w:val="14"/>
              </w:rPr>
              <w:t> </w:t>
            </w:r>
            <w:r>
              <w:rPr>
                <w:spacing w:val="-9"/>
                <w:w w:val="115"/>
                <w:sz w:val="14"/>
              </w:rPr>
              <w:t>12.1</w:t>
            </w:r>
          </w:p>
        </w:tc>
        <w:tc>
          <w:tcPr>
            <w:tcW w:w="123" w:type="dxa"/>
          </w:tcPr>
          <w:p>
            <w:pPr>
              <w:pStyle w:val="TableParagraph"/>
              <w:rPr>
                <w:sz w:val="8"/>
              </w:rPr>
            </w:pPr>
          </w:p>
        </w:tc>
        <w:tc>
          <w:tcPr>
            <w:tcW w:w="283" w:type="dxa"/>
          </w:tcPr>
          <w:p>
            <w:pPr>
              <w:pStyle w:val="TableParagraph"/>
              <w:spacing w:line="120" w:lineRule="exact"/>
              <w:ind w:left="29"/>
              <w:rPr>
                <w:sz w:val="14"/>
              </w:rPr>
            </w:pPr>
            <w:r>
              <w:rPr>
                <w:w w:val="115"/>
                <w:sz w:val="14"/>
              </w:rPr>
              <w:t>9.7</w:t>
            </w:r>
          </w:p>
        </w:tc>
      </w:tr>
      <w:tr>
        <w:trPr>
          <w:trHeight w:val="139" w:hRule="atLeast"/>
        </w:trPr>
        <w:tc>
          <w:tcPr>
            <w:tcW w:w="2580" w:type="dxa"/>
            <w:gridSpan w:val="2"/>
          </w:tcPr>
          <w:p>
            <w:pPr>
              <w:pStyle w:val="TableParagraph"/>
              <w:spacing w:line="120" w:lineRule="exact"/>
              <w:ind w:left="156"/>
              <w:rPr>
                <w:sz w:val="14"/>
              </w:rPr>
            </w:pPr>
            <w:r>
              <w:rPr>
                <w:w w:val="110"/>
                <w:sz w:val="14"/>
              </w:rPr>
              <w:t>Imports</w:t>
            </w:r>
            <w:r>
              <w:rPr>
                <w:spacing w:val="-13"/>
                <w:w w:val="110"/>
                <w:sz w:val="14"/>
              </w:rPr>
              <w:t> </w:t>
            </w:r>
            <w:r>
              <w:rPr>
                <w:w w:val="110"/>
                <w:sz w:val="14"/>
              </w:rPr>
              <w:t>and</w:t>
            </w:r>
            <w:r>
              <w:rPr>
                <w:spacing w:val="-13"/>
                <w:w w:val="110"/>
                <w:sz w:val="14"/>
              </w:rPr>
              <w:t> </w:t>
            </w:r>
            <w:r>
              <w:rPr>
                <w:w w:val="110"/>
                <w:sz w:val="14"/>
              </w:rPr>
              <w:t>finished</w:t>
            </w:r>
            <w:r>
              <w:rPr>
                <w:spacing w:val="-13"/>
                <w:w w:val="110"/>
                <w:sz w:val="14"/>
              </w:rPr>
              <w:t> </w:t>
            </w:r>
            <w:r>
              <w:rPr>
                <w:w w:val="110"/>
                <w:sz w:val="14"/>
              </w:rPr>
              <w:t>goods</w:t>
            </w:r>
            <w:r>
              <w:rPr>
                <w:spacing w:val="-13"/>
                <w:w w:val="110"/>
                <w:sz w:val="14"/>
              </w:rPr>
              <w:t> </w:t>
            </w:r>
            <w:r>
              <w:rPr>
                <w:w w:val="110"/>
                <w:sz w:val="14"/>
              </w:rPr>
              <w:t>(6.9%)</w:t>
            </w:r>
            <w:r>
              <w:rPr>
                <w:spacing w:val="18"/>
                <w:w w:val="110"/>
                <w:sz w:val="14"/>
              </w:rPr>
              <w:t> </w:t>
            </w:r>
            <w:r>
              <w:rPr>
                <w:w w:val="110"/>
                <w:sz w:val="14"/>
              </w:rPr>
              <w:t>-1.1</w:t>
            </w:r>
          </w:p>
        </w:tc>
        <w:tc>
          <w:tcPr>
            <w:tcW w:w="1401" w:type="dxa"/>
            <w:gridSpan w:val="6"/>
          </w:tcPr>
          <w:p>
            <w:pPr>
              <w:pStyle w:val="TableParagraph"/>
              <w:spacing w:line="120" w:lineRule="exact"/>
              <w:ind w:left="151"/>
              <w:rPr>
                <w:sz w:val="14"/>
              </w:rPr>
            </w:pPr>
            <w:r>
              <w:rPr>
                <w:w w:val="115"/>
                <w:sz w:val="14"/>
              </w:rPr>
              <w:t>0.0 0.0 0.0 1.1</w:t>
            </w:r>
          </w:p>
        </w:tc>
        <w:tc>
          <w:tcPr>
            <w:tcW w:w="406" w:type="dxa"/>
            <w:gridSpan w:val="2"/>
          </w:tcPr>
          <w:p>
            <w:pPr>
              <w:pStyle w:val="TableParagraph"/>
              <w:spacing w:line="120" w:lineRule="exact"/>
              <w:ind w:left="144"/>
              <w:rPr>
                <w:sz w:val="14"/>
              </w:rPr>
            </w:pPr>
            <w:r>
              <w:rPr>
                <w:w w:val="105"/>
                <w:sz w:val="14"/>
              </w:rPr>
              <w:t>n.a.</w:t>
            </w:r>
          </w:p>
        </w:tc>
      </w:tr>
      <w:tr>
        <w:trPr>
          <w:trHeight w:val="420" w:hRule="atLeast"/>
        </w:trPr>
        <w:tc>
          <w:tcPr>
            <w:tcW w:w="2580" w:type="dxa"/>
            <w:gridSpan w:val="2"/>
          </w:tcPr>
          <w:p>
            <w:pPr>
              <w:pStyle w:val="TableParagraph"/>
              <w:tabs>
                <w:tab w:pos="2564" w:val="right" w:leader="none"/>
              </w:tabs>
              <w:spacing w:line="125" w:lineRule="exact"/>
              <w:ind w:left="156"/>
              <w:rPr>
                <w:sz w:val="14"/>
              </w:rPr>
            </w:pPr>
            <w:r>
              <w:rPr>
                <w:spacing w:val="-3"/>
                <w:w w:val="110"/>
                <w:sz w:val="14"/>
              </w:rPr>
              <w:t>Bought-in</w:t>
            </w:r>
            <w:r>
              <w:rPr>
                <w:spacing w:val="-6"/>
                <w:w w:val="110"/>
                <w:sz w:val="14"/>
              </w:rPr>
              <w:t> </w:t>
            </w:r>
            <w:r>
              <w:rPr>
                <w:w w:val="110"/>
                <w:sz w:val="14"/>
              </w:rPr>
              <w:t>services</w:t>
            </w:r>
            <w:r>
              <w:rPr>
                <w:spacing w:val="-6"/>
                <w:w w:val="110"/>
                <w:sz w:val="14"/>
              </w:rPr>
              <w:t> </w:t>
            </w:r>
            <w:r>
              <w:rPr>
                <w:spacing w:val="-5"/>
                <w:w w:val="110"/>
                <w:sz w:val="14"/>
              </w:rPr>
              <w:t>(16.2%)</w:t>
              <w:tab/>
            </w:r>
            <w:r>
              <w:rPr>
                <w:w w:val="110"/>
                <w:sz w:val="14"/>
              </w:rPr>
              <w:t>3.3</w:t>
            </w:r>
          </w:p>
          <w:p>
            <w:pPr>
              <w:pStyle w:val="TableParagraph"/>
              <w:spacing w:line="140" w:lineRule="exact"/>
              <w:ind w:left="50"/>
              <w:rPr>
                <w:sz w:val="14"/>
              </w:rPr>
            </w:pPr>
            <w:r>
              <w:rPr>
                <w:w w:val="110"/>
                <w:sz w:val="14"/>
              </w:rPr>
              <w:t>Output prices (excluding</w:t>
            </w:r>
          </w:p>
          <w:p>
            <w:pPr>
              <w:pStyle w:val="TableParagraph"/>
              <w:tabs>
                <w:tab w:pos="2564" w:val="right" w:leader="none"/>
              </w:tabs>
              <w:spacing w:line="136" w:lineRule="exact"/>
              <w:ind w:left="120"/>
              <w:rPr>
                <w:sz w:val="14"/>
              </w:rPr>
            </w:pPr>
            <w:r>
              <w:rPr>
                <w:w w:val="110"/>
                <w:sz w:val="14"/>
              </w:rPr>
              <w:t>duties)</w:t>
              <w:tab/>
              <w:t>0.3</w:t>
            </w:r>
          </w:p>
        </w:tc>
        <w:tc>
          <w:tcPr>
            <w:tcW w:w="1401" w:type="dxa"/>
            <w:gridSpan w:val="6"/>
          </w:tcPr>
          <w:p>
            <w:pPr>
              <w:pStyle w:val="TableParagraph"/>
              <w:spacing w:line="135" w:lineRule="exact"/>
              <w:ind w:left="152"/>
              <w:rPr>
                <w:sz w:val="14"/>
              </w:rPr>
            </w:pPr>
            <w:r>
              <w:rPr>
                <w:w w:val="115"/>
                <w:sz w:val="14"/>
              </w:rPr>
              <w:t>3.6    1.3  -0.1  </w:t>
            </w:r>
            <w:r>
              <w:rPr>
                <w:spacing w:val="15"/>
                <w:w w:val="115"/>
                <w:sz w:val="14"/>
              </w:rPr>
              <w:t> </w:t>
            </w:r>
            <w:r>
              <w:rPr>
                <w:w w:val="115"/>
                <w:sz w:val="14"/>
              </w:rPr>
              <w:t>0.5</w:t>
            </w:r>
          </w:p>
          <w:p>
            <w:pPr>
              <w:pStyle w:val="TableParagraph"/>
              <w:spacing w:line="146" w:lineRule="exact" w:before="119"/>
              <w:ind w:left="152"/>
              <w:rPr>
                <w:sz w:val="14"/>
              </w:rPr>
            </w:pPr>
            <w:r>
              <w:rPr>
                <w:w w:val="115"/>
                <w:sz w:val="14"/>
              </w:rPr>
              <w:t>1.2    1.7   2.0  </w:t>
            </w:r>
            <w:r>
              <w:rPr>
                <w:spacing w:val="29"/>
                <w:w w:val="115"/>
                <w:sz w:val="14"/>
              </w:rPr>
              <w:t> </w:t>
            </w:r>
            <w:r>
              <w:rPr>
                <w:w w:val="115"/>
                <w:sz w:val="14"/>
              </w:rPr>
              <w:t>1.9</w:t>
            </w:r>
          </w:p>
        </w:tc>
        <w:tc>
          <w:tcPr>
            <w:tcW w:w="406" w:type="dxa"/>
            <w:gridSpan w:val="2"/>
          </w:tcPr>
          <w:p>
            <w:pPr>
              <w:pStyle w:val="TableParagraph"/>
              <w:spacing w:line="135" w:lineRule="exact"/>
              <w:ind w:left="145"/>
              <w:rPr>
                <w:sz w:val="14"/>
              </w:rPr>
            </w:pPr>
            <w:r>
              <w:rPr>
                <w:w w:val="105"/>
                <w:sz w:val="14"/>
              </w:rPr>
              <w:t>n.a.</w:t>
            </w:r>
          </w:p>
          <w:p>
            <w:pPr>
              <w:pStyle w:val="TableParagraph"/>
              <w:spacing w:line="146" w:lineRule="exact" w:before="119"/>
              <w:ind w:left="152"/>
              <w:rPr>
                <w:sz w:val="14"/>
              </w:rPr>
            </w:pPr>
            <w:r>
              <w:rPr>
                <w:w w:val="115"/>
                <w:sz w:val="14"/>
              </w:rPr>
              <w:t>1.8</w:t>
            </w:r>
          </w:p>
        </w:tc>
      </w:tr>
    </w:tbl>
    <w:p>
      <w:pPr>
        <w:spacing w:before="113"/>
        <w:ind w:left="170" w:right="0" w:firstLine="0"/>
        <w:jc w:val="left"/>
        <w:rPr>
          <w:sz w:val="12"/>
        </w:rPr>
      </w:pPr>
      <w:r>
        <w:rPr>
          <w:w w:val="105"/>
          <w:sz w:val="12"/>
        </w:rPr>
        <w:t>Sources: ONS and Bank of England.</w:t>
      </w:r>
    </w:p>
    <w:p>
      <w:pPr>
        <w:pStyle w:val="BodyText"/>
        <w:spacing w:before="1"/>
        <w:rPr>
          <w:sz w:val="10"/>
        </w:rPr>
      </w:pPr>
    </w:p>
    <w:p>
      <w:pPr>
        <w:pStyle w:val="ListParagraph"/>
        <w:numPr>
          <w:ilvl w:val="0"/>
          <w:numId w:val="30"/>
        </w:numPr>
        <w:tabs>
          <w:tab w:pos="410" w:val="left" w:leader="none"/>
        </w:tabs>
        <w:spacing w:line="208" w:lineRule="auto" w:before="0" w:after="0"/>
        <w:ind w:left="410" w:right="271" w:hanging="240"/>
        <w:jc w:val="left"/>
        <w:rPr>
          <w:sz w:val="12"/>
        </w:rPr>
      </w:pPr>
      <w:r>
        <w:rPr>
          <w:w w:val="110"/>
          <w:sz w:val="12"/>
        </w:rPr>
        <w:t>Percentages</w:t>
      </w:r>
      <w:r>
        <w:rPr>
          <w:spacing w:val="-18"/>
          <w:w w:val="110"/>
          <w:sz w:val="12"/>
        </w:rPr>
        <w:t> </w:t>
      </w:r>
      <w:r>
        <w:rPr>
          <w:w w:val="110"/>
          <w:sz w:val="12"/>
        </w:rPr>
        <w:t>shown</w:t>
      </w:r>
      <w:r>
        <w:rPr>
          <w:spacing w:val="-18"/>
          <w:w w:val="110"/>
          <w:sz w:val="12"/>
        </w:rPr>
        <w:t> </w:t>
      </w:r>
      <w:r>
        <w:rPr>
          <w:w w:val="110"/>
          <w:sz w:val="12"/>
        </w:rPr>
        <w:t>in</w:t>
      </w:r>
      <w:r>
        <w:rPr>
          <w:spacing w:val="-18"/>
          <w:w w:val="110"/>
          <w:sz w:val="12"/>
        </w:rPr>
        <w:t> </w:t>
      </w:r>
      <w:r>
        <w:rPr>
          <w:w w:val="110"/>
          <w:sz w:val="12"/>
        </w:rPr>
        <w:t>brackets</w:t>
      </w:r>
      <w:r>
        <w:rPr>
          <w:spacing w:val="-18"/>
          <w:w w:val="110"/>
          <w:sz w:val="12"/>
        </w:rPr>
        <w:t> </w:t>
      </w:r>
      <w:r>
        <w:rPr>
          <w:w w:val="110"/>
          <w:sz w:val="12"/>
        </w:rPr>
        <w:t>reflect</w:t>
      </w:r>
      <w:r>
        <w:rPr>
          <w:spacing w:val="-18"/>
          <w:w w:val="110"/>
          <w:sz w:val="12"/>
        </w:rPr>
        <w:t> </w:t>
      </w:r>
      <w:r>
        <w:rPr>
          <w:w w:val="110"/>
          <w:sz w:val="12"/>
        </w:rPr>
        <w:t>weights</w:t>
      </w:r>
      <w:r>
        <w:rPr>
          <w:spacing w:val="-18"/>
          <w:w w:val="110"/>
          <w:sz w:val="12"/>
        </w:rPr>
        <w:t> </w:t>
      </w:r>
      <w:r>
        <w:rPr>
          <w:w w:val="110"/>
          <w:sz w:val="12"/>
        </w:rPr>
        <w:t>of</w:t>
      </w:r>
      <w:r>
        <w:rPr>
          <w:spacing w:val="-18"/>
          <w:w w:val="110"/>
          <w:sz w:val="12"/>
        </w:rPr>
        <w:t> </w:t>
      </w:r>
      <w:r>
        <w:rPr>
          <w:w w:val="110"/>
          <w:sz w:val="12"/>
        </w:rPr>
        <w:t>components,</w:t>
      </w:r>
      <w:r>
        <w:rPr>
          <w:spacing w:val="-18"/>
          <w:w w:val="110"/>
          <w:sz w:val="12"/>
        </w:rPr>
        <w:t> </w:t>
      </w:r>
      <w:r>
        <w:rPr>
          <w:w w:val="110"/>
          <w:sz w:val="12"/>
        </w:rPr>
        <w:t>derived</w:t>
      </w:r>
      <w:r>
        <w:rPr>
          <w:spacing w:val="-18"/>
          <w:w w:val="110"/>
          <w:sz w:val="12"/>
        </w:rPr>
        <w:t> </w:t>
      </w:r>
      <w:r>
        <w:rPr>
          <w:w w:val="110"/>
          <w:sz w:val="12"/>
        </w:rPr>
        <w:t>from </w:t>
      </w:r>
      <w:r>
        <w:rPr>
          <w:spacing w:val="-9"/>
          <w:w w:val="110"/>
          <w:sz w:val="12"/>
        </w:rPr>
        <w:t>1990 </w:t>
      </w:r>
      <w:r>
        <w:rPr>
          <w:w w:val="110"/>
          <w:sz w:val="12"/>
        </w:rPr>
        <w:t>input-output tables for the United</w:t>
      </w:r>
      <w:r>
        <w:rPr>
          <w:spacing w:val="-14"/>
          <w:w w:val="110"/>
          <w:sz w:val="12"/>
        </w:rPr>
        <w:t> </w:t>
      </w:r>
      <w:r>
        <w:rPr>
          <w:w w:val="110"/>
          <w:sz w:val="12"/>
        </w:rPr>
        <w:t>Kingdom.</w:t>
      </w:r>
    </w:p>
    <w:p>
      <w:pPr>
        <w:pStyle w:val="ListParagraph"/>
        <w:numPr>
          <w:ilvl w:val="0"/>
          <w:numId w:val="30"/>
        </w:numPr>
        <w:tabs>
          <w:tab w:pos="410" w:val="left" w:leader="none"/>
        </w:tabs>
        <w:spacing w:line="123" w:lineRule="exact" w:before="0" w:after="0"/>
        <w:ind w:left="409" w:right="0" w:hanging="240"/>
        <w:jc w:val="left"/>
        <w:rPr>
          <w:sz w:val="12"/>
        </w:rPr>
      </w:pPr>
      <w:r>
        <w:rPr>
          <w:w w:val="105"/>
          <w:sz w:val="12"/>
        </w:rPr>
        <w:t>Includes imports of semi-finished</w:t>
      </w:r>
      <w:r>
        <w:rPr>
          <w:spacing w:val="-7"/>
          <w:w w:val="105"/>
          <w:sz w:val="12"/>
        </w:rPr>
        <w:t> </w:t>
      </w:r>
      <w:r>
        <w:rPr>
          <w:w w:val="105"/>
          <w:sz w:val="12"/>
        </w:rPr>
        <w:t>goods.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ind w:left="160"/>
      </w:pPr>
      <w:r>
        <w:rPr>
          <w:color w:val="89C6DC"/>
        </w:rPr>
        <w:t>Table 4.B</w:t>
      </w:r>
    </w:p>
    <w:p>
      <w:pPr>
        <w:spacing w:before="8"/>
        <w:ind w:left="160" w:right="0" w:firstLine="0"/>
        <w:jc w:val="left"/>
        <w:rPr>
          <w:rFonts w:ascii="Trebuchet MS"/>
          <w:b/>
          <w:sz w:val="20"/>
        </w:rPr>
      </w:pPr>
      <w:r>
        <w:rPr>
          <w:rFonts w:ascii="Trebuchet MS"/>
          <w:b/>
          <w:color w:val="89C6DC"/>
          <w:sz w:val="20"/>
        </w:rPr>
        <w:t>Service sector costs and prices</w:t>
      </w:r>
    </w:p>
    <w:p>
      <w:pPr>
        <w:tabs>
          <w:tab w:pos="732" w:val="left" w:leader="none"/>
          <w:tab w:pos="2429" w:val="left" w:leader="none"/>
        </w:tabs>
        <w:spacing w:before="105"/>
        <w:ind w:left="0" w:right="100" w:firstLine="0"/>
        <w:jc w:val="right"/>
        <w:rPr>
          <w:sz w:val="14"/>
        </w:rPr>
      </w:pPr>
      <w:r>
        <w:rPr>
          <w:spacing w:val="-11"/>
          <w:w w:val="120"/>
          <w:sz w:val="14"/>
          <w:u w:val="single"/>
        </w:rPr>
        <w:t>1999</w:t>
        <w:tab/>
      </w:r>
      <w:r>
        <w:rPr>
          <w:spacing w:val="-3"/>
          <w:w w:val="120"/>
          <w:sz w:val="14"/>
          <w:u w:val="single"/>
        </w:rPr>
        <w:t>2000</w:t>
      </w:r>
      <w:r>
        <w:rPr>
          <w:spacing w:val="-3"/>
          <w:sz w:val="14"/>
          <w:u w:val="single"/>
        </w:rPr>
        <w:tab/>
      </w:r>
    </w:p>
    <w:p>
      <w:pPr>
        <w:pStyle w:val="BodyText"/>
        <w:spacing w:before="1"/>
        <w:rPr>
          <w:sz w:val="2"/>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3"/>
        <w:gridCol w:w="430"/>
        <w:gridCol w:w="434"/>
        <w:gridCol w:w="447"/>
        <w:gridCol w:w="442"/>
        <w:gridCol w:w="415"/>
        <w:gridCol w:w="399"/>
      </w:tblGrid>
      <w:tr>
        <w:trPr>
          <w:trHeight w:val="403" w:hRule="atLeast"/>
        </w:trPr>
        <w:tc>
          <w:tcPr>
            <w:tcW w:w="1793" w:type="dxa"/>
          </w:tcPr>
          <w:p>
            <w:pPr>
              <w:pStyle w:val="TableParagraph"/>
              <w:spacing w:before="6"/>
              <w:rPr>
                <w:sz w:val="20"/>
              </w:rPr>
            </w:pPr>
          </w:p>
          <w:p>
            <w:pPr>
              <w:pStyle w:val="TableParagraph"/>
              <w:spacing w:line="147" w:lineRule="exact"/>
              <w:ind w:left="50"/>
              <w:rPr>
                <w:rFonts w:ascii="Georgia"/>
                <w:sz w:val="14"/>
              </w:rPr>
            </w:pPr>
            <w:r>
              <w:rPr>
                <w:rFonts w:ascii="Georgia"/>
                <w:w w:val="105"/>
                <w:sz w:val="14"/>
              </w:rPr>
              <w:t>Costs</w:t>
            </w:r>
          </w:p>
        </w:tc>
        <w:tc>
          <w:tcPr>
            <w:tcW w:w="430" w:type="dxa"/>
          </w:tcPr>
          <w:p>
            <w:pPr>
              <w:pStyle w:val="TableParagraph"/>
              <w:spacing w:line="155" w:lineRule="exact"/>
              <w:ind w:right="63"/>
              <w:jc w:val="right"/>
              <w:rPr>
                <w:sz w:val="14"/>
              </w:rPr>
            </w:pPr>
            <w:r>
              <w:rPr>
                <w:w w:val="110"/>
                <w:sz w:val="14"/>
                <w:u w:val="single"/>
              </w:rPr>
              <w:t>Q3</w:t>
            </w:r>
            <w:r>
              <w:rPr>
                <w:sz w:val="14"/>
                <w:u w:val="single"/>
              </w:rPr>
              <w:t> </w:t>
            </w:r>
          </w:p>
        </w:tc>
        <w:tc>
          <w:tcPr>
            <w:tcW w:w="434" w:type="dxa"/>
          </w:tcPr>
          <w:p>
            <w:pPr>
              <w:pStyle w:val="TableParagraph"/>
              <w:spacing w:line="155" w:lineRule="exact"/>
              <w:ind w:right="123"/>
              <w:jc w:val="right"/>
              <w:rPr>
                <w:sz w:val="14"/>
              </w:rPr>
            </w:pPr>
            <w:r>
              <w:rPr>
                <w:w w:val="110"/>
                <w:sz w:val="14"/>
                <w:u w:val="single"/>
              </w:rPr>
              <w:t>Q4</w:t>
            </w:r>
          </w:p>
        </w:tc>
        <w:tc>
          <w:tcPr>
            <w:tcW w:w="447" w:type="dxa"/>
          </w:tcPr>
          <w:p>
            <w:pPr>
              <w:pStyle w:val="TableParagraph"/>
              <w:spacing w:line="155" w:lineRule="exact"/>
              <w:ind w:left="105"/>
              <w:rPr>
                <w:sz w:val="14"/>
              </w:rPr>
            </w:pPr>
            <w:r>
              <w:rPr>
                <w:w w:val="110"/>
                <w:sz w:val="14"/>
                <w:u w:val="single"/>
              </w:rPr>
              <w:t>Q1</w:t>
            </w:r>
          </w:p>
        </w:tc>
        <w:tc>
          <w:tcPr>
            <w:tcW w:w="442" w:type="dxa"/>
          </w:tcPr>
          <w:p>
            <w:pPr>
              <w:pStyle w:val="TableParagraph"/>
              <w:spacing w:line="155" w:lineRule="exact"/>
              <w:ind w:right="128"/>
              <w:jc w:val="right"/>
              <w:rPr>
                <w:sz w:val="14"/>
              </w:rPr>
            </w:pPr>
            <w:r>
              <w:rPr>
                <w:sz w:val="14"/>
                <w:u w:val="single"/>
              </w:rPr>
              <w:t> </w:t>
            </w:r>
            <w:r>
              <w:rPr>
                <w:w w:val="110"/>
                <w:sz w:val="14"/>
                <w:u w:val="single"/>
              </w:rPr>
              <w:t>Q2</w:t>
            </w:r>
          </w:p>
        </w:tc>
        <w:tc>
          <w:tcPr>
            <w:tcW w:w="415" w:type="dxa"/>
          </w:tcPr>
          <w:p>
            <w:pPr>
              <w:pStyle w:val="TableParagraph"/>
              <w:spacing w:line="155" w:lineRule="exact"/>
              <w:ind w:right="131"/>
              <w:jc w:val="right"/>
              <w:rPr>
                <w:sz w:val="14"/>
              </w:rPr>
            </w:pPr>
            <w:r>
              <w:rPr>
                <w:w w:val="110"/>
                <w:sz w:val="14"/>
                <w:u w:val="single"/>
              </w:rPr>
              <w:t>Q3</w:t>
            </w:r>
          </w:p>
        </w:tc>
        <w:tc>
          <w:tcPr>
            <w:tcW w:w="399" w:type="dxa"/>
          </w:tcPr>
          <w:p>
            <w:pPr>
              <w:pStyle w:val="TableParagraph"/>
              <w:spacing w:line="155" w:lineRule="exact"/>
              <w:ind w:left="87"/>
              <w:rPr>
                <w:sz w:val="14"/>
              </w:rPr>
            </w:pPr>
            <w:r>
              <w:rPr>
                <w:w w:val="110"/>
                <w:sz w:val="14"/>
                <w:u w:val="single"/>
              </w:rPr>
              <w:t>Q4</w:t>
            </w:r>
          </w:p>
        </w:tc>
      </w:tr>
      <w:tr>
        <w:trPr>
          <w:trHeight w:val="176" w:hRule="atLeast"/>
        </w:trPr>
        <w:tc>
          <w:tcPr>
            <w:tcW w:w="1793" w:type="dxa"/>
          </w:tcPr>
          <w:p>
            <w:pPr>
              <w:pStyle w:val="TableParagraph"/>
              <w:spacing w:line="146" w:lineRule="exact" w:before="10"/>
              <w:ind w:left="50"/>
              <w:rPr>
                <w:sz w:val="12"/>
              </w:rPr>
            </w:pPr>
            <w:r>
              <w:rPr>
                <w:w w:val="105"/>
                <w:sz w:val="14"/>
              </w:rPr>
              <w:t>CIPS input price index </w:t>
            </w:r>
            <w:r>
              <w:rPr>
                <w:w w:val="105"/>
                <w:sz w:val="12"/>
              </w:rPr>
              <w:t>(a)</w:t>
            </w:r>
          </w:p>
        </w:tc>
        <w:tc>
          <w:tcPr>
            <w:tcW w:w="430" w:type="dxa"/>
          </w:tcPr>
          <w:p>
            <w:pPr>
              <w:pStyle w:val="TableParagraph"/>
              <w:spacing w:line="146" w:lineRule="exact" w:before="10"/>
              <w:ind w:right="81"/>
              <w:jc w:val="right"/>
              <w:rPr>
                <w:sz w:val="14"/>
              </w:rPr>
            </w:pPr>
            <w:r>
              <w:rPr>
                <w:w w:val="115"/>
                <w:sz w:val="14"/>
              </w:rPr>
              <w:t>54.8</w:t>
            </w:r>
          </w:p>
        </w:tc>
        <w:tc>
          <w:tcPr>
            <w:tcW w:w="434" w:type="dxa"/>
          </w:tcPr>
          <w:p>
            <w:pPr>
              <w:pStyle w:val="TableParagraph"/>
              <w:spacing w:line="146" w:lineRule="exact" w:before="10"/>
              <w:ind w:right="93"/>
              <w:jc w:val="right"/>
              <w:rPr>
                <w:sz w:val="14"/>
              </w:rPr>
            </w:pPr>
            <w:r>
              <w:rPr>
                <w:w w:val="115"/>
                <w:sz w:val="14"/>
              </w:rPr>
              <w:t>57.6</w:t>
            </w:r>
          </w:p>
        </w:tc>
        <w:tc>
          <w:tcPr>
            <w:tcW w:w="447" w:type="dxa"/>
          </w:tcPr>
          <w:p>
            <w:pPr>
              <w:pStyle w:val="TableParagraph"/>
              <w:spacing w:line="146" w:lineRule="exact" w:before="10"/>
              <w:ind w:left="97"/>
              <w:rPr>
                <w:sz w:val="14"/>
              </w:rPr>
            </w:pPr>
            <w:r>
              <w:rPr>
                <w:w w:val="115"/>
                <w:sz w:val="14"/>
              </w:rPr>
              <w:t>59.3</w:t>
            </w:r>
          </w:p>
        </w:tc>
        <w:tc>
          <w:tcPr>
            <w:tcW w:w="442" w:type="dxa"/>
          </w:tcPr>
          <w:p>
            <w:pPr>
              <w:pStyle w:val="TableParagraph"/>
              <w:spacing w:line="146" w:lineRule="exact" w:before="10"/>
              <w:ind w:right="68"/>
              <w:jc w:val="right"/>
              <w:rPr>
                <w:sz w:val="14"/>
              </w:rPr>
            </w:pPr>
            <w:r>
              <w:rPr>
                <w:w w:val="115"/>
                <w:sz w:val="14"/>
              </w:rPr>
              <w:t>61.7</w:t>
            </w:r>
          </w:p>
        </w:tc>
        <w:tc>
          <w:tcPr>
            <w:tcW w:w="415" w:type="dxa"/>
          </w:tcPr>
          <w:p>
            <w:pPr>
              <w:pStyle w:val="TableParagraph"/>
              <w:spacing w:line="146" w:lineRule="exact" w:before="10"/>
              <w:ind w:right="71"/>
              <w:jc w:val="right"/>
              <w:rPr>
                <w:sz w:val="14"/>
              </w:rPr>
            </w:pPr>
            <w:r>
              <w:rPr>
                <w:w w:val="115"/>
                <w:sz w:val="14"/>
              </w:rPr>
              <w:t>61.7</w:t>
            </w:r>
          </w:p>
        </w:tc>
        <w:tc>
          <w:tcPr>
            <w:tcW w:w="399" w:type="dxa"/>
          </w:tcPr>
          <w:p>
            <w:pPr>
              <w:pStyle w:val="TableParagraph"/>
              <w:spacing w:line="146" w:lineRule="exact" w:before="10"/>
              <w:ind w:left="86"/>
              <w:rPr>
                <w:sz w:val="14"/>
              </w:rPr>
            </w:pPr>
            <w:r>
              <w:rPr>
                <w:w w:val="115"/>
                <w:sz w:val="14"/>
              </w:rPr>
              <w:t>61.2</w:t>
            </w:r>
          </w:p>
        </w:tc>
      </w:tr>
      <w:tr>
        <w:trPr>
          <w:trHeight w:val="140" w:hRule="atLeast"/>
        </w:trPr>
        <w:tc>
          <w:tcPr>
            <w:tcW w:w="1793" w:type="dxa"/>
          </w:tcPr>
          <w:p>
            <w:pPr>
              <w:pStyle w:val="TableParagraph"/>
              <w:spacing w:line="120" w:lineRule="exact"/>
              <w:ind w:left="50"/>
              <w:rPr>
                <w:sz w:val="12"/>
              </w:rPr>
            </w:pPr>
            <w:r>
              <w:rPr>
                <w:w w:val="105"/>
                <w:sz w:val="14"/>
              </w:rPr>
              <w:t>BCC raw materials prices </w:t>
            </w:r>
            <w:r>
              <w:rPr>
                <w:w w:val="105"/>
                <w:sz w:val="12"/>
              </w:rPr>
              <w:t>(b)</w:t>
            </w:r>
          </w:p>
        </w:tc>
        <w:tc>
          <w:tcPr>
            <w:tcW w:w="430" w:type="dxa"/>
          </w:tcPr>
          <w:p>
            <w:pPr>
              <w:pStyle w:val="TableParagraph"/>
              <w:spacing w:line="120" w:lineRule="exact"/>
              <w:ind w:right="103"/>
              <w:jc w:val="right"/>
              <w:rPr>
                <w:sz w:val="14"/>
              </w:rPr>
            </w:pPr>
            <w:r>
              <w:rPr>
                <w:w w:val="120"/>
                <w:sz w:val="14"/>
              </w:rPr>
              <w:t>16</w:t>
            </w:r>
          </w:p>
        </w:tc>
        <w:tc>
          <w:tcPr>
            <w:tcW w:w="434" w:type="dxa"/>
          </w:tcPr>
          <w:p>
            <w:pPr>
              <w:pStyle w:val="TableParagraph"/>
              <w:spacing w:line="120" w:lineRule="exact"/>
              <w:ind w:right="115"/>
              <w:jc w:val="right"/>
              <w:rPr>
                <w:sz w:val="14"/>
              </w:rPr>
            </w:pPr>
            <w:r>
              <w:rPr>
                <w:w w:val="120"/>
                <w:sz w:val="14"/>
              </w:rPr>
              <w:t>19</w:t>
            </w:r>
          </w:p>
        </w:tc>
        <w:tc>
          <w:tcPr>
            <w:tcW w:w="447" w:type="dxa"/>
          </w:tcPr>
          <w:p>
            <w:pPr>
              <w:pStyle w:val="TableParagraph"/>
              <w:spacing w:line="120" w:lineRule="exact"/>
              <w:ind w:right="100"/>
              <w:jc w:val="right"/>
              <w:rPr>
                <w:sz w:val="14"/>
              </w:rPr>
            </w:pPr>
            <w:r>
              <w:rPr>
                <w:w w:val="120"/>
                <w:sz w:val="14"/>
              </w:rPr>
              <w:t>21</w:t>
            </w:r>
          </w:p>
        </w:tc>
        <w:tc>
          <w:tcPr>
            <w:tcW w:w="442" w:type="dxa"/>
          </w:tcPr>
          <w:p>
            <w:pPr>
              <w:pStyle w:val="TableParagraph"/>
              <w:spacing w:line="120" w:lineRule="exact"/>
              <w:ind w:right="68"/>
              <w:jc w:val="right"/>
              <w:rPr>
                <w:sz w:val="14"/>
              </w:rPr>
            </w:pPr>
            <w:r>
              <w:rPr>
                <w:w w:val="120"/>
                <w:sz w:val="14"/>
              </w:rPr>
              <w:t>22</w:t>
            </w:r>
          </w:p>
        </w:tc>
        <w:tc>
          <w:tcPr>
            <w:tcW w:w="415" w:type="dxa"/>
          </w:tcPr>
          <w:p>
            <w:pPr>
              <w:pStyle w:val="TableParagraph"/>
              <w:spacing w:line="120" w:lineRule="exact"/>
              <w:ind w:right="93"/>
              <w:jc w:val="right"/>
              <w:rPr>
                <w:sz w:val="14"/>
              </w:rPr>
            </w:pPr>
            <w:r>
              <w:rPr>
                <w:w w:val="120"/>
                <w:sz w:val="14"/>
              </w:rPr>
              <w:t>18</w:t>
            </w:r>
          </w:p>
        </w:tc>
        <w:tc>
          <w:tcPr>
            <w:tcW w:w="399" w:type="dxa"/>
          </w:tcPr>
          <w:p>
            <w:pPr>
              <w:pStyle w:val="TableParagraph"/>
              <w:spacing w:line="120" w:lineRule="exact"/>
              <w:ind w:right="48"/>
              <w:jc w:val="right"/>
              <w:rPr>
                <w:sz w:val="14"/>
              </w:rPr>
            </w:pPr>
            <w:r>
              <w:rPr>
                <w:w w:val="120"/>
                <w:sz w:val="14"/>
              </w:rPr>
              <w:t>20</w:t>
            </w:r>
          </w:p>
        </w:tc>
      </w:tr>
      <w:tr>
        <w:trPr>
          <w:trHeight w:val="140" w:hRule="atLeast"/>
        </w:trPr>
        <w:tc>
          <w:tcPr>
            <w:tcW w:w="1793" w:type="dxa"/>
          </w:tcPr>
          <w:p>
            <w:pPr>
              <w:pStyle w:val="TableParagraph"/>
              <w:spacing w:line="120" w:lineRule="exact"/>
              <w:ind w:left="50"/>
              <w:rPr>
                <w:sz w:val="12"/>
              </w:rPr>
            </w:pPr>
            <w:r>
              <w:rPr>
                <w:w w:val="105"/>
                <w:sz w:val="14"/>
              </w:rPr>
              <w:t>BCC pay settlements </w:t>
            </w:r>
            <w:r>
              <w:rPr>
                <w:w w:val="105"/>
                <w:sz w:val="12"/>
              </w:rPr>
              <w:t>(b)</w:t>
            </w:r>
          </w:p>
        </w:tc>
        <w:tc>
          <w:tcPr>
            <w:tcW w:w="430" w:type="dxa"/>
          </w:tcPr>
          <w:p>
            <w:pPr>
              <w:pStyle w:val="TableParagraph"/>
              <w:spacing w:line="120" w:lineRule="exact"/>
              <w:ind w:right="96"/>
              <w:jc w:val="right"/>
              <w:rPr>
                <w:sz w:val="14"/>
              </w:rPr>
            </w:pPr>
            <w:r>
              <w:rPr>
                <w:w w:val="120"/>
                <w:sz w:val="14"/>
              </w:rPr>
              <w:t>25</w:t>
            </w:r>
          </w:p>
        </w:tc>
        <w:tc>
          <w:tcPr>
            <w:tcW w:w="434" w:type="dxa"/>
          </w:tcPr>
          <w:p>
            <w:pPr>
              <w:pStyle w:val="TableParagraph"/>
              <w:spacing w:line="120" w:lineRule="exact"/>
              <w:ind w:right="93"/>
              <w:jc w:val="right"/>
              <w:rPr>
                <w:sz w:val="14"/>
              </w:rPr>
            </w:pPr>
            <w:r>
              <w:rPr>
                <w:w w:val="120"/>
                <w:sz w:val="14"/>
              </w:rPr>
              <w:t>28</w:t>
            </w:r>
          </w:p>
        </w:tc>
        <w:tc>
          <w:tcPr>
            <w:tcW w:w="447" w:type="dxa"/>
          </w:tcPr>
          <w:p>
            <w:pPr>
              <w:pStyle w:val="TableParagraph"/>
              <w:spacing w:line="120" w:lineRule="exact"/>
              <w:ind w:right="78"/>
              <w:jc w:val="right"/>
              <w:rPr>
                <w:sz w:val="14"/>
              </w:rPr>
            </w:pPr>
            <w:r>
              <w:rPr>
                <w:w w:val="120"/>
                <w:sz w:val="14"/>
              </w:rPr>
              <w:t>31</w:t>
            </w:r>
          </w:p>
        </w:tc>
        <w:tc>
          <w:tcPr>
            <w:tcW w:w="442" w:type="dxa"/>
          </w:tcPr>
          <w:p>
            <w:pPr>
              <w:pStyle w:val="TableParagraph"/>
              <w:spacing w:line="120" w:lineRule="exact"/>
              <w:ind w:right="83"/>
              <w:jc w:val="right"/>
              <w:rPr>
                <w:sz w:val="14"/>
              </w:rPr>
            </w:pPr>
            <w:r>
              <w:rPr>
                <w:w w:val="120"/>
                <w:sz w:val="14"/>
              </w:rPr>
              <w:t>33</w:t>
            </w:r>
          </w:p>
        </w:tc>
        <w:tc>
          <w:tcPr>
            <w:tcW w:w="415" w:type="dxa"/>
          </w:tcPr>
          <w:p>
            <w:pPr>
              <w:pStyle w:val="TableParagraph"/>
              <w:spacing w:line="120" w:lineRule="exact"/>
              <w:ind w:right="71"/>
              <w:jc w:val="right"/>
              <w:rPr>
                <w:sz w:val="14"/>
              </w:rPr>
            </w:pPr>
            <w:r>
              <w:rPr>
                <w:w w:val="120"/>
                <w:sz w:val="14"/>
              </w:rPr>
              <w:t>23</w:t>
            </w:r>
          </w:p>
        </w:tc>
        <w:tc>
          <w:tcPr>
            <w:tcW w:w="399" w:type="dxa"/>
          </w:tcPr>
          <w:p>
            <w:pPr>
              <w:pStyle w:val="TableParagraph"/>
              <w:spacing w:line="120" w:lineRule="exact"/>
              <w:ind w:right="48"/>
              <w:jc w:val="right"/>
              <w:rPr>
                <w:sz w:val="14"/>
              </w:rPr>
            </w:pPr>
            <w:r>
              <w:rPr>
                <w:w w:val="120"/>
                <w:sz w:val="14"/>
              </w:rPr>
              <w:t>28</w:t>
            </w:r>
          </w:p>
        </w:tc>
      </w:tr>
      <w:tr>
        <w:trPr>
          <w:trHeight w:val="333" w:hRule="atLeast"/>
        </w:trPr>
        <w:tc>
          <w:tcPr>
            <w:tcW w:w="1793" w:type="dxa"/>
          </w:tcPr>
          <w:p>
            <w:pPr>
              <w:pStyle w:val="TableParagraph"/>
              <w:spacing w:line="125" w:lineRule="exact"/>
              <w:ind w:left="50"/>
              <w:rPr>
                <w:sz w:val="14"/>
              </w:rPr>
            </w:pPr>
            <w:r>
              <w:rPr>
                <w:w w:val="105"/>
                <w:sz w:val="14"/>
              </w:rPr>
              <w:t>Unit wage</w:t>
            </w:r>
            <w:r>
              <w:rPr>
                <w:spacing w:val="-13"/>
                <w:w w:val="105"/>
                <w:sz w:val="14"/>
              </w:rPr>
              <w:t> </w:t>
            </w:r>
            <w:r>
              <w:rPr>
                <w:w w:val="105"/>
                <w:sz w:val="14"/>
              </w:rPr>
              <w:t>costs</w:t>
            </w:r>
          </w:p>
          <w:p>
            <w:pPr>
              <w:pStyle w:val="TableParagraph"/>
              <w:spacing w:line="150" w:lineRule="exact"/>
              <w:ind w:left="120"/>
              <w:rPr>
                <w:sz w:val="12"/>
              </w:rPr>
            </w:pPr>
            <w:r>
              <w:rPr>
                <w:w w:val="105"/>
                <w:sz w:val="14"/>
              </w:rPr>
              <w:t>(estimated)</w:t>
            </w:r>
            <w:r>
              <w:rPr>
                <w:spacing w:val="-7"/>
                <w:w w:val="105"/>
                <w:sz w:val="14"/>
              </w:rPr>
              <w:t> </w:t>
            </w:r>
            <w:r>
              <w:rPr>
                <w:w w:val="105"/>
                <w:sz w:val="12"/>
              </w:rPr>
              <w:t>(c)</w:t>
            </w:r>
          </w:p>
        </w:tc>
        <w:tc>
          <w:tcPr>
            <w:tcW w:w="430" w:type="dxa"/>
          </w:tcPr>
          <w:p>
            <w:pPr>
              <w:pStyle w:val="TableParagraph"/>
              <w:spacing w:before="114"/>
              <w:ind w:right="81"/>
              <w:jc w:val="right"/>
              <w:rPr>
                <w:sz w:val="14"/>
              </w:rPr>
            </w:pPr>
            <w:r>
              <w:rPr>
                <w:w w:val="110"/>
                <w:sz w:val="14"/>
              </w:rPr>
              <w:t>4.2</w:t>
            </w:r>
          </w:p>
        </w:tc>
        <w:tc>
          <w:tcPr>
            <w:tcW w:w="434" w:type="dxa"/>
          </w:tcPr>
          <w:p>
            <w:pPr>
              <w:pStyle w:val="TableParagraph"/>
              <w:spacing w:before="114"/>
              <w:ind w:right="93"/>
              <w:jc w:val="right"/>
              <w:rPr>
                <w:sz w:val="14"/>
              </w:rPr>
            </w:pPr>
            <w:r>
              <w:rPr>
                <w:w w:val="110"/>
                <w:sz w:val="14"/>
              </w:rPr>
              <w:t>4.0</w:t>
            </w:r>
          </w:p>
        </w:tc>
        <w:tc>
          <w:tcPr>
            <w:tcW w:w="447" w:type="dxa"/>
          </w:tcPr>
          <w:p>
            <w:pPr>
              <w:pStyle w:val="TableParagraph"/>
              <w:spacing w:before="114"/>
              <w:ind w:right="78"/>
              <w:jc w:val="right"/>
              <w:rPr>
                <w:sz w:val="14"/>
              </w:rPr>
            </w:pPr>
            <w:r>
              <w:rPr>
                <w:w w:val="110"/>
                <w:sz w:val="14"/>
              </w:rPr>
              <w:t>4.2</w:t>
            </w:r>
          </w:p>
        </w:tc>
        <w:tc>
          <w:tcPr>
            <w:tcW w:w="442" w:type="dxa"/>
          </w:tcPr>
          <w:p>
            <w:pPr>
              <w:pStyle w:val="TableParagraph"/>
              <w:spacing w:before="114"/>
              <w:ind w:right="67"/>
              <w:jc w:val="right"/>
              <w:rPr>
                <w:sz w:val="14"/>
              </w:rPr>
            </w:pPr>
            <w:r>
              <w:rPr>
                <w:w w:val="110"/>
                <w:sz w:val="14"/>
              </w:rPr>
              <w:t>1.3</w:t>
            </w:r>
          </w:p>
        </w:tc>
        <w:tc>
          <w:tcPr>
            <w:tcW w:w="415" w:type="dxa"/>
          </w:tcPr>
          <w:p>
            <w:pPr>
              <w:pStyle w:val="TableParagraph"/>
              <w:spacing w:before="114"/>
              <w:ind w:right="70"/>
              <w:jc w:val="right"/>
              <w:rPr>
                <w:sz w:val="14"/>
              </w:rPr>
            </w:pPr>
            <w:r>
              <w:rPr>
                <w:w w:val="110"/>
                <w:sz w:val="14"/>
              </w:rPr>
              <w:t>1.4</w:t>
            </w:r>
          </w:p>
        </w:tc>
        <w:tc>
          <w:tcPr>
            <w:tcW w:w="399" w:type="dxa"/>
          </w:tcPr>
          <w:p>
            <w:pPr>
              <w:pStyle w:val="TableParagraph"/>
              <w:spacing w:before="114"/>
              <w:ind w:right="48"/>
              <w:jc w:val="right"/>
              <w:rPr>
                <w:sz w:val="14"/>
              </w:rPr>
            </w:pPr>
            <w:r>
              <w:rPr>
                <w:sz w:val="14"/>
              </w:rPr>
              <w:t>n.a.</w:t>
            </w:r>
          </w:p>
        </w:tc>
      </w:tr>
      <w:tr>
        <w:trPr>
          <w:trHeight w:val="229" w:hRule="atLeast"/>
        </w:trPr>
        <w:tc>
          <w:tcPr>
            <w:tcW w:w="1793" w:type="dxa"/>
          </w:tcPr>
          <w:p>
            <w:pPr>
              <w:pStyle w:val="TableParagraph"/>
              <w:spacing w:line="147" w:lineRule="exact" w:before="62"/>
              <w:ind w:left="50"/>
              <w:rPr>
                <w:rFonts w:ascii="Georgia"/>
                <w:sz w:val="14"/>
              </w:rPr>
            </w:pPr>
            <w:r>
              <w:rPr>
                <w:rFonts w:ascii="Georgia"/>
                <w:w w:val="105"/>
                <w:sz w:val="14"/>
              </w:rPr>
              <w:t>Prices</w:t>
            </w:r>
          </w:p>
        </w:tc>
        <w:tc>
          <w:tcPr>
            <w:tcW w:w="430" w:type="dxa"/>
          </w:tcPr>
          <w:p>
            <w:pPr>
              <w:pStyle w:val="TableParagraph"/>
              <w:rPr>
                <w:sz w:val="16"/>
              </w:rPr>
            </w:pPr>
          </w:p>
        </w:tc>
        <w:tc>
          <w:tcPr>
            <w:tcW w:w="434" w:type="dxa"/>
          </w:tcPr>
          <w:p>
            <w:pPr>
              <w:pStyle w:val="TableParagraph"/>
              <w:rPr>
                <w:sz w:val="16"/>
              </w:rPr>
            </w:pPr>
          </w:p>
        </w:tc>
        <w:tc>
          <w:tcPr>
            <w:tcW w:w="447" w:type="dxa"/>
          </w:tcPr>
          <w:p>
            <w:pPr>
              <w:pStyle w:val="TableParagraph"/>
              <w:rPr>
                <w:sz w:val="16"/>
              </w:rPr>
            </w:pPr>
          </w:p>
        </w:tc>
        <w:tc>
          <w:tcPr>
            <w:tcW w:w="442" w:type="dxa"/>
          </w:tcPr>
          <w:p>
            <w:pPr>
              <w:pStyle w:val="TableParagraph"/>
              <w:rPr>
                <w:sz w:val="16"/>
              </w:rPr>
            </w:pPr>
          </w:p>
        </w:tc>
        <w:tc>
          <w:tcPr>
            <w:tcW w:w="415" w:type="dxa"/>
          </w:tcPr>
          <w:p>
            <w:pPr>
              <w:pStyle w:val="TableParagraph"/>
              <w:rPr>
                <w:sz w:val="16"/>
              </w:rPr>
            </w:pPr>
          </w:p>
        </w:tc>
        <w:tc>
          <w:tcPr>
            <w:tcW w:w="399" w:type="dxa"/>
          </w:tcPr>
          <w:p>
            <w:pPr>
              <w:pStyle w:val="TableParagraph"/>
              <w:rPr>
                <w:sz w:val="16"/>
              </w:rPr>
            </w:pPr>
          </w:p>
        </w:tc>
      </w:tr>
      <w:tr>
        <w:trPr>
          <w:trHeight w:val="316" w:hRule="atLeast"/>
        </w:trPr>
        <w:tc>
          <w:tcPr>
            <w:tcW w:w="1793" w:type="dxa"/>
          </w:tcPr>
          <w:p>
            <w:pPr>
              <w:pStyle w:val="TableParagraph"/>
              <w:spacing w:line="140" w:lineRule="exact" w:before="29"/>
              <w:ind w:left="120" w:right="8" w:hanging="71"/>
              <w:rPr>
                <w:sz w:val="12"/>
              </w:rPr>
            </w:pPr>
            <w:r>
              <w:rPr>
                <w:w w:val="105"/>
                <w:sz w:val="14"/>
              </w:rPr>
              <w:t>Corporate services price index </w:t>
            </w:r>
            <w:r>
              <w:rPr>
                <w:w w:val="105"/>
                <w:sz w:val="12"/>
              </w:rPr>
              <w:t>(c)</w:t>
            </w:r>
          </w:p>
        </w:tc>
        <w:tc>
          <w:tcPr>
            <w:tcW w:w="430" w:type="dxa"/>
          </w:tcPr>
          <w:p>
            <w:pPr>
              <w:pStyle w:val="TableParagraph"/>
              <w:spacing w:before="1"/>
              <w:rPr>
                <w:sz w:val="13"/>
              </w:rPr>
            </w:pPr>
          </w:p>
          <w:p>
            <w:pPr>
              <w:pStyle w:val="TableParagraph"/>
              <w:spacing w:line="146" w:lineRule="exact"/>
              <w:ind w:right="81"/>
              <w:jc w:val="right"/>
              <w:rPr>
                <w:sz w:val="14"/>
              </w:rPr>
            </w:pPr>
            <w:r>
              <w:rPr>
                <w:w w:val="110"/>
                <w:sz w:val="14"/>
              </w:rPr>
              <w:t>3.3</w:t>
            </w:r>
          </w:p>
        </w:tc>
        <w:tc>
          <w:tcPr>
            <w:tcW w:w="434" w:type="dxa"/>
          </w:tcPr>
          <w:p>
            <w:pPr>
              <w:pStyle w:val="TableParagraph"/>
              <w:spacing w:before="1"/>
              <w:rPr>
                <w:sz w:val="13"/>
              </w:rPr>
            </w:pPr>
          </w:p>
          <w:p>
            <w:pPr>
              <w:pStyle w:val="TableParagraph"/>
              <w:spacing w:line="146" w:lineRule="exact"/>
              <w:ind w:right="93"/>
              <w:jc w:val="right"/>
              <w:rPr>
                <w:sz w:val="14"/>
              </w:rPr>
            </w:pPr>
            <w:r>
              <w:rPr>
                <w:w w:val="110"/>
                <w:sz w:val="14"/>
              </w:rPr>
              <w:t>3.9</w:t>
            </w:r>
          </w:p>
        </w:tc>
        <w:tc>
          <w:tcPr>
            <w:tcW w:w="447" w:type="dxa"/>
          </w:tcPr>
          <w:p>
            <w:pPr>
              <w:pStyle w:val="TableParagraph"/>
              <w:spacing w:before="1"/>
              <w:rPr>
                <w:sz w:val="13"/>
              </w:rPr>
            </w:pPr>
          </w:p>
          <w:p>
            <w:pPr>
              <w:pStyle w:val="TableParagraph"/>
              <w:spacing w:line="146" w:lineRule="exact"/>
              <w:ind w:right="78"/>
              <w:jc w:val="right"/>
              <w:rPr>
                <w:sz w:val="14"/>
              </w:rPr>
            </w:pPr>
            <w:r>
              <w:rPr>
                <w:w w:val="110"/>
                <w:sz w:val="14"/>
              </w:rPr>
              <w:t>3.6</w:t>
            </w:r>
          </w:p>
        </w:tc>
        <w:tc>
          <w:tcPr>
            <w:tcW w:w="442" w:type="dxa"/>
          </w:tcPr>
          <w:p>
            <w:pPr>
              <w:pStyle w:val="TableParagraph"/>
              <w:spacing w:before="1"/>
              <w:rPr>
                <w:sz w:val="13"/>
              </w:rPr>
            </w:pPr>
          </w:p>
          <w:p>
            <w:pPr>
              <w:pStyle w:val="TableParagraph"/>
              <w:spacing w:line="146" w:lineRule="exact"/>
              <w:ind w:right="67"/>
              <w:jc w:val="right"/>
              <w:rPr>
                <w:sz w:val="14"/>
              </w:rPr>
            </w:pPr>
            <w:r>
              <w:rPr>
                <w:w w:val="110"/>
                <w:sz w:val="14"/>
              </w:rPr>
              <w:t>4.1</w:t>
            </w:r>
          </w:p>
        </w:tc>
        <w:tc>
          <w:tcPr>
            <w:tcW w:w="415" w:type="dxa"/>
          </w:tcPr>
          <w:p>
            <w:pPr>
              <w:pStyle w:val="TableParagraph"/>
              <w:spacing w:before="1"/>
              <w:rPr>
                <w:sz w:val="13"/>
              </w:rPr>
            </w:pPr>
          </w:p>
          <w:p>
            <w:pPr>
              <w:pStyle w:val="TableParagraph"/>
              <w:spacing w:line="146" w:lineRule="exact"/>
              <w:ind w:right="70"/>
              <w:jc w:val="right"/>
              <w:rPr>
                <w:sz w:val="14"/>
              </w:rPr>
            </w:pPr>
            <w:r>
              <w:rPr>
                <w:w w:val="110"/>
                <w:sz w:val="14"/>
              </w:rPr>
              <w:t>4.4</w:t>
            </w:r>
          </w:p>
        </w:tc>
        <w:tc>
          <w:tcPr>
            <w:tcW w:w="399" w:type="dxa"/>
          </w:tcPr>
          <w:p>
            <w:pPr>
              <w:pStyle w:val="TableParagraph"/>
              <w:spacing w:before="1"/>
              <w:rPr>
                <w:sz w:val="13"/>
              </w:rPr>
            </w:pPr>
          </w:p>
          <w:p>
            <w:pPr>
              <w:pStyle w:val="TableParagraph"/>
              <w:spacing w:line="146" w:lineRule="exact"/>
              <w:ind w:right="48"/>
              <w:jc w:val="right"/>
              <w:rPr>
                <w:sz w:val="14"/>
              </w:rPr>
            </w:pPr>
            <w:r>
              <w:rPr>
                <w:sz w:val="14"/>
              </w:rPr>
              <w:t>n.a.</w:t>
            </w:r>
          </w:p>
        </w:tc>
      </w:tr>
      <w:tr>
        <w:trPr>
          <w:trHeight w:val="140" w:hRule="atLeast"/>
        </w:trPr>
        <w:tc>
          <w:tcPr>
            <w:tcW w:w="1793" w:type="dxa"/>
          </w:tcPr>
          <w:p>
            <w:pPr>
              <w:pStyle w:val="TableParagraph"/>
              <w:spacing w:line="120" w:lineRule="exact"/>
              <w:ind w:left="50"/>
              <w:rPr>
                <w:sz w:val="12"/>
              </w:rPr>
            </w:pPr>
            <w:r>
              <w:rPr>
                <w:w w:val="105"/>
                <w:sz w:val="14"/>
              </w:rPr>
              <w:t>CIPS selling price index </w:t>
            </w:r>
            <w:r>
              <w:rPr>
                <w:w w:val="105"/>
                <w:sz w:val="12"/>
              </w:rPr>
              <w:t>(a)</w:t>
            </w:r>
          </w:p>
        </w:tc>
        <w:tc>
          <w:tcPr>
            <w:tcW w:w="430" w:type="dxa"/>
          </w:tcPr>
          <w:p>
            <w:pPr>
              <w:pStyle w:val="TableParagraph"/>
              <w:spacing w:line="120" w:lineRule="exact"/>
              <w:ind w:right="81"/>
              <w:jc w:val="right"/>
              <w:rPr>
                <w:sz w:val="14"/>
              </w:rPr>
            </w:pPr>
            <w:r>
              <w:rPr>
                <w:w w:val="115"/>
                <w:sz w:val="14"/>
              </w:rPr>
              <w:t>49.2</w:t>
            </w:r>
          </w:p>
        </w:tc>
        <w:tc>
          <w:tcPr>
            <w:tcW w:w="434" w:type="dxa"/>
          </w:tcPr>
          <w:p>
            <w:pPr>
              <w:pStyle w:val="TableParagraph"/>
              <w:spacing w:line="120" w:lineRule="exact"/>
              <w:ind w:right="93"/>
              <w:jc w:val="right"/>
              <w:rPr>
                <w:sz w:val="14"/>
              </w:rPr>
            </w:pPr>
            <w:r>
              <w:rPr>
                <w:w w:val="115"/>
                <w:sz w:val="14"/>
              </w:rPr>
              <w:t>52.6</w:t>
            </w:r>
          </w:p>
        </w:tc>
        <w:tc>
          <w:tcPr>
            <w:tcW w:w="447" w:type="dxa"/>
          </w:tcPr>
          <w:p>
            <w:pPr>
              <w:pStyle w:val="TableParagraph"/>
              <w:spacing w:line="120" w:lineRule="exact"/>
              <w:ind w:left="95"/>
              <w:rPr>
                <w:sz w:val="14"/>
              </w:rPr>
            </w:pPr>
            <w:r>
              <w:rPr>
                <w:w w:val="115"/>
                <w:sz w:val="14"/>
              </w:rPr>
              <w:t>53.6</w:t>
            </w:r>
          </w:p>
        </w:tc>
        <w:tc>
          <w:tcPr>
            <w:tcW w:w="442" w:type="dxa"/>
          </w:tcPr>
          <w:p>
            <w:pPr>
              <w:pStyle w:val="TableParagraph"/>
              <w:spacing w:line="120" w:lineRule="exact"/>
              <w:ind w:right="68"/>
              <w:jc w:val="right"/>
              <w:rPr>
                <w:sz w:val="14"/>
              </w:rPr>
            </w:pPr>
            <w:r>
              <w:rPr>
                <w:w w:val="115"/>
                <w:sz w:val="14"/>
              </w:rPr>
              <w:t>54.1</w:t>
            </w:r>
          </w:p>
        </w:tc>
        <w:tc>
          <w:tcPr>
            <w:tcW w:w="415" w:type="dxa"/>
          </w:tcPr>
          <w:p>
            <w:pPr>
              <w:pStyle w:val="TableParagraph"/>
              <w:spacing w:line="120" w:lineRule="exact"/>
              <w:ind w:right="71"/>
              <w:jc w:val="right"/>
              <w:rPr>
                <w:sz w:val="14"/>
              </w:rPr>
            </w:pPr>
            <w:r>
              <w:rPr>
                <w:w w:val="115"/>
                <w:sz w:val="14"/>
              </w:rPr>
              <w:t>53.4</w:t>
            </w:r>
          </w:p>
        </w:tc>
        <w:tc>
          <w:tcPr>
            <w:tcW w:w="399" w:type="dxa"/>
          </w:tcPr>
          <w:p>
            <w:pPr>
              <w:pStyle w:val="TableParagraph"/>
              <w:spacing w:line="120" w:lineRule="exact"/>
              <w:ind w:left="73"/>
              <w:rPr>
                <w:sz w:val="14"/>
              </w:rPr>
            </w:pPr>
            <w:r>
              <w:rPr>
                <w:w w:val="115"/>
                <w:sz w:val="14"/>
              </w:rPr>
              <w:t>54.9</w:t>
            </w:r>
          </w:p>
        </w:tc>
      </w:tr>
      <w:tr>
        <w:trPr>
          <w:trHeight w:val="140" w:hRule="atLeast"/>
        </w:trPr>
        <w:tc>
          <w:tcPr>
            <w:tcW w:w="1793" w:type="dxa"/>
          </w:tcPr>
          <w:p>
            <w:pPr>
              <w:pStyle w:val="TableParagraph"/>
              <w:spacing w:line="120" w:lineRule="exact"/>
              <w:ind w:left="50"/>
              <w:rPr>
                <w:sz w:val="12"/>
              </w:rPr>
            </w:pPr>
            <w:r>
              <w:rPr>
                <w:w w:val="105"/>
                <w:sz w:val="14"/>
              </w:rPr>
              <w:t>BCC price expectations </w:t>
            </w:r>
            <w:r>
              <w:rPr>
                <w:w w:val="105"/>
                <w:sz w:val="12"/>
              </w:rPr>
              <w:t>(d)</w:t>
            </w:r>
          </w:p>
        </w:tc>
        <w:tc>
          <w:tcPr>
            <w:tcW w:w="430" w:type="dxa"/>
          </w:tcPr>
          <w:p>
            <w:pPr>
              <w:pStyle w:val="TableParagraph"/>
              <w:spacing w:line="120" w:lineRule="exact"/>
              <w:ind w:right="92"/>
              <w:jc w:val="right"/>
              <w:rPr>
                <w:sz w:val="14"/>
              </w:rPr>
            </w:pPr>
            <w:r>
              <w:rPr>
                <w:w w:val="120"/>
                <w:sz w:val="14"/>
              </w:rPr>
              <w:t>22</w:t>
            </w:r>
          </w:p>
        </w:tc>
        <w:tc>
          <w:tcPr>
            <w:tcW w:w="434" w:type="dxa"/>
          </w:tcPr>
          <w:p>
            <w:pPr>
              <w:pStyle w:val="TableParagraph"/>
              <w:spacing w:line="120" w:lineRule="exact"/>
              <w:ind w:right="104"/>
              <w:jc w:val="right"/>
              <w:rPr>
                <w:sz w:val="14"/>
              </w:rPr>
            </w:pPr>
            <w:r>
              <w:rPr>
                <w:w w:val="120"/>
                <w:sz w:val="14"/>
              </w:rPr>
              <w:t>24</w:t>
            </w:r>
          </w:p>
        </w:tc>
        <w:tc>
          <w:tcPr>
            <w:tcW w:w="447" w:type="dxa"/>
          </w:tcPr>
          <w:p>
            <w:pPr>
              <w:pStyle w:val="TableParagraph"/>
              <w:spacing w:line="120" w:lineRule="exact"/>
              <w:ind w:right="78"/>
              <w:jc w:val="right"/>
              <w:rPr>
                <w:sz w:val="14"/>
              </w:rPr>
            </w:pPr>
            <w:r>
              <w:rPr>
                <w:w w:val="120"/>
                <w:sz w:val="14"/>
              </w:rPr>
              <w:t>26</w:t>
            </w:r>
          </w:p>
        </w:tc>
        <w:tc>
          <w:tcPr>
            <w:tcW w:w="442" w:type="dxa"/>
          </w:tcPr>
          <w:p>
            <w:pPr>
              <w:pStyle w:val="TableParagraph"/>
              <w:spacing w:line="120" w:lineRule="exact"/>
              <w:ind w:right="67"/>
              <w:jc w:val="right"/>
              <w:rPr>
                <w:sz w:val="14"/>
              </w:rPr>
            </w:pPr>
            <w:r>
              <w:rPr>
                <w:w w:val="120"/>
                <w:sz w:val="14"/>
              </w:rPr>
              <w:t>21</w:t>
            </w:r>
          </w:p>
        </w:tc>
        <w:tc>
          <w:tcPr>
            <w:tcW w:w="415" w:type="dxa"/>
          </w:tcPr>
          <w:p>
            <w:pPr>
              <w:pStyle w:val="TableParagraph"/>
              <w:spacing w:line="120" w:lineRule="exact"/>
              <w:ind w:right="82"/>
              <w:jc w:val="right"/>
              <w:rPr>
                <w:sz w:val="14"/>
              </w:rPr>
            </w:pPr>
            <w:r>
              <w:rPr>
                <w:w w:val="120"/>
                <w:sz w:val="14"/>
              </w:rPr>
              <w:t>23</w:t>
            </w:r>
          </w:p>
        </w:tc>
        <w:tc>
          <w:tcPr>
            <w:tcW w:w="399" w:type="dxa"/>
          </w:tcPr>
          <w:p>
            <w:pPr>
              <w:pStyle w:val="TableParagraph"/>
              <w:spacing w:line="120" w:lineRule="exact"/>
              <w:ind w:right="48"/>
              <w:jc w:val="right"/>
              <w:rPr>
                <w:sz w:val="14"/>
              </w:rPr>
            </w:pPr>
            <w:r>
              <w:rPr>
                <w:w w:val="120"/>
                <w:sz w:val="14"/>
              </w:rPr>
              <w:t>32</w:t>
            </w:r>
          </w:p>
        </w:tc>
      </w:tr>
    </w:tbl>
    <w:p>
      <w:pPr>
        <w:spacing w:before="113"/>
        <w:ind w:left="160" w:right="0" w:firstLine="0"/>
        <w:jc w:val="left"/>
        <w:rPr>
          <w:sz w:val="12"/>
        </w:rPr>
      </w:pPr>
      <w:r>
        <w:rPr>
          <w:sz w:val="12"/>
        </w:rPr>
        <w:t>Sources: CIPS, BCC , ONS and Bank of England.</w:t>
      </w:r>
    </w:p>
    <w:p>
      <w:pPr>
        <w:pStyle w:val="BodyText"/>
        <w:spacing w:before="1"/>
        <w:rPr>
          <w:sz w:val="10"/>
        </w:rPr>
      </w:pPr>
    </w:p>
    <w:p>
      <w:pPr>
        <w:pStyle w:val="ListParagraph"/>
        <w:numPr>
          <w:ilvl w:val="0"/>
          <w:numId w:val="31"/>
        </w:numPr>
        <w:tabs>
          <w:tab w:pos="400" w:val="left" w:leader="none"/>
        </w:tabs>
        <w:spacing w:line="208" w:lineRule="auto" w:before="1" w:after="0"/>
        <w:ind w:left="400" w:right="38" w:hanging="240"/>
        <w:jc w:val="left"/>
        <w:rPr>
          <w:sz w:val="12"/>
        </w:rPr>
      </w:pPr>
      <w:r>
        <w:rPr>
          <w:w w:val="105"/>
          <w:sz w:val="12"/>
        </w:rPr>
        <w:t>A reading above </w:t>
      </w:r>
      <w:r>
        <w:rPr>
          <w:spacing w:val="-5"/>
          <w:w w:val="105"/>
          <w:sz w:val="12"/>
        </w:rPr>
        <w:t>50 </w:t>
      </w:r>
      <w:r>
        <w:rPr>
          <w:w w:val="105"/>
          <w:sz w:val="12"/>
        </w:rPr>
        <w:t>suggests rising prices, a reading below </w:t>
      </w:r>
      <w:r>
        <w:rPr>
          <w:spacing w:val="-5"/>
          <w:w w:val="105"/>
          <w:sz w:val="12"/>
        </w:rPr>
        <w:t>50 </w:t>
      </w:r>
      <w:r>
        <w:rPr>
          <w:w w:val="105"/>
          <w:sz w:val="12"/>
        </w:rPr>
        <w:t>suggests falling prices. The CIPS survey is monthly, and the quarterly values shown are averages over the relevant three</w:t>
      </w:r>
      <w:r>
        <w:rPr>
          <w:spacing w:val="-5"/>
          <w:w w:val="105"/>
          <w:sz w:val="12"/>
        </w:rPr>
        <w:t> </w:t>
      </w:r>
      <w:r>
        <w:rPr>
          <w:w w:val="105"/>
          <w:sz w:val="12"/>
        </w:rPr>
        <w:t>months.</w:t>
      </w:r>
    </w:p>
    <w:p>
      <w:pPr>
        <w:pStyle w:val="ListParagraph"/>
        <w:numPr>
          <w:ilvl w:val="0"/>
          <w:numId w:val="31"/>
        </w:numPr>
        <w:tabs>
          <w:tab w:pos="400" w:val="left" w:leader="none"/>
        </w:tabs>
        <w:spacing w:line="208" w:lineRule="auto" w:before="0" w:after="0"/>
        <w:ind w:left="400" w:right="64" w:hanging="240"/>
        <w:jc w:val="left"/>
        <w:rPr>
          <w:sz w:val="12"/>
        </w:rPr>
      </w:pPr>
      <w:r>
        <w:rPr>
          <w:w w:val="110"/>
          <w:sz w:val="12"/>
        </w:rPr>
        <w:t>Percentage</w:t>
      </w:r>
      <w:r>
        <w:rPr>
          <w:spacing w:val="-13"/>
          <w:w w:val="110"/>
          <w:sz w:val="12"/>
        </w:rPr>
        <w:t> </w:t>
      </w:r>
      <w:r>
        <w:rPr>
          <w:w w:val="110"/>
          <w:sz w:val="12"/>
        </w:rPr>
        <w:t>balance</w:t>
      </w:r>
      <w:r>
        <w:rPr>
          <w:spacing w:val="-12"/>
          <w:w w:val="110"/>
          <w:sz w:val="12"/>
        </w:rPr>
        <w:t> </w:t>
      </w:r>
      <w:r>
        <w:rPr>
          <w:w w:val="110"/>
          <w:sz w:val="12"/>
        </w:rPr>
        <w:t>of</w:t>
      </w:r>
      <w:r>
        <w:rPr>
          <w:spacing w:val="-12"/>
          <w:w w:val="110"/>
          <w:sz w:val="12"/>
        </w:rPr>
        <w:t> </w:t>
      </w:r>
      <w:r>
        <w:rPr>
          <w:w w:val="110"/>
          <w:sz w:val="12"/>
        </w:rPr>
        <w:t>respondents</w:t>
      </w:r>
      <w:r>
        <w:rPr>
          <w:spacing w:val="-12"/>
          <w:w w:val="110"/>
          <w:sz w:val="12"/>
        </w:rPr>
        <w:t> </w:t>
      </w:r>
      <w:r>
        <w:rPr>
          <w:w w:val="110"/>
          <w:sz w:val="12"/>
        </w:rPr>
        <w:t>reporting</w:t>
      </w:r>
      <w:r>
        <w:rPr>
          <w:spacing w:val="-12"/>
          <w:w w:val="110"/>
          <w:sz w:val="12"/>
        </w:rPr>
        <w:t> </w:t>
      </w:r>
      <w:r>
        <w:rPr>
          <w:w w:val="110"/>
          <w:sz w:val="12"/>
        </w:rPr>
        <w:t>pressures</w:t>
      </w:r>
      <w:r>
        <w:rPr>
          <w:spacing w:val="-13"/>
          <w:w w:val="110"/>
          <w:sz w:val="12"/>
        </w:rPr>
        <w:t> </w:t>
      </w:r>
      <w:r>
        <w:rPr>
          <w:w w:val="110"/>
          <w:sz w:val="12"/>
        </w:rPr>
        <w:t>to</w:t>
      </w:r>
      <w:r>
        <w:rPr>
          <w:spacing w:val="-12"/>
          <w:w w:val="110"/>
          <w:sz w:val="12"/>
        </w:rPr>
        <w:t> </w:t>
      </w:r>
      <w:r>
        <w:rPr>
          <w:w w:val="110"/>
          <w:sz w:val="12"/>
        </w:rPr>
        <w:t>raise</w:t>
      </w:r>
      <w:r>
        <w:rPr>
          <w:spacing w:val="-12"/>
          <w:w w:val="110"/>
          <w:sz w:val="12"/>
        </w:rPr>
        <w:t> </w:t>
      </w:r>
      <w:r>
        <w:rPr>
          <w:w w:val="110"/>
          <w:sz w:val="12"/>
        </w:rPr>
        <w:t>prices</w:t>
      </w:r>
      <w:r>
        <w:rPr>
          <w:spacing w:val="-12"/>
          <w:w w:val="110"/>
          <w:sz w:val="12"/>
        </w:rPr>
        <w:t> </w:t>
      </w:r>
      <w:r>
        <w:rPr>
          <w:w w:val="110"/>
          <w:sz w:val="12"/>
        </w:rPr>
        <w:t>from</w:t>
      </w:r>
      <w:r>
        <w:rPr>
          <w:spacing w:val="-12"/>
          <w:w w:val="110"/>
          <w:sz w:val="12"/>
        </w:rPr>
        <w:t> </w:t>
      </w:r>
      <w:r>
        <w:rPr>
          <w:w w:val="110"/>
          <w:sz w:val="12"/>
        </w:rPr>
        <w:t>this factor.</w:t>
      </w:r>
    </w:p>
    <w:p>
      <w:pPr>
        <w:pStyle w:val="ListParagraph"/>
        <w:numPr>
          <w:ilvl w:val="0"/>
          <w:numId w:val="31"/>
        </w:numPr>
        <w:tabs>
          <w:tab w:pos="400" w:val="left" w:leader="none"/>
        </w:tabs>
        <w:spacing w:line="114" w:lineRule="exact" w:before="0" w:after="0"/>
        <w:ind w:left="399" w:right="0" w:hanging="240"/>
        <w:jc w:val="left"/>
        <w:rPr>
          <w:sz w:val="12"/>
        </w:rPr>
      </w:pPr>
      <w:r>
        <w:rPr>
          <w:w w:val="110"/>
          <w:sz w:val="12"/>
        </w:rPr>
        <w:t>Percentage changes on a year</w:t>
      </w:r>
      <w:r>
        <w:rPr>
          <w:spacing w:val="-19"/>
          <w:w w:val="110"/>
          <w:sz w:val="12"/>
        </w:rPr>
        <w:t> </w:t>
      </w:r>
      <w:r>
        <w:rPr>
          <w:w w:val="110"/>
          <w:sz w:val="12"/>
        </w:rPr>
        <w:t>earlier.</w:t>
      </w:r>
    </w:p>
    <w:p>
      <w:pPr>
        <w:pStyle w:val="ListParagraph"/>
        <w:numPr>
          <w:ilvl w:val="0"/>
          <w:numId w:val="31"/>
        </w:numPr>
        <w:tabs>
          <w:tab w:pos="400" w:val="left" w:leader="none"/>
        </w:tabs>
        <w:spacing w:line="208" w:lineRule="auto" w:before="5" w:after="0"/>
        <w:ind w:left="400" w:right="129" w:hanging="240"/>
        <w:jc w:val="left"/>
        <w:rPr>
          <w:sz w:val="12"/>
        </w:rPr>
      </w:pPr>
      <w:r>
        <w:rPr>
          <w:w w:val="110"/>
          <w:sz w:val="12"/>
        </w:rPr>
        <w:t>Percentage</w:t>
      </w:r>
      <w:r>
        <w:rPr>
          <w:spacing w:val="-13"/>
          <w:w w:val="110"/>
          <w:sz w:val="12"/>
        </w:rPr>
        <w:t> </w:t>
      </w:r>
      <w:r>
        <w:rPr>
          <w:w w:val="110"/>
          <w:sz w:val="12"/>
        </w:rPr>
        <w:t>balance</w:t>
      </w:r>
      <w:r>
        <w:rPr>
          <w:spacing w:val="-13"/>
          <w:w w:val="110"/>
          <w:sz w:val="12"/>
        </w:rPr>
        <w:t> </w:t>
      </w:r>
      <w:r>
        <w:rPr>
          <w:w w:val="110"/>
          <w:sz w:val="12"/>
        </w:rPr>
        <w:t>of</w:t>
      </w:r>
      <w:r>
        <w:rPr>
          <w:spacing w:val="-13"/>
          <w:w w:val="110"/>
          <w:sz w:val="12"/>
        </w:rPr>
        <w:t> </w:t>
      </w:r>
      <w:r>
        <w:rPr>
          <w:w w:val="110"/>
          <w:sz w:val="12"/>
        </w:rPr>
        <w:t>responses</w:t>
      </w:r>
      <w:r>
        <w:rPr>
          <w:spacing w:val="-13"/>
          <w:w w:val="110"/>
          <w:sz w:val="12"/>
        </w:rPr>
        <w:t> </w:t>
      </w:r>
      <w:r>
        <w:rPr>
          <w:w w:val="110"/>
          <w:sz w:val="12"/>
        </w:rPr>
        <w:t>to</w:t>
      </w:r>
      <w:r>
        <w:rPr>
          <w:spacing w:val="-13"/>
          <w:w w:val="110"/>
          <w:sz w:val="12"/>
        </w:rPr>
        <w:t> </w:t>
      </w:r>
      <w:r>
        <w:rPr>
          <w:w w:val="110"/>
          <w:sz w:val="12"/>
        </w:rPr>
        <w:t>the</w:t>
      </w:r>
      <w:r>
        <w:rPr>
          <w:spacing w:val="-13"/>
          <w:w w:val="110"/>
          <w:sz w:val="12"/>
        </w:rPr>
        <w:t> </w:t>
      </w:r>
      <w:r>
        <w:rPr>
          <w:w w:val="110"/>
          <w:sz w:val="12"/>
        </w:rPr>
        <w:t>question:</w:t>
      </w:r>
      <w:r>
        <w:rPr>
          <w:spacing w:val="-13"/>
          <w:w w:val="110"/>
          <w:sz w:val="12"/>
        </w:rPr>
        <w:t> </w:t>
      </w:r>
      <w:r>
        <w:rPr>
          <w:w w:val="110"/>
          <w:sz w:val="12"/>
        </w:rPr>
        <w:t>‘Over</w:t>
      </w:r>
      <w:r>
        <w:rPr>
          <w:spacing w:val="-13"/>
          <w:w w:val="110"/>
          <w:sz w:val="12"/>
        </w:rPr>
        <w:t> </w:t>
      </w:r>
      <w:r>
        <w:rPr>
          <w:w w:val="110"/>
          <w:sz w:val="12"/>
        </w:rPr>
        <w:t>the</w:t>
      </w:r>
      <w:r>
        <w:rPr>
          <w:spacing w:val="-12"/>
          <w:w w:val="110"/>
          <w:sz w:val="12"/>
        </w:rPr>
        <w:t> </w:t>
      </w:r>
      <w:r>
        <w:rPr>
          <w:w w:val="110"/>
          <w:sz w:val="12"/>
        </w:rPr>
        <w:t>next</w:t>
      </w:r>
      <w:r>
        <w:rPr>
          <w:spacing w:val="-13"/>
          <w:w w:val="110"/>
          <w:sz w:val="12"/>
        </w:rPr>
        <w:t> </w:t>
      </w:r>
      <w:r>
        <w:rPr>
          <w:w w:val="110"/>
          <w:sz w:val="12"/>
        </w:rPr>
        <w:t>three</w:t>
      </w:r>
      <w:r>
        <w:rPr>
          <w:spacing w:val="-13"/>
          <w:w w:val="110"/>
          <w:sz w:val="12"/>
        </w:rPr>
        <w:t> </w:t>
      </w:r>
      <w:r>
        <w:rPr>
          <w:w w:val="110"/>
          <w:sz w:val="12"/>
        </w:rPr>
        <w:t>months, do you expect the price of your services to increase/remain the </w:t>
      </w:r>
      <w:r>
        <w:rPr>
          <w:spacing w:val="-3"/>
          <w:w w:val="110"/>
          <w:sz w:val="12"/>
        </w:rPr>
        <w:t>same/decrease?’.</w:t>
      </w:r>
    </w:p>
    <w:p>
      <w:pPr>
        <w:pStyle w:val="BodyText"/>
        <w:spacing w:line="292" w:lineRule="auto" w:before="64"/>
        <w:ind w:left="280" w:right="184"/>
      </w:pPr>
      <w:r>
        <w:rPr/>
        <w:br w:type="column"/>
      </w:r>
      <w:r>
        <w:rPr>
          <w:w w:val="110"/>
        </w:rPr>
        <w:t>An </w:t>
      </w:r>
      <w:r>
        <w:rPr>
          <w:spacing w:val="-3"/>
          <w:w w:val="110"/>
        </w:rPr>
        <w:t>approximate </w:t>
      </w:r>
      <w:r>
        <w:rPr>
          <w:w w:val="110"/>
        </w:rPr>
        <w:t>indicator of </w:t>
      </w:r>
      <w:r>
        <w:rPr>
          <w:spacing w:val="-3"/>
          <w:w w:val="110"/>
        </w:rPr>
        <w:t>pressures </w:t>
      </w:r>
      <w:r>
        <w:rPr>
          <w:w w:val="110"/>
        </w:rPr>
        <w:t>on manufacturing </w:t>
      </w:r>
      <w:r>
        <w:rPr>
          <w:spacing w:val="-3"/>
          <w:w w:val="110"/>
        </w:rPr>
        <w:t>profitability </w:t>
      </w:r>
      <w:r>
        <w:rPr>
          <w:w w:val="110"/>
        </w:rPr>
        <w:t>can be calculated </w:t>
      </w:r>
      <w:r>
        <w:rPr>
          <w:spacing w:val="-3"/>
          <w:w w:val="110"/>
        </w:rPr>
        <w:t>by </w:t>
      </w:r>
      <w:r>
        <w:rPr>
          <w:w w:val="110"/>
        </w:rPr>
        <w:t>comparing output price developments</w:t>
      </w:r>
      <w:r>
        <w:rPr>
          <w:spacing w:val="-23"/>
          <w:w w:val="110"/>
        </w:rPr>
        <w:t> </w:t>
      </w:r>
      <w:r>
        <w:rPr>
          <w:w w:val="110"/>
        </w:rPr>
        <w:t>with</w:t>
      </w:r>
      <w:r>
        <w:rPr>
          <w:spacing w:val="-22"/>
          <w:w w:val="110"/>
        </w:rPr>
        <w:t> </w:t>
      </w:r>
      <w:r>
        <w:rPr>
          <w:w w:val="110"/>
        </w:rPr>
        <w:t>movements</w:t>
      </w:r>
      <w:r>
        <w:rPr>
          <w:spacing w:val="-22"/>
          <w:w w:val="110"/>
        </w:rPr>
        <w:t> </w:t>
      </w:r>
      <w:r>
        <w:rPr>
          <w:w w:val="110"/>
        </w:rPr>
        <w:t>in</w:t>
      </w:r>
      <w:r>
        <w:rPr>
          <w:spacing w:val="-22"/>
          <w:w w:val="110"/>
        </w:rPr>
        <w:t> </w:t>
      </w:r>
      <w:r>
        <w:rPr>
          <w:w w:val="110"/>
        </w:rPr>
        <w:t>the</w:t>
      </w:r>
      <w:r>
        <w:rPr>
          <w:spacing w:val="-22"/>
          <w:w w:val="110"/>
        </w:rPr>
        <w:t> </w:t>
      </w:r>
      <w:r>
        <w:rPr>
          <w:w w:val="110"/>
        </w:rPr>
        <w:t>various</w:t>
      </w:r>
      <w:r>
        <w:rPr>
          <w:spacing w:val="-22"/>
          <w:w w:val="110"/>
        </w:rPr>
        <w:t> </w:t>
      </w:r>
      <w:r>
        <w:rPr>
          <w:w w:val="110"/>
        </w:rPr>
        <w:t>components</w:t>
      </w:r>
      <w:r>
        <w:rPr>
          <w:spacing w:val="-22"/>
          <w:w w:val="110"/>
        </w:rPr>
        <w:t> </w:t>
      </w:r>
      <w:r>
        <w:rPr>
          <w:w w:val="110"/>
        </w:rPr>
        <w:t>of manufacturers’ costs, suitably weighted. </w:t>
      </w:r>
      <w:r>
        <w:rPr>
          <w:spacing w:val="-3"/>
          <w:w w:val="110"/>
        </w:rPr>
        <w:t>Delays </w:t>
      </w:r>
      <w:r>
        <w:rPr>
          <w:w w:val="110"/>
        </w:rPr>
        <w:t>in the </w:t>
      </w:r>
      <w:r>
        <w:rPr>
          <w:spacing w:val="-3"/>
          <w:w w:val="110"/>
        </w:rPr>
        <w:t>availability</w:t>
      </w:r>
      <w:r>
        <w:rPr>
          <w:spacing w:val="-25"/>
          <w:w w:val="110"/>
        </w:rPr>
        <w:t> </w:t>
      </w:r>
      <w:r>
        <w:rPr>
          <w:w w:val="110"/>
        </w:rPr>
        <w:t>of</w:t>
      </w:r>
      <w:r>
        <w:rPr>
          <w:spacing w:val="-24"/>
          <w:w w:val="110"/>
        </w:rPr>
        <w:t> </w:t>
      </w:r>
      <w:r>
        <w:rPr>
          <w:w w:val="110"/>
        </w:rPr>
        <w:t>some</w:t>
      </w:r>
      <w:r>
        <w:rPr>
          <w:spacing w:val="-25"/>
          <w:w w:val="110"/>
        </w:rPr>
        <w:t> </w:t>
      </w:r>
      <w:r>
        <w:rPr>
          <w:w w:val="110"/>
        </w:rPr>
        <w:t>costs</w:t>
      </w:r>
      <w:r>
        <w:rPr>
          <w:spacing w:val="-24"/>
          <w:w w:val="110"/>
        </w:rPr>
        <w:t> </w:t>
      </w:r>
      <w:r>
        <w:rPr>
          <w:w w:val="110"/>
        </w:rPr>
        <w:t>components</w:t>
      </w:r>
      <w:r>
        <w:rPr>
          <w:spacing w:val="-24"/>
          <w:w w:val="110"/>
        </w:rPr>
        <w:t> </w:t>
      </w:r>
      <w:r>
        <w:rPr>
          <w:w w:val="110"/>
        </w:rPr>
        <w:t>mean,</w:t>
      </w:r>
      <w:r>
        <w:rPr>
          <w:spacing w:val="-25"/>
          <w:w w:val="110"/>
        </w:rPr>
        <w:t> </w:t>
      </w:r>
      <w:r>
        <w:rPr>
          <w:spacing w:val="-4"/>
          <w:w w:val="110"/>
        </w:rPr>
        <w:t>however,</w:t>
      </w:r>
      <w:r>
        <w:rPr>
          <w:spacing w:val="-24"/>
          <w:w w:val="110"/>
        </w:rPr>
        <w:t> </w:t>
      </w:r>
      <w:r>
        <w:rPr>
          <w:w w:val="110"/>
        </w:rPr>
        <w:t>that</w:t>
      </w:r>
      <w:r>
        <w:rPr>
          <w:spacing w:val="-24"/>
          <w:w w:val="110"/>
        </w:rPr>
        <w:t> </w:t>
      </w:r>
      <w:r>
        <w:rPr>
          <w:w w:val="110"/>
        </w:rPr>
        <w:t>the indicator is less timely than the prices data. </w:t>
      </w:r>
      <w:r>
        <w:rPr>
          <w:spacing w:val="-4"/>
          <w:w w:val="110"/>
        </w:rPr>
        <w:t>Moreover, </w:t>
      </w:r>
      <w:r>
        <w:rPr>
          <w:w w:val="110"/>
        </w:rPr>
        <w:t>the weights underlying the </w:t>
      </w:r>
      <w:r>
        <w:rPr>
          <w:spacing w:val="-3"/>
          <w:w w:val="110"/>
        </w:rPr>
        <w:t>proxy </w:t>
      </w:r>
      <w:r>
        <w:rPr>
          <w:w w:val="110"/>
        </w:rPr>
        <w:t>for costs are based on input proportions in </w:t>
      </w:r>
      <w:r>
        <w:rPr>
          <w:spacing w:val="-14"/>
          <w:w w:val="110"/>
        </w:rPr>
        <w:t>1990 </w:t>
      </w:r>
      <w:r>
        <w:rPr>
          <w:w w:val="110"/>
        </w:rPr>
        <w:t>and so </w:t>
      </w:r>
      <w:r>
        <w:rPr>
          <w:spacing w:val="-3"/>
          <w:w w:val="110"/>
        </w:rPr>
        <w:t>may </w:t>
      </w:r>
      <w:r>
        <w:rPr>
          <w:w w:val="110"/>
        </w:rPr>
        <w:t>no longer be</w:t>
      </w:r>
      <w:r>
        <w:rPr>
          <w:spacing w:val="-28"/>
          <w:w w:val="110"/>
        </w:rPr>
        <w:t> </w:t>
      </w:r>
      <w:r>
        <w:rPr>
          <w:w w:val="110"/>
        </w:rPr>
        <w:t>accurate.</w:t>
      </w:r>
    </w:p>
    <w:p>
      <w:pPr>
        <w:pStyle w:val="BodyText"/>
        <w:spacing w:line="292" w:lineRule="auto"/>
        <w:ind w:left="280" w:right="101"/>
      </w:pPr>
      <w:r>
        <w:rPr>
          <w:w w:val="110"/>
        </w:rPr>
        <w:t>Bearing</w:t>
      </w:r>
      <w:r>
        <w:rPr>
          <w:spacing w:val="-20"/>
          <w:w w:val="110"/>
        </w:rPr>
        <w:t> </w:t>
      </w:r>
      <w:r>
        <w:rPr>
          <w:w w:val="110"/>
        </w:rPr>
        <w:t>these</w:t>
      </w:r>
      <w:r>
        <w:rPr>
          <w:spacing w:val="-20"/>
          <w:w w:val="110"/>
        </w:rPr>
        <w:t> </w:t>
      </w:r>
      <w:r>
        <w:rPr>
          <w:w w:val="110"/>
        </w:rPr>
        <w:t>caveats</w:t>
      </w:r>
      <w:r>
        <w:rPr>
          <w:spacing w:val="-19"/>
          <w:w w:val="110"/>
        </w:rPr>
        <w:t> </w:t>
      </w:r>
      <w:r>
        <w:rPr>
          <w:w w:val="110"/>
        </w:rPr>
        <w:t>in</w:t>
      </w:r>
      <w:r>
        <w:rPr>
          <w:spacing w:val="-20"/>
          <w:w w:val="110"/>
        </w:rPr>
        <w:t> </w:t>
      </w:r>
      <w:r>
        <w:rPr>
          <w:w w:val="110"/>
        </w:rPr>
        <w:t>mind,</w:t>
      </w:r>
      <w:r>
        <w:rPr>
          <w:spacing w:val="-20"/>
          <w:w w:val="110"/>
        </w:rPr>
        <w:t> </w:t>
      </w:r>
      <w:r>
        <w:rPr>
          <w:w w:val="110"/>
        </w:rPr>
        <w:t>estimated</w:t>
      </w:r>
      <w:r>
        <w:rPr>
          <w:spacing w:val="-19"/>
          <w:w w:val="110"/>
        </w:rPr>
        <w:t> </w:t>
      </w:r>
      <w:r>
        <w:rPr>
          <w:spacing w:val="-3"/>
          <w:w w:val="110"/>
        </w:rPr>
        <w:t>weighted</w:t>
      </w:r>
      <w:r>
        <w:rPr>
          <w:spacing w:val="-20"/>
          <w:w w:val="110"/>
        </w:rPr>
        <w:t> </w:t>
      </w:r>
      <w:r>
        <w:rPr>
          <w:w w:val="110"/>
        </w:rPr>
        <w:t>costs</w:t>
      </w:r>
      <w:r>
        <w:rPr>
          <w:spacing w:val="-20"/>
          <w:w w:val="110"/>
        </w:rPr>
        <w:t> </w:t>
      </w:r>
      <w:r>
        <w:rPr>
          <w:spacing w:val="-3"/>
          <w:w w:val="110"/>
        </w:rPr>
        <w:t>have </w:t>
      </w:r>
      <w:r>
        <w:rPr>
          <w:w w:val="110"/>
        </w:rPr>
        <w:t>risen more quickly than output prices in recent </w:t>
      </w:r>
      <w:r>
        <w:rPr>
          <w:spacing w:val="-3"/>
          <w:w w:val="110"/>
        </w:rPr>
        <w:t>years </w:t>
      </w:r>
      <w:r>
        <w:rPr>
          <w:w w:val="110"/>
        </w:rPr>
        <w:t>(see </w:t>
      </w:r>
      <w:r>
        <w:rPr>
          <w:spacing w:val="-5"/>
          <w:w w:val="110"/>
        </w:rPr>
        <w:t>Table </w:t>
      </w:r>
      <w:r>
        <w:rPr>
          <w:w w:val="110"/>
        </w:rPr>
        <w:t>4.A)—implying strong </w:t>
      </w:r>
      <w:r>
        <w:rPr>
          <w:spacing w:val="-3"/>
          <w:w w:val="110"/>
        </w:rPr>
        <w:t>downward pressures </w:t>
      </w:r>
      <w:r>
        <w:rPr>
          <w:w w:val="110"/>
        </w:rPr>
        <w:t>on manufacturing </w:t>
      </w:r>
      <w:r>
        <w:rPr>
          <w:spacing w:val="-4"/>
          <w:w w:val="110"/>
        </w:rPr>
        <w:t>profitability. </w:t>
      </w:r>
      <w:r>
        <w:rPr>
          <w:w w:val="110"/>
        </w:rPr>
        <w:t>Such </w:t>
      </w:r>
      <w:r>
        <w:rPr>
          <w:spacing w:val="-3"/>
          <w:w w:val="110"/>
        </w:rPr>
        <w:t>pressures </w:t>
      </w:r>
      <w:r>
        <w:rPr>
          <w:w w:val="110"/>
        </w:rPr>
        <w:t>are also apparent in</w:t>
      </w:r>
      <w:r>
        <w:rPr>
          <w:spacing w:val="-18"/>
          <w:w w:val="110"/>
        </w:rPr>
        <w:t> </w:t>
      </w:r>
      <w:r>
        <w:rPr>
          <w:w w:val="110"/>
        </w:rPr>
        <w:t>the</w:t>
      </w:r>
      <w:r>
        <w:rPr>
          <w:spacing w:val="-17"/>
          <w:w w:val="110"/>
        </w:rPr>
        <w:t> </w:t>
      </w:r>
      <w:r>
        <w:rPr>
          <w:w w:val="110"/>
        </w:rPr>
        <w:t>Dun</w:t>
      </w:r>
      <w:r>
        <w:rPr>
          <w:spacing w:val="-18"/>
          <w:w w:val="110"/>
        </w:rPr>
        <w:t> </w:t>
      </w:r>
      <w:r>
        <w:rPr>
          <w:w w:val="110"/>
        </w:rPr>
        <w:t>&amp;</w:t>
      </w:r>
      <w:r>
        <w:rPr>
          <w:spacing w:val="-17"/>
          <w:w w:val="110"/>
        </w:rPr>
        <w:t> </w:t>
      </w:r>
      <w:r>
        <w:rPr>
          <w:w w:val="110"/>
        </w:rPr>
        <w:t>Bradstreet</w:t>
      </w:r>
      <w:r>
        <w:rPr>
          <w:spacing w:val="-18"/>
          <w:w w:val="110"/>
        </w:rPr>
        <w:t> </w:t>
      </w:r>
      <w:r>
        <w:rPr>
          <w:w w:val="110"/>
        </w:rPr>
        <w:t>and</w:t>
      </w:r>
      <w:r>
        <w:rPr>
          <w:spacing w:val="-17"/>
          <w:w w:val="110"/>
        </w:rPr>
        <w:t> </w:t>
      </w:r>
      <w:r>
        <w:rPr>
          <w:w w:val="110"/>
        </w:rPr>
        <w:t>the</w:t>
      </w:r>
      <w:r>
        <w:rPr>
          <w:spacing w:val="-17"/>
          <w:w w:val="110"/>
        </w:rPr>
        <w:t> </w:t>
      </w:r>
      <w:r>
        <w:rPr>
          <w:w w:val="110"/>
        </w:rPr>
        <w:t>Institute</w:t>
      </w:r>
      <w:r>
        <w:rPr>
          <w:spacing w:val="-18"/>
          <w:w w:val="110"/>
        </w:rPr>
        <w:t> </w:t>
      </w:r>
      <w:r>
        <w:rPr>
          <w:w w:val="110"/>
        </w:rPr>
        <w:t>of</w:t>
      </w:r>
      <w:r>
        <w:rPr>
          <w:spacing w:val="-17"/>
          <w:w w:val="110"/>
        </w:rPr>
        <w:t> </w:t>
      </w:r>
      <w:r>
        <w:rPr>
          <w:spacing w:val="-3"/>
          <w:w w:val="110"/>
        </w:rPr>
        <w:t>Directors’</w:t>
      </w:r>
      <w:r>
        <w:rPr>
          <w:spacing w:val="-18"/>
          <w:w w:val="110"/>
        </w:rPr>
        <w:t> </w:t>
      </w:r>
      <w:r>
        <w:rPr>
          <w:spacing w:val="-3"/>
          <w:w w:val="110"/>
        </w:rPr>
        <w:t>surveys. </w:t>
      </w:r>
      <w:r>
        <w:rPr>
          <w:w w:val="110"/>
        </w:rPr>
        <w:t>By contrast, recent BCC </w:t>
      </w:r>
      <w:r>
        <w:rPr>
          <w:spacing w:val="-3"/>
          <w:w w:val="110"/>
        </w:rPr>
        <w:t>surveys have </w:t>
      </w:r>
      <w:r>
        <w:rPr>
          <w:w w:val="110"/>
        </w:rPr>
        <w:t>shown a rise in the proportion</w:t>
      </w:r>
      <w:r>
        <w:rPr>
          <w:spacing w:val="-22"/>
          <w:w w:val="110"/>
        </w:rPr>
        <w:t> </w:t>
      </w:r>
      <w:r>
        <w:rPr>
          <w:w w:val="110"/>
        </w:rPr>
        <w:t>of</w:t>
      </w:r>
      <w:r>
        <w:rPr>
          <w:spacing w:val="-21"/>
          <w:w w:val="110"/>
        </w:rPr>
        <w:t> </w:t>
      </w:r>
      <w:r>
        <w:rPr>
          <w:w w:val="110"/>
        </w:rPr>
        <w:t>manufacturers</w:t>
      </w:r>
      <w:r>
        <w:rPr>
          <w:spacing w:val="-21"/>
          <w:w w:val="110"/>
        </w:rPr>
        <w:t> </w:t>
      </w:r>
      <w:r>
        <w:rPr>
          <w:w w:val="110"/>
        </w:rPr>
        <w:t>expecting</w:t>
      </w:r>
      <w:r>
        <w:rPr>
          <w:spacing w:val="-21"/>
          <w:w w:val="110"/>
        </w:rPr>
        <w:t> </w:t>
      </w:r>
      <w:r>
        <w:rPr>
          <w:spacing w:val="-3"/>
          <w:w w:val="110"/>
        </w:rPr>
        <w:t>profitability</w:t>
      </w:r>
      <w:r>
        <w:rPr>
          <w:spacing w:val="-22"/>
          <w:w w:val="110"/>
        </w:rPr>
        <w:t> </w:t>
      </w:r>
      <w:r>
        <w:rPr>
          <w:spacing w:val="-4"/>
          <w:w w:val="110"/>
        </w:rPr>
        <w:t>to</w:t>
      </w:r>
      <w:r>
        <w:rPr>
          <w:spacing w:val="-21"/>
          <w:w w:val="110"/>
        </w:rPr>
        <w:t> </w:t>
      </w:r>
      <w:r>
        <w:rPr>
          <w:spacing w:val="-3"/>
          <w:w w:val="110"/>
        </w:rPr>
        <w:t>improve over </w:t>
      </w:r>
      <w:r>
        <w:rPr>
          <w:w w:val="110"/>
        </w:rPr>
        <w:t>the next </w:t>
      </w:r>
      <w:r>
        <w:rPr>
          <w:spacing w:val="-4"/>
          <w:w w:val="110"/>
        </w:rPr>
        <w:t>year, </w:t>
      </w:r>
      <w:r>
        <w:rPr>
          <w:w w:val="110"/>
        </w:rPr>
        <w:t>although that proportion remained substantially below the levels in</w:t>
      </w:r>
      <w:r>
        <w:rPr>
          <w:spacing w:val="-39"/>
          <w:w w:val="110"/>
        </w:rPr>
        <w:t> </w:t>
      </w:r>
      <w:r>
        <w:rPr>
          <w:spacing w:val="-7"/>
          <w:w w:val="110"/>
        </w:rPr>
        <w:t>mid-1999.</w:t>
      </w:r>
    </w:p>
    <w:p>
      <w:pPr>
        <w:pStyle w:val="Heading3"/>
        <w:numPr>
          <w:ilvl w:val="1"/>
          <w:numId w:val="29"/>
        </w:numPr>
        <w:tabs>
          <w:tab w:pos="759" w:val="left" w:leader="none"/>
          <w:tab w:pos="761" w:val="left" w:leader="none"/>
          <w:tab w:pos="5679" w:val="left" w:leader="none"/>
        </w:tabs>
        <w:spacing w:line="240" w:lineRule="auto" w:before="174" w:after="0"/>
        <w:ind w:left="760" w:right="0" w:hanging="601"/>
        <w:jc w:val="left"/>
        <w:rPr>
          <w:color w:val="89C6DC"/>
          <w:u w:val="none"/>
        </w:rPr>
      </w:pPr>
      <w:r>
        <w:rPr>
          <w:color w:val="89C6DC"/>
          <w:w w:val="95"/>
          <w:u w:val="single" w:color="006CB4"/>
        </w:rPr>
        <w:t>Costs</w:t>
      </w:r>
      <w:r>
        <w:rPr>
          <w:color w:val="89C6DC"/>
          <w:spacing w:val="-30"/>
          <w:w w:val="95"/>
          <w:u w:val="single" w:color="006CB4"/>
        </w:rPr>
        <w:t> </w:t>
      </w:r>
      <w:r>
        <w:rPr>
          <w:color w:val="89C6DC"/>
          <w:w w:val="95"/>
          <w:u w:val="single" w:color="006CB4"/>
        </w:rPr>
        <w:t>and</w:t>
      </w:r>
      <w:r>
        <w:rPr>
          <w:color w:val="89C6DC"/>
          <w:spacing w:val="-29"/>
          <w:w w:val="95"/>
          <w:u w:val="single" w:color="006CB4"/>
        </w:rPr>
        <w:t> </w:t>
      </w:r>
      <w:r>
        <w:rPr>
          <w:color w:val="89C6DC"/>
          <w:w w:val="95"/>
          <w:u w:val="single" w:color="006CB4"/>
        </w:rPr>
        <w:t>prices</w:t>
      </w:r>
      <w:r>
        <w:rPr>
          <w:color w:val="89C6DC"/>
          <w:spacing w:val="-29"/>
          <w:w w:val="95"/>
          <w:u w:val="single" w:color="006CB4"/>
        </w:rPr>
        <w:t> </w:t>
      </w:r>
      <w:r>
        <w:rPr>
          <w:color w:val="89C6DC"/>
          <w:w w:val="95"/>
          <w:u w:val="single" w:color="006CB4"/>
        </w:rPr>
        <w:t>in</w:t>
      </w:r>
      <w:r>
        <w:rPr>
          <w:color w:val="89C6DC"/>
          <w:spacing w:val="-29"/>
          <w:w w:val="95"/>
          <w:u w:val="single" w:color="006CB4"/>
        </w:rPr>
        <w:t> </w:t>
      </w:r>
      <w:r>
        <w:rPr>
          <w:color w:val="89C6DC"/>
          <w:w w:val="95"/>
          <w:u w:val="single" w:color="006CB4"/>
        </w:rPr>
        <w:t>the</w:t>
      </w:r>
      <w:r>
        <w:rPr>
          <w:color w:val="89C6DC"/>
          <w:spacing w:val="-29"/>
          <w:w w:val="95"/>
          <w:u w:val="single" w:color="006CB4"/>
        </w:rPr>
        <w:t> </w:t>
      </w:r>
      <w:r>
        <w:rPr>
          <w:color w:val="89C6DC"/>
          <w:w w:val="95"/>
          <w:u w:val="single" w:color="006CB4"/>
        </w:rPr>
        <w:t>service</w:t>
      </w:r>
      <w:r>
        <w:rPr>
          <w:color w:val="89C6DC"/>
          <w:spacing w:val="-30"/>
          <w:w w:val="95"/>
          <w:u w:val="single" w:color="006CB4"/>
        </w:rPr>
        <w:t> </w:t>
      </w:r>
      <w:r>
        <w:rPr>
          <w:color w:val="89C6DC"/>
          <w:w w:val="95"/>
          <w:u w:val="single" w:color="006CB4"/>
        </w:rPr>
        <w:t>sector</w:t>
      </w:r>
      <w:r>
        <w:rPr>
          <w:color w:val="89C6DC"/>
          <w:u w:val="single" w:color="006CB4"/>
        </w:rPr>
        <w:tab/>
      </w:r>
    </w:p>
    <w:p>
      <w:pPr>
        <w:pStyle w:val="BodyText"/>
        <w:spacing w:before="9"/>
        <w:rPr>
          <w:rFonts w:ascii="Trebuchet MS"/>
          <w:b/>
          <w:sz w:val="26"/>
        </w:rPr>
      </w:pPr>
    </w:p>
    <w:p>
      <w:pPr>
        <w:pStyle w:val="BodyText"/>
        <w:spacing w:line="292" w:lineRule="auto"/>
        <w:ind w:left="280" w:right="217"/>
      </w:pPr>
      <w:r>
        <w:rPr>
          <w:w w:val="105"/>
        </w:rPr>
        <w:t>Service sector output prices are affected </w:t>
      </w:r>
      <w:r>
        <w:rPr>
          <w:spacing w:val="-3"/>
          <w:w w:val="105"/>
        </w:rPr>
        <w:t>by </w:t>
      </w:r>
      <w:r>
        <w:rPr>
          <w:w w:val="105"/>
        </w:rPr>
        <w:t>developments in costs and the </w:t>
      </w:r>
      <w:r>
        <w:rPr>
          <w:spacing w:val="-3"/>
          <w:w w:val="105"/>
        </w:rPr>
        <w:t>extent </w:t>
      </w:r>
      <w:r>
        <w:rPr>
          <w:w w:val="105"/>
        </w:rPr>
        <w:t>of competitive </w:t>
      </w:r>
      <w:r>
        <w:rPr>
          <w:spacing w:val="-3"/>
          <w:w w:val="105"/>
        </w:rPr>
        <w:t>pressures </w:t>
      </w:r>
      <w:r>
        <w:rPr>
          <w:w w:val="105"/>
        </w:rPr>
        <w:t>in the markets for services. These prices can in turn contain useful information about retail price inflation:  services </w:t>
      </w:r>
      <w:r>
        <w:rPr>
          <w:spacing w:val="-3"/>
          <w:w w:val="105"/>
        </w:rPr>
        <w:t>have </w:t>
      </w:r>
      <w:r>
        <w:rPr>
          <w:w w:val="105"/>
        </w:rPr>
        <w:t>a weight of more  than a third in the RPI </w:t>
      </w:r>
      <w:r>
        <w:rPr>
          <w:spacing w:val="-2"/>
          <w:w w:val="105"/>
        </w:rPr>
        <w:t>basket </w:t>
      </w:r>
      <w:r>
        <w:rPr>
          <w:w w:val="105"/>
        </w:rPr>
        <w:t>and </w:t>
      </w:r>
      <w:r>
        <w:rPr>
          <w:spacing w:val="-3"/>
          <w:w w:val="105"/>
        </w:rPr>
        <w:t>corporate </w:t>
      </w:r>
      <w:r>
        <w:rPr>
          <w:w w:val="105"/>
        </w:rPr>
        <w:t>service output  prices can also indirectly affect retail prices </w:t>
      </w:r>
      <w:r>
        <w:rPr>
          <w:spacing w:val="-3"/>
          <w:w w:val="105"/>
        </w:rPr>
        <w:t>by </w:t>
      </w:r>
      <w:r>
        <w:rPr>
          <w:w w:val="105"/>
        </w:rPr>
        <w:t>influencing the cost of producing goods and services in the RPI</w:t>
      </w:r>
      <w:r>
        <w:rPr>
          <w:spacing w:val="4"/>
          <w:w w:val="105"/>
        </w:rPr>
        <w:t> </w:t>
      </w:r>
      <w:r>
        <w:rPr>
          <w:w w:val="105"/>
        </w:rPr>
        <w:t>basket.</w:t>
      </w:r>
    </w:p>
    <w:p>
      <w:pPr>
        <w:pStyle w:val="BodyText"/>
        <w:spacing w:before="3"/>
        <w:rPr>
          <w:sz w:val="22"/>
        </w:rPr>
      </w:pPr>
    </w:p>
    <w:p>
      <w:pPr>
        <w:pStyle w:val="BodyText"/>
        <w:spacing w:line="292" w:lineRule="auto"/>
        <w:ind w:left="280" w:right="101"/>
      </w:pPr>
      <w:r>
        <w:rPr>
          <w:spacing w:val="-3"/>
          <w:w w:val="110"/>
        </w:rPr>
        <w:t>Survey </w:t>
      </w:r>
      <w:r>
        <w:rPr>
          <w:w w:val="110"/>
        </w:rPr>
        <w:t>evidence suggests continuing strong cost </w:t>
      </w:r>
      <w:r>
        <w:rPr>
          <w:spacing w:val="-3"/>
          <w:w w:val="110"/>
        </w:rPr>
        <w:t>pressures </w:t>
      </w:r>
      <w:r>
        <w:rPr>
          <w:w w:val="110"/>
        </w:rPr>
        <w:t>in the service </w:t>
      </w:r>
      <w:r>
        <w:rPr>
          <w:spacing w:val="-4"/>
          <w:w w:val="110"/>
        </w:rPr>
        <w:t>sector, </w:t>
      </w:r>
      <w:r>
        <w:rPr>
          <w:w w:val="110"/>
        </w:rPr>
        <w:t>although they appear less pronounced than in</w:t>
      </w:r>
      <w:r>
        <w:rPr>
          <w:spacing w:val="-14"/>
          <w:w w:val="110"/>
        </w:rPr>
        <w:t> </w:t>
      </w:r>
      <w:r>
        <w:rPr>
          <w:w w:val="110"/>
        </w:rPr>
        <w:t>early</w:t>
      </w:r>
      <w:r>
        <w:rPr>
          <w:spacing w:val="-13"/>
          <w:w w:val="110"/>
        </w:rPr>
        <w:t> </w:t>
      </w:r>
      <w:r>
        <w:rPr>
          <w:spacing w:val="-4"/>
          <w:w w:val="110"/>
        </w:rPr>
        <w:t>2000.</w:t>
      </w:r>
      <w:r>
        <w:rPr>
          <w:spacing w:val="30"/>
          <w:w w:val="110"/>
        </w:rPr>
        <w:t> </w:t>
      </w:r>
      <w:r>
        <w:rPr>
          <w:w w:val="110"/>
        </w:rPr>
        <w:t>The</w:t>
      </w:r>
      <w:r>
        <w:rPr>
          <w:spacing w:val="-13"/>
          <w:w w:val="110"/>
        </w:rPr>
        <w:t> </w:t>
      </w:r>
      <w:r>
        <w:rPr>
          <w:w w:val="110"/>
        </w:rPr>
        <w:t>CIPS</w:t>
      </w:r>
      <w:r>
        <w:rPr>
          <w:spacing w:val="-13"/>
          <w:w w:val="110"/>
        </w:rPr>
        <w:t> </w:t>
      </w:r>
      <w:r>
        <w:rPr>
          <w:w w:val="110"/>
        </w:rPr>
        <w:t>input</w:t>
      </w:r>
      <w:r>
        <w:rPr>
          <w:spacing w:val="-13"/>
          <w:w w:val="110"/>
        </w:rPr>
        <w:t> </w:t>
      </w:r>
      <w:r>
        <w:rPr>
          <w:w w:val="110"/>
        </w:rPr>
        <w:t>price</w:t>
      </w:r>
      <w:r>
        <w:rPr>
          <w:spacing w:val="-13"/>
          <w:w w:val="110"/>
        </w:rPr>
        <w:t> </w:t>
      </w:r>
      <w:r>
        <w:rPr>
          <w:w w:val="110"/>
        </w:rPr>
        <w:t>index</w:t>
      </w:r>
      <w:r>
        <w:rPr>
          <w:spacing w:val="-13"/>
          <w:w w:val="110"/>
        </w:rPr>
        <w:t> </w:t>
      </w:r>
      <w:r>
        <w:rPr>
          <w:w w:val="110"/>
        </w:rPr>
        <w:t>continued</w:t>
      </w:r>
      <w:r>
        <w:rPr>
          <w:spacing w:val="-13"/>
          <w:w w:val="110"/>
        </w:rPr>
        <w:t> </w:t>
      </w:r>
      <w:r>
        <w:rPr>
          <w:spacing w:val="-4"/>
          <w:w w:val="110"/>
        </w:rPr>
        <w:t>to</w:t>
      </w:r>
      <w:r>
        <w:rPr>
          <w:spacing w:val="-13"/>
          <w:w w:val="110"/>
        </w:rPr>
        <w:t> </w:t>
      </w:r>
      <w:r>
        <w:rPr>
          <w:spacing w:val="-3"/>
          <w:w w:val="110"/>
        </w:rPr>
        <w:t>exceed </w:t>
      </w:r>
      <w:r>
        <w:rPr>
          <w:w w:val="110"/>
        </w:rPr>
        <w:t>its </w:t>
      </w:r>
      <w:r>
        <w:rPr>
          <w:spacing w:val="-9"/>
          <w:w w:val="110"/>
        </w:rPr>
        <w:t>post-1996 </w:t>
      </w:r>
      <w:r>
        <w:rPr>
          <w:spacing w:val="-3"/>
          <w:w w:val="110"/>
        </w:rPr>
        <w:t>average </w:t>
      </w:r>
      <w:r>
        <w:rPr>
          <w:w w:val="110"/>
        </w:rPr>
        <w:t>in Q4 (see </w:t>
      </w:r>
      <w:r>
        <w:rPr>
          <w:spacing w:val="-5"/>
          <w:w w:val="110"/>
        </w:rPr>
        <w:t>Table </w:t>
      </w:r>
      <w:r>
        <w:rPr>
          <w:w w:val="110"/>
        </w:rPr>
        <w:t>4.B), although it </w:t>
      </w:r>
      <w:r>
        <w:rPr>
          <w:spacing w:val="-3"/>
          <w:w w:val="110"/>
        </w:rPr>
        <w:t>was </w:t>
      </w:r>
      <w:r>
        <w:rPr>
          <w:w w:val="110"/>
        </w:rPr>
        <w:t>slightly </w:t>
      </w:r>
      <w:r>
        <w:rPr>
          <w:spacing w:val="-3"/>
          <w:w w:val="110"/>
        </w:rPr>
        <w:t>lower </w:t>
      </w:r>
      <w:r>
        <w:rPr>
          <w:w w:val="110"/>
        </w:rPr>
        <w:t>then than its peak in September and it fell further in </w:t>
      </w:r>
      <w:r>
        <w:rPr>
          <w:spacing w:val="-3"/>
          <w:w w:val="110"/>
        </w:rPr>
        <w:t>January. </w:t>
      </w:r>
      <w:r>
        <w:rPr>
          <w:w w:val="110"/>
        </w:rPr>
        <w:t>Respondents cited </w:t>
      </w:r>
      <w:r>
        <w:rPr>
          <w:spacing w:val="-3"/>
          <w:w w:val="110"/>
        </w:rPr>
        <w:t>lower </w:t>
      </w:r>
      <w:r>
        <w:rPr>
          <w:w w:val="110"/>
        </w:rPr>
        <w:t>fuel prices as underlying the easing. By contrast, the </w:t>
      </w:r>
      <w:r>
        <w:rPr>
          <w:spacing w:val="-4"/>
          <w:w w:val="110"/>
        </w:rPr>
        <w:t>2000 </w:t>
      </w:r>
      <w:r>
        <w:rPr>
          <w:w w:val="110"/>
        </w:rPr>
        <w:t>Q4 BCC </w:t>
      </w:r>
      <w:r>
        <w:rPr>
          <w:spacing w:val="-3"/>
          <w:w w:val="110"/>
        </w:rPr>
        <w:t>survey </w:t>
      </w:r>
      <w:r>
        <w:rPr>
          <w:w w:val="110"/>
        </w:rPr>
        <w:t>reported</w:t>
      </w:r>
      <w:r>
        <w:rPr>
          <w:spacing w:val="-13"/>
          <w:w w:val="110"/>
        </w:rPr>
        <w:t> </w:t>
      </w:r>
      <w:r>
        <w:rPr>
          <w:w w:val="110"/>
        </w:rPr>
        <w:t>a</w:t>
      </w:r>
      <w:r>
        <w:rPr>
          <w:spacing w:val="-13"/>
          <w:w w:val="110"/>
        </w:rPr>
        <w:t> </w:t>
      </w:r>
      <w:r>
        <w:rPr>
          <w:w w:val="110"/>
        </w:rPr>
        <w:t>slight</w:t>
      </w:r>
      <w:r>
        <w:rPr>
          <w:spacing w:val="-13"/>
          <w:w w:val="110"/>
        </w:rPr>
        <w:t> </w:t>
      </w:r>
      <w:r>
        <w:rPr>
          <w:w w:val="110"/>
        </w:rPr>
        <w:t>increase</w:t>
      </w:r>
      <w:r>
        <w:rPr>
          <w:spacing w:val="-13"/>
          <w:w w:val="110"/>
        </w:rPr>
        <w:t> </w:t>
      </w:r>
      <w:r>
        <w:rPr>
          <w:w w:val="110"/>
        </w:rPr>
        <w:t>in</w:t>
      </w:r>
      <w:r>
        <w:rPr>
          <w:spacing w:val="-13"/>
          <w:w w:val="110"/>
        </w:rPr>
        <w:t> </w:t>
      </w:r>
      <w:r>
        <w:rPr>
          <w:w w:val="110"/>
        </w:rPr>
        <w:t>the</w:t>
      </w:r>
      <w:r>
        <w:rPr>
          <w:spacing w:val="-12"/>
          <w:w w:val="110"/>
        </w:rPr>
        <w:t> </w:t>
      </w:r>
      <w:r>
        <w:rPr>
          <w:w w:val="110"/>
        </w:rPr>
        <w:t>proportion</w:t>
      </w:r>
      <w:r>
        <w:rPr>
          <w:spacing w:val="-13"/>
          <w:w w:val="110"/>
        </w:rPr>
        <w:t> </w:t>
      </w:r>
      <w:r>
        <w:rPr>
          <w:w w:val="110"/>
        </w:rPr>
        <w:t>of</w:t>
      </w:r>
      <w:r>
        <w:rPr>
          <w:spacing w:val="-13"/>
          <w:w w:val="110"/>
        </w:rPr>
        <w:t> </w:t>
      </w:r>
      <w:r>
        <w:rPr>
          <w:w w:val="110"/>
        </w:rPr>
        <w:t>firms</w:t>
      </w:r>
      <w:r>
        <w:rPr>
          <w:spacing w:val="-13"/>
          <w:w w:val="110"/>
        </w:rPr>
        <w:t> </w:t>
      </w:r>
      <w:r>
        <w:rPr>
          <w:w w:val="110"/>
        </w:rPr>
        <w:t>citing</w:t>
      </w:r>
      <w:r>
        <w:rPr>
          <w:spacing w:val="-13"/>
          <w:w w:val="110"/>
        </w:rPr>
        <w:t> </w:t>
      </w:r>
      <w:r>
        <w:rPr>
          <w:spacing w:val="-4"/>
          <w:w w:val="110"/>
        </w:rPr>
        <w:t>raw </w:t>
      </w:r>
      <w:r>
        <w:rPr>
          <w:w w:val="110"/>
        </w:rPr>
        <w:t>materials</w:t>
      </w:r>
      <w:r>
        <w:rPr>
          <w:spacing w:val="-17"/>
          <w:w w:val="110"/>
        </w:rPr>
        <w:t> </w:t>
      </w:r>
      <w:r>
        <w:rPr>
          <w:w w:val="110"/>
        </w:rPr>
        <w:t>prices</w:t>
      </w:r>
      <w:r>
        <w:rPr>
          <w:spacing w:val="-17"/>
          <w:w w:val="110"/>
        </w:rPr>
        <w:t> </w:t>
      </w:r>
      <w:r>
        <w:rPr>
          <w:w w:val="110"/>
        </w:rPr>
        <w:t>as</w:t>
      </w:r>
      <w:r>
        <w:rPr>
          <w:spacing w:val="-16"/>
          <w:w w:val="110"/>
        </w:rPr>
        <w:t> </w:t>
      </w:r>
      <w:r>
        <w:rPr>
          <w:w w:val="110"/>
        </w:rPr>
        <w:t>putting</w:t>
      </w:r>
      <w:r>
        <w:rPr>
          <w:spacing w:val="-17"/>
          <w:w w:val="110"/>
        </w:rPr>
        <w:t> </w:t>
      </w:r>
      <w:r>
        <w:rPr>
          <w:spacing w:val="-3"/>
          <w:w w:val="110"/>
        </w:rPr>
        <w:t>upward</w:t>
      </w:r>
      <w:r>
        <w:rPr>
          <w:spacing w:val="-16"/>
          <w:w w:val="110"/>
        </w:rPr>
        <w:t> </w:t>
      </w:r>
      <w:r>
        <w:rPr>
          <w:spacing w:val="-3"/>
          <w:w w:val="110"/>
        </w:rPr>
        <w:t>pressure</w:t>
      </w:r>
      <w:r>
        <w:rPr>
          <w:spacing w:val="-17"/>
          <w:w w:val="110"/>
        </w:rPr>
        <w:t> </w:t>
      </w:r>
      <w:r>
        <w:rPr>
          <w:w w:val="110"/>
        </w:rPr>
        <w:t>on</w:t>
      </w:r>
      <w:r>
        <w:rPr>
          <w:spacing w:val="-16"/>
          <w:w w:val="110"/>
        </w:rPr>
        <w:t> </w:t>
      </w:r>
      <w:r>
        <w:rPr>
          <w:w w:val="110"/>
        </w:rPr>
        <w:t>prices,</w:t>
      </w:r>
      <w:r>
        <w:rPr>
          <w:spacing w:val="-17"/>
          <w:w w:val="110"/>
        </w:rPr>
        <w:t> </w:t>
      </w:r>
      <w:r>
        <w:rPr>
          <w:w w:val="110"/>
        </w:rPr>
        <w:t>although the balance remained below the levels in </w:t>
      </w:r>
      <w:r>
        <w:rPr>
          <w:spacing w:val="-4"/>
          <w:w w:val="110"/>
        </w:rPr>
        <w:t>2000 </w:t>
      </w:r>
      <w:r>
        <w:rPr>
          <w:w w:val="110"/>
        </w:rPr>
        <w:t>H1. The BCC </w:t>
      </w:r>
      <w:r>
        <w:rPr>
          <w:spacing w:val="-3"/>
          <w:w w:val="110"/>
        </w:rPr>
        <w:t>survey </w:t>
      </w:r>
      <w:r>
        <w:rPr>
          <w:w w:val="110"/>
        </w:rPr>
        <w:t>also </w:t>
      </w:r>
      <w:r>
        <w:rPr>
          <w:spacing w:val="-3"/>
          <w:w w:val="110"/>
        </w:rPr>
        <w:t>showed </w:t>
      </w:r>
      <w:r>
        <w:rPr>
          <w:w w:val="110"/>
        </w:rPr>
        <w:t>an increase in the proportion of firms reporting</w:t>
      </w:r>
      <w:r>
        <w:rPr>
          <w:spacing w:val="-12"/>
          <w:w w:val="110"/>
        </w:rPr>
        <w:t> </w:t>
      </w:r>
      <w:r>
        <w:rPr>
          <w:w w:val="110"/>
        </w:rPr>
        <w:t>wage</w:t>
      </w:r>
      <w:r>
        <w:rPr>
          <w:spacing w:val="-11"/>
          <w:w w:val="110"/>
        </w:rPr>
        <w:t> </w:t>
      </w:r>
      <w:r>
        <w:rPr>
          <w:w w:val="110"/>
        </w:rPr>
        <w:t>costs</w:t>
      </w:r>
      <w:r>
        <w:rPr>
          <w:spacing w:val="-11"/>
          <w:w w:val="110"/>
        </w:rPr>
        <w:t> </w:t>
      </w:r>
      <w:r>
        <w:rPr>
          <w:w w:val="110"/>
        </w:rPr>
        <w:t>as</w:t>
      </w:r>
      <w:r>
        <w:rPr>
          <w:spacing w:val="-11"/>
          <w:w w:val="110"/>
        </w:rPr>
        <w:t> </w:t>
      </w:r>
      <w:r>
        <w:rPr>
          <w:w w:val="110"/>
        </w:rPr>
        <w:t>putting</w:t>
      </w:r>
      <w:r>
        <w:rPr>
          <w:spacing w:val="-11"/>
          <w:w w:val="110"/>
        </w:rPr>
        <w:t> </w:t>
      </w:r>
      <w:r>
        <w:rPr>
          <w:spacing w:val="-3"/>
          <w:w w:val="110"/>
        </w:rPr>
        <w:t>upward</w:t>
      </w:r>
      <w:r>
        <w:rPr>
          <w:spacing w:val="-11"/>
          <w:w w:val="110"/>
        </w:rPr>
        <w:t> </w:t>
      </w:r>
      <w:r>
        <w:rPr>
          <w:spacing w:val="-3"/>
          <w:w w:val="110"/>
        </w:rPr>
        <w:t>pressure</w:t>
      </w:r>
      <w:r>
        <w:rPr>
          <w:spacing w:val="-11"/>
          <w:w w:val="110"/>
        </w:rPr>
        <w:t> </w:t>
      </w:r>
      <w:r>
        <w:rPr>
          <w:w w:val="110"/>
        </w:rPr>
        <w:t>on</w:t>
      </w:r>
      <w:r>
        <w:rPr>
          <w:spacing w:val="-11"/>
          <w:w w:val="110"/>
        </w:rPr>
        <w:t> </w:t>
      </w:r>
      <w:r>
        <w:rPr>
          <w:w w:val="110"/>
        </w:rPr>
        <w:t>prices.</w:t>
      </w:r>
    </w:p>
    <w:p>
      <w:pPr>
        <w:pStyle w:val="BodyText"/>
        <w:spacing w:line="292" w:lineRule="auto"/>
        <w:ind w:left="280" w:right="172"/>
      </w:pPr>
      <w:r>
        <w:rPr>
          <w:w w:val="110"/>
        </w:rPr>
        <w:t>Those </w:t>
      </w:r>
      <w:r>
        <w:rPr>
          <w:spacing w:val="-3"/>
          <w:w w:val="110"/>
        </w:rPr>
        <w:t>pay pressures </w:t>
      </w:r>
      <w:r>
        <w:rPr>
          <w:w w:val="110"/>
        </w:rPr>
        <w:t>are also apparent in official data: annual service</w:t>
      </w:r>
      <w:r>
        <w:rPr>
          <w:spacing w:val="-18"/>
          <w:w w:val="110"/>
        </w:rPr>
        <w:t> </w:t>
      </w:r>
      <w:r>
        <w:rPr>
          <w:w w:val="110"/>
        </w:rPr>
        <w:t>sector</w:t>
      </w:r>
      <w:r>
        <w:rPr>
          <w:spacing w:val="-17"/>
          <w:w w:val="110"/>
        </w:rPr>
        <w:t> </w:t>
      </w:r>
      <w:r>
        <w:rPr>
          <w:w w:val="110"/>
        </w:rPr>
        <w:t>earnings</w:t>
      </w:r>
      <w:r>
        <w:rPr>
          <w:spacing w:val="-17"/>
          <w:w w:val="110"/>
        </w:rPr>
        <w:t> </w:t>
      </w:r>
      <w:r>
        <w:rPr>
          <w:w w:val="110"/>
        </w:rPr>
        <w:t>growth</w:t>
      </w:r>
      <w:r>
        <w:rPr>
          <w:spacing w:val="-17"/>
          <w:w w:val="110"/>
        </w:rPr>
        <w:t> </w:t>
      </w:r>
      <w:r>
        <w:rPr>
          <w:w w:val="110"/>
        </w:rPr>
        <w:t>has</w:t>
      </w:r>
      <w:r>
        <w:rPr>
          <w:spacing w:val="-17"/>
          <w:w w:val="110"/>
        </w:rPr>
        <w:t> </w:t>
      </w:r>
      <w:r>
        <w:rPr>
          <w:w w:val="110"/>
        </w:rPr>
        <w:t>edged</w:t>
      </w:r>
      <w:r>
        <w:rPr>
          <w:spacing w:val="-17"/>
          <w:w w:val="110"/>
        </w:rPr>
        <w:t> </w:t>
      </w:r>
      <w:r>
        <w:rPr>
          <w:w w:val="110"/>
        </w:rPr>
        <w:t>up</w:t>
      </w:r>
      <w:r>
        <w:rPr>
          <w:spacing w:val="-17"/>
          <w:w w:val="110"/>
        </w:rPr>
        <w:t> </w:t>
      </w:r>
      <w:r>
        <w:rPr>
          <w:w w:val="110"/>
        </w:rPr>
        <w:t>in</w:t>
      </w:r>
      <w:r>
        <w:rPr>
          <w:spacing w:val="-17"/>
          <w:w w:val="110"/>
        </w:rPr>
        <w:t> </w:t>
      </w:r>
      <w:r>
        <w:rPr>
          <w:w w:val="110"/>
        </w:rPr>
        <w:t>recent</w:t>
      </w:r>
      <w:r>
        <w:rPr>
          <w:spacing w:val="-17"/>
          <w:w w:val="110"/>
        </w:rPr>
        <w:t> </w:t>
      </w:r>
      <w:r>
        <w:rPr>
          <w:w w:val="110"/>
        </w:rPr>
        <w:t>months. But because of continuing strong estimated productivity growth, unit wage cost growth remained subdued at around 1</w:t>
      </w:r>
      <w:r>
        <w:rPr>
          <w:w w:val="110"/>
          <w:position w:val="7"/>
          <w:sz w:val="10"/>
        </w:rPr>
        <w:t>1</w:t>
      </w:r>
      <w:r>
        <w:rPr>
          <w:w w:val="110"/>
        </w:rPr>
        <w:t>/</w:t>
      </w:r>
      <w:r>
        <w:rPr>
          <w:w w:val="110"/>
          <w:position w:val="1"/>
          <w:sz w:val="10"/>
        </w:rPr>
        <w:t>2</w:t>
      </w:r>
      <w:r>
        <w:rPr>
          <w:w w:val="110"/>
        </w:rPr>
        <w:t>% in the year </w:t>
      </w:r>
      <w:r>
        <w:rPr>
          <w:spacing w:val="-4"/>
          <w:w w:val="110"/>
        </w:rPr>
        <w:t>to 2000 </w:t>
      </w:r>
      <w:r>
        <w:rPr>
          <w:w w:val="110"/>
        </w:rPr>
        <w:t>Q3, compared with </w:t>
      </w:r>
      <w:r>
        <w:rPr>
          <w:spacing w:val="-4"/>
          <w:w w:val="110"/>
        </w:rPr>
        <w:t>rates </w:t>
      </w:r>
      <w:r>
        <w:rPr>
          <w:w w:val="110"/>
        </w:rPr>
        <w:t>of more than 4% in</w:t>
      </w:r>
      <w:r>
        <w:rPr>
          <w:spacing w:val="-14"/>
          <w:w w:val="110"/>
        </w:rPr>
        <w:t> </w:t>
      </w:r>
      <w:r>
        <w:rPr>
          <w:spacing w:val="-12"/>
          <w:w w:val="110"/>
        </w:rPr>
        <w:t>1999.</w:t>
      </w:r>
    </w:p>
    <w:p>
      <w:pPr>
        <w:spacing w:after="0" w:line="292" w:lineRule="auto"/>
        <w:sectPr>
          <w:type w:val="continuous"/>
          <w:pgSz w:w="11900" w:h="16840"/>
          <w:pgMar w:top="1260" w:bottom="280" w:left="640" w:right="640"/>
          <w:cols w:num="2" w:equalWidth="0">
            <w:col w:w="4521" w:space="299"/>
            <w:col w:w="5800"/>
          </w:cols>
        </w:sectPr>
      </w:pPr>
    </w:p>
    <w:p>
      <w:pPr>
        <w:pStyle w:val="BodyText"/>
      </w:pPr>
    </w:p>
    <w:p>
      <w:pPr>
        <w:pStyle w:val="BodyText"/>
        <w:spacing w:before="9"/>
        <w:rPr>
          <w:sz w:val="15"/>
        </w:rPr>
      </w:pPr>
    </w:p>
    <w:p>
      <w:pPr>
        <w:spacing w:after="0"/>
        <w:rPr>
          <w:sz w:val="15"/>
        </w:rPr>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32"/>
        </w:rPr>
      </w:pPr>
    </w:p>
    <w:p>
      <w:pPr>
        <w:pStyle w:val="Heading6"/>
        <w:ind w:left="185"/>
      </w:pPr>
      <w:bookmarkStart w:name="Retail prices" w:id="81"/>
      <w:bookmarkEnd w:id="81"/>
      <w:r>
        <w:rPr>
          <w:b w:val="0"/>
        </w:rPr>
      </w:r>
      <w:bookmarkStart w:name="_bookmark40" w:id="82"/>
      <w:bookmarkEnd w:id="82"/>
      <w:r>
        <w:rPr>
          <w:b w:val="0"/>
        </w:rPr>
      </w:r>
      <w:r>
        <w:rPr>
          <w:color w:val="89C6DC"/>
          <w:w w:val="95"/>
        </w:rPr>
        <w:t>Chart 4.9</w:t>
      </w:r>
    </w:p>
    <w:p>
      <w:pPr>
        <w:spacing w:before="8"/>
        <w:ind w:left="185" w:right="0" w:firstLine="0"/>
        <w:jc w:val="left"/>
        <w:rPr>
          <w:rFonts w:ascii="Trebuchet MS"/>
          <w:b/>
          <w:sz w:val="20"/>
        </w:rPr>
      </w:pPr>
      <w:r>
        <w:rPr>
          <w:rFonts w:ascii="Trebuchet MS"/>
          <w:b/>
          <w:color w:val="89C6DC"/>
          <w:w w:val="95"/>
          <w:sz w:val="20"/>
        </w:rPr>
        <w:t>Retail price inflation</w:t>
      </w:r>
    </w:p>
    <w:p>
      <w:pPr>
        <w:spacing w:before="46"/>
        <w:ind w:left="1500" w:right="0" w:firstLine="0"/>
        <w:jc w:val="left"/>
        <w:rPr>
          <w:sz w:val="12"/>
        </w:rPr>
      </w:pPr>
      <w:r>
        <w:rPr/>
        <w:pict>
          <v:group style="position:absolute;margin-left:49.044998pt;margin-top:19.152189pt;width:153.550pt;height:103pt;mso-position-horizontal-relative:page;mso-position-vertical-relative:paragraph;z-index:16306688" coordorigin="981,383" coordsize="3071,2060">
            <v:line style="position:absolute" from="991,1231" to="1043,1358" stroked="true" strokeweight="1pt" strokecolor="#006caa">
              <v:stroke dashstyle="solid"/>
            </v:line>
            <v:line style="position:absolute" from="1033,1359" to="1096,1359" stroked="true" strokeweight="1.125pt" strokecolor="#006caa">
              <v:stroke dashstyle="solid"/>
            </v:line>
            <v:shape style="position:absolute;left:1085;top:1358;width:253;height:378" coordorigin="1086,1358" coordsize="253,378" path="m1086,1358l1138,1546m1138,1546l1191,1673m1191,1673l1233,1736m1233,1736l1286,1673m1286,1673l1338,1736e" filled="false" stroked="true" strokeweight="1pt" strokecolor="#006caa">
              <v:path arrowok="t"/>
              <v:stroke dashstyle="solid"/>
            </v:shape>
            <v:line style="position:absolute" from="1328,1737" to="1388,1737" stroked="true" strokeweight="1.125pt" strokecolor="#006caa">
              <v:stroke dashstyle="solid"/>
            </v:line>
            <v:line style="position:absolute" from="1378,1736" to="1431,1358" stroked="true" strokeweight="1pt" strokecolor="#006caa">
              <v:stroke dashstyle="solid"/>
            </v:line>
            <v:line style="position:absolute" from="1421,1359" to="1493,1359" stroked="true" strokeweight="1.125pt" strokecolor="#006caa">
              <v:stroke dashstyle="solid"/>
            </v:line>
            <v:shape style="position:absolute;left:1483;top:708;width:535;height:838" coordorigin="1483,708" coordsize="535,838" path="m1483,1358l1526,1483m1526,1483l1578,1293m1578,1293l1631,1358m1631,1358l1673,1421m1673,1421l1726,1546m1726,1546l1778,1421m1778,1421l1818,1231m1818,1231l1871,978m1871,978l1923,836m1923,836l1966,771m1966,771l2018,708e" filled="false" stroked="true" strokeweight="1pt" strokecolor="#006caa">
              <v:path arrowok="t"/>
              <v:stroke dashstyle="solid"/>
            </v:shape>
            <v:line style="position:absolute" from="2008,709" to="2081,709" stroked="true" strokeweight="1.125pt" strokecolor="#006caa">
              <v:stroke dashstyle="solid"/>
            </v:line>
            <v:shape style="position:absolute;left:2070;top:393;width:723;height:1343" coordorigin="2071,393" coordsize="723,1343" path="m2071,708l2113,771m2113,771l2166,978m2166,978l2218,898m2218,898l2258,836m2258,836l2311,518m2311,518l2363,393m2363,393l2406,708m2406,708l2458,836m2458,836l2501,978m2501,978l2606,1103m2606,1103l2646,1168m2646,1168l2698,1293m2698,1293l2751,1546m2751,1546l2793,1736e" filled="false" stroked="true" strokeweight="1pt" strokecolor="#006caa">
              <v:path arrowok="t"/>
              <v:stroke dashstyle="solid"/>
            </v:shape>
            <v:line style="position:absolute" from="2783,1737" to="2856,1737" stroked="true" strokeweight="1.125pt" strokecolor="#006caa">
              <v:stroke dashstyle="solid"/>
            </v:line>
            <v:shape style="position:absolute;left:2845;top:1735;width:95;height:508" coordorigin="2846,1736" coordsize="95,508" path="m2846,1736l2898,2053m2898,2053l2941,2243e" filled="false" stroked="true" strokeweight="1pt" strokecolor="#006caa">
              <v:path arrowok="t"/>
              <v:stroke dashstyle="solid"/>
            </v:shape>
            <v:shape style="position:absolute;left:2930;top:2244;width:123;height:2" coordorigin="2931,2244" coordsize="123,0" path="m2931,2244l3001,2244m2981,2244l3053,2244e" filled="false" stroked="true" strokeweight="1.125pt" strokecolor="#006caa">
              <v:path arrowok="t"/>
              <v:stroke dashstyle="solid"/>
            </v:shape>
            <v:line style="position:absolute" from="3043,2243" to="3086,2386" stroked="true" strokeweight="1pt" strokecolor="#006caa">
              <v:stroke dashstyle="solid"/>
            </v:line>
            <v:line style="position:absolute" from="3076,2387" to="3148,2387" stroked="true" strokeweight="1.125pt" strokecolor="#006caa">
              <v:stroke dashstyle="solid"/>
            </v:line>
            <v:shape style="position:absolute;left:3138;top:978;width:440;height:1408" coordorigin="3138,978" coordsize="440,1408" path="m3138,2386l3191,2306m3191,2306l3233,2181m3233,2181l3286,1926m3286,1926l3338,1801m3338,1801l3378,1611m3378,1611l3431,1421m3431,1421l3483,1168m3483,1168l3526,1103m3526,1103l3578,978e" filled="false" stroked="true" strokeweight="1pt" strokecolor="#006caa">
              <v:path arrowok="t"/>
              <v:stroke dashstyle="solid"/>
            </v:shape>
            <v:line style="position:absolute" from="3568,979" to="3641,979" stroked="true" strokeweight="1.125pt" strokecolor="#006caa">
              <v:stroke dashstyle="solid"/>
            </v:line>
            <v:shape style="position:absolute;left:3630;top:978;width:240;height:253" coordorigin="3631,978" coordsize="240,253" path="m3631,978l3673,1168m3673,1168l3726,978m3726,978l3778,1103m3778,1103l3818,1041m3818,1041l3871,1231e" filled="false" stroked="true" strokeweight="1pt" strokecolor="#006caa">
              <v:path arrowok="t"/>
              <v:stroke dashstyle="solid"/>
            </v:shape>
            <v:line style="position:absolute" from="991,1293" to="1043,1231" stroked="true" strokeweight="1pt" strokecolor="#de0035">
              <v:stroke dashstyle="solid"/>
            </v:line>
            <v:shape style="position:absolute;left:1033;top:1231;width:115;height:2" coordorigin="1033,1232" coordsize="115,0" path="m1033,1232l1096,1232m1076,1232l1148,1232e" filled="false" stroked="true" strokeweight="1.125pt" strokecolor="#de0035">
              <v:path arrowok="t"/>
              <v:stroke dashstyle="solid"/>
            </v:shape>
            <v:line style="position:absolute" from="1138,1231" to="1191,1293" stroked="true" strokeweight="1pt" strokecolor="#de0035">
              <v:stroke dashstyle="solid"/>
            </v:line>
            <v:shape style="position:absolute;left:1180;top:1294;width:168;height:2" coordorigin="1181,1294" coordsize="168,0" path="m1181,1294l1243,1294m1223,1294l1296,1294m1276,1294l1348,1294e" filled="false" stroked="true" strokeweight="1.125pt" strokecolor="#de0035">
              <v:path arrowok="t"/>
              <v:stroke dashstyle="solid"/>
            </v:shape>
            <v:shape style="position:absolute;left:1338;top:978;width:93;height:315" coordorigin="1338,978" coordsize="93,315" path="m1338,1293l1378,1231m1378,1231l1431,978e" filled="false" stroked="true" strokeweight="1pt" strokecolor="#de0035">
              <v:path arrowok="t"/>
              <v:stroke dashstyle="solid"/>
            </v:shape>
            <v:line style="position:absolute" from="1421,979" to="1493,979" stroked="true" strokeweight="1.125pt" strokecolor="#de0035">
              <v:stroke dashstyle="solid"/>
            </v:line>
            <v:line style="position:absolute" from="1483,978" to="1526,1103" stroked="true" strokeweight="1pt" strokecolor="#de0035">
              <v:stroke dashstyle="solid"/>
            </v:line>
            <v:line style="position:absolute" from="1516,1104" to="1588,1104" stroked="true" strokeweight="1.125pt" strokecolor="#de0035">
              <v:stroke dashstyle="solid"/>
            </v:line>
            <v:shape style="position:absolute;left:1578;top:1103;width:148;height:380" coordorigin="1578,1103" coordsize="148,380" path="m1578,1103l1631,1231m1631,1231l1673,1358m1673,1358l1726,1483e" filled="false" stroked="true" strokeweight="1pt" strokecolor="#de0035">
              <v:path arrowok="t"/>
              <v:stroke dashstyle="solid"/>
            </v:shape>
            <v:line style="position:absolute" from="1716,1484" to="1788,1484" stroked="true" strokeweight="1.125pt" strokecolor="#de0035">
              <v:stroke dashstyle="solid"/>
            </v:line>
            <v:shape style="position:absolute;left:1778;top:1168;width:240;height:315" coordorigin="1778,1168" coordsize="240,315" path="m1778,1483l1818,1358m1818,1358l1871,1168m1871,1168l1923,1293m1923,1293l1966,1358m1966,1358l2018,1293e" filled="false" stroked="true" strokeweight="1pt" strokecolor="#de0035">
              <v:path arrowok="t"/>
              <v:stroke dashstyle="solid"/>
            </v:shape>
            <v:line style="position:absolute" from="2008,1294" to="2081,1294" stroked="true" strokeweight="1.125pt" strokecolor="#de0035">
              <v:stroke dashstyle="solid"/>
            </v:line>
            <v:shape style="position:absolute;left:2070;top:1293;width:148;height:190" coordorigin="2071,1293" coordsize="148,190" path="m2071,1293l2113,1358m2113,1358l2166,1483m2166,1483l2218,1421e" filled="false" stroked="true" strokeweight="1pt" strokecolor="#de0035">
              <v:path arrowok="t"/>
              <v:stroke dashstyle="solid"/>
            </v:shape>
            <v:line style="position:absolute" from="2208,1422" to="2268,1422" stroked="true" strokeweight="1.125pt" strokecolor="#de0035">
              <v:stroke dashstyle="solid"/>
            </v:line>
            <v:shape style="position:absolute;left:2258;top:1040;width:440;height:443" coordorigin="2258,1041" coordsize="440,443" path="m2258,1421l2311,1168m2311,1168l2363,1041m2363,1041l2406,1293m2406,1293l2458,1421m2458,1421l2501,1483m2646,1483l2698,1421e" filled="false" stroked="true" strokeweight="1pt" strokecolor="#de0035">
              <v:path arrowok="t"/>
              <v:stroke dashstyle="solid"/>
            </v:shape>
            <v:line style="position:absolute" from="2688,1422" to="2761,1422" stroked="true" strokeweight="1.125pt" strokecolor="#de0035">
              <v:stroke dashstyle="solid"/>
            </v:line>
            <v:shape style="position:absolute;left:2750;top:1358;width:240;height:378" coordorigin="2751,1358" coordsize="240,378" path="m2751,1421l2793,1546m2793,1546l2846,1358m2846,1358l2898,1546m2898,1546l2941,1736m2941,1736l2991,1673e" filled="false" stroked="true" strokeweight="1pt" strokecolor="#de0035">
              <v:path arrowok="t"/>
              <v:stroke dashstyle="solid"/>
            </v:shape>
            <v:line style="position:absolute" from="2981,1674" to="3053,1674" stroked="true" strokeweight="1.125pt" strokecolor="#de0035">
              <v:stroke dashstyle="solid"/>
            </v:line>
            <v:line style="position:absolute" from="3043,1673" to="3086,1736" stroked="true" strokeweight="1pt" strokecolor="#de0035">
              <v:stroke dashstyle="solid"/>
            </v:line>
            <v:line style="position:absolute" from="3076,1737" to="3148,1737" stroked="true" strokeweight="1.125pt" strokecolor="#de0035">
              <v:stroke dashstyle="solid"/>
            </v:line>
            <v:line style="position:absolute" from="3138,1736" to="3191,1673" stroked="true" strokeweight="1pt" strokecolor="#de0035">
              <v:stroke dashstyle="solid"/>
            </v:line>
            <v:line style="position:absolute" from="3181,1674" to="3243,1674" stroked="true" strokeweight="1.125pt" strokecolor="#de0035">
              <v:stroke dashstyle="solid"/>
            </v:line>
            <v:shape style="position:absolute;left:3233;top:1673;width:345;height:190" coordorigin="3233,1673" coordsize="345,190" path="m3233,1673l3286,1706m3286,1706l3338,1736m3338,1736l3378,1673m3378,1673l3431,1801m3431,1801l3483,1863m3483,1863l3526,1801m3526,1801l3578,1673e" filled="false" stroked="true" strokeweight="1pt" strokecolor="#de0035">
              <v:path arrowok="t"/>
              <v:stroke dashstyle="solid"/>
            </v:shape>
            <v:line style="position:absolute" from="3568,1674" to="3641,1674" stroked="true" strokeweight="1.125pt" strokecolor="#de0035">
              <v:stroke dashstyle="solid"/>
            </v:line>
            <v:shape style="position:absolute;left:3630;top:1673;width:240;height:190" coordorigin="3631,1673" coordsize="240,190" path="m3631,1673l3673,1863m3673,1863l3726,1673m3726,1673l3778,1801m3778,1801l3818,1673m3818,1673l3871,1801e" filled="false" stroked="true" strokeweight="1pt" strokecolor="#de0035">
              <v:path arrowok="t"/>
              <v:stroke dashstyle="solid"/>
            </v:shape>
            <v:line style="position:absolute" from="981,1484" to="1053,1484" stroked="true" strokeweight="1.125pt" strokecolor="#a64991">
              <v:stroke dashstyle="solid"/>
            </v:line>
            <v:line style="position:absolute" from="1043,1483" to="1086,1421" stroked="true" strokeweight="1pt" strokecolor="#a64991">
              <v:stroke dashstyle="solid"/>
            </v:line>
            <v:line style="position:absolute" from="1076,1422" to="1148,1422" stroked="true" strokeweight="1.125pt" strokecolor="#a64991">
              <v:stroke dashstyle="solid"/>
            </v:line>
            <v:line style="position:absolute" from="1138,1421" to="1191,1611" stroked="true" strokeweight="1pt" strokecolor="#a64991">
              <v:stroke dashstyle="solid"/>
            </v:line>
            <v:line style="position:absolute" from="1181,1612" to="1243,1612" stroked="true" strokeweight="1.125pt" strokecolor="#a64991">
              <v:stroke dashstyle="solid"/>
            </v:line>
            <v:line style="position:absolute" from="1233,1611" to="1286,1546" stroked="true" strokeweight="1pt" strokecolor="#a64991">
              <v:stroke dashstyle="solid"/>
            </v:line>
            <v:line style="position:absolute" from="1276,1547" to="1348,1547" stroked="true" strokeweight="1.125pt" strokecolor="#a64991">
              <v:stroke dashstyle="solid"/>
            </v:line>
            <v:shape style="position:absolute;left:1338;top:1168;width:93;height:378" coordorigin="1338,1168" coordsize="93,378" path="m1338,1546l1378,1483m1378,1483l1431,1168e" filled="false" stroked="true" strokeweight="1pt" strokecolor="#a64991">
              <v:path arrowok="t"/>
              <v:stroke dashstyle="solid"/>
            </v:shape>
            <v:line style="position:absolute" from="1421,1169" to="1493,1169" stroked="true" strokeweight="1.125pt" strokecolor="#a64991">
              <v:stroke dashstyle="solid"/>
            </v:line>
            <v:shape style="position:absolute;left:1483;top:1168;width:243;height:633" coordorigin="1483,1168" coordsize="243,633" path="m1483,1168l1526,1358m1526,1358l1578,1293m1578,1293l1631,1483m1631,1483l1673,1611m1673,1611l1726,1801e" filled="false" stroked="true" strokeweight="1pt" strokecolor="#a64991">
              <v:path arrowok="t"/>
              <v:stroke dashstyle="solid"/>
            </v:shape>
            <v:line style="position:absolute" from="1716,1802" to="1788,1802" stroked="true" strokeweight="1.125pt" strokecolor="#a64991">
              <v:stroke dashstyle="solid"/>
            </v:line>
            <v:line style="position:absolute" from="1778,1801" to="1818,1673" stroked="true" strokeweight="1pt" strokecolor="#a64991">
              <v:stroke dashstyle="solid"/>
            </v:line>
            <v:line style="position:absolute" from="1808,1674" to="1881,1674" stroked="true" strokeweight="1.125pt" strokecolor="#a64991">
              <v:stroke dashstyle="solid"/>
            </v:line>
            <v:shape style="position:absolute;left:1870;top:1673;width:348;height:190" coordorigin="1871,1673" coordsize="348,190" path="m1871,1673l1923,1736m1923,1736l1966,1801m1966,1801l2018,1673m2018,1673l2071,1736m2071,1736l2113,1673m2113,1673l2166,1863m2166,1863l2218,1736e" filled="false" stroked="true" strokeweight="1pt" strokecolor="#a64991">
              <v:path arrowok="t"/>
              <v:stroke dashstyle="solid"/>
            </v:shape>
            <v:line style="position:absolute" from="2208,1737" to="2268,1737" stroked="true" strokeweight="1.125pt" strokecolor="#a64991">
              <v:stroke dashstyle="solid"/>
            </v:line>
            <v:shape style="position:absolute;left:2258;top:1483;width:200;height:318" coordorigin="2258,1483" coordsize="200,318" path="m2258,1736l2311,1673m2311,1673l2363,1483m2363,1483l2406,1801m2406,1801l2458,1736e" filled="false" stroked="true" strokeweight="1pt" strokecolor="#a64991">
              <v:path arrowok="t"/>
              <v:stroke dashstyle="solid"/>
            </v:shape>
            <v:line style="position:absolute" from="2448,1737" to="2511,1737" stroked="true" strokeweight="1.125pt" strokecolor="#a64991">
              <v:stroke dashstyle="solid"/>
            </v:line>
            <v:shape style="position:absolute;left:2500;top:1735;width:105;height:190" coordorigin="2501,1736" coordsize="105,190" path="m2501,1736l2553,1801m2553,1801l2606,1926e" filled="false" stroked="true" strokeweight="1pt" strokecolor="#a64991">
              <v:path arrowok="t"/>
              <v:stroke dashstyle="solid"/>
            </v:shape>
            <v:line style="position:absolute" from="2596,1927" to="2656,1927" stroked="true" strokeweight="1.125pt" strokecolor="#a64991">
              <v:stroke dashstyle="solid"/>
            </v:line>
            <v:line style="position:absolute" from="2646,1926" to="2698,1801" stroked="true" strokeweight="1pt" strokecolor="#a64991">
              <v:stroke dashstyle="solid"/>
            </v:line>
            <v:line style="position:absolute" from="2688,1802" to="2761,1802" stroked="true" strokeweight="1.125pt" strokecolor="#a64991">
              <v:stroke dashstyle="solid"/>
            </v:line>
            <v:shape style="position:absolute;left:2750;top:1800;width:190;height:315" coordorigin="2751,1801" coordsize="190,315" path="m2751,1801l2793,1926m2793,1926l2846,1991m2846,1991l2898,1926m2898,1926l2941,2116e" filled="false" stroked="true" strokeweight="1pt" strokecolor="#a64991">
              <v:path arrowok="t"/>
              <v:stroke dashstyle="solid"/>
            </v:shape>
            <v:line style="position:absolute" from="2931,2117" to="3001,2117" stroked="true" strokeweight="1.125pt" strokecolor="#a64991">
              <v:stroke dashstyle="solid"/>
            </v:line>
            <v:shape style="position:absolute;left:2990;top:1925;width:295;height:318" coordorigin="2991,1926" coordsize="295,318" path="m2991,2116l3043,2053m3043,2053l3086,2181m3086,2181l3138,2243m3138,2243l3191,2116m3191,2116l3233,1991m3233,1991l3286,1926e" filled="false" stroked="true" strokeweight="1pt" strokecolor="#a64991">
              <v:path arrowok="t"/>
              <v:stroke dashstyle="solid"/>
            </v:shape>
            <v:shape style="position:absolute;left:3275;top:1926;width:113;height:2" coordorigin="3276,1927" coordsize="113,0" path="m3276,1927l3348,1927m3328,1927l3388,1927e" filled="false" stroked="true" strokeweight="1.125pt" strokecolor="#a64991">
              <v:path arrowok="t"/>
              <v:stroke dashstyle="solid"/>
            </v:shape>
            <v:shape style="position:absolute;left:3378;top:1735;width:493;height:380" coordorigin="3378,1736" coordsize="493,380" path="m3378,1926l3431,1736m3431,1736l3483,2053m3483,2053l3526,1991m3526,1991l3578,1801m3578,1801l3631,1863m3631,1863l3673,2116m3673,2116l3726,1801m3726,1801l3778,2053m3778,2053l3818,1926m3818,1926l3871,1991e" filled="false" stroked="true" strokeweight="1pt" strokecolor="#a64991">
              <v:path arrowok="t"/>
              <v:stroke dashstyle="solid"/>
            </v:shape>
            <v:shape style="position:absolute;left:3945;top:519;width:87;height:1919" coordorigin="3945,519" coordsize="87,1919" path="m3945,519l4032,519m3945,839l4032,839m3945,1158l4032,1158m3945,1798l4032,1798m3945,2118l4032,2118m3945,2437l4032,2437e" filled="false" stroked="true" strokeweight=".5pt" strokecolor="#000000">
              <v:path arrowok="t"/>
              <v:stroke dashstyle="solid"/>
            </v:shape>
            <v:shape style="position:absolute;left:2421;top:530;width:201;height:121" type="#_x0000_t202" filled="false" stroked="false">
              <v:textbox inset="0,0,0,0">
                <w:txbxContent>
                  <w:p>
                    <w:pPr>
                      <w:spacing w:line="116" w:lineRule="exact" w:before="0"/>
                      <w:ind w:left="0" w:right="0" w:firstLine="0"/>
                      <w:jc w:val="left"/>
                      <w:rPr>
                        <w:sz w:val="12"/>
                      </w:rPr>
                    </w:pPr>
                    <w:r>
                      <w:rPr>
                        <w:sz w:val="12"/>
                      </w:rPr>
                      <w:t>RPI</w:t>
                    </w:r>
                  </w:p>
                </w:txbxContent>
              </v:textbox>
              <w10:wrap type="none"/>
            </v:shape>
            <v:shape style="position:absolute;left:2490;top:1283;width:677;height:138" type="#_x0000_t202" filled="false" stroked="false">
              <v:textbox inset="0,0,0,0">
                <w:txbxContent>
                  <w:p>
                    <w:pPr>
                      <w:tabs>
                        <w:tab w:pos="400" w:val="left" w:leader="none"/>
                      </w:tabs>
                      <w:spacing w:line="133" w:lineRule="exact" w:before="0"/>
                      <w:ind w:left="0" w:right="0" w:firstLine="0"/>
                      <w:jc w:val="left"/>
                      <w:rPr>
                        <w:sz w:val="12"/>
                      </w:rPr>
                    </w:pPr>
                    <w:r>
                      <w:rPr>
                        <w:sz w:val="12"/>
                        <w:u w:val="thick" w:color="DE0035"/>
                      </w:rPr>
                      <w:t>    </w:t>
                    </w:r>
                    <w:r>
                      <w:rPr>
                        <w:spacing w:val="15"/>
                        <w:sz w:val="12"/>
                        <w:u w:val="thick" w:color="DE0035"/>
                      </w:rPr>
                      <w:t> </w:t>
                    </w:r>
                    <w:r>
                      <w:rPr>
                        <w:sz w:val="12"/>
                      </w:rPr>
                      <w:tab/>
                    </w:r>
                    <w:r>
                      <w:rPr>
                        <w:w w:val="95"/>
                        <w:sz w:val="12"/>
                      </w:rPr>
                      <w:t>RPIX</w:t>
                    </w:r>
                  </w:p>
                </w:txbxContent>
              </v:textbox>
              <w10:wrap type="none"/>
            </v:shape>
            <v:shape style="position:absolute;left:3945;top:1283;width:107;height:133" type="#_x0000_t202" filled="false" stroked="false">
              <v:textbox inset="0,0,0,0">
                <w:txbxContent>
                  <w:p>
                    <w:pPr>
                      <w:spacing w:line="133" w:lineRule="exact" w:before="0"/>
                      <w:ind w:left="0" w:right="0" w:firstLine="0"/>
                      <w:jc w:val="left"/>
                      <w:rPr>
                        <w:sz w:val="12"/>
                      </w:rPr>
                    </w:pPr>
                    <w:r>
                      <w:rPr>
                        <w:sz w:val="12"/>
                        <w:u w:val="single"/>
                      </w:rPr>
                      <w:t> </w:t>
                    </w:r>
                    <w:r>
                      <w:rPr>
                        <w:spacing w:val="-4"/>
                        <w:sz w:val="12"/>
                        <w:u w:val="single"/>
                      </w:rPr>
                      <w:t> </w:t>
                    </w:r>
                  </w:p>
                </w:txbxContent>
              </v:textbox>
              <w10:wrap type="none"/>
            </v:shape>
            <v:shape style="position:absolute;left:1785;top:1843;width:270;height:121" type="#_x0000_t202" filled="false" stroked="false">
              <v:textbox inset="0,0,0,0">
                <w:txbxContent>
                  <w:p>
                    <w:pPr>
                      <w:spacing w:line="116" w:lineRule="exact" w:before="0"/>
                      <w:ind w:left="0" w:right="0" w:firstLine="0"/>
                      <w:jc w:val="left"/>
                      <w:rPr>
                        <w:sz w:val="12"/>
                      </w:rPr>
                    </w:pPr>
                    <w:r>
                      <w:rPr>
                        <w:w w:val="95"/>
                        <w:sz w:val="12"/>
                      </w:rPr>
                      <w:t>RPIY</w:t>
                    </w:r>
                  </w:p>
                </w:txbxContent>
              </v:textbox>
              <w10:wrap type="none"/>
            </v:shape>
            <w10:wrap type="none"/>
          </v:group>
        </w:pict>
      </w:r>
      <w:r>
        <w:rPr/>
        <w:pict>
          <v:line style="position:absolute;mso-position-horizontal-relative:page;mso-position-vertical-relative:paragraph;z-index:16307200" from="41.035pt,26.263189pt" to="45.368pt,26.263189pt" stroked="true" strokeweight=".5pt" strokecolor="#000000">
            <v:stroke dashstyle="solid"/>
            <w10:wrap type="none"/>
          </v:line>
        </w:pict>
      </w:r>
      <w:r>
        <w:rPr/>
        <w:pict>
          <v:line style="position:absolute;mso-position-horizontal-relative:page;mso-position-vertical-relative:paragraph;z-index:16307712" from="41.035pt,42.249191pt" to="45.368pt,42.249191pt" stroked="true" strokeweight=".5pt" strokecolor="#000000">
            <v:stroke dashstyle="solid"/>
            <w10:wrap type="none"/>
          </v:line>
        </w:pict>
      </w:r>
      <w:r>
        <w:rPr/>
        <w:pict>
          <v:line style="position:absolute;mso-position-horizontal-relative:page;mso-position-vertical-relative:paragraph;z-index:16308224" from="41.035pt,58.235191pt" to="45.368pt,58.235191pt" stroked="true" strokeweight=".5pt" strokecolor="#000000">
            <v:stroke dashstyle="solid"/>
            <w10:wrap type="none"/>
          </v:line>
        </w:pict>
      </w:r>
      <w:r>
        <w:rPr/>
        <w:pict>
          <v:line style="position:absolute;mso-position-horizontal-relative:page;mso-position-vertical-relative:paragraph;z-index:16308736" from="41.035pt,74.221191pt" to="45.368pt,74.221191pt" stroked="true" strokeweight=".5pt" strokecolor="#000000">
            <v:stroke dashstyle="solid"/>
            <w10:wrap type="none"/>
          </v:line>
        </w:pict>
      </w:r>
      <w:r>
        <w:rPr>
          <w:w w:val="110"/>
          <w:sz w:val="12"/>
        </w:rPr>
        <w:t>Percentage</w:t>
      </w:r>
      <w:r>
        <w:rPr>
          <w:spacing w:val="-7"/>
          <w:w w:val="110"/>
          <w:sz w:val="12"/>
        </w:rPr>
        <w:t> </w:t>
      </w:r>
      <w:r>
        <w:rPr>
          <w:w w:val="110"/>
          <w:sz w:val="12"/>
        </w:rPr>
        <w:t>changes</w:t>
      </w:r>
      <w:r>
        <w:rPr>
          <w:spacing w:val="-6"/>
          <w:w w:val="110"/>
          <w:sz w:val="12"/>
        </w:rPr>
        <w:t> </w:t>
      </w:r>
      <w:r>
        <w:rPr>
          <w:w w:val="110"/>
          <w:sz w:val="12"/>
        </w:rPr>
        <w:t>on</w:t>
      </w:r>
      <w:r>
        <w:rPr>
          <w:spacing w:val="-6"/>
          <w:w w:val="110"/>
          <w:sz w:val="12"/>
        </w:rPr>
        <w:t> </w:t>
      </w:r>
      <w:r>
        <w:rPr>
          <w:w w:val="110"/>
          <w:sz w:val="12"/>
        </w:rPr>
        <w:t>a</w:t>
      </w:r>
      <w:r>
        <w:rPr>
          <w:spacing w:val="-6"/>
          <w:w w:val="110"/>
          <w:sz w:val="12"/>
        </w:rPr>
        <w:t> </w:t>
      </w:r>
      <w:r>
        <w:rPr>
          <w:w w:val="110"/>
          <w:sz w:val="12"/>
        </w:rPr>
        <w:t>year</w:t>
      </w:r>
      <w:r>
        <w:rPr>
          <w:spacing w:val="-7"/>
          <w:w w:val="110"/>
          <w:sz w:val="12"/>
        </w:rPr>
        <w:t> </w:t>
      </w:r>
      <w:r>
        <w:rPr>
          <w:spacing w:val="-3"/>
          <w:w w:val="110"/>
          <w:sz w:val="12"/>
        </w:rPr>
        <w:t>earli</w:t>
      </w:r>
      <w:r>
        <w:rPr>
          <w:spacing w:val="-3"/>
          <w:w w:val="110"/>
          <w:sz w:val="12"/>
          <w:u w:val="single"/>
        </w:rPr>
        <w:t>er</w:t>
      </w:r>
    </w:p>
    <w:p>
      <w:pPr>
        <w:pStyle w:val="BodyText"/>
        <w:spacing w:line="20" w:lineRule="exact"/>
        <w:ind w:left="175"/>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1"/>
        </w:rPr>
      </w:pPr>
    </w:p>
    <w:p>
      <w:pPr>
        <w:tabs>
          <w:tab w:pos="3300" w:val="left" w:leader="none"/>
        </w:tabs>
        <w:spacing w:line="20" w:lineRule="exact"/>
        <w:ind w:left="175"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8"/>
        <w:rPr>
          <w:sz w:val="17"/>
        </w:rPr>
      </w:pPr>
    </w:p>
    <w:p>
      <w:pPr>
        <w:spacing w:line="112" w:lineRule="exact"/>
        <w:ind w:left="175" w:right="-72" w:firstLine="0"/>
        <w:rPr>
          <w:sz w:val="2"/>
        </w:rPr>
      </w:pPr>
      <w:r>
        <w:rPr>
          <w:position w:val="-1"/>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position w:val="-1"/>
          <w:sz w:val="2"/>
        </w:rPr>
      </w:r>
      <w:r>
        <w:rPr>
          <w:spacing w:val="28"/>
          <w:position w:val="-1"/>
          <w:sz w:val="10"/>
        </w:rPr>
        <w:t> </w:t>
      </w:r>
      <w:r>
        <w:rPr>
          <w:spacing w:val="28"/>
          <w:position w:val="-1"/>
          <w:sz w:val="10"/>
        </w:rPr>
        <w:pict>
          <v:group style="width:144.5pt;height:5.05pt;mso-position-horizontal-relative:char;mso-position-vertical-relative:line" coordorigin="0,0" coordsize="2890,101">
            <v:shape style="position:absolute;left:3;top:0;width:2886;height:96" coordorigin="4,0" coordsize="2886,96" path="m4,96l2889,96m5,0l5,96m592,0l592,96m1180,0l1180,96m1767,0l1767,96m2355,0l2355,96e" filled="false" stroked="true" strokeweight=".5pt" strokecolor="#000000">
              <v:path arrowok="t"/>
              <v:stroke dashstyle="solid"/>
            </v:shape>
          </v:group>
        </w:pict>
      </w:r>
      <w:r>
        <w:rPr>
          <w:spacing w:val="28"/>
          <w:position w:val="-1"/>
          <w:sz w:val="10"/>
        </w:rPr>
      </w:r>
      <w:r>
        <w:rPr>
          <w:spacing w:val="33"/>
          <w:position w:val="-1"/>
          <w:sz w:val="2"/>
        </w:rPr>
        <w:t> </w:t>
      </w:r>
      <w:r>
        <w:rPr>
          <w:spacing w:val="33"/>
          <w:position w:val="-1"/>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pacing w:val="33"/>
          <w:position w:val="-1"/>
          <w:sz w:val="2"/>
        </w:rPr>
      </w:r>
    </w:p>
    <w:p>
      <w:pPr>
        <w:tabs>
          <w:tab w:pos="1155" w:val="left" w:leader="none"/>
          <w:tab w:pos="1740" w:val="left" w:leader="none"/>
          <w:tab w:pos="2328" w:val="left" w:leader="none"/>
          <w:tab w:pos="2855" w:val="left" w:leader="none"/>
        </w:tabs>
        <w:spacing w:before="7"/>
        <w:ind w:left="508" w:right="0" w:firstLine="0"/>
        <w:jc w:val="left"/>
        <w:rPr>
          <w:sz w:val="12"/>
        </w:rPr>
      </w:pPr>
      <w:r>
        <w:rPr/>
        <w:pict>
          <v:line style="position:absolute;mso-position-horizontal-relative:page;mso-position-vertical-relative:paragraph;z-index:16309248" from="41.035pt,-64.199089pt" to="45.368pt,-64.199089pt" stroked="true" strokeweight=".5pt" strokecolor="#000000">
            <v:stroke dashstyle="solid"/>
            <w10:wrap type="none"/>
          </v:line>
        </w:pict>
      </w:r>
      <w:r>
        <w:rPr/>
        <w:pict>
          <v:line style="position:absolute;mso-position-horizontal-relative:page;mso-position-vertical-relative:paragraph;z-index:16309760" from="41.035pt,-48.214085pt" to="45.368pt,-48.214085pt" stroked="true" strokeweight=".5pt" strokecolor="#000000">
            <v:stroke dashstyle="solid"/>
            <w10:wrap type="none"/>
          </v:line>
        </w:pict>
      </w:r>
      <w:r>
        <w:rPr/>
        <w:pict>
          <v:line style="position:absolute;mso-position-horizontal-relative:page;mso-position-vertical-relative:paragraph;z-index:16310272" from="41.035pt,-32.228085pt" to="45.368pt,-32.228085pt" stroked="true" strokeweight=".5pt" strokecolor="#000000">
            <v:stroke dashstyle="solid"/>
            <w10:wrap type="none"/>
          </v:line>
        </w:pict>
      </w:r>
      <w:r>
        <w:rPr>
          <w:w w:val="120"/>
          <w:sz w:val="12"/>
        </w:rPr>
        <w:t>1996</w:t>
        <w:tab/>
        <w:t>97</w:t>
        <w:tab/>
        <w:t>98</w:t>
        <w:tab/>
        <w:t>99</w:t>
        <w:tab/>
        <w:t>2000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5"/>
        </w:rPr>
      </w:pPr>
    </w:p>
    <w:p>
      <w:pPr>
        <w:pStyle w:val="ListParagraph"/>
        <w:numPr>
          <w:ilvl w:val="1"/>
          <w:numId w:val="29"/>
        </w:numPr>
        <w:tabs>
          <w:tab w:pos="196" w:val="left" w:leader="none"/>
        </w:tabs>
        <w:spacing w:line="240" w:lineRule="auto" w:before="0" w:after="0"/>
        <w:ind w:left="195" w:right="0" w:hanging="174"/>
        <w:jc w:val="left"/>
        <w:rPr>
          <w:sz w:val="10"/>
        </w:rPr>
      </w:pPr>
    </w:p>
    <w:p>
      <w:pPr>
        <w:pStyle w:val="BodyText"/>
        <w:spacing w:before="9"/>
        <w:rPr>
          <w:sz w:val="15"/>
        </w:rPr>
      </w:pPr>
    </w:p>
    <w:p>
      <w:pPr>
        <w:spacing w:before="1"/>
        <w:ind w:left="22" w:right="0" w:firstLine="0"/>
        <w:jc w:val="left"/>
        <w:rPr>
          <w:sz w:val="12"/>
        </w:rPr>
      </w:pPr>
      <w:r>
        <w:rPr>
          <w:w w:val="115"/>
          <w:sz w:val="12"/>
        </w:rPr>
        <w:t>4.0</w:t>
      </w:r>
    </w:p>
    <w:p>
      <w:pPr>
        <w:pStyle w:val="BodyText"/>
        <w:spacing w:before="9"/>
        <w:rPr>
          <w:sz w:val="15"/>
        </w:rPr>
      </w:pPr>
    </w:p>
    <w:p>
      <w:pPr>
        <w:spacing w:before="0"/>
        <w:ind w:left="22" w:right="0" w:firstLine="0"/>
        <w:jc w:val="left"/>
        <w:rPr>
          <w:sz w:val="12"/>
        </w:rPr>
      </w:pPr>
      <w:r>
        <w:rPr>
          <w:w w:val="115"/>
          <w:sz w:val="12"/>
        </w:rPr>
        <w:t>3.5</w:t>
      </w:r>
    </w:p>
    <w:p>
      <w:pPr>
        <w:pStyle w:val="BodyText"/>
        <w:spacing w:before="9"/>
        <w:rPr>
          <w:sz w:val="15"/>
        </w:rPr>
      </w:pPr>
    </w:p>
    <w:p>
      <w:pPr>
        <w:spacing w:before="1"/>
        <w:ind w:left="22" w:right="0" w:firstLine="0"/>
        <w:jc w:val="left"/>
        <w:rPr>
          <w:sz w:val="12"/>
        </w:rPr>
      </w:pPr>
      <w:r>
        <w:rPr>
          <w:w w:val="115"/>
          <w:sz w:val="12"/>
        </w:rPr>
        <w:t>3.0</w:t>
      </w:r>
    </w:p>
    <w:p>
      <w:pPr>
        <w:pStyle w:val="BodyText"/>
        <w:spacing w:before="9"/>
        <w:rPr>
          <w:sz w:val="15"/>
        </w:rPr>
      </w:pPr>
    </w:p>
    <w:p>
      <w:pPr>
        <w:spacing w:before="0"/>
        <w:ind w:left="22" w:right="0" w:firstLine="0"/>
        <w:jc w:val="left"/>
        <w:rPr>
          <w:sz w:val="12"/>
        </w:rPr>
      </w:pPr>
      <w:r>
        <w:rPr>
          <w:w w:val="115"/>
          <w:sz w:val="12"/>
        </w:rPr>
        <w:t>2.5</w:t>
      </w:r>
    </w:p>
    <w:p>
      <w:pPr>
        <w:pStyle w:val="BodyText"/>
        <w:spacing w:before="10"/>
        <w:rPr>
          <w:sz w:val="15"/>
        </w:rPr>
      </w:pPr>
    </w:p>
    <w:p>
      <w:pPr>
        <w:spacing w:before="0"/>
        <w:ind w:left="22" w:right="0" w:firstLine="0"/>
        <w:jc w:val="left"/>
        <w:rPr>
          <w:sz w:val="12"/>
        </w:rPr>
      </w:pPr>
      <w:r>
        <w:rPr>
          <w:w w:val="115"/>
          <w:sz w:val="12"/>
        </w:rPr>
        <w:t>2.0</w:t>
      </w:r>
    </w:p>
    <w:p>
      <w:pPr>
        <w:pStyle w:val="BodyText"/>
        <w:spacing w:before="9"/>
        <w:rPr>
          <w:sz w:val="15"/>
        </w:rPr>
      </w:pPr>
    </w:p>
    <w:p>
      <w:pPr>
        <w:spacing w:before="0"/>
        <w:ind w:left="22" w:right="0" w:firstLine="0"/>
        <w:jc w:val="left"/>
        <w:rPr>
          <w:sz w:val="12"/>
        </w:rPr>
      </w:pPr>
      <w:r>
        <w:rPr>
          <w:w w:val="115"/>
          <w:sz w:val="12"/>
        </w:rPr>
        <w:t>1.5</w:t>
      </w:r>
    </w:p>
    <w:p>
      <w:pPr>
        <w:pStyle w:val="BodyText"/>
        <w:spacing w:before="10"/>
        <w:rPr>
          <w:sz w:val="15"/>
        </w:rPr>
      </w:pPr>
    </w:p>
    <w:p>
      <w:pPr>
        <w:spacing w:before="0"/>
        <w:ind w:left="22" w:right="0" w:firstLine="0"/>
        <w:jc w:val="left"/>
        <w:rPr>
          <w:sz w:val="12"/>
        </w:rPr>
      </w:pPr>
      <w:r>
        <w:rPr>
          <w:w w:val="115"/>
          <w:sz w:val="12"/>
        </w:rPr>
        <w:t>1.0</w:t>
      </w:r>
    </w:p>
    <w:p>
      <w:pPr>
        <w:pStyle w:val="BodyText"/>
        <w:spacing w:before="9"/>
        <w:rPr>
          <w:sz w:val="15"/>
        </w:rPr>
      </w:pPr>
    </w:p>
    <w:p>
      <w:pPr>
        <w:spacing w:before="0"/>
        <w:ind w:left="22" w:right="0" w:firstLine="0"/>
        <w:jc w:val="left"/>
        <w:rPr>
          <w:sz w:val="12"/>
        </w:rPr>
      </w:pPr>
      <w:r>
        <w:rPr>
          <w:w w:val="115"/>
          <w:sz w:val="12"/>
        </w:rPr>
        <w:t>0.5</w:t>
      </w:r>
    </w:p>
    <w:p>
      <w:pPr>
        <w:pStyle w:val="BodyText"/>
        <w:spacing w:before="10"/>
        <w:rPr>
          <w:sz w:val="15"/>
        </w:rPr>
      </w:pPr>
    </w:p>
    <w:p>
      <w:pPr>
        <w:spacing w:before="0"/>
        <w:ind w:left="22" w:right="0" w:firstLine="0"/>
        <w:jc w:val="left"/>
        <w:rPr>
          <w:sz w:val="12"/>
        </w:rPr>
      </w:pPr>
      <w:r>
        <w:rPr>
          <w:w w:val="115"/>
          <w:sz w:val="12"/>
        </w:rPr>
        <w:t>0.0</w:t>
      </w:r>
    </w:p>
    <w:p>
      <w:pPr>
        <w:pStyle w:val="BodyText"/>
        <w:spacing w:line="292" w:lineRule="auto" w:before="64"/>
        <w:ind w:left="305" w:right="184"/>
      </w:pPr>
      <w:r>
        <w:rPr/>
        <w:br w:type="column"/>
      </w:r>
      <w:r>
        <w:rPr>
          <w:w w:val="105"/>
        </w:rPr>
        <w:t>Output price inflation in the service sector shows some signs  of rising (see </w:t>
      </w:r>
      <w:r>
        <w:rPr>
          <w:spacing w:val="-5"/>
          <w:w w:val="105"/>
        </w:rPr>
        <w:t>Table </w:t>
      </w:r>
      <w:r>
        <w:rPr>
          <w:w w:val="105"/>
        </w:rPr>
        <w:t>4.B). The annual </w:t>
      </w:r>
      <w:r>
        <w:rPr>
          <w:spacing w:val="-4"/>
          <w:w w:val="105"/>
        </w:rPr>
        <w:t>rate </w:t>
      </w:r>
      <w:r>
        <w:rPr>
          <w:w w:val="105"/>
        </w:rPr>
        <w:t>of increase of the ONS </w:t>
      </w:r>
      <w:r>
        <w:rPr>
          <w:spacing w:val="-3"/>
          <w:w w:val="105"/>
        </w:rPr>
        <w:t>prototype </w:t>
      </w:r>
      <w:r>
        <w:rPr>
          <w:w w:val="105"/>
        </w:rPr>
        <w:t>Corporate Services Price Index (CSPI) rose from 4.1% in Q2 </w:t>
      </w:r>
      <w:r>
        <w:rPr>
          <w:spacing w:val="-4"/>
          <w:w w:val="105"/>
        </w:rPr>
        <w:t>to </w:t>
      </w:r>
      <w:r>
        <w:rPr>
          <w:w w:val="105"/>
        </w:rPr>
        <w:t>4.4% in Q3, the strongest </w:t>
      </w:r>
      <w:r>
        <w:rPr>
          <w:spacing w:val="-4"/>
          <w:w w:val="105"/>
        </w:rPr>
        <w:t>rate </w:t>
      </w:r>
      <w:r>
        <w:rPr>
          <w:w w:val="105"/>
        </w:rPr>
        <w:t>in the   series’ </w:t>
      </w:r>
      <w:r>
        <w:rPr>
          <w:spacing w:val="-3"/>
          <w:w w:val="105"/>
        </w:rPr>
        <w:t>five-year </w:t>
      </w:r>
      <w:r>
        <w:rPr>
          <w:spacing w:val="-4"/>
          <w:w w:val="105"/>
        </w:rPr>
        <w:t>history. </w:t>
      </w:r>
      <w:r>
        <w:rPr>
          <w:spacing w:val="-3"/>
          <w:w w:val="105"/>
        </w:rPr>
        <w:t>Similarly, </w:t>
      </w:r>
      <w:r>
        <w:rPr>
          <w:w w:val="105"/>
        </w:rPr>
        <w:t>the Q4 BCC </w:t>
      </w:r>
      <w:r>
        <w:rPr>
          <w:spacing w:val="-3"/>
          <w:w w:val="105"/>
        </w:rPr>
        <w:t>survey </w:t>
      </w:r>
      <w:r>
        <w:rPr>
          <w:w w:val="105"/>
        </w:rPr>
        <w:t>reported the highest proportion of firms expecting </w:t>
      </w:r>
      <w:r>
        <w:rPr>
          <w:spacing w:val="-4"/>
          <w:w w:val="105"/>
        </w:rPr>
        <w:t>to </w:t>
      </w:r>
      <w:r>
        <w:rPr>
          <w:w w:val="105"/>
        </w:rPr>
        <w:t>raise prices in the series’ </w:t>
      </w:r>
      <w:r>
        <w:rPr>
          <w:spacing w:val="-6"/>
          <w:w w:val="105"/>
        </w:rPr>
        <w:t>four-year </w:t>
      </w:r>
      <w:r>
        <w:rPr>
          <w:spacing w:val="-4"/>
          <w:w w:val="105"/>
        </w:rPr>
        <w:t>history. </w:t>
      </w:r>
      <w:r>
        <w:rPr>
          <w:w w:val="105"/>
        </w:rPr>
        <w:t>And a significant proportion of respondents continued </w:t>
      </w:r>
      <w:r>
        <w:rPr>
          <w:spacing w:val="-4"/>
          <w:w w:val="105"/>
        </w:rPr>
        <w:t>to </w:t>
      </w:r>
      <w:r>
        <w:rPr>
          <w:w w:val="105"/>
        </w:rPr>
        <w:t>expect their </w:t>
      </w:r>
      <w:r>
        <w:rPr>
          <w:spacing w:val="-3"/>
          <w:w w:val="105"/>
        </w:rPr>
        <w:t>profitability </w:t>
      </w:r>
      <w:r>
        <w:rPr>
          <w:spacing w:val="-4"/>
          <w:w w:val="105"/>
        </w:rPr>
        <w:t>to </w:t>
      </w:r>
      <w:r>
        <w:rPr>
          <w:w w:val="105"/>
        </w:rPr>
        <w:t>rise </w:t>
      </w:r>
      <w:r>
        <w:rPr>
          <w:spacing w:val="-3"/>
          <w:w w:val="105"/>
        </w:rPr>
        <w:t>over </w:t>
      </w:r>
      <w:r>
        <w:rPr>
          <w:w w:val="105"/>
        </w:rPr>
        <w:t>the next </w:t>
      </w:r>
      <w:r>
        <w:rPr>
          <w:spacing w:val="-4"/>
          <w:w w:val="105"/>
        </w:rPr>
        <w:t>year. </w:t>
      </w:r>
      <w:r>
        <w:rPr>
          <w:w w:val="105"/>
        </w:rPr>
        <w:t>But, working in the opposite direction, the proportion of respondents citing competitive </w:t>
      </w:r>
      <w:r>
        <w:rPr>
          <w:spacing w:val="-3"/>
          <w:w w:val="105"/>
        </w:rPr>
        <w:t>pressures </w:t>
      </w:r>
      <w:r>
        <w:rPr>
          <w:w w:val="105"/>
        </w:rPr>
        <w:t>as a concern rose </w:t>
      </w:r>
      <w:r>
        <w:rPr>
          <w:spacing w:val="-4"/>
          <w:w w:val="105"/>
        </w:rPr>
        <w:t>to </w:t>
      </w:r>
      <w:r>
        <w:rPr>
          <w:w w:val="105"/>
        </w:rPr>
        <w:t>its highest </w:t>
      </w:r>
      <w:r>
        <w:rPr>
          <w:spacing w:val="-3"/>
          <w:w w:val="105"/>
        </w:rPr>
        <w:t>level </w:t>
      </w:r>
      <w:r>
        <w:rPr>
          <w:w w:val="105"/>
        </w:rPr>
        <w:t>for </w:t>
      </w:r>
      <w:r>
        <w:rPr>
          <w:spacing w:val="-17"/>
          <w:w w:val="105"/>
        </w:rPr>
        <w:t>18 </w:t>
      </w:r>
      <w:r>
        <w:rPr>
          <w:w w:val="105"/>
        </w:rPr>
        <w:t>months (although that proportion </w:t>
      </w:r>
      <w:r>
        <w:rPr>
          <w:spacing w:val="-3"/>
          <w:w w:val="105"/>
        </w:rPr>
        <w:t>was </w:t>
      </w:r>
      <w:r>
        <w:rPr>
          <w:w w:val="105"/>
        </w:rPr>
        <w:t>significantly </w:t>
      </w:r>
      <w:r>
        <w:rPr>
          <w:spacing w:val="-3"/>
          <w:w w:val="105"/>
        </w:rPr>
        <w:t>lower </w:t>
      </w:r>
      <w:r>
        <w:rPr>
          <w:w w:val="105"/>
        </w:rPr>
        <w:t>than in</w:t>
      </w:r>
      <w:r>
        <w:rPr>
          <w:spacing w:val="18"/>
          <w:w w:val="105"/>
        </w:rPr>
        <w:t> </w:t>
      </w:r>
      <w:r>
        <w:rPr>
          <w:w w:val="105"/>
        </w:rPr>
        <w:t>manufacturing).</w:t>
      </w:r>
    </w:p>
    <w:p>
      <w:pPr>
        <w:pStyle w:val="BodyText"/>
        <w:spacing w:line="292" w:lineRule="auto"/>
        <w:ind w:left="305" w:right="33"/>
      </w:pPr>
      <w:r>
        <w:rPr>
          <w:w w:val="110"/>
        </w:rPr>
        <w:t>The CIPS </w:t>
      </w:r>
      <w:r>
        <w:rPr>
          <w:spacing w:val="-3"/>
          <w:w w:val="110"/>
        </w:rPr>
        <w:t>survey </w:t>
      </w:r>
      <w:r>
        <w:rPr>
          <w:w w:val="110"/>
        </w:rPr>
        <w:t>also provides mixed signals on the trend in service sector prices—the balance of firms reporting price increases</w:t>
      </w:r>
      <w:r>
        <w:rPr>
          <w:spacing w:val="-15"/>
          <w:w w:val="110"/>
        </w:rPr>
        <w:t> </w:t>
      </w:r>
      <w:r>
        <w:rPr>
          <w:w w:val="110"/>
        </w:rPr>
        <w:t>rose</w:t>
      </w:r>
      <w:r>
        <w:rPr>
          <w:spacing w:val="-15"/>
          <w:w w:val="110"/>
        </w:rPr>
        <w:t> </w:t>
      </w:r>
      <w:r>
        <w:rPr>
          <w:spacing w:val="-4"/>
          <w:w w:val="110"/>
        </w:rPr>
        <w:t>to</w:t>
      </w:r>
      <w:r>
        <w:rPr>
          <w:spacing w:val="-15"/>
          <w:w w:val="110"/>
        </w:rPr>
        <w:t> </w:t>
      </w:r>
      <w:r>
        <w:rPr>
          <w:w w:val="110"/>
        </w:rPr>
        <w:t>the</w:t>
      </w:r>
      <w:r>
        <w:rPr>
          <w:spacing w:val="-14"/>
          <w:w w:val="110"/>
        </w:rPr>
        <w:t> </w:t>
      </w:r>
      <w:r>
        <w:rPr>
          <w:w w:val="110"/>
        </w:rPr>
        <w:t>highest</w:t>
      </w:r>
      <w:r>
        <w:rPr>
          <w:spacing w:val="-15"/>
          <w:w w:val="110"/>
        </w:rPr>
        <w:t> </w:t>
      </w:r>
      <w:r>
        <w:rPr>
          <w:spacing w:val="-3"/>
          <w:w w:val="110"/>
        </w:rPr>
        <w:t>level</w:t>
      </w:r>
      <w:r>
        <w:rPr>
          <w:spacing w:val="-15"/>
          <w:w w:val="110"/>
        </w:rPr>
        <w:t> </w:t>
      </w:r>
      <w:r>
        <w:rPr>
          <w:w w:val="110"/>
        </w:rPr>
        <w:t>in</w:t>
      </w:r>
      <w:r>
        <w:rPr>
          <w:spacing w:val="-15"/>
          <w:w w:val="110"/>
        </w:rPr>
        <w:t> </w:t>
      </w:r>
      <w:r>
        <w:rPr>
          <w:w w:val="110"/>
        </w:rPr>
        <w:t>its</w:t>
      </w:r>
      <w:r>
        <w:rPr>
          <w:spacing w:val="-14"/>
          <w:w w:val="110"/>
        </w:rPr>
        <w:t> </w:t>
      </w:r>
      <w:r>
        <w:rPr>
          <w:spacing w:val="-6"/>
          <w:w w:val="110"/>
        </w:rPr>
        <w:t>four-year</w:t>
      </w:r>
      <w:r>
        <w:rPr>
          <w:spacing w:val="-15"/>
          <w:w w:val="110"/>
        </w:rPr>
        <w:t> </w:t>
      </w:r>
      <w:r>
        <w:rPr>
          <w:w w:val="110"/>
        </w:rPr>
        <w:t>history</w:t>
      </w:r>
      <w:r>
        <w:rPr>
          <w:spacing w:val="-15"/>
          <w:w w:val="110"/>
        </w:rPr>
        <w:t> </w:t>
      </w:r>
      <w:r>
        <w:rPr>
          <w:w w:val="110"/>
        </w:rPr>
        <w:t>in</w:t>
      </w:r>
      <w:r>
        <w:rPr>
          <w:spacing w:val="-14"/>
          <w:w w:val="110"/>
        </w:rPr>
        <w:t> </w:t>
      </w:r>
      <w:r>
        <w:rPr>
          <w:w w:val="110"/>
        </w:rPr>
        <w:t>Q4, but</w:t>
      </w:r>
      <w:r>
        <w:rPr>
          <w:spacing w:val="-17"/>
          <w:w w:val="110"/>
        </w:rPr>
        <w:t> </w:t>
      </w:r>
      <w:r>
        <w:rPr>
          <w:w w:val="110"/>
        </w:rPr>
        <w:t>edged</w:t>
      </w:r>
      <w:r>
        <w:rPr>
          <w:spacing w:val="-16"/>
          <w:w w:val="110"/>
        </w:rPr>
        <w:t> </w:t>
      </w:r>
      <w:r>
        <w:rPr>
          <w:w w:val="110"/>
        </w:rPr>
        <w:t>down</w:t>
      </w:r>
      <w:r>
        <w:rPr>
          <w:spacing w:val="-16"/>
          <w:w w:val="110"/>
        </w:rPr>
        <w:t> </w:t>
      </w:r>
      <w:r>
        <w:rPr>
          <w:w w:val="110"/>
        </w:rPr>
        <w:t>in</w:t>
      </w:r>
      <w:r>
        <w:rPr>
          <w:spacing w:val="-16"/>
          <w:w w:val="110"/>
        </w:rPr>
        <w:t> </w:t>
      </w:r>
      <w:r>
        <w:rPr>
          <w:w w:val="110"/>
        </w:rPr>
        <w:t>December</w:t>
      </w:r>
      <w:r>
        <w:rPr>
          <w:spacing w:val="-16"/>
          <w:w w:val="110"/>
        </w:rPr>
        <w:t> </w:t>
      </w:r>
      <w:r>
        <w:rPr>
          <w:w w:val="110"/>
        </w:rPr>
        <w:t>and</w:t>
      </w:r>
      <w:r>
        <w:rPr>
          <w:spacing w:val="-17"/>
          <w:w w:val="110"/>
        </w:rPr>
        <w:t> </w:t>
      </w:r>
      <w:r>
        <w:rPr>
          <w:spacing w:val="-3"/>
          <w:w w:val="110"/>
        </w:rPr>
        <w:t>January.</w:t>
      </w:r>
      <w:r>
        <w:rPr>
          <w:spacing w:val="24"/>
          <w:w w:val="110"/>
        </w:rPr>
        <w:t> </w:t>
      </w:r>
      <w:r>
        <w:rPr>
          <w:spacing w:val="-3"/>
          <w:w w:val="110"/>
        </w:rPr>
        <w:t>Moreover,</w:t>
      </w:r>
      <w:r>
        <w:rPr>
          <w:spacing w:val="-16"/>
          <w:w w:val="110"/>
        </w:rPr>
        <w:t> </w:t>
      </w:r>
      <w:r>
        <w:rPr>
          <w:w w:val="110"/>
        </w:rPr>
        <w:t>the</w:t>
      </w:r>
      <w:r>
        <w:rPr>
          <w:spacing w:val="-16"/>
          <w:w w:val="110"/>
        </w:rPr>
        <w:t> </w:t>
      </w:r>
      <w:r>
        <w:rPr>
          <w:w w:val="110"/>
        </w:rPr>
        <w:t>Dun &amp; Bradstreet </w:t>
      </w:r>
      <w:r>
        <w:rPr>
          <w:spacing w:val="-3"/>
          <w:w w:val="110"/>
        </w:rPr>
        <w:t>survey </w:t>
      </w:r>
      <w:r>
        <w:rPr>
          <w:w w:val="110"/>
        </w:rPr>
        <w:t>balances of </w:t>
      </w:r>
      <w:r>
        <w:rPr>
          <w:spacing w:val="-3"/>
          <w:w w:val="110"/>
        </w:rPr>
        <w:t>expected </w:t>
      </w:r>
      <w:r>
        <w:rPr>
          <w:w w:val="110"/>
        </w:rPr>
        <w:t>prices and profits declined in </w:t>
      </w:r>
      <w:r>
        <w:rPr>
          <w:spacing w:val="-11"/>
          <w:w w:val="110"/>
        </w:rPr>
        <w:t>2001</w:t>
      </w:r>
      <w:r>
        <w:rPr>
          <w:spacing w:val="-14"/>
          <w:w w:val="110"/>
        </w:rPr>
        <w:t> </w:t>
      </w:r>
      <w:r>
        <w:rPr>
          <w:w w:val="110"/>
        </w:rPr>
        <w:t>Q1.</w:t>
      </w:r>
    </w:p>
    <w:p>
      <w:pPr>
        <w:pStyle w:val="Heading3"/>
        <w:numPr>
          <w:ilvl w:val="1"/>
          <w:numId w:val="32"/>
        </w:numPr>
        <w:tabs>
          <w:tab w:pos="785" w:val="left" w:leader="none"/>
          <w:tab w:pos="786" w:val="left" w:leader="none"/>
          <w:tab w:pos="5705" w:val="left" w:leader="none"/>
        </w:tabs>
        <w:spacing w:line="240" w:lineRule="auto" w:before="173" w:after="0"/>
        <w:ind w:left="785" w:right="0" w:hanging="601"/>
        <w:jc w:val="left"/>
        <w:rPr>
          <w:u w:val="none"/>
        </w:rPr>
      </w:pPr>
      <w:r>
        <w:rPr>
          <w:color w:val="89C6DC"/>
          <w:w w:val="90"/>
          <w:u w:val="single" w:color="006CB4"/>
        </w:rPr>
        <w:t>Retail</w:t>
      </w:r>
      <w:r>
        <w:rPr>
          <w:color w:val="89C6DC"/>
          <w:spacing w:val="-12"/>
          <w:w w:val="90"/>
          <w:u w:val="single" w:color="006CB4"/>
        </w:rPr>
        <w:t> </w:t>
      </w:r>
      <w:r>
        <w:rPr>
          <w:color w:val="89C6DC"/>
          <w:w w:val="90"/>
          <w:u w:val="single" w:color="006CB4"/>
        </w:rPr>
        <w:t>prices</w:t>
      </w:r>
      <w:r>
        <w:rPr>
          <w:color w:val="89C6DC"/>
          <w:u w:val="single" w:color="006CB4"/>
        </w:rPr>
        <w:tab/>
      </w:r>
    </w:p>
    <w:p>
      <w:pPr>
        <w:pStyle w:val="BodyText"/>
        <w:spacing w:before="9"/>
        <w:rPr>
          <w:rFonts w:ascii="Trebuchet MS"/>
          <w:b/>
          <w:sz w:val="26"/>
        </w:rPr>
      </w:pPr>
    </w:p>
    <w:p>
      <w:pPr>
        <w:pStyle w:val="BodyText"/>
        <w:spacing w:line="292" w:lineRule="auto"/>
        <w:ind w:left="305" w:right="185"/>
      </w:pPr>
      <w:r>
        <w:rPr>
          <w:w w:val="105"/>
        </w:rPr>
        <w:t>Annual RPIX inflation remains below the </w:t>
      </w:r>
      <w:r>
        <w:rPr>
          <w:spacing w:val="-3"/>
          <w:w w:val="105"/>
        </w:rPr>
        <w:t>Government’s </w:t>
      </w:r>
      <w:r>
        <w:rPr>
          <w:w w:val="105"/>
        </w:rPr>
        <w:t>2</w:t>
      </w:r>
      <w:r>
        <w:rPr>
          <w:w w:val="105"/>
          <w:position w:val="7"/>
          <w:sz w:val="10"/>
        </w:rPr>
        <w:t>1</w:t>
      </w:r>
      <w:r>
        <w:rPr>
          <w:w w:val="105"/>
        </w:rPr>
        <w:t>/</w:t>
      </w:r>
      <w:r>
        <w:rPr>
          <w:w w:val="105"/>
          <w:position w:val="1"/>
          <w:sz w:val="10"/>
        </w:rPr>
        <w:t>2</w:t>
      </w:r>
      <w:r>
        <w:rPr>
          <w:w w:val="105"/>
        </w:rPr>
        <w:t>% target. The 2.1% rise recorded in Q4 (see Chart 4.9) </w:t>
      </w:r>
      <w:r>
        <w:rPr>
          <w:spacing w:val="-3"/>
          <w:w w:val="105"/>
        </w:rPr>
        <w:t>was </w:t>
      </w:r>
      <w:r>
        <w:rPr>
          <w:w w:val="105"/>
        </w:rPr>
        <w:t>the same as in the previous three quarters but </w:t>
      </w:r>
      <w:r>
        <w:rPr>
          <w:spacing w:val="-3"/>
          <w:w w:val="105"/>
        </w:rPr>
        <w:t>lower </w:t>
      </w:r>
      <w:r>
        <w:rPr>
          <w:w w:val="105"/>
        </w:rPr>
        <w:t>than </w:t>
      </w:r>
      <w:r>
        <w:rPr>
          <w:spacing w:val="-3"/>
          <w:w w:val="105"/>
        </w:rPr>
        <w:t>expected </w:t>
      </w:r>
      <w:r>
        <w:rPr>
          <w:w w:val="105"/>
        </w:rPr>
        <w:t>at the time of the November </w:t>
      </w:r>
      <w:r>
        <w:rPr>
          <w:i/>
          <w:w w:val="105"/>
        </w:rPr>
        <w:t>Inflation Report</w:t>
      </w:r>
      <w:r>
        <w:rPr>
          <w:w w:val="105"/>
        </w:rPr>
        <w:t>. This news </w:t>
      </w:r>
      <w:r>
        <w:rPr>
          <w:spacing w:val="-3"/>
          <w:w w:val="105"/>
        </w:rPr>
        <w:t>was </w:t>
      </w:r>
      <w:r>
        <w:rPr>
          <w:w w:val="105"/>
        </w:rPr>
        <w:t>one of the </w:t>
      </w:r>
      <w:r>
        <w:rPr>
          <w:spacing w:val="-3"/>
          <w:w w:val="105"/>
        </w:rPr>
        <w:t>factors </w:t>
      </w:r>
      <w:r>
        <w:rPr>
          <w:w w:val="105"/>
        </w:rPr>
        <w:t>leading </w:t>
      </w:r>
      <w:r>
        <w:rPr>
          <w:spacing w:val="-4"/>
          <w:w w:val="105"/>
        </w:rPr>
        <w:t>to </w:t>
      </w:r>
      <w:r>
        <w:rPr>
          <w:w w:val="105"/>
        </w:rPr>
        <w:t>a </w:t>
      </w:r>
      <w:r>
        <w:rPr>
          <w:spacing w:val="-3"/>
          <w:w w:val="105"/>
        </w:rPr>
        <w:t>downward </w:t>
      </w:r>
      <w:r>
        <w:rPr>
          <w:w w:val="105"/>
        </w:rPr>
        <w:t>revision </w:t>
      </w:r>
      <w:r>
        <w:rPr>
          <w:spacing w:val="-4"/>
          <w:w w:val="105"/>
        </w:rPr>
        <w:t>to </w:t>
      </w:r>
      <w:r>
        <w:rPr>
          <w:w w:val="105"/>
        </w:rPr>
        <w:t>the projection for RPIX inflation. Section 6 discusses this in more detail.</w:t>
      </w:r>
    </w:p>
    <w:p>
      <w:pPr>
        <w:spacing w:after="0" w:line="292" w:lineRule="auto"/>
        <w:sectPr>
          <w:type w:val="continuous"/>
          <w:pgSz w:w="11900" w:h="16840"/>
          <w:pgMar w:top="1260" w:bottom="280" w:left="640" w:right="640"/>
          <w:cols w:num="3" w:equalWidth="0">
            <w:col w:w="3392" w:space="40"/>
            <w:col w:w="235" w:space="1128"/>
            <w:col w:w="5825"/>
          </w:cols>
        </w:sectPr>
      </w:pPr>
    </w:p>
    <w:p>
      <w:pPr>
        <w:spacing w:line="208" w:lineRule="auto" w:before="105"/>
        <w:ind w:left="187" w:right="0" w:firstLine="0"/>
        <w:jc w:val="left"/>
        <w:rPr>
          <w:sz w:val="12"/>
        </w:rPr>
      </w:pPr>
      <w:r>
        <w:rPr>
          <w:w w:val="105"/>
          <w:sz w:val="12"/>
        </w:rPr>
        <w:t>RPIX = Retail price index excluding mortgage interest payments. RPIY</w:t>
      </w:r>
      <w:r>
        <w:rPr>
          <w:spacing w:val="-15"/>
          <w:w w:val="105"/>
          <w:sz w:val="12"/>
        </w:rPr>
        <w:t> </w:t>
      </w:r>
      <w:r>
        <w:rPr>
          <w:w w:val="105"/>
          <w:sz w:val="12"/>
        </w:rPr>
        <w:t>=</w:t>
      </w:r>
      <w:r>
        <w:rPr>
          <w:spacing w:val="-15"/>
          <w:w w:val="105"/>
          <w:sz w:val="12"/>
        </w:rPr>
        <w:t> </w:t>
      </w:r>
      <w:r>
        <w:rPr>
          <w:w w:val="105"/>
          <w:sz w:val="12"/>
        </w:rPr>
        <w:t>RPIX</w:t>
      </w:r>
      <w:r>
        <w:rPr>
          <w:spacing w:val="-14"/>
          <w:w w:val="105"/>
          <w:sz w:val="12"/>
        </w:rPr>
        <w:t> </w:t>
      </w:r>
      <w:r>
        <w:rPr>
          <w:w w:val="105"/>
          <w:sz w:val="12"/>
        </w:rPr>
        <w:t>excluding</w:t>
      </w:r>
      <w:r>
        <w:rPr>
          <w:spacing w:val="-15"/>
          <w:w w:val="105"/>
          <w:sz w:val="12"/>
        </w:rPr>
        <w:t> </w:t>
      </w:r>
      <w:r>
        <w:rPr>
          <w:spacing w:val="-6"/>
          <w:w w:val="105"/>
          <w:sz w:val="12"/>
        </w:rPr>
        <w:t>VAT,</w:t>
      </w:r>
      <w:r>
        <w:rPr>
          <w:spacing w:val="-14"/>
          <w:w w:val="105"/>
          <w:sz w:val="12"/>
        </w:rPr>
        <w:t> </w:t>
      </w:r>
      <w:r>
        <w:rPr>
          <w:w w:val="105"/>
          <w:sz w:val="12"/>
        </w:rPr>
        <w:t>local</w:t>
      </w:r>
      <w:r>
        <w:rPr>
          <w:spacing w:val="-15"/>
          <w:w w:val="105"/>
          <w:sz w:val="12"/>
        </w:rPr>
        <w:t> </w:t>
      </w:r>
      <w:r>
        <w:rPr>
          <w:w w:val="105"/>
          <w:sz w:val="12"/>
        </w:rPr>
        <w:t>authorities’</w:t>
      </w:r>
      <w:r>
        <w:rPr>
          <w:spacing w:val="-15"/>
          <w:w w:val="105"/>
          <w:sz w:val="12"/>
        </w:rPr>
        <w:t> </w:t>
      </w:r>
      <w:r>
        <w:rPr>
          <w:w w:val="105"/>
          <w:sz w:val="12"/>
        </w:rPr>
        <w:t>taxes</w:t>
      </w:r>
      <w:r>
        <w:rPr>
          <w:spacing w:val="-14"/>
          <w:w w:val="105"/>
          <w:sz w:val="12"/>
        </w:rPr>
        <w:t> </w:t>
      </w:r>
      <w:r>
        <w:rPr>
          <w:w w:val="105"/>
          <w:sz w:val="12"/>
        </w:rPr>
        <w:t>and</w:t>
      </w:r>
      <w:r>
        <w:rPr>
          <w:spacing w:val="-15"/>
          <w:w w:val="105"/>
          <w:sz w:val="12"/>
        </w:rPr>
        <w:t> </w:t>
      </w:r>
      <w:r>
        <w:rPr>
          <w:w w:val="105"/>
          <w:sz w:val="12"/>
        </w:rPr>
        <w:t>excise</w:t>
      </w:r>
      <w:r>
        <w:rPr>
          <w:spacing w:val="-14"/>
          <w:w w:val="105"/>
          <w:sz w:val="12"/>
        </w:rPr>
        <w:t> </w:t>
      </w:r>
      <w:r>
        <w:rPr>
          <w:w w:val="105"/>
          <w:sz w:val="12"/>
        </w:rPr>
        <w:t>duties.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7"/>
        </w:rPr>
      </w:pPr>
    </w:p>
    <w:p>
      <w:pPr>
        <w:pStyle w:val="Heading6"/>
        <w:ind w:left="195"/>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4.10</w:t>
      </w:r>
    </w:p>
    <w:p>
      <w:pPr>
        <w:spacing w:line="247" w:lineRule="auto" w:before="8"/>
        <w:ind w:left="195" w:right="302" w:firstLine="0"/>
        <w:jc w:val="left"/>
        <w:rPr>
          <w:rFonts w:ascii="Trebuchet MS"/>
          <w:b/>
          <w:sz w:val="20"/>
        </w:rPr>
      </w:pPr>
      <w:r>
        <w:rPr>
          <w:rFonts w:ascii="Trebuchet MS"/>
          <w:b/>
          <w:color w:val="89C6DC"/>
          <w:w w:val="95"/>
          <w:sz w:val="20"/>
        </w:rPr>
        <w:t>Selected</w:t>
      </w:r>
      <w:r>
        <w:rPr>
          <w:rFonts w:ascii="Trebuchet MS"/>
          <w:b/>
          <w:color w:val="89C6DC"/>
          <w:spacing w:val="-33"/>
          <w:w w:val="95"/>
          <w:sz w:val="20"/>
        </w:rPr>
        <w:t> </w:t>
      </w:r>
      <w:r>
        <w:rPr>
          <w:rFonts w:ascii="Trebuchet MS"/>
          <w:b/>
          <w:color w:val="89C6DC"/>
          <w:w w:val="95"/>
          <w:sz w:val="20"/>
        </w:rPr>
        <w:t>contributions</w:t>
      </w:r>
      <w:r>
        <w:rPr>
          <w:rFonts w:ascii="Trebuchet MS"/>
          <w:b/>
          <w:color w:val="89C6DC"/>
          <w:spacing w:val="-32"/>
          <w:w w:val="95"/>
          <w:sz w:val="20"/>
        </w:rPr>
        <w:t> </w:t>
      </w:r>
      <w:r>
        <w:rPr>
          <w:rFonts w:ascii="Trebuchet MS"/>
          <w:b/>
          <w:color w:val="89C6DC"/>
          <w:w w:val="95"/>
          <w:sz w:val="20"/>
        </w:rPr>
        <w:t>to</w:t>
      </w:r>
      <w:r>
        <w:rPr>
          <w:rFonts w:ascii="Trebuchet MS"/>
          <w:b/>
          <w:color w:val="89C6DC"/>
          <w:spacing w:val="-33"/>
          <w:w w:val="95"/>
          <w:sz w:val="20"/>
        </w:rPr>
        <w:t> </w:t>
      </w:r>
      <w:r>
        <w:rPr>
          <w:rFonts w:ascii="Trebuchet MS"/>
          <w:b/>
          <w:color w:val="89C6DC"/>
          <w:w w:val="95"/>
          <w:sz w:val="20"/>
        </w:rPr>
        <w:t>annual</w:t>
      </w:r>
      <w:r>
        <w:rPr>
          <w:rFonts w:ascii="Trebuchet MS"/>
          <w:b/>
          <w:color w:val="89C6DC"/>
          <w:spacing w:val="-32"/>
          <w:w w:val="95"/>
          <w:sz w:val="20"/>
        </w:rPr>
        <w:t> </w:t>
      </w:r>
      <w:r>
        <w:rPr>
          <w:rFonts w:ascii="Trebuchet MS"/>
          <w:b/>
          <w:color w:val="89C6DC"/>
          <w:w w:val="95"/>
          <w:sz w:val="20"/>
        </w:rPr>
        <w:t>RPIX </w:t>
      </w:r>
      <w:r>
        <w:rPr>
          <w:rFonts w:ascii="Trebuchet MS"/>
          <w:b/>
          <w:color w:val="89C6DC"/>
          <w:sz w:val="20"/>
        </w:rPr>
        <w:t>inflation</w:t>
      </w:r>
    </w:p>
    <w:p>
      <w:pPr>
        <w:spacing w:before="22"/>
        <w:ind w:left="2478" w:right="0" w:firstLine="0"/>
        <w:jc w:val="left"/>
        <w:rPr>
          <w:sz w:val="12"/>
        </w:rPr>
      </w:pPr>
      <w:r>
        <w:rPr/>
        <w:pict>
          <v:group style="position:absolute;margin-left:49.805pt;margin-top:14.825079pt;width:161pt;height:120.5pt;mso-position-horizontal-relative:page;mso-position-vertical-relative:paragraph;z-index:16315904" coordorigin="996,297" coordsize="3220,2410">
            <v:shape style="position:absolute;left:1006;top:1609;width:168;height:188" coordorigin="1006,1609" coordsize="168,188" path="m1006,1797l1091,1709m1091,1709l1174,1609e" filled="false" stroked="true" strokeweight="1pt" strokecolor="#44af34">
              <v:path arrowok="t"/>
              <v:stroke dashstyle="solid"/>
            </v:shape>
            <v:line style="position:absolute" from="1164,1610" to="1269,1610" stroked="true" strokeweight="1.125pt" strokecolor="#44af34">
              <v:stroke dashstyle="solid"/>
            </v:line>
            <v:shape style="position:absolute;left:1258;top:1391;width:495;height:390" coordorigin="1259,1392" coordsize="495,390" path="m1259,1609l1334,1392m1334,1392l1419,1724m1419,1724l1501,1782m1501,1782l1586,1522m1586,1522l1669,1609m1669,1609l1754,1567e" filled="false" stroked="true" strokeweight="1pt" strokecolor="#44af34">
              <v:path arrowok="t"/>
              <v:stroke dashstyle="solid"/>
            </v:shape>
            <v:line style="position:absolute" from="1744,1568" to="1846,1568" stroked="true" strokeweight="1.125pt" strokecolor="#44af34">
              <v:stroke dashstyle="solid"/>
            </v:line>
            <v:shape style="position:absolute;left:1836;top:1391;width:820;height:868" coordorigin="1836,1392" coordsize="820,868" path="m1836,1567l1911,1392m1911,1392l1996,1434m1996,1434l2079,1392m2079,1392l2164,1494m2164,1494l2246,1667m2246,1667l2331,1827m2331,1827l2414,1884m2414,1884l2489,1927m2489,1927l2574,2259m2574,2259l2656,2057e" filled="false" stroked="true" strokeweight="1pt" strokecolor="#44af34">
              <v:path arrowok="t"/>
              <v:stroke dashstyle="solid"/>
            </v:shape>
            <v:line style="position:absolute" from="2646,2058" to="2751,2058" stroked="true" strokeweight="1.125pt" strokecolor="#44af34">
              <v:stroke dashstyle="solid"/>
            </v:line>
            <v:shape style="position:absolute;left:2741;top:1999;width:325;height:233" coordorigin="2741,1999" coordsize="325,233" path="m2741,2057l2824,1999m2824,1999l2909,2232m2909,2232l2991,2174m2991,2174l3066,2217e" filled="false" stroked="true" strokeweight="1pt" strokecolor="#44af34">
              <v:path arrowok="t"/>
              <v:stroke dashstyle="solid"/>
            </v:shape>
            <v:line style="position:absolute" from="3056,2218" to="3161,2218" stroked="true" strokeweight="1.125pt" strokecolor="#44af34">
              <v:stroke dashstyle="solid"/>
            </v:line>
            <v:shape style="position:absolute;left:3151;top:1406;width:418;height:810" coordorigin="3151,1407" coordsize="418,810" path="m3151,2217l3234,2072m3234,2072l3319,2087m3319,2087l3401,1842m3401,1842l3486,1407m3486,1407l3569,1567e" filled="false" stroked="true" strokeweight="1pt" strokecolor="#44af34">
              <v:path arrowok="t"/>
              <v:stroke dashstyle="solid"/>
            </v:shape>
            <v:line style="position:absolute" from="3559,1568" to="3654,1568" stroked="true" strokeweight="1.125pt" strokecolor="#44af34">
              <v:stroke dashstyle="solid"/>
            </v:line>
            <v:shape style="position:absolute;left:3643;top:1521;width:253;height:145" coordorigin="3644,1522" coordsize="253,145" path="m3644,1567l3729,1667m3729,1667l3811,1594m3811,1594l3896,1522e" filled="false" stroked="true" strokeweight="1pt" strokecolor="#44af34">
              <v:path arrowok="t"/>
              <v:stroke dashstyle="solid"/>
            </v:shape>
            <v:shape style="position:absolute;left:1006;top:1724;width:1325;height:535" coordorigin="1006,1724" coordsize="1325,535" path="m1006,1724l1091,1754m1091,1754l1174,1797m1174,1797l1259,1812m1259,1812l1334,1782m1334,1782l1419,1899m1419,1899l1501,1999m1501,1999l1586,2057m1586,2057l1669,2044m1669,2044l1754,2087m1754,2087l1836,2117m1836,2117l1911,2247m1911,2247l1996,2129m1996,2129l2079,2247m2079,2247l2164,2259m2164,2259l2246,2202m2246,2202l2331,2247e" filled="false" stroked="true" strokeweight="1pt" strokecolor="#610e7a">
              <v:path arrowok="t"/>
              <v:stroke dashstyle="solid"/>
            </v:shape>
            <v:line style="position:absolute" from="2321,2248" to="2424,2248" stroked="true" strokeweight="1.125pt" strokecolor="#610e7a">
              <v:stroke dashstyle="solid"/>
            </v:line>
            <v:shape style="position:absolute;left:2413;top:2246;width:1483;height:375" coordorigin="2414,2247" coordsize="1483,375" path="m2414,2247l2489,2274m2489,2274l2574,2362m2574,2362l2656,2462m2656,2462l2741,2492m2741,2492l2824,2564m2824,2564l2909,2549m2909,2549l2991,2622m2991,2622l3066,2579m3066,2579l3151,2507m3151,2507l3234,2492m3234,2492l3319,2434m3319,2434l3401,2492m3401,2492l3486,2522m3486,2522l3569,2534m3569,2534l3644,2507m3644,2507l3729,2462m3729,2462l3811,2404m3811,2404l3896,2319e" filled="false" stroked="true" strokeweight="1pt" strokecolor="#610e7a">
              <v:path arrowok="t"/>
              <v:stroke dashstyle="solid"/>
            </v:shape>
            <v:shape style="position:absolute;left:1006;top:929;width:253;height:565" coordorigin="1006,929" coordsize="253,565" path="m1006,1464l1091,1494m1091,1494l1174,1479m1174,1479l1259,929e" filled="false" stroked="true" strokeweight="1pt" strokecolor="#835335">
              <v:path arrowok="t"/>
              <v:stroke dashstyle="solid"/>
            </v:shape>
            <v:line style="position:absolute" from="1249,930" to="1344,930" stroked="true" strokeweight="1.125pt" strokecolor="#835335">
              <v:stroke dashstyle="solid"/>
            </v:line>
            <v:shape style="position:absolute;left:1333;top:929;width:998;height:825" coordorigin="1334,929" coordsize="998,825" path="m1334,929l1419,1029m1419,1029l1501,1334m1501,1334l1586,1507m1586,1507l1669,1652m1669,1652l1754,1609m1754,1609l1836,1652m1836,1652l1911,1739m1911,1739l1996,1754m1996,1754l2079,1724m2079,1724l2164,1204m2164,1204l2246,1232m2246,1232l2331,1262e" filled="false" stroked="true" strokeweight="1pt" strokecolor="#835335">
              <v:path arrowok="t"/>
              <v:stroke dashstyle="solid"/>
            </v:shape>
            <v:line style="position:absolute" from="2321,1263" to="2424,1263" stroked="true" strokeweight="1.125pt" strokecolor="#835335">
              <v:stroke dashstyle="solid"/>
            </v:line>
            <v:shape style="position:absolute;left:2413;top:306;width:1483;height:955" coordorigin="2414,307" coordsize="1483,955" path="m2414,1262l2489,1174m2489,1174l2574,929m2574,929l2656,899m2656,899l2741,799m2741,799l2824,769m2824,769l2909,409m2909,409l2991,349m2991,349l3066,322m3066,322l3151,509m3151,509l3234,754m3234,754l3319,799m3319,799l3401,307m3401,307l3486,337m3486,337l3569,1002m3569,1002l3644,784m3644,784l3729,1117m3729,1117l3811,827m3811,827l3896,1204e" filled="false" stroked="true" strokeweight="1pt" strokecolor="#835335">
              <v:path arrowok="t"/>
              <v:stroke dashstyle="solid"/>
            </v:shape>
            <v:shape style="position:absolute;left:1006;top:1506;width:168;height:30" coordorigin="1006,1507" coordsize="168,30" path="m1006,1522l1091,1537m1091,1537l1174,1507e" filled="false" stroked="true" strokeweight="1pt" strokecolor="#efa900">
              <v:path arrowok="t"/>
              <v:stroke dashstyle="solid"/>
            </v:shape>
            <v:shape style="position:absolute;left:1163;top:1507;width:265;height:2" coordorigin="1164,1508" coordsize="265,0" path="m1164,1508l1269,1508m1249,1508l1344,1508m1324,1508l1429,1508e" filled="false" stroked="true" strokeweight="1.125pt" strokecolor="#efa900">
              <v:path arrowok="t"/>
              <v:stroke dashstyle="solid"/>
            </v:shape>
            <v:shape style="position:absolute;left:1418;top:1506;width:168;height:73" coordorigin="1419,1507" coordsize="168,73" path="m1419,1507l1501,1522m1501,1522l1586,1579e" filled="false" stroked="true" strokeweight="1pt" strokecolor="#efa900">
              <v:path arrowok="t"/>
              <v:stroke dashstyle="solid"/>
            </v:shape>
            <v:line style="position:absolute" from="1576,1580" to="1679,1580" stroked="true" strokeweight="1.125pt" strokecolor="#efa900">
              <v:stroke dashstyle="solid"/>
            </v:line>
            <v:line style="position:absolute" from="1669,1579" to="1754,1494" stroked="true" strokeweight="1pt" strokecolor="#efa900">
              <v:stroke dashstyle="solid"/>
            </v:line>
            <v:shape style="position:absolute;left:1743;top:1495;width:430;height:2" coordorigin="1744,1495" coordsize="430,0" path="m1744,1495l1846,1495m1826,1495l1921,1495m1901,1495l2006,1495m1986,1495l2089,1495m2069,1495l2174,1495e" filled="false" stroked="true" strokeweight="1.125pt" strokecolor="#efa900">
              <v:path arrowok="t"/>
              <v:stroke dashstyle="solid"/>
            </v:shape>
            <v:shape style="position:absolute;left:2163;top:1349;width:903;height:173" coordorigin="2164,1349" coordsize="903,173" path="m2164,1494l2246,1507m2246,1507l2331,1522m2331,1522l2414,1507m2414,1507l2489,1494m2489,1494l2574,1434m2574,1434l2656,1449m2656,1449l2741,1464m2741,1464l2824,1449m2824,1449l2909,1422m2909,1422l2991,1349m2991,1349l3066,1364e" filled="false" stroked="true" strokeweight="1pt" strokecolor="#efa900">
              <v:path arrowok="t"/>
              <v:stroke dashstyle="solid"/>
            </v:shape>
            <v:line style="position:absolute" from="3056,1365" to="3161,1365" stroked="true" strokeweight="1.125pt" strokecolor="#efa900">
              <v:stroke dashstyle="solid"/>
            </v:line>
            <v:shape style="position:absolute;left:3151;top:1364;width:745;height:275" coordorigin="3151,1364" coordsize="745,275" path="m3151,1364l3234,1422m3234,1422l3319,1434m3319,1434l3401,1422m3401,1422l3486,1377m3486,1377l3569,1479m3569,1479l3644,1449m3644,1449l3729,1552m3729,1552l3811,1537m3811,1537l3896,1639e" filled="false" stroked="true" strokeweight="1pt" strokecolor="#efa900">
              <v:path arrowok="t"/>
              <v:stroke dashstyle="solid"/>
            </v:shape>
            <v:shape style="position:absolute;left:1006;top:1231;width:328;height:160" coordorigin="1006,1232" coordsize="328,160" path="m1006,1377l1091,1392m1091,1392l1174,1364m1174,1364l1259,1277m1259,1277l1334,1232e" filled="false" stroked="true" strokeweight="1pt" strokecolor="#de0035">
              <v:path arrowok="t"/>
              <v:stroke dashstyle="solid"/>
            </v:shape>
            <v:line style="position:absolute" from="1324,1233" to="1429,1233" stroked="true" strokeweight="1.125pt" strokecolor="#de0035">
              <v:stroke dashstyle="solid"/>
            </v:line>
            <v:shape style="position:absolute;left:1418;top:1161;width:250;height:70" coordorigin="1419,1162" coordsize="250,70" path="m1419,1232l1501,1189m1501,1189l1586,1162m1586,1162l1669,1189e" filled="false" stroked="true" strokeweight="1pt" strokecolor="#de0035">
              <v:path arrowok="t"/>
              <v:stroke dashstyle="solid"/>
            </v:shape>
            <v:line style="position:absolute" from="1659,1190" to="1764,1190" stroked="true" strokeweight="1.125pt" strokecolor="#de0035">
              <v:stroke dashstyle="solid"/>
            </v:line>
            <v:shape style="position:absolute;left:1753;top:1161;width:735;height:158" coordorigin="1754,1162" coordsize="735,158" path="m1754,1189l1836,1162m1836,1162l1911,1189m1911,1189l1996,1174m1996,1174l2079,1204m2079,1204l2164,1189m2164,1189l2246,1219m2246,1219l2331,1277m2331,1277l2414,1219m2414,1219l2489,1319e" filled="false" stroked="true" strokeweight="1pt" strokecolor="#de0035">
              <v:path arrowok="t"/>
              <v:stroke dashstyle="solid"/>
            </v:shape>
            <v:line style="position:absolute" from="2479,1320" to="2584,1320" stroked="true" strokeweight="1.125pt" strokecolor="#de0035">
              <v:stroke dashstyle="solid"/>
            </v:line>
            <v:shape style="position:absolute;left:2573;top:1204;width:168;height:115" coordorigin="2574,1204" coordsize="168,115" path="m2574,1319l2656,1262m2656,1262l2741,1204e" filled="false" stroked="true" strokeweight="1pt" strokecolor="#de0035">
              <v:path arrowok="t"/>
              <v:stroke dashstyle="solid"/>
            </v:shape>
            <v:line style="position:absolute" from="2731,1205" to="2834,1205" stroked="true" strokeweight="1.125pt" strokecolor="#de0035">
              <v:stroke dashstyle="solid"/>
            </v:line>
            <v:shape style="position:absolute;left:2823;top:1059;width:328;height:160" coordorigin="2824,1059" coordsize="328,160" path="m2824,1204l2909,1219m2909,1219l2991,1059m2991,1059l3066,1089m3066,1089l3151,1059e" filled="false" stroked="true" strokeweight="1pt" strokecolor="#de0035">
              <v:path arrowok="t"/>
              <v:stroke dashstyle="solid"/>
            </v:shape>
            <v:line style="position:absolute" from="3141,1060" to="3244,1060" stroked="true" strokeweight="1.125pt" strokecolor="#de0035">
              <v:stroke dashstyle="solid"/>
            </v:line>
            <v:shape style="position:absolute;left:3233;top:914;width:168;height:145" coordorigin="3234,914" coordsize="168,145" path="m3234,1059l3319,1002m3319,1002l3401,914e" filled="false" stroked="true" strokeweight="1pt" strokecolor="#de0035">
              <v:path arrowok="t"/>
              <v:stroke dashstyle="solid"/>
            </v:shape>
            <v:shape style="position:absolute;left:3391;top:915;width:263;height:2" coordorigin="3391,915" coordsize="263,0" path="m3391,915l3496,915m3476,915l3579,915m3559,915l3654,915e" filled="false" stroked="true" strokeweight="1.125pt" strokecolor="#de0035">
              <v:path arrowok="t"/>
              <v:stroke dashstyle="solid"/>
            </v:shape>
            <v:shape style="position:absolute;left:3643;top:914;width:253;height:145" coordorigin="3644,914" coordsize="253,145" path="m3644,914l3729,1002m3729,1002l3811,1059m3811,1059l3896,972e" filled="false" stroked="true" strokeweight="1pt" strokecolor="#de0035">
              <v:path arrowok="t"/>
              <v:stroke dashstyle="solid"/>
            </v:shape>
            <v:line style="position:absolute" from="1852,644" to="1952,1077" stroked="true" strokeweight=".5pt" strokecolor="#000000">
              <v:stroke dashstyle="solid"/>
            </v:line>
            <v:shape style="position:absolute;left:1923;top:1055;width:50;height:89" coordorigin="1923,1055" coordsize="50,89" path="m1973,1055l1923,1067,1933,1081,1940,1091,1967,1143,1967,1134,1966,1124,1967,1111,1967,1098,1968,1086,1973,1055xe" filled="true" fillcolor="#000000" stroked="false">
              <v:path arrowok="t"/>
              <v:fill type="solid"/>
            </v:shape>
            <v:shape style="position:absolute;left:3961;top:591;width:87;height:2059" coordorigin="3962,591" coordsize="87,2059" path="m3962,591l4049,591m3962,1003l4049,1003m3962,1415l4049,1415m3962,2238l4049,2238m3962,2650l4049,2650e" filled="false" stroked="true" strokeweight=".5pt" strokecolor="#000000">
              <v:path arrowok="t"/>
              <v:stroke dashstyle="solid"/>
            </v:shape>
            <v:shape style="position:absolute;left:2550;top:393;width:331;height:121" type="#_x0000_t202" filled="false" stroked="false">
              <v:textbox inset="0,0,0,0">
                <w:txbxContent>
                  <w:p>
                    <w:pPr>
                      <w:spacing w:line="116" w:lineRule="exact" w:before="0"/>
                      <w:ind w:left="0" w:right="0" w:firstLine="0"/>
                      <w:jc w:val="left"/>
                      <w:rPr>
                        <w:sz w:val="12"/>
                      </w:rPr>
                    </w:pPr>
                    <w:r>
                      <w:rPr>
                        <w:w w:val="110"/>
                        <w:sz w:val="12"/>
                      </w:rPr>
                      <w:t>Petrol</w:t>
                    </w:r>
                  </w:p>
                </w:txbxContent>
              </v:textbox>
              <w10:wrap type="none"/>
            </v:shape>
            <v:shape style="position:absolute;left:1191;top:507;width:1142;height:121" type="#_x0000_t202" filled="false" stroked="false">
              <v:textbox inset="0,0,0,0">
                <w:txbxContent>
                  <w:p>
                    <w:pPr>
                      <w:spacing w:line="116" w:lineRule="exact" w:before="0"/>
                      <w:ind w:left="0" w:right="0" w:firstLine="0"/>
                      <w:jc w:val="left"/>
                      <w:rPr>
                        <w:sz w:val="12"/>
                      </w:rPr>
                    </w:pPr>
                    <w:r>
                      <w:rPr>
                        <w:w w:val="110"/>
                        <w:sz w:val="12"/>
                      </w:rPr>
                      <w:t>Housing depreciation</w:t>
                    </w:r>
                  </w:p>
                </w:txbxContent>
              </v:textbox>
              <w10:wrap type="none"/>
            </v:shape>
            <v:shape style="position:absolute;left:4096;top:529;width:119;height:943" type="#_x0000_t202" filled="false" stroked="false">
              <v:textbox inset="0,0,0,0">
                <w:txbxContent>
                  <w:p>
                    <w:pPr>
                      <w:spacing w:line="116" w:lineRule="exact" w:before="0"/>
                      <w:ind w:left="0" w:right="0" w:firstLine="0"/>
                      <w:jc w:val="left"/>
                      <w:rPr>
                        <w:sz w:val="12"/>
                      </w:rPr>
                    </w:pPr>
                    <w:r>
                      <w:rPr>
                        <w:w w:val="110"/>
                        <w:sz w:val="12"/>
                      </w:rPr>
                      <w:t>0.</w:t>
                    </w:r>
                  </w:p>
                  <w:p>
                    <w:pPr>
                      <w:spacing w:line="240" w:lineRule="auto" w:before="0"/>
                      <w:rPr>
                        <w:sz w:val="12"/>
                      </w:rPr>
                    </w:pPr>
                  </w:p>
                  <w:p>
                    <w:pPr>
                      <w:spacing w:line="240" w:lineRule="auto" w:before="8"/>
                      <w:rPr>
                        <w:sz w:val="11"/>
                      </w:rPr>
                    </w:pPr>
                  </w:p>
                  <w:p>
                    <w:pPr>
                      <w:spacing w:before="0"/>
                      <w:ind w:left="0" w:right="0" w:firstLine="0"/>
                      <w:jc w:val="left"/>
                      <w:rPr>
                        <w:sz w:val="12"/>
                      </w:rPr>
                    </w:pPr>
                    <w:r>
                      <w:rPr>
                        <w:w w:val="110"/>
                        <w:sz w:val="12"/>
                      </w:rPr>
                      <w:t>0.</w:t>
                    </w:r>
                  </w:p>
                  <w:p>
                    <w:pPr>
                      <w:spacing w:line="240" w:lineRule="auto" w:before="0"/>
                      <w:rPr>
                        <w:sz w:val="12"/>
                      </w:rPr>
                    </w:pPr>
                  </w:p>
                  <w:p>
                    <w:pPr>
                      <w:spacing w:line="240" w:lineRule="auto" w:before="9"/>
                      <w:rPr>
                        <w:sz w:val="11"/>
                      </w:rPr>
                    </w:pPr>
                  </w:p>
                  <w:p>
                    <w:pPr>
                      <w:spacing w:before="0"/>
                      <w:ind w:left="0" w:right="0" w:firstLine="0"/>
                      <w:jc w:val="left"/>
                      <w:rPr>
                        <w:sz w:val="12"/>
                      </w:rPr>
                    </w:pPr>
                    <w:r>
                      <w:rPr>
                        <w:w w:val="110"/>
                        <w:sz w:val="12"/>
                      </w:rPr>
                      <w:t>0.</w:t>
                    </w:r>
                  </w:p>
                </w:txbxContent>
              </v:textbox>
              <w10:wrap type="none"/>
            </v:shape>
            <v:shape style="position:absolute;left:2364;top:1535;width:1017;height:121" type="#_x0000_t202" filled="false" stroked="false">
              <v:textbox inset="0,0,0,0">
                <w:txbxContent>
                  <w:p>
                    <w:pPr>
                      <w:spacing w:line="116" w:lineRule="exact" w:before="0"/>
                      <w:ind w:left="0" w:right="0" w:firstLine="0"/>
                      <w:jc w:val="left"/>
                      <w:rPr>
                        <w:sz w:val="12"/>
                      </w:rPr>
                    </w:pPr>
                    <w:r>
                      <w:rPr>
                        <w:w w:val="105"/>
                        <w:sz w:val="12"/>
                      </w:rPr>
                      <w:t>Household services</w:t>
                    </w:r>
                  </w:p>
                </w:txbxContent>
              </v:textbox>
              <w10:wrap type="none"/>
            </v:shape>
            <v:shape style="position:absolute;left:1005;top:1745;width:3211;height:358" type="#_x0000_t202" filled="false" stroked="false">
              <v:textbox inset="0,0,0,0">
                <w:txbxContent>
                  <w:p>
                    <w:pPr>
                      <w:tabs>
                        <w:tab w:pos="2886" w:val="left" w:leader="none"/>
                      </w:tabs>
                      <w:spacing w:line="103" w:lineRule="exact" w:before="0"/>
                      <w:ind w:left="0" w:right="18" w:firstLine="0"/>
                      <w:jc w:val="right"/>
                      <w:rPr>
                        <w:sz w:val="12"/>
                      </w:rPr>
                    </w:pPr>
                    <w:r>
                      <w:rPr>
                        <w:sz w:val="12"/>
                        <w:u w:val="single"/>
                      </w:rPr>
                      <w:t> </w:t>
                      <w:tab/>
                    </w:r>
                    <w:r>
                      <w:rPr>
                        <w:sz w:val="12"/>
                      </w:rPr>
                      <w:t> </w:t>
                    </w:r>
                    <w:r>
                      <w:rPr>
                        <w:spacing w:val="10"/>
                        <w:sz w:val="12"/>
                      </w:rPr>
                      <w:t> </w:t>
                    </w:r>
                    <w:r>
                      <w:rPr>
                        <w:sz w:val="12"/>
                        <w:u w:val="single"/>
                      </w:rPr>
                      <w:t>  </w:t>
                    </w:r>
                    <w:r>
                      <w:rPr>
                        <w:spacing w:val="-4"/>
                        <w:sz w:val="12"/>
                        <w:u w:val="single"/>
                      </w:rPr>
                      <w:t> </w:t>
                    </w:r>
                    <w:r>
                      <w:rPr>
                        <w:sz w:val="12"/>
                      </w:rPr>
                      <w:t> </w:t>
                    </w:r>
                    <w:r>
                      <w:rPr>
                        <w:spacing w:val="-13"/>
                        <w:sz w:val="12"/>
                      </w:rPr>
                      <w:t> </w:t>
                    </w:r>
                    <w:r>
                      <w:rPr>
                        <w:spacing w:val="-8"/>
                        <w:w w:val="110"/>
                        <w:sz w:val="12"/>
                      </w:rPr>
                      <w:t>0.</w:t>
                    </w:r>
                  </w:p>
                  <w:p>
                    <w:pPr>
                      <w:spacing w:line="133" w:lineRule="exact" w:before="0"/>
                      <w:ind w:left="0" w:right="88" w:firstLine="0"/>
                      <w:jc w:val="right"/>
                      <w:rPr>
                        <w:sz w:val="16"/>
                      </w:rPr>
                    </w:pPr>
                    <w:r>
                      <w:rPr>
                        <w:w w:val="117"/>
                        <w:sz w:val="16"/>
                      </w:rPr>
                      <w:t>–</w:t>
                    </w:r>
                  </w:p>
                  <w:p>
                    <w:pPr>
                      <w:spacing w:line="117" w:lineRule="exact" w:before="0"/>
                      <w:ind w:left="0" w:right="394" w:firstLine="0"/>
                      <w:jc w:val="right"/>
                      <w:rPr>
                        <w:sz w:val="12"/>
                      </w:rPr>
                    </w:pPr>
                    <w:r>
                      <w:rPr>
                        <w:w w:val="105"/>
                        <w:sz w:val="12"/>
                      </w:rPr>
                      <w:t>Seasonal</w:t>
                    </w:r>
                  </w:p>
                </w:txbxContent>
              </v:textbox>
              <w10:wrap type="none"/>
            </v:shape>
            <v:shape style="position:absolute;left:4029;top:1638;width:118;height:161" type="#_x0000_t202" filled="false" stroked="false">
              <v:textbox inset="0,0,0,0">
                <w:txbxContent>
                  <w:p>
                    <w:pPr>
                      <w:spacing w:line="155" w:lineRule="exact" w:before="0"/>
                      <w:ind w:left="0" w:right="0" w:firstLine="0"/>
                      <w:jc w:val="left"/>
                      <w:rPr>
                        <w:sz w:val="16"/>
                      </w:rPr>
                    </w:pPr>
                    <w:r>
                      <w:rPr>
                        <w:w w:val="107"/>
                        <w:sz w:val="16"/>
                      </w:rPr>
                      <w:t>+</w:t>
                    </w:r>
                  </w:p>
                </w:txbxContent>
              </v:textbox>
              <w10:wrap type="none"/>
            </v:shape>
            <v:shape style="position:absolute;left:3430;top:2102;width:253;height:121" type="#_x0000_t202" filled="false" stroked="false">
              <v:textbox inset="0,0,0,0">
                <w:txbxContent>
                  <w:p>
                    <w:pPr>
                      <w:spacing w:line="116" w:lineRule="exact" w:before="0"/>
                      <w:ind w:left="0" w:right="0" w:firstLine="0"/>
                      <w:jc w:val="left"/>
                      <w:rPr>
                        <w:sz w:val="12"/>
                      </w:rPr>
                    </w:pPr>
                    <w:r>
                      <w:rPr>
                        <w:w w:val="105"/>
                        <w:sz w:val="12"/>
                      </w:rPr>
                      <w:t>food</w:t>
                    </w:r>
                  </w:p>
                </w:txbxContent>
              </v:textbox>
              <w10:wrap type="none"/>
            </v:shape>
            <v:shape style="position:absolute;left:4096;top:2174;width:119;height:121" type="#_x0000_t202" filled="false" stroked="false">
              <v:textbox inset="0,0,0,0">
                <w:txbxContent>
                  <w:p>
                    <w:pPr>
                      <w:spacing w:line="116" w:lineRule="exact" w:before="0"/>
                      <w:ind w:left="0" w:right="0" w:firstLine="0"/>
                      <w:jc w:val="left"/>
                      <w:rPr>
                        <w:sz w:val="12"/>
                      </w:rPr>
                    </w:pPr>
                    <w:r>
                      <w:rPr>
                        <w:w w:val="110"/>
                        <w:sz w:val="12"/>
                      </w:rPr>
                      <w:t>0.</w:t>
                    </w:r>
                  </w:p>
                </w:txbxContent>
              </v:textbox>
              <w10:wrap type="none"/>
            </v:shape>
            <v:shape style="position:absolute;left:2118;top:2423;width:518;height:121" type="#_x0000_t202" filled="false" stroked="false">
              <v:textbox inset="0,0,0,0">
                <w:txbxContent>
                  <w:p>
                    <w:pPr>
                      <w:spacing w:line="116" w:lineRule="exact" w:before="0"/>
                      <w:ind w:left="0" w:right="0" w:firstLine="0"/>
                      <w:jc w:val="left"/>
                      <w:rPr>
                        <w:sz w:val="12"/>
                      </w:rPr>
                    </w:pPr>
                    <w:r>
                      <w:rPr>
                        <w:w w:val="105"/>
                        <w:sz w:val="12"/>
                      </w:rPr>
                      <w:t>Used cars</w:t>
                    </w:r>
                  </w:p>
                </w:txbxContent>
              </v:textbox>
              <w10:wrap type="none"/>
            </v:shape>
            <v:shape style="position:absolute;left:4096;top:2585;width:119;height:121" type="#_x0000_t202" filled="false" stroked="false">
              <v:textbox inset="0,0,0,0">
                <w:txbxContent>
                  <w:p>
                    <w:pPr>
                      <w:spacing w:line="116" w:lineRule="exact" w:before="0"/>
                      <w:ind w:left="0" w:right="0" w:firstLine="0"/>
                      <w:jc w:val="left"/>
                      <w:rPr>
                        <w:sz w:val="12"/>
                      </w:rPr>
                    </w:pPr>
                    <w:r>
                      <w:rPr>
                        <w:w w:val="110"/>
                        <w:sz w:val="12"/>
                      </w:rPr>
                      <w:t>0.</w:t>
                    </w:r>
                  </w:p>
                </w:txbxContent>
              </v:textbox>
              <w10:wrap type="none"/>
            </v:shape>
            <w10:wrap type="none"/>
          </v:group>
        </w:pict>
      </w:r>
      <w:r>
        <w:rPr/>
        <w:pict>
          <v:line style="position:absolute;mso-position-horizontal-relative:page;mso-position-vertical-relative:paragraph;z-index:16316928" from="41.570999pt,8.898079pt" to="45.903999pt,8.898079pt" stroked="true" strokeweight=".5pt" strokecolor="#000000">
            <v:stroke dashstyle="solid"/>
            <w10:wrap type="none"/>
          </v:line>
        </w:pict>
      </w:r>
      <w:r>
        <w:rPr>
          <w:w w:val="110"/>
          <w:sz w:val="12"/>
        </w:rPr>
        <w:t>Percentage poin</w:t>
      </w:r>
      <w:r>
        <w:rPr>
          <w:w w:val="110"/>
          <w:sz w:val="12"/>
          <w:u w:val="single"/>
        </w:rPr>
        <w:t>ts</w:t>
      </w:r>
      <w:r>
        <w:rPr>
          <w:w w:val="110"/>
          <w:sz w:val="12"/>
        </w:rPr>
        <w:t> </w:t>
      </w:r>
      <w:r>
        <w:rPr>
          <w:w w:val="110"/>
          <w:position w:val="-6"/>
          <w:sz w:val="12"/>
        </w:rPr>
        <w:t>0.8</w:t>
      </w:r>
    </w:p>
    <w:p>
      <w:pPr>
        <w:pStyle w:val="BodyText"/>
        <w:spacing w:before="2"/>
        <w:rPr>
          <w:sz w:val="24"/>
        </w:rPr>
      </w:pPr>
    </w:p>
    <w:p>
      <w:pPr>
        <w:spacing w:before="0"/>
        <w:ind w:left="0" w:right="108" w:firstLine="0"/>
        <w:jc w:val="right"/>
        <w:rPr>
          <w:sz w:val="12"/>
        </w:rPr>
      </w:pPr>
      <w:r>
        <w:rPr/>
        <w:pict>
          <v:line style="position:absolute;mso-position-horizontal-relative:page;mso-position-vertical-relative:paragraph;z-index:16316416" from="41.570999pt,4.093866pt" to="45.903999pt,4.093866pt" stroked="true" strokeweight=".5pt" strokecolor="#000000">
            <v:stroke dashstyle="solid"/>
            <w10:wrap type="none"/>
          </v:line>
        </w:pict>
      </w:r>
      <w:r>
        <w:rPr>
          <w:w w:val="121"/>
          <w:sz w:val="12"/>
        </w:rPr>
        <w:t>6</w:t>
      </w:r>
    </w:p>
    <w:p>
      <w:pPr>
        <w:pStyle w:val="BodyText"/>
        <w:spacing w:before="13"/>
        <w:ind w:left="187"/>
      </w:pPr>
      <w:r>
        <w:rPr/>
        <w:br w:type="column"/>
      </w:r>
      <w:r>
        <w:rPr>
          <w:w w:val="110"/>
        </w:rPr>
        <w:t>The lower-than-expected RPIX outturn reflected</w:t>
      </w:r>
    </w:p>
    <w:p>
      <w:pPr>
        <w:pStyle w:val="BodyText"/>
        <w:spacing w:line="292" w:lineRule="auto" w:before="50"/>
        <w:ind w:left="187" w:right="47"/>
      </w:pPr>
      <w:r>
        <w:rPr>
          <w:spacing w:val="-3"/>
          <w:w w:val="110"/>
        </w:rPr>
        <w:t>lower-than-anticipated </w:t>
      </w:r>
      <w:r>
        <w:rPr>
          <w:w w:val="110"/>
        </w:rPr>
        <w:t>prices of household services, housing depreciation, used cars and petrol—with the </w:t>
      </w:r>
      <w:r>
        <w:rPr>
          <w:spacing w:val="-3"/>
          <w:w w:val="110"/>
        </w:rPr>
        <w:t>latter </w:t>
      </w:r>
      <w:r>
        <w:rPr>
          <w:w w:val="110"/>
        </w:rPr>
        <w:t>linked </w:t>
      </w:r>
      <w:r>
        <w:rPr>
          <w:spacing w:val="-4"/>
          <w:w w:val="110"/>
        </w:rPr>
        <w:t>to lower-than-expected </w:t>
      </w:r>
      <w:r>
        <w:rPr>
          <w:w w:val="110"/>
        </w:rPr>
        <w:t>crude oil prices. Chart </w:t>
      </w:r>
      <w:r>
        <w:rPr>
          <w:spacing w:val="-7"/>
          <w:w w:val="110"/>
        </w:rPr>
        <w:t>4.10 </w:t>
      </w:r>
      <w:r>
        <w:rPr>
          <w:w w:val="110"/>
        </w:rPr>
        <w:t>shows the estimated contributions of these components </w:t>
      </w:r>
      <w:r>
        <w:rPr>
          <w:spacing w:val="-4"/>
          <w:w w:val="110"/>
        </w:rPr>
        <w:t>to </w:t>
      </w:r>
      <w:r>
        <w:rPr>
          <w:w w:val="110"/>
        </w:rPr>
        <w:t>RPIX inflation, which also </w:t>
      </w:r>
      <w:r>
        <w:rPr>
          <w:spacing w:val="-3"/>
          <w:w w:val="110"/>
        </w:rPr>
        <w:t>takes </w:t>
      </w:r>
      <w:r>
        <w:rPr>
          <w:w w:val="110"/>
        </w:rPr>
        <w:t>account of the weights of the components in the RPIX </w:t>
      </w:r>
      <w:r>
        <w:rPr>
          <w:spacing w:val="-2"/>
          <w:w w:val="110"/>
        </w:rPr>
        <w:t>basket </w:t>
      </w:r>
      <w:r>
        <w:rPr>
          <w:w w:val="110"/>
        </w:rPr>
        <w:t>of goods and services. It also shows that the contribution of seasonal food prices has </w:t>
      </w:r>
      <w:r>
        <w:rPr>
          <w:spacing w:val="-3"/>
          <w:w w:val="110"/>
        </w:rPr>
        <w:t>moved </w:t>
      </w:r>
      <w:r>
        <w:rPr>
          <w:w w:val="110"/>
        </w:rPr>
        <w:t>from negative </w:t>
      </w:r>
      <w:r>
        <w:rPr>
          <w:spacing w:val="-4"/>
          <w:w w:val="110"/>
        </w:rPr>
        <w:t>to </w:t>
      </w:r>
      <w:r>
        <w:rPr>
          <w:w w:val="110"/>
        </w:rPr>
        <w:t>positive in recent months. That reflected the exceptionally wet weather in </w:t>
      </w:r>
      <w:r>
        <w:rPr>
          <w:spacing w:val="-4"/>
          <w:w w:val="110"/>
        </w:rPr>
        <w:t>2000 </w:t>
      </w:r>
      <w:r>
        <w:rPr>
          <w:w w:val="110"/>
        </w:rPr>
        <w:t>H2 putting </w:t>
      </w:r>
      <w:r>
        <w:rPr>
          <w:spacing w:val="-3"/>
          <w:w w:val="110"/>
        </w:rPr>
        <w:t>upward pressure </w:t>
      </w:r>
      <w:r>
        <w:rPr>
          <w:w w:val="110"/>
        </w:rPr>
        <w:t>on seasonal food prices.</w:t>
      </w:r>
    </w:p>
    <w:p>
      <w:pPr>
        <w:spacing w:after="0" w:line="292" w:lineRule="auto"/>
        <w:sectPr>
          <w:type w:val="continuous"/>
          <w:pgSz w:w="11900" w:h="16840"/>
          <w:pgMar w:top="1260" w:bottom="280" w:left="640" w:right="640"/>
          <w:cols w:num="2" w:equalWidth="0">
            <w:col w:w="3739" w:space="1173"/>
            <w:col w:w="5708"/>
          </w:cols>
        </w:sectPr>
      </w:pPr>
    </w:p>
    <w:p>
      <w:pPr>
        <w:pStyle w:val="BodyText"/>
        <w:spacing w:before="2"/>
        <w:rPr>
          <w:sz w:val="12"/>
        </w:rPr>
      </w:pPr>
    </w:p>
    <w:p>
      <w:pPr>
        <w:spacing w:after="0"/>
        <w:rPr>
          <w:sz w:val="12"/>
        </w:rPr>
        <w:sectPr>
          <w:type w:val="continuous"/>
          <w:pgSz w:w="11900" w:h="16840"/>
          <w:pgMar w:top="1260" w:bottom="280" w:left="640" w:right="640"/>
        </w:sectPr>
      </w:pPr>
    </w:p>
    <w:p>
      <w:pPr>
        <w:pStyle w:val="BodyText"/>
        <w:spacing w:before="4"/>
        <w:rPr>
          <w:sz w:val="18"/>
        </w:rPr>
      </w:pPr>
    </w:p>
    <w:p>
      <w:pPr>
        <w:pStyle w:val="BodyText"/>
        <w:spacing w:line="20" w:lineRule="exact"/>
        <w:ind w:left="186"/>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7"/>
        <w:rPr>
          <w:sz w:val="10"/>
        </w:rPr>
      </w:pPr>
      <w:r>
        <w:rPr/>
        <w:pict>
          <v:shape style="position:absolute;margin-left:41.570999pt;margin-top:8.339976pt;width:4.350pt;height:.1pt;mso-position-horizontal-relative:page;mso-position-vertical-relative:paragraph;z-index:-15155200;mso-wrap-distance-left:0;mso-wrap-distance-right:0" coordorigin="831,167" coordsize="87,0" path="m831,167l918,167e" filled="false" stroked="true" strokeweight=".5pt" strokecolor="#000000">
            <v:path arrowok="t"/>
            <v:stroke dashstyle="solid"/>
            <w10:wrap type="topAndBottom"/>
          </v:shape>
        </w:pict>
      </w:r>
      <w:r>
        <w:rPr/>
        <w:pict>
          <v:shape style="position:absolute;margin-left:41.570999pt;margin-top:28.928976pt;width:4.350pt;height:.1pt;mso-position-horizontal-relative:page;mso-position-vertical-relative:paragraph;z-index:-15154688;mso-wrap-distance-left:0;mso-wrap-distance-right:0" coordorigin="831,579" coordsize="87,0" path="m831,579l918,579e" filled="false" stroked="true" strokeweight=".5pt" strokecolor="#000000">
            <v:path arrowok="t"/>
            <v:stroke dashstyle="solid"/>
            <w10:wrap type="topAndBottom"/>
          </v:shape>
        </w:pict>
      </w:r>
      <w:r>
        <w:rPr/>
        <w:pict>
          <v:shape style="position:absolute;margin-left:41.570999pt;margin-top:49.518978pt;width:4.350pt;height:.1pt;mso-position-horizontal-relative:page;mso-position-vertical-relative:paragraph;z-index:-15154176;mso-wrap-distance-left:0;mso-wrap-distance-right:0" coordorigin="831,990" coordsize="87,0" path="m831,990l918,990e" filled="false" stroked="true" strokeweight=".5pt" strokecolor="#000000">
            <v:path arrowok="t"/>
            <v:stroke dashstyle="solid"/>
            <w10:wrap type="topAndBottom"/>
          </v:shape>
        </w:pict>
      </w:r>
      <w:r>
        <w:rPr/>
        <w:pict>
          <v:shape style="position:absolute;margin-left:41.570999pt;margin-top:70.107979pt;width:4.350pt;height:.1pt;mso-position-horizontal-relative:page;mso-position-vertical-relative:paragraph;z-index:-15153664;mso-wrap-distance-left:0;mso-wrap-distance-right:0" coordorigin="831,1402" coordsize="87,0" path="m831,1402l918,1402e" filled="false" stroked="true" strokeweight=".5pt" strokecolor="#000000">
            <v:path arrowok="t"/>
            <v:stroke dashstyle="solid"/>
            <w10:wrap type="topAndBottom"/>
          </v:shape>
        </w:pict>
      </w:r>
      <w:r>
        <w:rPr/>
        <w:pict>
          <v:shape style="position:absolute;margin-left:41.570999pt;margin-top:90.695976pt;width:4.350pt;height:.1pt;mso-position-horizontal-relative:page;mso-position-vertical-relative:paragraph;z-index:-15153152;mso-wrap-distance-left:0;mso-wrap-distance-right:0" coordorigin="831,1814" coordsize="87,0" path="m831,1814l918,1814e" filled="false" stroked="true" strokeweight=".5pt" strokecolor="#000000">
            <v:path arrowok="t"/>
            <v:stroke dashstyle="solid"/>
            <w10:wrap type="topAndBottom"/>
          </v:shape>
        </w:pict>
      </w:r>
    </w:p>
    <w:p>
      <w:pPr>
        <w:pStyle w:val="BodyText"/>
        <w:rPr>
          <w:sz w:val="29"/>
        </w:rPr>
      </w:pPr>
    </w:p>
    <w:p>
      <w:pPr>
        <w:pStyle w:val="BodyText"/>
        <w:rPr>
          <w:sz w:val="29"/>
        </w:rPr>
      </w:pPr>
    </w:p>
    <w:p>
      <w:pPr>
        <w:pStyle w:val="BodyText"/>
        <w:rPr>
          <w:sz w:val="29"/>
        </w:rPr>
      </w:pPr>
    </w:p>
    <w:p>
      <w:pPr>
        <w:pStyle w:val="BodyText"/>
        <w:rPr>
          <w:sz w:val="29"/>
        </w:rPr>
      </w:pPr>
    </w:p>
    <w:p>
      <w:pPr>
        <w:tabs>
          <w:tab w:pos="1775" w:val="left" w:leader="none"/>
          <w:tab w:pos="2713" w:val="left" w:leader="none"/>
        </w:tabs>
        <w:spacing w:before="1"/>
        <w:ind w:left="688" w:right="0" w:firstLine="0"/>
        <w:jc w:val="left"/>
        <w:rPr>
          <w:sz w:val="12"/>
        </w:rPr>
      </w:pPr>
      <w:r>
        <w:rPr>
          <w:w w:val="120"/>
          <w:sz w:val="12"/>
        </w:rPr>
        <w:t>1998</w:t>
        <w:tab/>
        <w:t>99</w:t>
        <w:tab/>
      </w:r>
      <w:r>
        <w:rPr>
          <w:spacing w:val="-5"/>
          <w:w w:val="120"/>
          <w:sz w:val="12"/>
        </w:rPr>
        <w:t>2000</w:t>
      </w:r>
    </w:p>
    <w:p>
      <w:pPr>
        <w:pStyle w:val="BodyText"/>
        <w:spacing w:before="7"/>
        <w:rPr>
          <w:sz w:val="11"/>
        </w:rPr>
      </w:pPr>
      <w:r>
        <w:rPr/>
        <w:br w:type="column"/>
      </w:r>
      <w:r>
        <w:rPr>
          <w:sz w:val="11"/>
        </w:rPr>
      </w:r>
    </w:p>
    <w:p>
      <w:pPr>
        <w:spacing w:before="0"/>
        <w:ind w:left="0" w:right="38" w:firstLine="0"/>
        <w:jc w:val="right"/>
        <w:rPr>
          <w:sz w:val="12"/>
        </w:rPr>
      </w:pPr>
      <w:r>
        <w:rPr>
          <w:w w:val="121"/>
          <w:sz w:val="12"/>
        </w:rPr>
        <w:t>4</w:t>
      </w:r>
    </w:p>
    <w:p>
      <w:pPr>
        <w:pStyle w:val="BodyText"/>
        <w:rPr>
          <w:sz w:val="12"/>
        </w:rPr>
      </w:pPr>
    </w:p>
    <w:p>
      <w:pPr>
        <w:pStyle w:val="BodyText"/>
        <w:spacing w:before="8"/>
        <w:rPr>
          <w:sz w:val="11"/>
        </w:rPr>
      </w:pPr>
    </w:p>
    <w:p>
      <w:pPr>
        <w:spacing w:before="0"/>
        <w:ind w:left="0" w:right="38" w:firstLine="0"/>
        <w:jc w:val="right"/>
        <w:rPr>
          <w:sz w:val="12"/>
        </w:rPr>
      </w:pPr>
      <w:r>
        <w:rPr>
          <w:w w:val="121"/>
          <w:sz w:val="12"/>
        </w:rPr>
        <w:t>2</w:t>
      </w:r>
    </w:p>
    <w:p>
      <w:pPr>
        <w:pStyle w:val="BodyText"/>
        <w:rPr>
          <w:sz w:val="12"/>
        </w:rPr>
      </w:pPr>
    </w:p>
    <w:p>
      <w:pPr>
        <w:pStyle w:val="BodyText"/>
        <w:spacing w:before="9"/>
        <w:rPr>
          <w:sz w:val="11"/>
        </w:rPr>
      </w:pPr>
    </w:p>
    <w:p>
      <w:pPr>
        <w:spacing w:before="0"/>
        <w:ind w:left="0" w:right="38" w:firstLine="0"/>
        <w:jc w:val="right"/>
        <w:rPr>
          <w:sz w:val="12"/>
        </w:rPr>
      </w:pPr>
      <w:r>
        <w:rPr>
          <w:w w:val="121"/>
          <w:sz w:val="12"/>
        </w:rPr>
        <w:t>0</w:t>
      </w:r>
    </w:p>
    <w:p>
      <w:pPr>
        <w:pStyle w:val="BodyText"/>
        <w:rPr>
          <w:sz w:val="12"/>
        </w:rPr>
      </w:pPr>
    </w:p>
    <w:p>
      <w:pPr>
        <w:pStyle w:val="BodyText"/>
        <w:spacing w:before="8"/>
        <w:rPr>
          <w:sz w:val="11"/>
        </w:rPr>
      </w:pPr>
    </w:p>
    <w:p>
      <w:pPr>
        <w:spacing w:before="1"/>
        <w:ind w:left="0" w:right="38" w:firstLine="0"/>
        <w:jc w:val="right"/>
        <w:rPr>
          <w:sz w:val="12"/>
        </w:rPr>
      </w:pPr>
      <w:r>
        <w:rPr>
          <w:w w:val="121"/>
          <w:sz w:val="12"/>
        </w:rPr>
        <w:t>2</w:t>
      </w:r>
    </w:p>
    <w:p>
      <w:pPr>
        <w:pStyle w:val="BodyText"/>
        <w:rPr>
          <w:sz w:val="12"/>
        </w:rPr>
      </w:pPr>
    </w:p>
    <w:p>
      <w:pPr>
        <w:pStyle w:val="BodyText"/>
        <w:spacing w:before="8"/>
        <w:rPr>
          <w:sz w:val="11"/>
        </w:rPr>
      </w:pPr>
    </w:p>
    <w:p>
      <w:pPr>
        <w:spacing w:before="0"/>
        <w:ind w:left="0" w:right="38" w:firstLine="0"/>
        <w:jc w:val="right"/>
        <w:rPr>
          <w:sz w:val="12"/>
        </w:rPr>
      </w:pPr>
      <w:r>
        <w:rPr>
          <w:w w:val="121"/>
          <w:sz w:val="12"/>
        </w:rPr>
        <w:t>4</w:t>
      </w:r>
    </w:p>
    <w:p>
      <w:pPr>
        <w:pStyle w:val="BodyText"/>
        <w:rPr>
          <w:sz w:val="12"/>
        </w:rPr>
      </w:pPr>
    </w:p>
    <w:p>
      <w:pPr>
        <w:pStyle w:val="BodyText"/>
        <w:spacing w:before="9"/>
        <w:rPr>
          <w:sz w:val="11"/>
        </w:rPr>
      </w:pPr>
    </w:p>
    <w:p>
      <w:pPr>
        <w:spacing w:before="0"/>
        <w:ind w:left="0" w:right="38" w:firstLine="0"/>
        <w:jc w:val="right"/>
        <w:rPr>
          <w:sz w:val="12"/>
        </w:rPr>
      </w:pPr>
      <w:r>
        <w:rPr/>
        <w:pict>
          <v:shape style="position:absolute;margin-left:50.132pt;margin-top:-1.336735pt;width:152.3pt;height:5.8pt;mso-position-horizontal-relative:page;mso-position-vertical-relative:paragraph;z-index:16317440" coordorigin="1003,-27" coordsize="3046,116" path="m1003,89l3886,89m1004,-27l1004,89m1169,42l1169,89m1334,42l1334,89m1416,42l1416,89m1498,42l1498,89m1581,42l1581,89m1746,42l1746,89m1663,42l1663,89m1828,42l1828,89m1911,42l1911,89m1086,42l1086,89m1251,42l1251,89m1993,-27l1993,89m2158,42l2158,89m2323,42l2323,89m2405,42l2405,89m2488,42l2488,89m2570,42l2570,89m2735,42l2735,89m2653,42l2653,89m2817,42l2817,89m2900,42l2900,89m2076,42l2076,89m2240,42l2240,89m2982,-27l2982,89m3147,42l3147,89m3312,42l3312,89m3394,42l3394,89m3477,42l3477,89m3559,42l3559,89m3724,42l3724,89m3642,42l3642,89m3807,42l3807,89m3889,42l3889,89m3065,42l3065,89m3230,42l3230,89m3962,88l4049,88e" filled="false" stroked="true" strokeweight=".5pt" strokecolor="#000000">
            <v:path arrowok="t"/>
            <v:stroke dashstyle="solid"/>
            <w10:wrap type="none"/>
          </v:shape>
        </w:pict>
      </w:r>
      <w:r>
        <w:rPr>
          <w:w w:val="110"/>
          <w:sz w:val="12"/>
        </w:rPr>
        <w:t>0.6</w:t>
      </w:r>
    </w:p>
    <w:p>
      <w:pPr>
        <w:pStyle w:val="BodyText"/>
        <w:spacing w:line="292" w:lineRule="auto" w:before="64"/>
        <w:ind w:left="688" w:right="174"/>
      </w:pPr>
      <w:r>
        <w:rPr/>
        <w:br w:type="column"/>
      </w:r>
      <w:r>
        <w:rPr>
          <w:w w:val="105"/>
        </w:rPr>
        <w:t>Although the recent trend in RPIX inflation has been very stable, </w:t>
      </w:r>
      <w:r>
        <w:rPr>
          <w:spacing w:val="-3"/>
          <w:w w:val="105"/>
        </w:rPr>
        <w:t>averaging </w:t>
      </w:r>
      <w:r>
        <w:rPr>
          <w:w w:val="105"/>
        </w:rPr>
        <w:t>2.1% in each quarter of </w:t>
      </w:r>
      <w:r>
        <w:rPr>
          <w:spacing w:val="-4"/>
          <w:w w:val="105"/>
        </w:rPr>
        <w:t>2000, </w:t>
      </w:r>
      <w:r>
        <w:rPr>
          <w:w w:val="105"/>
        </w:rPr>
        <w:t>it has recently been volatile from month </w:t>
      </w:r>
      <w:r>
        <w:rPr>
          <w:spacing w:val="-4"/>
          <w:w w:val="105"/>
        </w:rPr>
        <w:t>to </w:t>
      </w:r>
      <w:r>
        <w:rPr>
          <w:w w:val="105"/>
        </w:rPr>
        <w:t>month around this trend. The  2.0% </w:t>
      </w:r>
      <w:r>
        <w:rPr>
          <w:spacing w:val="-4"/>
          <w:w w:val="105"/>
        </w:rPr>
        <w:t>rate </w:t>
      </w:r>
      <w:r>
        <w:rPr>
          <w:w w:val="105"/>
        </w:rPr>
        <w:t>in December follows </w:t>
      </w:r>
      <w:r>
        <w:rPr>
          <w:spacing w:val="-3"/>
          <w:w w:val="105"/>
        </w:rPr>
        <w:t>August’s </w:t>
      </w:r>
      <w:r>
        <w:rPr>
          <w:w w:val="105"/>
        </w:rPr>
        <w:t>1.9% figure and 2.2% </w:t>
      </w:r>
      <w:r>
        <w:rPr>
          <w:spacing w:val="-4"/>
          <w:w w:val="105"/>
        </w:rPr>
        <w:t>rates </w:t>
      </w:r>
      <w:r>
        <w:rPr>
          <w:w w:val="105"/>
        </w:rPr>
        <w:t>in September and </w:t>
      </w:r>
      <w:r>
        <w:rPr>
          <w:spacing w:val="-3"/>
          <w:w w:val="105"/>
        </w:rPr>
        <w:t>November. </w:t>
      </w:r>
      <w:r>
        <w:rPr>
          <w:w w:val="105"/>
        </w:rPr>
        <w:t>This monthly </w:t>
      </w:r>
      <w:r>
        <w:rPr>
          <w:spacing w:val="-4"/>
          <w:w w:val="105"/>
        </w:rPr>
        <w:t>volatility, </w:t>
      </w:r>
      <w:r>
        <w:rPr>
          <w:w w:val="105"/>
        </w:rPr>
        <w:t>and that of other inflation measures, reflects the sharp movements in retail petrol prices and abrupt changes in seasonal food prices.</w:t>
      </w:r>
    </w:p>
    <w:p>
      <w:pPr>
        <w:pStyle w:val="BodyText"/>
        <w:spacing w:line="292" w:lineRule="auto" w:before="155"/>
        <w:ind w:left="688" w:right="174"/>
      </w:pPr>
      <w:r>
        <w:rPr>
          <w:w w:val="110"/>
        </w:rPr>
        <w:t>Annual</w:t>
      </w:r>
      <w:r>
        <w:rPr>
          <w:spacing w:val="-24"/>
          <w:w w:val="110"/>
        </w:rPr>
        <w:t> </w:t>
      </w:r>
      <w:r>
        <w:rPr>
          <w:w w:val="110"/>
        </w:rPr>
        <w:t>RPI</w:t>
      </w:r>
      <w:r>
        <w:rPr>
          <w:spacing w:val="-23"/>
          <w:w w:val="110"/>
        </w:rPr>
        <w:t> </w:t>
      </w:r>
      <w:r>
        <w:rPr>
          <w:w w:val="110"/>
        </w:rPr>
        <w:t>inflation</w:t>
      </w:r>
      <w:r>
        <w:rPr>
          <w:spacing w:val="-24"/>
          <w:w w:val="110"/>
        </w:rPr>
        <w:t> </w:t>
      </w:r>
      <w:r>
        <w:rPr>
          <w:w w:val="110"/>
        </w:rPr>
        <w:t>fell</w:t>
      </w:r>
      <w:r>
        <w:rPr>
          <w:spacing w:val="-23"/>
          <w:w w:val="110"/>
        </w:rPr>
        <w:t> </w:t>
      </w:r>
      <w:r>
        <w:rPr>
          <w:spacing w:val="-4"/>
          <w:w w:val="110"/>
        </w:rPr>
        <w:t>to</w:t>
      </w:r>
      <w:r>
        <w:rPr>
          <w:spacing w:val="-24"/>
          <w:w w:val="110"/>
        </w:rPr>
        <w:t> </w:t>
      </w:r>
      <w:r>
        <w:rPr>
          <w:w w:val="110"/>
        </w:rPr>
        <w:t>2.9%</w:t>
      </w:r>
      <w:r>
        <w:rPr>
          <w:spacing w:val="-23"/>
          <w:w w:val="110"/>
        </w:rPr>
        <w:t> </w:t>
      </w:r>
      <w:r>
        <w:rPr>
          <w:w w:val="110"/>
        </w:rPr>
        <w:t>in</w:t>
      </w:r>
      <w:r>
        <w:rPr>
          <w:spacing w:val="-24"/>
          <w:w w:val="110"/>
        </w:rPr>
        <w:t> </w:t>
      </w:r>
      <w:r>
        <w:rPr>
          <w:spacing w:val="-2"/>
          <w:w w:val="110"/>
        </w:rPr>
        <w:t>December.</w:t>
      </w:r>
      <w:r>
        <w:rPr>
          <w:spacing w:val="9"/>
          <w:w w:val="110"/>
        </w:rPr>
        <w:t> </w:t>
      </w:r>
      <w:r>
        <w:rPr>
          <w:w w:val="110"/>
        </w:rPr>
        <w:t>That</w:t>
      </w:r>
      <w:r>
        <w:rPr>
          <w:spacing w:val="-23"/>
          <w:w w:val="110"/>
        </w:rPr>
        <w:t> </w:t>
      </w:r>
      <w:r>
        <w:rPr>
          <w:spacing w:val="-3"/>
          <w:w w:val="110"/>
        </w:rPr>
        <w:t>reflected </w:t>
      </w:r>
      <w:r>
        <w:rPr>
          <w:w w:val="110"/>
        </w:rPr>
        <w:t>previous</w:t>
      </w:r>
      <w:r>
        <w:rPr>
          <w:spacing w:val="-12"/>
          <w:w w:val="110"/>
        </w:rPr>
        <w:t> </w:t>
      </w:r>
      <w:r>
        <w:rPr>
          <w:w w:val="110"/>
        </w:rPr>
        <w:t>rises</w:t>
      </w:r>
      <w:r>
        <w:rPr>
          <w:spacing w:val="-12"/>
          <w:w w:val="110"/>
        </w:rPr>
        <w:t> </w:t>
      </w:r>
      <w:r>
        <w:rPr>
          <w:w w:val="110"/>
        </w:rPr>
        <w:t>in</w:t>
      </w:r>
      <w:r>
        <w:rPr>
          <w:spacing w:val="-12"/>
          <w:w w:val="110"/>
        </w:rPr>
        <w:t> </w:t>
      </w:r>
      <w:r>
        <w:rPr>
          <w:w w:val="110"/>
        </w:rPr>
        <w:t>mortgage</w:t>
      </w:r>
      <w:r>
        <w:rPr>
          <w:spacing w:val="-11"/>
          <w:w w:val="110"/>
        </w:rPr>
        <w:t> </w:t>
      </w:r>
      <w:r>
        <w:rPr>
          <w:spacing w:val="-4"/>
          <w:w w:val="110"/>
        </w:rPr>
        <w:t>rates</w:t>
      </w:r>
      <w:r>
        <w:rPr>
          <w:spacing w:val="-12"/>
          <w:w w:val="110"/>
        </w:rPr>
        <w:t> </w:t>
      </w:r>
      <w:r>
        <w:rPr>
          <w:w w:val="110"/>
        </w:rPr>
        <w:t>dropping</w:t>
      </w:r>
      <w:r>
        <w:rPr>
          <w:spacing w:val="-12"/>
          <w:w w:val="110"/>
        </w:rPr>
        <w:t> </w:t>
      </w:r>
      <w:r>
        <w:rPr>
          <w:w w:val="110"/>
        </w:rPr>
        <w:t>out</w:t>
      </w:r>
      <w:r>
        <w:rPr>
          <w:spacing w:val="-12"/>
          <w:w w:val="110"/>
        </w:rPr>
        <w:t> </w:t>
      </w:r>
      <w:r>
        <w:rPr>
          <w:w w:val="110"/>
        </w:rPr>
        <w:t>of</w:t>
      </w:r>
      <w:r>
        <w:rPr>
          <w:spacing w:val="-11"/>
          <w:w w:val="110"/>
        </w:rPr>
        <w:t> </w:t>
      </w:r>
      <w:r>
        <w:rPr>
          <w:w w:val="110"/>
        </w:rPr>
        <w:t>the</w:t>
      </w:r>
      <w:r>
        <w:rPr>
          <w:spacing w:val="-12"/>
          <w:w w:val="110"/>
        </w:rPr>
        <w:t> </w:t>
      </w:r>
      <w:r>
        <w:rPr>
          <w:w w:val="110"/>
        </w:rPr>
        <w:t>annual</w:t>
      </w:r>
    </w:p>
    <w:p>
      <w:pPr>
        <w:spacing w:after="0" w:line="292" w:lineRule="auto"/>
        <w:sectPr>
          <w:type w:val="continuous"/>
          <w:pgSz w:w="11900" w:h="16840"/>
          <w:pgMar w:top="1260" w:bottom="280" w:left="640" w:right="640"/>
          <w:cols w:num="3" w:equalWidth="0">
            <w:col w:w="3005" w:space="40"/>
            <w:col w:w="624" w:space="743"/>
            <w:col w:w="6208"/>
          </w:cols>
        </w:sectPr>
      </w:pPr>
    </w:p>
    <w:p>
      <w:pPr>
        <w:pStyle w:val="BodyText"/>
      </w:pPr>
    </w:p>
    <w:p>
      <w:pPr>
        <w:pStyle w:val="BodyText"/>
        <w:spacing w:before="9"/>
        <w:rPr>
          <w:sz w:val="15"/>
        </w:rPr>
      </w:pPr>
    </w:p>
    <w:p>
      <w:pPr>
        <w:spacing w:after="0"/>
        <w:rPr>
          <w:sz w:val="15"/>
        </w:rPr>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6"/>
        <w:spacing w:before="195"/>
        <w:ind w:left="192"/>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0"/>
        </w:rPr>
        <w:t>4.11</w:t>
      </w:r>
    </w:p>
    <w:p>
      <w:pPr>
        <w:spacing w:before="8"/>
        <w:ind w:left="192" w:right="0" w:firstLine="0"/>
        <w:jc w:val="left"/>
        <w:rPr>
          <w:rFonts w:ascii="Trebuchet MS"/>
          <w:b/>
          <w:sz w:val="20"/>
        </w:rPr>
      </w:pPr>
      <w:r>
        <w:rPr>
          <w:rFonts w:ascii="Trebuchet MS"/>
          <w:b/>
          <w:color w:val="89C6DC"/>
          <w:sz w:val="20"/>
        </w:rPr>
        <w:t>Goods and services price inflation</w:t>
      </w:r>
    </w:p>
    <w:p>
      <w:pPr>
        <w:spacing w:line="110" w:lineRule="exact" w:before="39"/>
        <w:ind w:left="1479" w:right="0" w:firstLine="0"/>
        <w:jc w:val="left"/>
        <w:rPr>
          <w:sz w:val="12"/>
        </w:rPr>
      </w:pPr>
      <w:r>
        <w:rPr>
          <w:w w:val="110"/>
          <w:sz w:val="12"/>
        </w:rPr>
        <w:t>Percentage changes on a year earlier</w:t>
      </w:r>
    </w:p>
    <w:p>
      <w:pPr>
        <w:spacing w:line="110" w:lineRule="exact" w:before="0"/>
        <w:ind w:left="3418" w:right="0" w:firstLine="0"/>
        <w:jc w:val="left"/>
        <w:rPr>
          <w:sz w:val="12"/>
        </w:rPr>
      </w:pPr>
      <w:r>
        <w:rPr/>
        <w:pict>
          <v:line style="position:absolute;mso-position-horizontal-relative:page;mso-position-vertical-relative:paragraph;z-index:16326656" from="39.958pt,3.418093pt" to="44.291pt,3.418093pt" stroked="true" strokeweight=".5pt" strokecolor="#000000">
            <v:stroke dashstyle="solid"/>
            <w10:wrap type="none"/>
          </v:line>
        </w:pict>
      </w:r>
      <w:r>
        <w:rPr/>
        <w:pict>
          <v:line style="position:absolute;mso-position-horizontal-relative:page;mso-position-vertical-relative:paragraph;z-index:16327168" from="196.203995pt,3.418093pt" to="200.536995pt,3.418093pt" stroked="true" strokeweight=".5pt" strokecolor="#000000">
            <v:stroke dashstyle="solid"/>
            <w10:wrap type="none"/>
          </v:line>
        </w:pict>
      </w:r>
      <w:r>
        <w:rPr>
          <w:w w:val="115"/>
          <w:sz w:val="12"/>
        </w:rPr>
        <w:t>4.5</w:t>
      </w:r>
    </w:p>
    <w:p>
      <w:pPr>
        <w:pStyle w:val="BodyText"/>
        <w:rPr>
          <w:sz w:val="13"/>
        </w:rPr>
      </w:pPr>
    </w:p>
    <w:p>
      <w:pPr>
        <w:spacing w:before="1"/>
        <w:ind w:left="0" w:right="38" w:firstLine="0"/>
        <w:jc w:val="right"/>
        <w:rPr>
          <w:sz w:val="12"/>
        </w:rPr>
      </w:pPr>
      <w:r>
        <w:rPr/>
        <w:pict>
          <v:group style="position:absolute;margin-left:47.869999pt;margin-top:-2.225547pt;width:157.25pt;height:130.4500pt;mso-position-horizontal-relative:page;mso-position-vertical-relative:paragraph;z-index:-23008768" coordorigin="957,-45" coordsize="3145,2609">
            <v:shape style="position:absolute;left:967;top:395;width:78;height:108" coordorigin="967,395" coordsize="78,108" path="m967,503l1012,428m1012,428l1045,395e" filled="false" stroked="true" strokeweight="1pt" strokecolor="#f6bd61">
              <v:path arrowok="t"/>
              <v:stroke dashstyle="solid"/>
            </v:shape>
            <v:line style="position:absolute" from="1067,385" to="1067,975" stroked="true" strokeweight="3.25pt" strokecolor="#f6bd61">
              <v:stroke dashstyle="solid"/>
            </v:line>
            <v:line style="position:absolute" from="1090,965" to="1135,935" stroked="true" strokeweight="1pt" strokecolor="#f6bd61">
              <v:stroke dashstyle="solid"/>
            </v:line>
            <v:line style="position:absolute" from="1125,937" to="1180,937" stroked="true" strokeweight="1.125pt" strokecolor="#f6bd61">
              <v:stroke dashstyle="solid"/>
            </v:line>
            <v:shape style="position:absolute;left:1169;top:902;width:570;height:340" coordorigin="1170,903" coordsize="570,340" path="m1170,935l1215,1043m1215,1043l1247,1010m1247,1010l1292,950m1292,950l1337,1150m1337,1150l1370,1088m1370,1088l1415,1165m1415,1165l1460,1088m1460,1088l1495,1165m1495,1165l1540,1135m1540,1135l1585,1243m1585,1243l1617,1210m1617,1210l1662,1150m1662,1150l1695,903m1695,903l1740,980e" filled="false" stroked="true" strokeweight="1pt" strokecolor="#f6bd61">
              <v:path arrowok="t"/>
              <v:stroke dashstyle="solid"/>
            </v:shape>
            <v:line style="position:absolute" from="1730,982" to="1795,982" stroked="true" strokeweight="1.125pt" strokecolor="#f6bd61">
              <v:stroke dashstyle="solid"/>
            </v:line>
            <v:shape style="position:absolute;left:1784;top:502;width:203;height:478" coordorigin="1785,503" coordsize="203,478" path="m1785,980l1820,735m1820,735l1865,765m1865,765l1910,703m1910,703l1942,565m1942,565l1987,503e" filled="false" stroked="true" strokeweight="1pt" strokecolor="#f6bd61">
              <v:path arrowok="t"/>
              <v:stroke dashstyle="solid"/>
            </v:shape>
            <v:line style="position:absolute" from="1977,504" to="2030,504" stroked="true" strokeweight="1.125pt" strokecolor="#f6bd61">
              <v:stroke dashstyle="solid"/>
            </v:line>
            <v:line style="position:absolute" from="2020,503" to="2065,488" stroked="true" strokeweight="1pt" strokecolor="#f6bd61">
              <v:stroke dashstyle="solid"/>
            </v:line>
            <v:line style="position:absolute" from="2055,489" to="2120,489" stroked="true" strokeweight="1.125pt" strokecolor="#f6bd61">
              <v:stroke dashstyle="solid"/>
            </v:line>
            <v:shape style="position:absolute;left:2109;top:487;width:203;height:263" coordorigin="2110,488" coordsize="203,263" path="m2110,488l2145,565m2145,565l2190,735m2190,735l2235,643m2235,643l2267,750m2267,750l2312,610e" filled="false" stroked="true" strokeweight="1pt" strokecolor="#f6bd61">
              <v:path arrowok="t"/>
              <v:stroke dashstyle="solid"/>
            </v:shape>
            <v:line style="position:absolute" from="2302,612" to="2367,612" stroked="true" strokeweight="1.125pt" strokecolor="#f6bd61">
              <v:stroke dashstyle="solid"/>
            </v:line>
            <v:line style="position:absolute" from="2357,610" to="2390,688" stroked="true" strokeweight="1pt" strokecolor="#f6bd61">
              <v:stroke dashstyle="solid"/>
            </v:line>
            <v:shape style="position:absolute;left:2379;top:689;width:100;height:2" coordorigin="2380,689" coordsize="100,0" path="m2380,689l2445,689m2425,689l2480,689e" filled="false" stroked="true" strokeweight="1.125pt" strokecolor="#f6bd61">
              <v:path arrowok="t"/>
              <v:stroke dashstyle="solid"/>
            </v:shape>
            <v:shape style="position:absolute;left:2469;top:550;width:90;height:138" coordorigin="2470,550" coordsize="90,138" path="m2470,688l2515,658m2515,658l2560,550e" filled="false" stroked="true" strokeweight="1pt" strokecolor="#f6bd61">
              <v:path arrowok="t"/>
              <v:stroke dashstyle="solid"/>
            </v:shape>
            <v:shape style="position:absolute;left:2549;top:551;width:98;height:2" coordorigin="2550,552" coordsize="98,0" path="m2550,552l2602,552m2582,552l2647,552e" filled="false" stroked="true" strokeweight="1.125pt" strokecolor="#f6bd61">
              <v:path arrowok="t"/>
              <v:stroke dashstyle="solid"/>
            </v:shape>
            <v:shape style="position:absolute;left:2637;top:365;width:203;height:185" coordorigin="2637,365" coordsize="203,185" path="m2637,550l2682,488m2682,488l2715,518m2715,518l2760,365m2760,365l2805,410m2805,410l2840,380e" filled="false" stroked="true" strokeweight="1pt" strokecolor="#f6bd61">
              <v:path arrowok="t"/>
              <v:stroke dashstyle="solid"/>
            </v:shape>
            <v:line style="position:absolute" from="2830,382" to="2895,382" stroked="true" strokeweight="1.125pt" strokecolor="#f6bd61">
              <v:stroke dashstyle="solid"/>
            </v:line>
            <v:shape style="position:absolute;left:2884;top:380;width:200;height:138" coordorigin="2885,380" coordsize="200,138" path="m2885,380l2917,458m2917,458l2962,488m2962,488l3007,458m3007,458l3040,503m3040,503l3085,518e" filled="false" stroked="true" strokeweight="1pt" strokecolor="#f6bd61">
              <v:path arrowok="t"/>
              <v:stroke dashstyle="solid"/>
            </v:shape>
            <v:line style="position:absolute" from="3075,519" to="3140,519" stroked="true" strokeweight="1.125pt" strokecolor="#f6bd61">
              <v:stroke dashstyle="solid"/>
            </v:line>
            <v:line style="position:absolute" from="3130,518" to="3165,335" stroked="true" strokeweight="1pt" strokecolor="#f6bd61">
              <v:stroke dashstyle="solid"/>
            </v:line>
            <v:line style="position:absolute" from="3155,337" to="3220,337" stroked="true" strokeweight="1.125pt" strokecolor="#f6bd61">
              <v:stroke dashstyle="solid"/>
            </v:line>
            <v:shape style="position:absolute;left:3209;top:135;width:123;height:200" coordorigin="3210,135" coordsize="123,200" path="m3210,335l3242,303m3242,303l3287,165m3287,165l3332,135e" filled="false" stroked="true" strokeweight="1pt" strokecolor="#f6bd61">
              <v:path arrowok="t"/>
              <v:stroke dashstyle="solid"/>
            </v:shape>
            <v:line style="position:absolute" from="3322,137" to="3375,137" stroked="true" strokeweight="1.125pt" strokecolor="#f6bd61">
              <v:stroke dashstyle="solid"/>
            </v:line>
            <v:line style="position:absolute" from="3365,135" to="3410,-20" stroked="true" strokeweight="1pt" strokecolor="#f6bd61">
              <v:stroke dashstyle="solid"/>
            </v:line>
            <v:line style="position:absolute" from="3400,-18" to="3465,-18" stroked="true" strokeweight="1.125pt" strokecolor="#f6bd61">
              <v:stroke dashstyle="solid"/>
            </v:line>
            <v:line style="position:absolute" from="3455,-20" to="3490,-35" stroked="true" strokeweight="1pt" strokecolor="#f6bd61">
              <v:stroke dashstyle="solid"/>
            </v:line>
            <v:line style="position:absolute" from="3512,-45" to="3512,453" stroked="true" strokeweight="3.25pt" strokecolor="#f6bd61">
              <v:stroke dashstyle="solid"/>
            </v:line>
            <v:shape style="position:absolute;left:3524;top:355;width:345;height:250" type="#_x0000_t75" stroked="false">
              <v:imagedata r:id="rId149" o:title=""/>
            </v:shape>
            <v:shape style="position:absolute;left:967;top:595;width:370;height:278" coordorigin="967,595" coordsize="370,278" path="m967,795l1012,843m1012,843l1045,765m1045,765l1090,873m1090,873l1135,828m1135,828l1170,750m1170,750l1215,780m1215,780l1247,718m1247,718l1292,595m1292,595l1337,718e" filled="false" stroked="true" strokeweight="1pt" strokecolor="#de0035">
              <v:path arrowok="t"/>
              <v:stroke dashstyle="solid"/>
            </v:shape>
            <v:line style="position:absolute" from="1327,719" to="1380,719" stroked="true" strokeweight="1.125pt" strokecolor="#de0035">
              <v:stroke dashstyle="solid"/>
            </v:line>
            <v:shape style="position:absolute;left:1369;top:687;width:170;height:78" coordorigin="1370,688" coordsize="170,78" path="m1370,718l1415,688m1415,688l1460,765m1460,765l1495,735m1495,735l1540,703e" filled="false" stroked="true" strokeweight="1pt" strokecolor="#de0035">
              <v:path arrowok="t"/>
              <v:stroke dashstyle="solid"/>
            </v:shape>
            <v:line style="position:absolute" from="1530,704" to="1595,704" stroked="true" strokeweight="1.125pt" strokecolor="#de0035">
              <v:stroke dashstyle="solid"/>
            </v:line>
            <v:line style="position:absolute" from="1585,703" to="1617,795" stroked="true" strokeweight="1pt" strokecolor="#de0035">
              <v:stroke dashstyle="solid"/>
            </v:line>
            <v:line style="position:absolute" from="1607,797" to="1672,797" stroked="true" strokeweight="1.125pt" strokecolor="#de0035">
              <v:stroke dashstyle="solid"/>
            </v:line>
            <v:shape style="position:absolute;left:1662;top:487;width:158;height:308" coordorigin="1662,488" coordsize="158,308" path="m1662,795l1695,750m1695,750l1740,765m1740,765l1785,688m1785,688l1820,488e" filled="false" stroked="true" strokeweight="1pt" strokecolor="#de0035">
              <v:path arrowok="t"/>
              <v:stroke dashstyle="solid"/>
            </v:shape>
            <v:line style="position:absolute" from="1810,489" to="1875,489" stroked="true" strokeweight="1.125pt" strokecolor="#de0035">
              <v:stroke dashstyle="solid"/>
            </v:line>
            <v:line style="position:absolute" from="1865,488" to="1910,610" stroked="true" strokeweight="1pt" strokecolor="#de0035">
              <v:stroke dashstyle="solid"/>
            </v:line>
            <v:line style="position:absolute" from="1900,612" to="1952,612" stroked="true" strokeweight="1.125pt" strokecolor="#de0035">
              <v:stroke dashstyle="solid"/>
            </v:line>
            <v:shape style="position:absolute;left:1942;top:610;width:123;height:340" coordorigin="1942,610" coordsize="123,340" path="m1942,610l1987,735m1987,735l2020,858m2020,858l2065,950e" filled="false" stroked="true" strokeweight="1pt" strokecolor="#de0035">
              <v:path arrowok="t"/>
              <v:stroke dashstyle="solid"/>
            </v:shape>
            <v:line style="position:absolute" from="2055,952" to="2120,952" stroked="true" strokeweight="1.125pt" strokecolor="#de0035">
              <v:stroke dashstyle="solid"/>
            </v:line>
            <v:shape style="position:absolute;left:2109;top:687;width:203;height:263" coordorigin="2110,688" coordsize="203,263" path="m2110,950l2145,843m2145,843l2190,688m2190,688l2235,765m2235,765l2267,810m2267,810l2312,780e" filled="false" stroked="true" strokeweight="1pt" strokecolor="#de0035">
              <v:path arrowok="t"/>
              <v:stroke dashstyle="solid"/>
            </v:shape>
            <v:line style="position:absolute" from="2302,782" to="2367,782" stroked="true" strokeweight="1.125pt" strokecolor="#de0035">
              <v:stroke dashstyle="solid"/>
            </v:line>
            <v:shape style="position:absolute;left:2357;top:550;width:358;height:415" coordorigin="2357,550" coordsize="358,415" path="m2357,780l2390,858m2390,858l2435,965m2435,965l2470,888m2470,888l2515,903m2515,903l2560,688m2560,688l2592,550m2592,550l2637,765m2637,765l2682,873m2682,873l2715,918e" filled="false" stroked="true" strokeweight="1pt" strokecolor="#de0035">
              <v:path arrowok="t"/>
              <v:stroke dashstyle="solid"/>
            </v:shape>
            <v:line style="position:absolute" from="2705,919" to="2770,919" stroked="true" strokeweight="1.125pt" strokecolor="#de0035">
              <v:stroke dashstyle="solid"/>
            </v:line>
            <v:line style="position:absolute" from="2760,918" to="2805,935" stroked="true" strokeweight="1pt" strokecolor="#de0035">
              <v:stroke dashstyle="solid"/>
            </v:line>
            <v:line style="position:absolute" from="2795,937" to="2850,937" stroked="true" strokeweight="1.125pt" strokecolor="#de0035">
              <v:stroke dashstyle="solid"/>
            </v:line>
            <v:line style="position:absolute" from="2840,935" to="2885,888" stroked="true" strokeweight="1pt" strokecolor="#de0035">
              <v:stroke dashstyle="solid"/>
            </v:line>
            <v:line style="position:absolute" from="2875,889" to="2927,889" stroked="true" strokeweight="1.125pt" strokecolor="#de0035">
              <v:stroke dashstyle="solid"/>
            </v:line>
            <v:shape style="position:absolute;left:2917;top:827;width:573;height:430" coordorigin="2917,828" coordsize="573,430" path="m2917,888l2962,1010m2962,1010l3007,828m3007,828l3040,980m3040,980l3085,1165m3085,1165l3130,1103m3130,1103l3165,1088m3165,1088l3210,1165m3210,1165l3242,1180m3242,1180l3287,1135m3287,1135l3332,1103m3332,1103l3365,1150m3365,1150l3410,1180m3410,1180l3455,1150m3455,1150l3490,1258e" filled="false" stroked="true" strokeweight="1pt" strokecolor="#de0035">
              <v:path arrowok="t"/>
              <v:stroke dashstyle="solid"/>
            </v:shape>
            <v:line style="position:absolute" from="3480,1259" to="3545,1259" stroked="true" strokeweight="1.125pt" strokecolor="#de0035">
              <v:stroke dashstyle="solid"/>
            </v:line>
            <v:shape style="position:absolute;left:3534;top:1087;width:325;height:215" coordorigin="3535,1088" coordsize="325,215" path="m3535,1258l3580,1228m3580,1228l3612,1088m3612,1088l3657,1118m3657,1118l3690,1303m3690,1303l3735,1103m3735,1103l3780,1243m3780,1243l3815,1135m3815,1135l3860,1243e" filled="false" stroked="true" strokeweight="1pt" strokecolor="#de0035">
              <v:path arrowok="t"/>
              <v:stroke dashstyle="solid"/>
            </v:shape>
            <v:shape style="position:absolute;left:967;top:317;width:1503;height:1155" coordorigin="967,318" coordsize="1503,1155" path="m967,965l1012,1058m1012,1058l1045,903m1045,903l1090,858m1090,858l1135,750m1135,750l1170,703m1170,703l1215,595m1215,595l1247,565m1247,565l1292,318m1292,318l1337,395m1337,395l1370,488m1370,488l1415,335m1415,335l1460,535m1460,535l1495,503m1495,503l1540,565m1540,565l1585,488m1585,488l1617,703m1617,703l1662,673m1662,673l1695,780m1695,780l1740,795m1740,795l1785,765m1785,765l1820,595m1820,595l1865,550m1865,550l1910,843m1910,843l1942,888m1942,888l1987,1058m1987,1058l2020,1228m2020,1228l2065,1380m2065,1380l2110,1395m2110,1395l2145,1228m2145,1228l2190,935m2190,935l2235,995m2235,995l2267,1073m2267,1073l2312,1043m2312,1043l2357,1073m2357,1073l2390,1243m2390,1243l2435,1473m2435,1473l2470,1288e" filled="false" stroked="true" strokeweight="1pt" strokecolor="#0099d9">
              <v:path arrowok="t"/>
              <v:stroke dashstyle="solid"/>
            </v:shape>
            <v:line style="position:absolute" from="2460,1289" to="2525,1289" stroked="true" strokeweight="1.125pt" strokecolor="#0099d9">
              <v:stroke dashstyle="solid"/>
            </v:line>
            <v:shape style="position:absolute;left:2514;top:935;width:290;height:800" coordorigin="2515,935" coordsize="290,800" path="m2515,1288l2560,1135m2560,1135l2592,935m2592,935l2637,1258m2637,1258l2682,1488m2682,1488l2715,1565m2715,1565l2760,1658m2760,1658l2805,1735e" filled="false" stroked="true" strokeweight="1pt" strokecolor="#0099d9">
              <v:path arrowok="t"/>
              <v:stroke dashstyle="solid"/>
            </v:shape>
            <v:line style="position:absolute" from="2795,1737" to="2850,1737" stroked="true" strokeweight="1.125pt" strokecolor="#0099d9">
              <v:stroke dashstyle="solid"/>
            </v:line>
            <v:shape style="position:absolute;left:2839;top:1535;width:245;height:353" coordorigin="2840,1535" coordsize="245,353" path="m2840,1735l2885,1580m2885,1580l2917,1565m2917,1565l2962,1765m2962,1765l3007,1535m3007,1535l3040,1658m3040,1658l3085,1888e" filled="false" stroked="true" strokeweight="1pt" strokecolor="#0099d9">
              <v:path arrowok="t"/>
              <v:stroke dashstyle="solid"/>
            </v:shape>
            <v:shape style="position:absolute;left:3074;top:1889;width:100;height:2" coordorigin="3075,1889" coordsize="100,0" path="m3075,1889l3140,1889m3120,1889l3175,1889e" filled="false" stroked="true" strokeweight="1.125pt" strokecolor="#0099d9">
              <v:path arrowok="t"/>
              <v:stroke dashstyle="solid"/>
            </v:shape>
            <v:line style="position:absolute" from="3165,1888" to="3210,2073" stroked="true" strokeweight="1pt" strokecolor="#0099d9">
              <v:stroke dashstyle="solid"/>
            </v:line>
            <v:line style="position:absolute" from="3200,2074" to="3252,2074" stroked="true" strokeweight="1.125pt" strokecolor="#0099d9">
              <v:stroke dashstyle="solid"/>
            </v:line>
            <v:shape style="position:absolute;left:3242;top:2010;width:493;height:493" coordorigin="3242,2010" coordsize="493,493" path="m3242,2073l3287,2150m3287,2150l3332,2120m3332,2120l3365,2195m3365,2195l3410,2380m3410,2380l3455,2350m3455,2350l3490,2503m3490,2503l3535,2228m3535,2228l3580,2273m3580,2273l3612,2010m3612,2010l3657,2073m3657,2073l3690,2350m3690,2350l3735,2120e" filled="false" stroked="true" strokeweight="1pt" strokecolor="#0099d9">
              <v:path arrowok="t"/>
              <v:stroke dashstyle="solid"/>
            </v:shape>
            <v:line style="position:absolute" from="3725,2122" to="3790,2122" stroked="true" strokeweight="1.125pt" strokecolor="#0099d9">
              <v:stroke dashstyle="solid"/>
            </v:line>
            <v:shape style="position:absolute;left:3779;top:1935;width:80;height:185" coordorigin="3780,1935" coordsize="80,185" path="m3780,2120l3815,1935m3815,1935l3860,2103e" filled="false" stroked="true" strokeweight="1pt" strokecolor="#0099d9">
              <v:path arrowok="t"/>
              <v:stroke dashstyle="solid"/>
            </v:shape>
            <v:shape style="position:absolute;left:3924;top:96;width:87;height:2007" coordorigin="3924,97" coordsize="87,2007" path="m3924,97l4011,97m3924,383l4011,383m3924,670l4011,670m3924,957l4011,957m3924,1243l4011,1243m3924,1530l4011,1530m3924,1817l4011,1817m3924,2104l4011,2104e" filled="false" stroked="true" strokeweight=".5pt" strokecolor="#000000">
              <v:path arrowok="t"/>
              <v:stroke dashstyle="solid"/>
            </v:shape>
            <v:shape style="position:absolute;left:2851;top:51;width:439;height:121" type="#_x0000_t202" filled="false" stroked="false">
              <v:textbox inset="0,0,0,0">
                <w:txbxContent>
                  <w:p>
                    <w:pPr>
                      <w:spacing w:line="116" w:lineRule="exact" w:before="0"/>
                      <w:ind w:left="0" w:right="0" w:firstLine="0"/>
                      <w:jc w:val="left"/>
                      <w:rPr>
                        <w:sz w:val="12"/>
                      </w:rPr>
                    </w:pPr>
                    <w:r>
                      <w:rPr>
                        <w:w w:val="105"/>
                        <w:sz w:val="12"/>
                      </w:rPr>
                      <w:t>Services</w:t>
                    </w:r>
                  </w:p>
                </w:txbxContent>
              </v:textbox>
              <w10:wrap type="none"/>
            </v:shape>
            <v:shape style="position:absolute;left:3053;top:835;width:276;height:121" type="#_x0000_t202" filled="false" stroked="false">
              <v:textbox inset="0,0,0,0">
                <w:txbxContent>
                  <w:p>
                    <w:pPr>
                      <w:spacing w:line="116" w:lineRule="exact" w:before="0"/>
                      <w:ind w:left="0" w:right="0" w:firstLine="0"/>
                      <w:jc w:val="left"/>
                      <w:rPr>
                        <w:sz w:val="12"/>
                      </w:rPr>
                    </w:pPr>
                    <w:r>
                      <w:rPr>
                        <w:w w:val="95"/>
                        <w:sz w:val="12"/>
                      </w:rPr>
                      <w:t>RPIX</w:t>
                    </w:r>
                  </w:p>
                </w:txbxContent>
              </v:textbox>
              <w10:wrap type="none"/>
            </v:shape>
            <v:shape style="position:absolute;left:2714;top:1827;width:356;height:121" type="#_x0000_t202" filled="false" stroked="false">
              <v:textbox inset="0,0,0,0">
                <w:txbxContent>
                  <w:p>
                    <w:pPr>
                      <w:spacing w:line="116" w:lineRule="exact" w:before="0"/>
                      <w:ind w:left="0" w:right="0" w:firstLine="0"/>
                      <w:jc w:val="left"/>
                      <w:rPr>
                        <w:sz w:val="12"/>
                      </w:rPr>
                    </w:pPr>
                    <w:r>
                      <w:rPr>
                        <w:w w:val="105"/>
                        <w:sz w:val="12"/>
                      </w:rPr>
                      <w:t>Goods</w:t>
                    </w:r>
                  </w:p>
                </w:txbxContent>
              </v:textbox>
              <w10:wrap type="none"/>
            </v:shape>
            <v:shape style="position:absolute;left:960;top:2307;width:3071;height:134" type="#_x0000_t202" filled="false" stroked="false">
              <v:textbox inset="0,0,0,0">
                <w:txbxContent>
                  <w:p>
                    <w:pPr>
                      <w:tabs>
                        <w:tab w:pos="2899" w:val="left" w:leader="none"/>
                      </w:tabs>
                      <w:spacing w:line="133" w:lineRule="exact" w:before="0"/>
                      <w:ind w:left="0" w:right="0" w:firstLine="0"/>
                      <w:jc w:val="left"/>
                      <w:rPr>
                        <w:sz w:val="12"/>
                      </w:rPr>
                    </w:pPr>
                    <w:r>
                      <w:rPr>
                        <w:sz w:val="12"/>
                        <w:u w:val="single"/>
                      </w:rPr>
                      <w:t> </w:t>
                      <w:tab/>
                    </w:r>
                    <w:r>
                      <w:rPr>
                        <w:sz w:val="12"/>
                      </w:rPr>
                      <w:t> </w:t>
                    </w:r>
                    <w:r>
                      <w:rPr>
                        <w:spacing w:val="3"/>
                        <w:sz w:val="12"/>
                      </w:rPr>
                      <w:t> </w:t>
                    </w:r>
                    <w:r>
                      <w:rPr>
                        <w:sz w:val="12"/>
                        <w:u w:val="single"/>
                      </w:rPr>
                      <w:t> </w:t>
                    </w:r>
                    <w:r>
                      <w:rPr>
                        <w:spacing w:val="-4"/>
                        <w:sz w:val="12"/>
                        <w:u w:val="single"/>
                      </w:rPr>
                      <w:t> </w:t>
                    </w:r>
                  </w:p>
                </w:txbxContent>
              </v:textbox>
              <w10:wrap type="none"/>
            </v:shape>
            <v:shape style="position:absolute;left:3984;top:2188;width:118;height:161" type="#_x0000_t202" filled="false" stroked="false">
              <v:textbox inset="0,0,0,0">
                <w:txbxContent>
                  <w:p>
                    <w:pPr>
                      <w:spacing w:line="155" w:lineRule="exact" w:before="0"/>
                      <w:ind w:left="0" w:right="0" w:firstLine="0"/>
                      <w:jc w:val="left"/>
                      <w:rPr>
                        <w:sz w:val="16"/>
                      </w:rPr>
                    </w:pPr>
                    <w:r>
                      <w:rPr>
                        <w:w w:val="107"/>
                        <w:sz w:val="16"/>
                      </w:rPr>
                      <w:t>+</w:t>
                    </w:r>
                  </w:p>
                </w:txbxContent>
              </v:textbox>
              <w10:wrap type="none"/>
            </v:shape>
            <v:shape style="position:absolute;left:3986;top:2403;width:114;height:161" type="#_x0000_t202" filled="false" stroked="false">
              <v:textbox inset="0,0,0,0">
                <w:txbxContent>
                  <w:p>
                    <w:pPr>
                      <w:spacing w:line="155" w:lineRule="exact" w:before="0"/>
                      <w:ind w:left="0" w:right="0" w:firstLine="0"/>
                      <w:jc w:val="left"/>
                      <w:rPr>
                        <w:sz w:val="16"/>
                      </w:rPr>
                    </w:pPr>
                    <w:r>
                      <w:rPr>
                        <w:w w:val="117"/>
                        <w:sz w:val="16"/>
                      </w:rPr>
                      <w:t>–</w:t>
                    </w:r>
                  </w:p>
                </w:txbxContent>
              </v:textbox>
              <w10:wrap type="none"/>
            </v:shape>
            <w10:wrap type="none"/>
          </v:group>
        </w:pict>
      </w:r>
      <w:r>
        <w:rPr/>
        <w:pict>
          <v:line style="position:absolute;mso-position-horizontal-relative:page;mso-position-vertical-relative:paragraph;z-index:16322048" from="39.958pt,4.828453pt" to="44.291pt,4.828453pt" stroked="true" strokeweight=".5pt" strokecolor="#000000">
            <v:stroke dashstyle="solid"/>
            <w10:wrap type="none"/>
          </v:line>
        </w:pict>
      </w:r>
      <w:r>
        <w:rPr>
          <w:spacing w:val="-1"/>
          <w:w w:val="115"/>
          <w:sz w:val="12"/>
        </w:rPr>
        <w:t>4.0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322560" from="39.958pt,4.726063pt" to="44.291pt,4.726063pt" stroked="true" strokeweight=".5pt" strokecolor="#000000">
            <v:stroke dashstyle="solid"/>
            <w10:wrap type="none"/>
          </v:line>
        </w:pict>
      </w:r>
      <w:r>
        <w:rPr>
          <w:spacing w:val="-1"/>
          <w:w w:val="115"/>
          <w:sz w:val="12"/>
        </w:rPr>
        <w:t>3.5</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323072" from="39.958pt,4.674673pt" to="44.291pt,4.674673pt" stroked="true" strokeweight=".5pt" strokecolor="#000000">
            <v:stroke dashstyle="solid"/>
            <w10:wrap type="none"/>
          </v:line>
        </w:pict>
      </w:r>
      <w:r>
        <w:rPr>
          <w:spacing w:val="-1"/>
          <w:w w:val="115"/>
          <w:sz w:val="12"/>
        </w:rPr>
        <w:t>3.0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323584" from="39.958pt,4.622283pt" to="44.291pt,4.622283pt" stroked="true" strokeweight=".5pt" strokecolor="#000000">
            <v:stroke dashstyle="solid"/>
            <w10:wrap type="none"/>
          </v:line>
        </w:pict>
      </w:r>
      <w:r>
        <w:rPr>
          <w:spacing w:val="-1"/>
          <w:w w:val="115"/>
          <w:sz w:val="12"/>
        </w:rPr>
        <w:t>2.5</w:t>
      </w:r>
    </w:p>
    <w:p>
      <w:pPr>
        <w:pStyle w:val="BodyText"/>
        <w:rPr>
          <w:sz w:val="13"/>
        </w:rPr>
      </w:pPr>
    </w:p>
    <w:p>
      <w:pPr>
        <w:spacing w:before="1"/>
        <w:ind w:left="0" w:right="38" w:firstLine="0"/>
        <w:jc w:val="right"/>
        <w:rPr>
          <w:sz w:val="12"/>
        </w:rPr>
      </w:pPr>
      <w:r>
        <w:rPr/>
        <w:pict>
          <v:line style="position:absolute;mso-position-horizontal-relative:page;mso-position-vertical-relative:paragraph;z-index:16324096" from="39.958pt,4.620893pt" to="44.291pt,4.620893pt" stroked="true" strokeweight=".5pt" strokecolor="#000000">
            <v:stroke dashstyle="solid"/>
            <w10:wrap type="none"/>
          </v:line>
        </w:pict>
      </w:r>
      <w:r>
        <w:rPr>
          <w:spacing w:val="-1"/>
          <w:w w:val="115"/>
          <w:sz w:val="12"/>
        </w:rPr>
        <w:t>2.0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324608" from="39.958pt,4.517892pt" to="44.291pt,4.517892pt" stroked="true" strokeweight=".5pt" strokecolor="#000000">
            <v:stroke dashstyle="solid"/>
            <w10:wrap type="none"/>
          </v:line>
        </w:pict>
      </w:r>
      <w:r>
        <w:rPr>
          <w:spacing w:val="-1"/>
          <w:w w:val="115"/>
          <w:sz w:val="12"/>
        </w:rPr>
        <w:t>1.5</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325120" from="39.958pt,4.464891pt" to="44.291pt,4.464891pt" stroked="true" strokeweight=".5pt" strokecolor="#000000">
            <v:stroke dashstyle="solid"/>
            <w10:wrap type="none"/>
          </v:line>
        </w:pict>
      </w:r>
      <w:r>
        <w:rPr>
          <w:spacing w:val="-1"/>
          <w:w w:val="115"/>
          <w:sz w:val="12"/>
        </w:rPr>
        <w:t>1.0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326144" from="39.958pt,4.413081pt" to="44.291pt,4.413081pt" stroked="true" strokeweight=".5pt" strokecolor="#000000">
            <v:stroke dashstyle="solid"/>
            <w10:wrap type="none"/>
          </v:line>
        </w:pict>
      </w:r>
      <w:r>
        <w:rPr>
          <w:spacing w:val="-1"/>
          <w:w w:val="115"/>
          <w:sz w:val="12"/>
        </w:rPr>
        <w:t>0.5</w:t>
      </w:r>
    </w:p>
    <w:p>
      <w:pPr>
        <w:pStyle w:val="BodyText"/>
        <w:spacing w:before="1"/>
        <w:rPr>
          <w:sz w:val="13"/>
        </w:rPr>
      </w:pPr>
    </w:p>
    <w:p>
      <w:pPr>
        <w:spacing w:before="0"/>
        <w:ind w:left="0" w:right="38" w:firstLine="0"/>
        <w:jc w:val="right"/>
        <w:rPr>
          <w:sz w:val="12"/>
        </w:rPr>
      </w:pPr>
      <w:r>
        <w:rPr/>
        <w:pict>
          <v:shape style="position:absolute;margin-left:39.958pt;margin-top:15.342081pt;width:160.6pt;height:3.4pt;mso-position-horizontal-relative:page;mso-position-vertical-relative:paragraph;z-index:16321536" coordorigin="799,307" coordsize="3212,68" path="m961,374l3867,374m958,307l958,374m1449,307l1449,374m1940,307l1940,374m2431,307l2431,374m2922,307l2922,374m3412,307l3412,374m799,374l886,374m3924,374l4011,374e" filled="false" stroked="true" strokeweight=".5pt" strokecolor="#000000">
            <v:path arrowok="t"/>
            <v:stroke dashstyle="solid"/>
            <w10:wrap type="none"/>
          </v:shape>
        </w:pict>
      </w:r>
      <w:r>
        <w:rPr/>
        <w:pict>
          <v:line style="position:absolute;mso-position-horizontal-relative:page;mso-position-vertical-relative:paragraph;z-index:16325632" from="39.958pt,4.361081pt" to="44.291pt,4.361081pt" stroked="true" strokeweight=".5pt" strokecolor="#000000">
            <v:stroke dashstyle="solid"/>
            <w10:wrap type="none"/>
          </v:line>
        </w:pict>
      </w:r>
      <w:r>
        <w:rPr>
          <w:spacing w:val="-1"/>
          <w:w w:val="115"/>
          <w:sz w:val="12"/>
        </w:rPr>
        <w:t>0.0</w:t>
      </w:r>
    </w:p>
    <w:p>
      <w:pPr>
        <w:pStyle w:val="BodyText"/>
        <w:spacing w:line="292" w:lineRule="auto" w:before="64"/>
        <w:ind w:left="192" w:right="400"/>
      </w:pPr>
      <w:r>
        <w:rPr/>
        <w:br w:type="column"/>
      </w:r>
      <w:r>
        <w:rPr>
          <w:w w:val="110"/>
        </w:rPr>
        <w:t>comparison,</w:t>
      </w:r>
      <w:r>
        <w:rPr>
          <w:spacing w:val="-21"/>
          <w:w w:val="110"/>
        </w:rPr>
        <w:t> </w:t>
      </w:r>
      <w:r>
        <w:rPr>
          <w:w w:val="110"/>
        </w:rPr>
        <w:t>as</w:t>
      </w:r>
      <w:r>
        <w:rPr>
          <w:spacing w:val="-21"/>
          <w:w w:val="110"/>
        </w:rPr>
        <w:t> </w:t>
      </w:r>
      <w:r>
        <w:rPr>
          <w:w w:val="110"/>
        </w:rPr>
        <w:t>well</w:t>
      </w:r>
      <w:r>
        <w:rPr>
          <w:spacing w:val="-20"/>
          <w:w w:val="110"/>
        </w:rPr>
        <w:t> </w:t>
      </w:r>
      <w:r>
        <w:rPr>
          <w:w w:val="110"/>
        </w:rPr>
        <w:t>as</w:t>
      </w:r>
      <w:r>
        <w:rPr>
          <w:spacing w:val="-21"/>
          <w:w w:val="110"/>
        </w:rPr>
        <w:t> </w:t>
      </w:r>
      <w:r>
        <w:rPr>
          <w:w w:val="110"/>
        </w:rPr>
        <w:t>increased</w:t>
      </w:r>
      <w:r>
        <w:rPr>
          <w:spacing w:val="-20"/>
          <w:w w:val="110"/>
        </w:rPr>
        <w:t> </w:t>
      </w:r>
      <w:r>
        <w:rPr>
          <w:w w:val="110"/>
        </w:rPr>
        <w:t>discounts</w:t>
      </w:r>
      <w:r>
        <w:rPr>
          <w:spacing w:val="-21"/>
          <w:w w:val="110"/>
        </w:rPr>
        <w:t> </w:t>
      </w:r>
      <w:r>
        <w:rPr>
          <w:w w:val="110"/>
        </w:rPr>
        <w:t>on</w:t>
      </w:r>
      <w:r>
        <w:rPr>
          <w:spacing w:val="-21"/>
          <w:w w:val="110"/>
        </w:rPr>
        <w:t> </w:t>
      </w:r>
      <w:r>
        <w:rPr>
          <w:spacing w:val="-3"/>
          <w:w w:val="110"/>
        </w:rPr>
        <w:t>variable-rate </w:t>
      </w:r>
      <w:r>
        <w:rPr>
          <w:w w:val="110"/>
        </w:rPr>
        <w:t>mortgages</w:t>
      </w:r>
      <w:r>
        <w:rPr>
          <w:spacing w:val="-22"/>
          <w:w w:val="110"/>
        </w:rPr>
        <w:t> </w:t>
      </w:r>
      <w:r>
        <w:rPr>
          <w:w w:val="110"/>
        </w:rPr>
        <w:t>and</w:t>
      </w:r>
      <w:r>
        <w:rPr>
          <w:spacing w:val="-22"/>
          <w:w w:val="110"/>
        </w:rPr>
        <w:t> </w:t>
      </w:r>
      <w:r>
        <w:rPr>
          <w:spacing w:val="-3"/>
          <w:w w:val="110"/>
        </w:rPr>
        <w:t>lower</w:t>
      </w:r>
      <w:r>
        <w:rPr>
          <w:spacing w:val="-21"/>
          <w:w w:val="110"/>
        </w:rPr>
        <w:t> </w:t>
      </w:r>
      <w:r>
        <w:rPr>
          <w:spacing w:val="-4"/>
          <w:w w:val="110"/>
        </w:rPr>
        <w:t>rates</w:t>
      </w:r>
      <w:r>
        <w:rPr>
          <w:spacing w:val="-22"/>
          <w:w w:val="110"/>
        </w:rPr>
        <w:t> </w:t>
      </w:r>
      <w:r>
        <w:rPr>
          <w:w w:val="110"/>
        </w:rPr>
        <w:t>on</w:t>
      </w:r>
      <w:r>
        <w:rPr>
          <w:spacing w:val="-21"/>
          <w:w w:val="110"/>
        </w:rPr>
        <w:t> </w:t>
      </w:r>
      <w:r>
        <w:rPr>
          <w:w w:val="110"/>
        </w:rPr>
        <w:t>new</w:t>
      </w:r>
      <w:r>
        <w:rPr>
          <w:spacing w:val="-22"/>
          <w:w w:val="110"/>
        </w:rPr>
        <w:t> </w:t>
      </w:r>
      <w:r>
        <w:rPr>
          <w:spacing w:val="-3"/>
          <w:w w:val="110"/>
        </w:rPr>
        <w:t>fixed-rate</w:t>
      </w:r>
      <w:r>
        <w:rPr>
          <w:spacing w:val="-21"/>
          <w:w w:val="110"/>
        </w:rPr>
        <w:t> </w:t>
      </w:r>
      <w:r>
        <w:rPr>
          <w:w w:val="110"/>
        </w:rPr>
        <w:t>mortgages</w:t>
      </w:r>
      <w:r>
        <w:rPr>
          <w:spacing w:val="-22"/>
          <w:w w:val="110"/>
        </w:rPr>
        <w:t> </w:t>
      </w:r>
      <w:r>
        <w:rPr>
          <w:w w:val="110"/>
        </w:rPr>
        <w:t>(see </w:t>
      </w:r>
      <w:hyperlink w:history="true" w:anchor="_bookmark8">
        <w:r>
          <w:rPr>
            <w:color w:val="FF0000"/>
            <w:w w:val="110"/>
          </w:rPr>
          <w:t>Section</w:t>
        </w:r>
        <w:r>
          <w:rPr>
            <w:color w:val="FF0000"/>
            <w:spacing w:val="-15"/>
            <w:w w:val="110"/>
          </w:rPr>
          <w:t> </w:t>
        </w:r>
        <w:r>
          <w:rPr>
            <w:color w:val="FF0000"/>
            <w:w w:val="110"/>
          </w:rPr>
          <w:t>1.2</w:t>
        </w:r>
        <w:r>
          <w:rPr>
            <w:w w:val="110"/>
          </w:rPr>
          <w:t>).</w:t>
        </w:r>
      </w:hyperlink>
      <w:r>
        <w:rPr>
          <w:spacing w:val="26"/>
          <w:w w:val="110"/>
        </w:rPr>
        <w:t> </w:t>
      </w:r>
      <w:r>
        <w:rPr>
          <w:w w:val="110"/>
        </w:rPr>
        <w:t>These</w:t>
      </w:r>
      <w:r>
        <w:rPr>
          <w:spacing w:val="-14"/>
          <w:w w:val="110"/>
        </w:rPr>
        <w:t> </w:t>
      </w:r>
      <w:r>
        <w:rPr>
          <w:w w:val="110"/>
        </w:rPr>
        <w:t>factors</w:t>
      </w:r>
      <w:r>
        <w:rPr>
          <w:spacing w:val="-15"/>
          <w:w w:val="110"/>
        </w:rPr>
        <w:t> </w:t>
      </w:r>
      <w:r>
        <w:rPr>
          <w:w w:val="110"/>
        </w:rPr>
        <w:t>meant</w:t>
      </w:r>
      <w:r>
        <w:rPr>
          <w:spacing w:val="-15"/>
          <w:w w:val="110"/>
        </w:rPr>
        <w:t> </w:t>
      </w:r>
      <w:r>
        <w:rPr>
          <w:w w:val="110"/>
        </w:rPr>
        <w:t>that</w:t>
      </w:r>
      <w:r>
        <w:rPr>
          <w:spacing w:val="-14"/>
          <w:w w:val="110"/>
        </w:rPr>
        <w:t> </w:t>
      </w:r>
      <w:r>
        <w:rPr>
          <w:w w:val="110"/>
        </w:rPr>
        <w:t>the</w:t>
      </w:r>
      <w:r>
        <w:rPr>
          <w:spacing w:val="-15"/>
          <w:w w:val="110"/>
        </w:rPr>
        <w:t> </w:t>
      </w:r>
      <w:r>
        <w:rPr>
          <w:w w:val="110"/>
        </w:rPr>
        <w:t>gap</w:t>
      </w:r>
      <w:r>
        <w:rPr>
          <w:spacing w:val="-15"/>
          <w:w w:val="110"/>
        </w:rPr>
        <w:t> </w:t>
      </w:r>
      <w:r>
        <w:rPr>
          <w:spacing w:val="-3"/>
          <w:w w:val="110"/>
        </w:rPr>
        <w:t>between</w:t>
      </w:r>
      <w:r>
        <w:rPr>
          <w:spacing w:val="-14"/>
          <w:w w:val="110"/>
        </w:rPr>
        <w:t> </w:t>
      </w:r>
      <w:r>
        <w:rPr>
          <w:w w:val="110"/>
        </w:rPr>
        <w:t>RPI and</w:t>
      </w:r>
      <w:r>
        <w:rPr>
          <w:spacing w:val="-18"/>
          <w:w w:val="110"/>
        </w:rPr>
        <w:t> </w:t>
      </w:r>
      <w:r>
        <w:rPr>
          <w:w w:val="110"/>
        </w:rPr>
        <w:t>RPIX</w:t>
      </w:r>
      <w:r>
        <w:rPr>
          <w:spacing w:val="-17"/>
          <w:w w:val="110"/>
        </w:rPr>
        <w:t> </w:t>
      </w:r>
      <w:r>
        <w:rPr>
          <w:w w:val="110"/>
        </w:rPr>
        <w:t>inflation</w:t>
      </w:r>
      <w:r>
        <w:rPr>
          <w:spacing w:val="-17"/>
          <w:w w:val="110"/>
        </w:rPr>
        <w:t> </w:t>
      </w:r>
      <w:r>
        <w:rPr>
          <w:w w:val="110"/>
        </w:rPr>
        <w:t>fell</w:t>
      </w:r>
      <w:r>
        <w:rPr>
          <w:spacing w:val="-17"/>
          <w:w w:val="110"/>
        </w:rPr>
        <w:t> </w:t>
      </w:r>
      <w:r>
        <w:rPr>
          <w:spacing w:val="-4"/>
          <w:w w:val="110"/>
        </w:rPr>
        <w:t>to</w:t>
      </w:r>
      <w:r>
        <w:rPr>
          <w:spacing w:val="-17"/>
          <w:w w:val="110"/>
        </w:rPr>
        <w:t> </w:t>
      </w:r>
      <w:r>
        <w:rPr>
          <w:w w:val="110"/>
        </w:rPr>
        <w:t>its</w:t>
      </w:r>
      <w:r>
        <w:rPr>
          <w:spacing w:val="-17"/>
          <w:w w:val="110"/>
        </w:rPr>
        <w:t> </w:t>
      </w:r>
      <w:r>
        <w:rPr>
          <w:spacing w:val="-3"/>
          <w:w w:val="110"/>
        </w:rPr>
        <w:t>lowest</w:t>
      </w:r>
      <w:r>
        <w:rPr>
          <w:spacing w:val="-18"/>
          <w:w w:val="110"/>
        </w:rPr>
        <w:t> </w:t>
      </w:r>
      <w:r>
        <w:rPr>
          <w:spacing w:val="-3"/>
          <w:w w:val="110"/>
        </w:rPr>
        <w:t>level</w:t>
      </w:r>
      <w:r>
        <w:rPr>
          <w:spacing w:val="-17"/>
          <w:w w:val="110"/>
        </w:rPr>
        <w:t> </w:t>
      </w:r>
      <w:r>
        <w:rPr>
          <w:w w:val="110"/>
        </w:rPr>
        <w:t>in</w:t>
      </w:r>
      <w:r>
        <w:rPr>
          <w:spacing w:val="-17"/>
          <w:w w:val="110"/>
        </w:rPr>
        <w:t> </w:t>
      </w:r>
      <w:r>
        <w:rPr>
          <w:w w:val="110"/>
        </w:rPr>
        <w:t>nine</w:t>
      </w:r>
      <w:r>
        <w:rPr>
          <w:spacing w:val="-17"/>
          <w:w w:val="110"/>
        </w:rPr>
        <w:t> </w:t>
      </w:r>
      <w:r>
        <w:rPr>
          <w:w w:val="110"/>
        </w:rPr>
        <w:t>months.</w:t>
      </w:r>
    </w:p>
    <w:p>
      <w:pPr>
        <w:pStyle w:val="BodyText"/>
        <w:spacing w:line="228" w:lineRule="exact"/>
        <w:ind w:left="192"/>
      </w:pPr>
      <w:r>
        <w:rPr>
          <w:spacing w:val="-3"/>
          <w:w w:val="110"/>
        </w:rPr>
        <w:t>Moreover,</w:t>
      </w:r>
      <w:r>
        <w:rPr>
          <w:spacing w:val="-17"/>
          <w:w w:val="110"/>
        </w:rPr>
        <w:t> </w:t>
      </w:r>
      <w:r>
        <w:rPr>
          <w:w w:val="110"/>
        </w:rPr>
        <w:t>given</w:t>
      </w:r>
      <w:r>
        <w:rPr>
          <w:spacing w:val="-17"/>
          <w:w w:val="110"/>
        </w:rPr>
        <w:t> </w:t>
      </w:r>
      <w:r>
        <w:rPr>
          <w:w w:val="110"/>
        </w:rPr>
        <w:t>the</w:t>
      </w:r>
      <w:r>
        <w:rPr>
          <w:spacing w:val="-17"/>
          <w:w w:val="110"/>
        </w:rPr>
        <w:t> </w:t>
      </w:r>
      <w:r>
        <w:rPr>
          <w:w w:val="110"/>
        </w:rPr>
        <w:t>reduction</w:t>
      </w:r>
      <w:r>
        <w:rPr>
          <w:spacing w:val="-17"/>
          <w:w w:val="110"/>
        </w:rPr>
        <w:t> </w:t>
      </w:r>
      <w:r>
        <w:rPr>
          <w:w w:val="110"/>
        </w:rPr>
        <w:t>in</w:t>
      </w:r>
      <w:r>
        <w:rPr>
          <w:spacing w:val="-17"/>
          <w:w w:val="110"/>
        </w:rPr>
        <w:t> </w:t>
      </w:r>
      <w:r>
        <w:rPr>
          <w:w w:val="110"/>
        </w:rPr>
        <w:t>the</w:t>
      </w:r>
      <w:r>
        <w:rPr>
          <w:spacing w:val="-17"/>
          <w:w w:val="110"/>
        </w:rPr>
        <w:t> </w:t>
      </w:r>
      <w:r>
        <w:rPr>
          <w:spacing w:val="-3"/>
          <w:w w:val="110"/>
        </w:rPr>
        <w:t>Bank’s</w:t>
      </w:r>
      <w:r>
        <w:rPr>
          <w:spacing w:val="-17"/>
          <w:w w:val="110"/>
        </w:rPr>
        <w:t> </w:t>
      </w:r>
      <w:r>
        <w:rPr>
          <w:w w:val="110"/>
        </w:rPr>
        <w:t>repo</w:t>
      </w:r>
      <w:r>
        <w:rPr>
          <w:spacing w:val="-17"/>
          <w:w w:val="110"/>
        </w:rPr>
        <w:t> </w:t>
      </w:r>
      <w:r>
        <w:rPr>
          <w:spacing w:val="-4"/>
          <w:w w:val="110"/>
        </w:rPr>
        <w:t>rate</w:t>
      </w:r>
      <w:r>
        <w:rPr>
          <w:spacing w:val="-17"/>
          <w:w w:val="110"/>
        </w:rPr>
        <w:t> </w:t>
      </w:r>
      <w:r>
        <w:rPr>
          <w:w w:val="110"/>
        </w:rPr>
        <w:t>on</w:t>
      </w:r>
    </w:p>
    <w:p>
      <w:pPr>
        <w:pStyle w:val="BodyText"/>
        <w:spacing w:line="292" w:lineRule="auto" w:before="50"/>
        <w:ind w:left="192" w:right="154"/>
      </w:pPr>
      <w:r>
        <w:rPr>
          <w:w w:val="105"/>
        </w:rPr>
        <w:t>8</w:t>
      </w:r>
      <w:r>
        <w:rPr>
          <w:spacing w:val="-9"/>
          <w:w w:val="105"/>
        </w:rPr>
        <w:t> </w:t>
      </w:r>
      <w:r>
        <w:rPr>
          <w:spacing w:val="-3"/>
          <w:w w:val="105"/>
        </w:rPr>
        <w:t>February,</w:t>
      </w:r>
      <w:r>
        <w:rPr>
          <w:spacing w:val="-8"/>
          <w:w w:val="105"/>
        </w:rPr>
        <w:t> </w:t>
      </w:r>
      <w:r>
        <w:rPr>
          <w:w w:val="105"/>
        </w:rPr>
        <w:t>RPI</w:t>
      </w:r>
      <w:r>
        <w:rPr>
          <w:spacing w:val="-8"/>
          <w:w w:val="105"/>
        </w:rPr>
        <w:t> </w:t>
      </w:r>
      <w:r>
        <w:rPr>
          <w:w w:val="105"/>
        </w:rPr>
        <w:t>inflation</w:t>
      </w:r>
      <w:r>
        <w:rPr>
          <w:spacing w:val="-8"/>
          <w:w w:val="105"/>
        </w:rPr>
        <w:t> </w:t>
      </w:r>
      <w:r>
        <w:rPr>
          <w:w w:val="105"/>
        </w:rPr>
        <w:t>is</w:t>
      </w:r>
      <w:r>
        <w:rPr>
          <w:spacing w:val="-9"/>
          <w:w w:val="105"/>
        </w:rPr>
        <w:t> </w:t>
      </w:r>
      <w:r>
        <w:rPr>
          <w:w w:val="105"/>
        </w:rPr>
        <w:t>likely</w:t>
      </w:r>
      <w:r>
        <w:rPr>
          <w:spacing w:val="-8"/>
          <w:w w:val="105"/>
        </w:rPr>
        <w:t> </w:t>
      </w:r>
      <w:r>
        <w:rPr>
          <w:spacing w:val="-4"/>
          <w:w w:val="105"/>
        </w:rPr>
        <w:t>to</w:t>
      </w:r>
      <w:r>
        <w:rPr>
          <w:spacing w:val="-8"/>
          <w:w w:val="105"/>
        </w:rPr>
        <w:t> </w:t>
      </w:r>
      <w:r>
        <w:rPr>
          <w:w w:val="105"/>
        </w:rPr>
        <w:t>dip</w:t>
      </w:r>
      <w:r>
        <w:rPr>
          <w:spacing w:val="-8"/>
          <w:w w:val="105"/>
        </w:rPr>
        <w:t> </w:t>
      </w:r>
      <w:r>
        <w:rPr>
          <w:w w:val="105"/>
        </w:rPr>
        <w:t>below</w:t>
      </w:r>
      <w:r>
        <w:rPr>
          <w:spacing w:val="-9"/>
          <w:w w:val="105"/>
        </w:rPr>
        <w:t> </w:t>
      </w:r>
      <w:r>
        <w:rPr>
          <w:w w:val="105"/>
        </w:rPr>
        <w:t>RPIX</w:t>
      </w:r>
      <w:r>
        <w:rPr>
          <w:spacing w:val="-8"/>
          <w:w w:val="105"/>
        </w:rPr>
        <w:t> </w:t>
      </w:r>
      <w:r>
        <w:rPr>
          <w:w w:val="105"/>
        </w:rPr>
        <w:t>inflation</w:t>
      </w:r>
      <w:r>
        <w:rPr>
          <w:spacing w:val="-8"/>
          <w:w w:val="105"/>
        </w:rPr>
        <w:t> </w:t>
      </w:r>
      <w:r>
        <w:rPr>
          <w:w w:val="105"/>
        </w:rPr>
        <w:t>in coming months. </w:t>
      </w:r>
      <w:r>
        <w:rPr>
          <w:spacing w:val="-3"/>
          <w:w w:val="105"/>
        </w:rPr>
        <w:t>RPIY, </w:t>
      </w:r>
      <w:r>
        <w:rPr>
          <w:w w:val="105"/>
        </w:rPr>
        <w:t>which excludes the effects of indirect tax changes and mortgage </w:t>
      </w:r>
      <w:r>
        <w:rPr>
          <w:spacing w:val="-3"/>
          <w:w w:val="105"/>
        </w:rPr>
        <w:t>interest </w:t>
      </w:r>
      <w:r>
        <w:rPr>
          <w:w w:val="105"/>
        </w:rPr>
        <w:t>payments, </w:t>
      </w:r>
      <w:r>
        <w:rPr>
          <w:spacing w:val="-3"/>
          <w:w w:val="105"/>
        </w:rPr>
        <w:t>was </w:t>
      </w:r>
      <w:r>
        <w:rPr>
          <w:w w:val="105"/>
        </w:rPr>
        <w:t>1.8% higher than a year earlier in Q4, unchanged from the Q3</w:t>
      </w:r>
      <w:r>
        <w:rPr>
          <w:spacing w:val="23"/>
          <w:w w:val="105"/>
        </w:rPr>
        <w:t> </w:t>
      </w:r>
      <w:r>
        <w:rPr>
          <w:w w:val="105"/>
        </w:rPr>
        <w:t>figure.</w:t>
      </w:r>
    </w:p>
    <w:p>
      <w:pPr>
        <w:pStyle w:val="BodyText"/>
        <w:spacing w:before="10"/>
        <w:rPr>
          <w:sz w:val="25"/>
        </w:rPr>
      </w:pPr>
    </w:p>
    <w:p>
      <w:pPr>
        <w:pStyle w:val="BodyText"/>
        <w:spacing w:line="292" w:lineRule="auto"/>
        <w:ind w:left="192" w:right="166"/>
      </w:pPr>
      <w:r>
        <w:rPr>
          <w:w w:val="110"/>
        </w:rPr>
        <w:t>Examining inflation </w:t>
      </w:r>
      <w:r>
        <w:rPr>
          <w:spacing w:val="-4"/>
          <w:w w:val="110"/>
        </w:rPr>
        <w:t>rates </w:t>
      </w:r>
      <w:r>
        <w:rPr>
          <w:spacing w:val="-3"/>
          <w:w w:val="110"/>
        </w:rPr>
        <w:t>by </w:t>
      </w:r>
      <w:r>
        <w:rPr>
          <w:w w:val="110"/>
        </w:rPr>
        <w:t>product categories provides information on the varying </w:t>
      </w:r>
      <w:r>
        <w:rPr>
          <w:spacing w:val="-3"/>
          <w:w w:val="110"/>
        </w:rPr>
        <w:t>pressures </w:t>
      </w:r>
      <w:r>
        <w:rPr>
          <w:w w:val="110"/>
        </w:rPr>
        <w:t>in different parts of retailing. The gap </w:t>
      </w:r>
      <w:r>
        <w:rPr>
          <w:spacing w:val="-3"/>
          <w:w w:val="110"/>
        </w:rPr>
        <w:t>between </w:t>
      </w:r>
      <w:r>
        <w:rPr>
          <w:w w:val="110"/>
        </w:rPr>
        <w:t>goods and services price inflation </w:t>
      </w:r>
      <w:r>
        <w:rPr>
          <w:spacing w:val="-3"/>
          <w:w w:val="110"/>
        </w:rPr>
        <w:t>narrowed </w:t>
      </w:r>
      <w:r>
        <w:rPr>
          <w:w w:val="110"/>
        </w:rPr>
        <w:t>in </w:t>
      </w:r>
      <w:r>
        <w:rPr>
          <w:spacing w:val="-4"/>
          <w:w w:val="110"/>
        </w:rPr>
        <w:t>2000, </w:t>
      </w:r>
      <w:r>
        <w:rPr>
          <w:w w:val="110"/>
        </w:rPr>
        <w:t>but remains wide </w:t>
      </w:r>
      <w:r>
        <w:rPr>
          <w:spacing w:val="-3"/>
          <w:w w:val="110"/>
        </w:rPr>
        <w:t>by </w:t>
      </w:r>
      <w:r>
        <w:rPr>
          <w:w w:val="110"/>
        </w:rPr>
        <w:t>historical standards (see Chart </w:t>
      </w:r>
      <w:r>
        <w:rPr>
          <w:spacing w:val="-9"/>
          <w:w w:val="110"/>
        </w:rPr>
        <w:t>4.11). </w:t>
      </w:r>
      <w:r>
        <w:rPr>
          <w:w w:val="110"/>
        </w:rPr>
        <w:t>Service sector inflation usually </w:t>
      </w:r>
      <w:r>
        <w:rPr>
          <w:spacing w:val="-3"/>
          <w:w w:val="110"/>
        </w:rPr>
        <w:t>exceeds </w:t>
      </w:r>
      <w:r>
        <w:rPr>
          <w:w w:val="110"/>
        </w:rPr>
        <w:t>manufacturing</w:t>
      </w:r>
      <w:r>
        <w:rPr>
          <w:spacing w:val="-16"/>
          <w:w w:val="110"/>
        </w:rPr>
        <w:t> </w:t>
      </w:r>
      <w:r>
        <w:rPr>
          <w:w w:val="110"/>
        </w:rPr>
        <w:t>inflation</w:t>
      </w:r>
      <w:r>
        <w:rPr>
          <w:spacing w:val="-15"/>
          <w:w w:val="110"/>
        </w:rPr>
        <w:t> </w:t>
      </w:r>
      <w:r>
        <w:rPr>
          <w:w w:val="110"/>
        </w:rPr>
        <w:t>because</w:t>
      </w:r>
      <w:r>
        <w:rPr>
          <w:spacing w:val="-15"/>
          <w:w w:val="110"/>
        </w:rPr>
        <w:t> </w:t>
      </w:r>
      <w:r>
        <w:rPr>
          <w:w w:val="110"/>
        </w:rPr>
        <w:t>labour</w:t>
      </w:r>
      <w:r>
        <w:rPr>
          <w:spacing w:val="-15"/>
          <w:w w:val="110"/>
        </w:rPr>
        <w:t> </w:t>
      </w:r>
      <w:r>
        <w:rPr>
          <w:w w:val="110"/>
        </w:rPr>
        <w:t>accounts</w:t>
      </w:r>
      <w:r>
        <w:rPr>
          <w:spacing w:val="-16"/>
          <w:w w:val="110"/>
        </w:rPr>
        <w:t> </w:t>
      </w:r>
      <w:r>
        <w:rPr>
          <w:w w:val="110"/>
        </w:rPr>
        <w:t>for</w:t>
      </w:r>
      <w:r>
        <w:rPr>
          <w:spacing w:val="-15"/>
          <w:w w:val="110"/>
        </w:rPr>
        <w:t> </w:t>
      </w:r>
      <w:r>
        <w:rPr>
          <w:w w:val="110"/>
        </w:rPr>
        <w:t>a</w:t>
      </w:r>
      <w:r>
        <w:rPr>
          <w:spacing w:val="-15"/>
          <w:w w:val="110"/>
        </w:rPr>
        <w:t> </w:t>
      </w:r>
      <w:r>
        <w:rPr>
          <w:w w:val="110"/>
        </w:rPr>
        <w:t>higher share of costs in services than in manufacturing and </w:t>
      </w:r>
      <w:r>
        <w:rPr>
          <w:spacing w:val="-3"/>
          <w:w w:val="110"/>
        </w:rPr>
        <w:t>average </w:t>
      </w:r>
      <w:r>
        <w:rPr>
          <w:w w:val="110"/>
        </w:rPr>
        <w:t>productivity</w:t>
      </w:r>
      <w:r>
        <w:rPr>
          <w:spacing w:val="-27"/>
          <w:w w:val="110"/>
        </w:rPr>
        <w:t> </w:t>
      </w:r>
      <w:r>
        <w:rPr>
          <w:w w:val="110"/>
        </w:rPr>
        <w:t>growth</w:t>
      </w:r>
      <w:r>
        <w:rPr>
          <w:spacing w:val="-27"/>
          <w:w w:val="110"/>
        </w:rPr>
        <w:t> </w:t>
      </w:r>
      <w:r>
        <w:rPr>
          <w:w w:val="110"/>
        </w:rPr>
        <w:t>is</w:t>
      </w:r>
      <w:r>
        <w:rPr>
          <w:spacing w:val="-27"/>
          <w:w w:val="110"/>
        </w:rPr>
        <w:t> </w:t>
      </w:r>
      <w:r>
        <w:rPr>
          <w:spacing w:val="-3"/>
          <w:w w:val="110"/>
        </w:rPr>
        <w:t>lower</w:t>
      </w:r>
      <w:r>
        <w:rPr>
          <w:spacing w:val="-26"/>
          <w:w w:val="110"/>
        </w:rPr>
        <w:t> </w:t>
      </w:r>
      <w:r>
        <w:rPr>
          <w:w w:val="110"/>
        </w:rPr>
        <w:t>in</w:t>
      </w:r>
      <w:r>
        <w:rPr>
          <w:spacing w:val="-27"/>
          <w:w w:val="110"/>
        </w:rPr>
        <w:t> </w:t>
      </w:r>
      <w:r>
        <w:rPr>
          <w:w w:val="110"/>
        </w:rPr>
        <w:t>services</w:t>
      </w:r>
      <w:r>
        <w:rPr>
          <w:spacing w:val="-27"/>
          <w:w w:val="110"/>
        </w:rPr>
        <w:t> </w:t>
      </w:r>
      <w:r>
        <w:rPr>
          <w:w w:val="110"/>
        </w:rPr>
        <w:t>than</w:t>
      </w:r>
      <w:r>
        <w:rPr>
          <w:spacing w:val="-26"/>
          <w:w w:val="110"/>
        </w:rPr>
        <w:t> </w:t>
      </w:r>
      <w:r>
        <w:rPr>
          <w:w w:val="110"/>
        </w:rPr>
        <w:t>in</w:t>
      </w:r>
      <w:r>
        <w:rPr>
          <w:spacing w:val="-27"/>
          <w:w w:val="110"/>
        </w:rPr>
        <w:t> </w:t>
      </w:r>
      <w:r>
        <w:rPr>
          <w:w w:val="110"/>
        </w:rPr>
        <w:t>manufacturing. But</w:t>
      </w:r>
      <w:r>
        <w:rPr>
          <w:spacing w:val="-22"/>
          <w:w w:val="110"/>
        </w:rPr>
        <w:t> </w:t>
      </w:r>
      <w:r>
        <w:rPr>
          <w:w w:val="110"/>
        </w:rPr>
        <w:t>previous</w:t>
      </w:r>
      <w:r>
        <w:rPr>
          <w:spacing w:val="-22"/>
          <w:w w:val="110"/>
        </w:rPr>
        <w:t> </w:t>
      </w:r>
      <w:r>
        <w:rPr>
          <w:i/>
          <w:w w:val="110"/>
        </w:rPr>
        <w:t>Reports</w:t>
      </w:r>
      <w:r>
        <w:rPr>
          <w:i/>
          <w:spacing w:val="-22"/>
          <w:w w:val="110"/>
        </w:rPr>
        <w:t> </w:t>
      </w:r>
      <w:r>
        <w:rPr>
          <w:spacing w:val="-3"/>
          <w:w w:val="110"/>
        </w:rPr>
        <w:t>have</w:t>
      </w:r>
      <w:r>
        <w:rPr>
          <w:spacing w:val="-21"/>
          <w:w w:val="110"/>
        </w:rPr>
        <w:t> </w:t>
      </w:r>
      <w:r>
        <w:rPr>
          <w:w w:val="110"/>
        </w:rPr>
        <w:t>discussed</w:t>
      </w:r>
      <w:r>
        <w:rPr>
          <w:spacing w:val="-22"/>
          <w:w w:val="110"/>
        </w:rPr>
        <w:t> </w:t>
      </w:r>
      <w:r>
        <w:rPr>
          <w:w w:val="110"/>
        </w:rPr>
        <w:t>how</w:t>
      </w:r>
      <w:r>
        <w:rPr>
          <w:spacing w:val="-22"/>
          <w:w w:val="110"/>
        </w:rPr>
        <w:t> </w:t>
      </w:r>
      <w:r>
        <w:rPr>
          <w:w w:val="110"/>
        </w:rPr>
        <w:t>that</w:t>
      </w:r>
      <w:r>
        <w:rPr>
          <w:spacing w:val="-21"/>
          <w:w w:val="110"/>
        </w:rPr>
        <w:t> </w:t>
      </w:r>
      <w:r>
        <w:rPr>
          <w:w w:val="110"/>
        </w:rPr>
        <w:t>divergence</w:t>
      </w:r>
      <w:r>
        <w:rPr>
          <w:spacing w:val="-22"/>
          <w:w w:val="110"/>
        </w:rPr>
        <w:t> </w:t>
      </w:r>
      <w:r>
        <w:rPr>
          <w:w w:val="110"/>
        </w:rPr>
        <w:t>has been unusually pronounced in recent years—perhaps reflecting the appreciation of the exchange </w:t>
      </w:r>
      <w:r>
        <w:rPr>
          <w:spacing w:val="-4"/>
          <w:w w:val="110"/>
        </w:rPr>
        <w:t>rate </w:t>
      </w:r>
      <w:r>
        <w:rPr>
          <w:w w:val="110"/>
        </w:rPr>
        <w:t>and an associated</w:t>
      </w:r>
      <w:r>
        <w:rPr>
          <w:spacing w:val="-13"/>
          <w:w w:val="110"/>
        </w:rPr>
        <w:t> </w:t>
      </w:r>
      <w:r>
        <w:rPr>
          <w:w w:val="110"/>
        </w:rPr>
        <w:t>increase</w:t>
      </w:r>
      <w:r>
        <w:rPr>
          <w:spacing w:val="-12"/>
          <w:w w:val="110"/>
        </w:rPr>
        <w:t> </w:t>
      </w:r>
      <w:r>
        <w:rPr>
          <w:w w:val="110"/>
        </w:rPr>
        <w:t>in</w:t>
      </w:r>
      <w:r>
        <w:rPr>
          <w:spacing w:val="-13"/>
          <w:w w:val="110"/>
        </w:rPr>
        <w:t> </w:t>
      </w:r>
      <w:r>
        <w:rPr>
          <w:w w:val="110"/>
        </w:rPr>
        <w:t>the</w:t>
      </w:r>
      <w:r>
        <w:rPr>
          <w:spacing w:val="-12"/>
          <w:w w:val="110"/>
        </w:rPr>
        <w:t> </w:t>
      </w:r>
      <w:r>
        <w:rPr>
          <w:w w:val="110"/>
        </w:rPr>
        <w:t>degree</w:t>
      </w:r>
      <w:r>
        <w:rPr>
          <w:spacing w:val="-13"/>
          <w:w w:val="110"/>
        </w:rPr>
        <w:t> </w:t>
      </w:r>
      <w:r>
        <w:rPr>
          <w:w w:val="110"/>
        </w:rPr>
        <w:t>of</w:t>
      </w:r>
      <w:r>
        <w:rPr>
          <w:spacing w:val="-12"/>
          <w:w w:val="110"/>
        </w:rPr>
        <w:t> </w:t>
      </w:r>
      <w:r>
        <w:rPr>
          <w:w w:val="110"/>
        </w:rPr>
        <w:t>competition</w:t>
      </w:r>
      <w:r>
        <w:rPr>
          <w:spacing w:val="-13"/>
          <w:w w:val="110"/>
        </w:rPr>
        <w:t> </w:t>
      </w:r>
      <w:r>
        <w:rPr>
          <w:w w:val="110"/>
        </w:rPr>
        <w:t>in</w:t>
      </w:r>
      <w:r>
        <w:rPr>
          <w:spacing w:val="-12"/>
          <w:w w:val="110"/>
        </w:rPr>
        <w:t> </w:t>
      </w:r>
      <w:r>
        <w:rPr>
          <w:w w:val="110"/>
        </w:rPr>
        <w:t>the</w:t>
      </w:r>
      <w:r>
        <w:rPr>
          <w:spacing w:val="-13"/>
          <w:w w:val="110"/>
        </w:rPr>
        <w:t> </w:t>
      </w:r>
      <w:r>
        <w:rPr>
          <w:w w:val="110"/>
        </w:rPr>
        <w:t>goods</w:t>
      </w:r>
    </w:p>
    <w:p>
      <w:pPr>
        <w:spacing w:after="0" w:line="292" w:lineRule="auto"/>
        <w:sectPr>
          <w:type w:val="continuous"/>
          <w:pgSz w:w="11900" w:h="16840"/>
          <w:pgMar w:top="1260" w:bottom="280" w:left="640" w:right="640"/>
          <w:cols w:num="2" w:equalWidth="0">
            <w:col w:w="3631" w:space="1277"/>
            <w:col w:w="5712"/>
          </w:cols>
        </w:sectPr>
      </w:pPr>
    </w:p>
    <w:p>
      <w:pPr>
        <w:tabs>
          <w:tab w:pos="969" w:val="left" w:leader="none"/>
          <w:tab w:pos="1468" w:val="left" w:leader="none"/>
          <w:tab w:pos="1967" w:val="left" w:leader="none"/>
          <w:tab w:pos="2467" w:val="left" w:leader="none"/>
          <w:tab w:pos="2881" w:val="left" w:leader="none"/>
        </w:tabs>
        <w:spacing w:before="37"/>
        <w:ind w:left="406" w:right="0" w:firstLine="0"/>
        <w:jc w:val="left"/>
        <w:rPr>
          <w:sz w:val="12"/>
        </w:rPr>
      </w:pPr>
      <w:r>
        <w:rPr>
          <w:w w:val="120"/>
          <w:sz w:val="12"/>
        </w:rPr>
        <w:t>1995</w:t>
        <w:tab/>
        <w:t>96</w:t>
        <w:tab/>
        <w:t>97</w:t>
        <w:tab/>
        <w:t>98</w:t>
        <w:tab/>
        <w:t>99</w:t>
        <w:tab/>
      </w:r>
      <w:r>
        <w:rPr>
          <w:spacing w:val="-5"/>
          <w:w w:val="120"/>
          <w:sz w:val="12"/>
        </w:rPr>
        <w:t>2000</w:t>
      </w:r>
    </w:p>
    <w:p>
      <w:pPr>
        <w:spacing w:line="83" w:lineRule="exact" w:before="0"/>
        <w:ind w:left="205" w:right="0" w:firstLine="0"/>
        <w:jc w:val="left"/>
        <w:rPr>
          <w:sz w:val="12"/>
        </w:rPr>
      </w:pPr>
      <w:r>
        <w:rPr/>
        <w:br w:type="column"/>
      </w:r>
      <w:r>
        <w:rPr>
          <w:w w:val="115"/>
          <w:sz w:val="12"/>
        </w:rPr>
        <w:t>0.5</w:t>
      </w:r>
    </w:p>
    <w:p>
      <w:pPr>
        <w:pStyle w:val="BodyText"/>
        <w:spacing w:line="292" w:lineRule="auto"/>
        <w:ind w:left="406"/>
      </w:pPr>
      <w:r>
        <w:rPr/>
        <w:br w:type="column"/>
      </w:r>
      <w:r>
        <w:rPr>
          <w:spacing w:val="-3"/>
          <w:w w:val="110"/>
        </w:rPr>
        <w:t>sector, </w:t>
      </w:r>
      <w:r>
        <w:rPr>
          <w:w w:val="110"/>
        </w:rPr>
        <w:t>which tend </w:t>
      </w:r>
      <w:r>
        <w:rPr>
          <w:spacing w:val="-4"/>
          <w:w w:val="110"/>
        </w:rPr>
        <w:t>to </w:t>
      </w:r>
      <w:r>
        <w:rPr>
          <w:w w:val="110"/>
        </w:rPr>
        <w:t>depress goods price inflation. The gap </w:t>
      </w:r>
      <w:r>
        <w:rPr>
          <w:spacing w:val="-3"/>
          <w:w w:val="110"/>
        </w:rPr>
        <w:t>narrowed</w:t>
      </w:r>
      <w:r>
        <w:rPr>
          <w:spacing w:val="-21"/>
          <w:w w:val="110"/>
        </w:rPr>
        <w:t> </w:t>
      </w:r>
      <w:r>
        <w:rPr>
          <w:w w:val="110"/>
        </w:rPr>
        <w:t>with</w:t>
      </w:r>
      <w:r>
        <w:rPr>
          <w:spacing w:val="-20"/>
          <w:w w:val="110"/>
        </w:rPr>
        <w:t> </w:t>
      </w:r>
      <w:r>
        <w:rPr>
          <w:w w:val="110"/>
        </w:rPr>
        <w:t>the</w:t>
      </w:r>
      <w:r>
        <w:rPr>
          <w:spacing w:val="-20"/>
          <w:w w:val="110"/>
        </w:rPr>
        <w:t> </w:t>
      </w:r>
      <w:r>
        <w:rPr>
          <w:w w:val="110"/>
        </w:rPr>
        <w:t>November</w:t>
      </w:r>
      <w:r>
        <w:rPr>
          <w:spacing w:val="-20"/>
          <w:w w:val="110"/>
        </w:rPr>
        <w:t> </w:t>
      </w:r>
      <w:r>
        <w:rPr>
          <w:w w:val="110"/>
        </w:rPr>
        <w:t>rise</w:t>
      </w:r>
      <w:r>
        <w:rPr>
          <w:spacing w:val="-20"/>
          <w:w w:val="110"/>
        </w:rPr>
        <w:t> </w:t>
      </w:r>
      <w:r>
        <w:rPr>
          <w:w w:val="110"/>
        </w:rPr>
        <w:t>in</w:t>
      </w:r>
      <w:r>
        <w:rPr>
          <w:spacing w:val="-20"/>
          <w:w w:val="110"/>
        </w:rPr>
        <w:t> </w:t>
      </w:r>
      <w:r>
        <w:rPr>
          <w:w w:val="110"/>
        </w:rPr>
        <w:t>goods</w:t>
      </w:r>
      <w:r>
        <w:rPr>
          <w:spacing w:val="-20"/>
          <w:w w:val="110"/>
        </w:rPr>
        <w:t> </w:t>
      </w:r>
      <w:r>
        <w:rPr>
          <w:w w:val="110"/>
        </w:rPr>
        <w:t>price</w:t>
      </w:r>
      <w:r>
        <w:rPr>
          <w:spacing w:val="-20"/>
          <w:w w:val="110"/>
        </w:rPr>
        <w:t> </w:t>
      </w:r>
      <w:r>
        <w:rPr>
          <w:w w:val="110"/>
        </w:rPr>
        <w:t>inflation.</w:t>
      </w:r>
      <w:r>
        <w:rPr>
          <w:spacing w:val="16"/>
          <w:w w:val="110"/>
        </w:rPr>
        <w:t> </w:t>
      </w:r>
      <w:r>
        <w:rPr>
          <w:w w:val="110"/>
        </w:rPr>
        <w:t>But that rise reflected higher petrol prices, which </w:t>
      </w:r>
      <w:r>
        <w:rPr>
          <w:spacing w:val="-3"/>
          <w:w w:val="110"/>
        </w:rPr>
        <w:t>were </w:t>
      </w:r>
      <w:r>
        <w:rPr>
          <w:w w:val="110"/>
        </w:rPr>
        <w:t>largely </w:t>
      </w:r>
      <w:r>
        <w:rPr>
          <w:spacing w:val="-3"/>
          <w:w w:val="110"/>
        </w:rPr>
        <w:t>reversed </w:t>
      </w:r>
      <w:r>
        <w:rPr>
          <w:w w:val="110"/>
        </w:rPr>
        <w:t>in</w:t>
      </w:r>
      <w:r>
        <w:rPr>
          <w:spacing w:val="-9"/>
          <w:w w:val="110"/>
        </w:rPr>
        <w:t> </w:t>
      </w:r>
      <w:r>
        <w:rPr>
          <w:w w:val="110"/>
        </w:rPr>
        <w:t>December.</w:t>
      </w:r>
    </w:p>
    <w:p>
      <w:pPr>
        <w:spacing w:after="0" w:line="292" w:lineRule="auto"/>
        <w:sectPr>
          <w:type w:val="continuous"/>
          <w:pgSz w:w="11900" w:h="16840"/>
          <w:pgMar w:top="1260" w:bottom="280" w:left="640" w:right="640"/>
          <w:cols w:num="3" w:equalWidth="0">
            <w:col w:w="3173" w:space="40"/>
            <w:col w:w="418" w:space="1063"/>
            <w:col w:w="5926"/>
          </w:cols>
        </w:sectPr>
      </w:pPr>
    </w:p>
    <w:p>
      <w:pPr>
        <w:pStyle w:val="BodyText"/>
        <w:rPr>
          <w:sz w:val="18"/>
        </w:rPr>
      </w:pPr>
    </w:p>
    <w:p>
      <w:pPr>
        <w:spacing w:after="0"/>
        <w:rPr>
          <w:sz w:val="18"/>
        </w:rPr>
        <w:sectPr>
          <w:type w:val="continuous"/>
          <w:pgSz w:w="11900" w:h="16840"/>
          <w:pgMar w:top="1260" w:bottom="280" w:left="640" w:right="640"/>
        </w:sectPr>
      </w:pPr>
    </w:p>
    <w:p>
      <w:pPr>
        <w:pStyle w:val="BodyText"/>
        <w:rPr>
          <w:sz w:val="22"/>
        </w:rPr>
      </w:pPr>
    </w:p>
    <w:p>
      <w:pPr>
        <w:pStyle w:val="BodyText"/>
        <w:spacing w:before="3"/>
        <w:rPr>
          <w:sz w:val="19"/>
        </w:rPr>
      </w:pPr>
    </w:p>
    <w:p>
      <w:pPr>
        <w:pStyle w:val="Heading6"/>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4.12</w:t>
      </w:r>
    </w:p>
    <w:p>
      <w:pPr>
        <w:spacing w:before="8"/>
        <w:ind w:left="178" w:right="0" w:firstLine="0"/>
        <w:jc w:val="left"/>
        <w:rPr>
          <w:rFonts w:ascii="Trebuchet MS" w:hAnsi="Trebuchet MS"/>
          <w:b/>
          <w:sz w:val="20"/>
        </w:rPr>
      </w:pPr>
      <w:r>
        <w:rPr>
          <w:rFonts w:ascii="Trebuchet MS" w:hAnsi="Trebuchet MS"/>
          <w:b/>
          <w:color w:val="89C6DC"/>
          <w:w w:val="95"/>
          <w:sz w:val="20"/>
        </w:rPr>
        <w:t>CBI</w:t>
      </w:r>
      <w:r>
        <w:rPr>
          <w:rFonts w:ascii="Trebuchet MS" w:hAnsi="Trebuchet MS"/>
          <w:b/>
          <w:color w:val="89C6DC"/>
          <w:spacing w:val="-32"/>
          <w:w w:val="95"/>
          <w:sz w:val="20"/>
        </w:rPr>
        <w:t> </w:t>
      </w:r>
      <w:r>
        <w:rPr>
          <w:rFonts w:ascii="Trebuchet MS" w:hAnsi="Trebuchet MS"/>
          <w:b/>
          <w:color w:val="89C6DC"/>
          <w:w w:val="95"/>
          <w:sz w:val="20"/>
        </w:rPr>
        <w:t>balance</w:t>
      </w:r>
      <w:r>
        <w:rPr>
          <w:rFonts w:ascii="Trebuchet MS" w:hAnsi="Trebuchet MS"/>
          <w:b/>
          <w:color w:val="89C6DC"/>
          <w:spacing w:val="-31"/>
          <w:w w:val="95"/>
          <w:sz w:val="20"/>
        </w:rPr>
        <w:t> </w:t>
      </w:r>
      <w:r>
        <w:rPr>
          <w:rFonts w:ascii="Trebuchet MS" w:hAnsi="Trebuchet MS"/>
          <w:b/>
          <w:color w:val="89C6DC"/>
          <w:w w:val="95"/>
          <w:sz w:val="20"/>
        </w:rPr>
        <w:t>of</w:t>
      </w:r>
      <w:r>
        <w:rPr>
          <w:rFonts w:ascii="Trebuchet MS" w:hAnsi="Trebuchet MS"/>
          <w:b/>
          <w:color w:val="89C6DC"/>
          <w:spacing w:val="-31"/>
          <w:w w:val="95"/>
          <w:sz w:val="20"/>
        </w:rPr>
        <w:t> </w:t>
      </w:r>
      <w:r>
        <w:rPr>
          <w:rFonts w:ascii="Trebuchet MS" w:hAnsi="Trebuchet MS"/>
          <w:b/>
          <w:color w:val="89C6DC"/>
          <w:w w:val="95"/>
          <w:sz w:val="20"/>
        </w:rPr>
        <w:t>retailers’</w:t>
      </w:r>
      <w:r>
        <w:rPr>
          <w:rFonts w:ascii="Trebuchet MS" w:hAnsi="Trebuchet MS"/>
          <w:b/>
          <w:color w:val="89C6DC"/>
          <w:spacing w:val="-36"/>
          <w:w w:val="95"/>
          <w:sz w:val="20"/>
        </w:rPr>
        <w:t> </w:t>
      </w:r>
      <w:r>
        <w:rPr>
          <w:rFonts w:ascii="Trebuchet MS" w:hAnsi="Trebuchet MS"/>
          <w:b/>
          <w:color w:val="89C6DC"/>
          <w:w w:val="95"/>
          <w:sz w:val="20"/>
        </w:rPr>
        <w:t>selling</w:t>
      </w:r>
      <w:r>
        <w:rPr>
          <w:rFonts w:ascii="Trebuchet MS" w:hAnsi="Trebuchet MS"/>
          <w:b/>
          <w:color w:val="89C6DC"/>
          <w:spacing w:val="-31"/>
          <w:w w:val="95"/>
          <w:sz w:val="20"/>
        </w:rPr>
        <w:t> </w:t>
      </w:r>
      <w:r>
        <w:rPr>
          <w:rFonts w:ascii="Trebuchet MS" w:hAnsi="Trebuchet MS"/>
          <w:b/>
          <w:color w:val="89C6DC"/>
          <w:w w:val="95"/>
          <w:sz w:val="20"/>
        </w:rPr>
        <w:t>prices</w:t>
      </w:r>
    </w:p>
    <w:p>
      <w:pPr>
        <w:spacing w:line="116" w:lineRule="exact" w:before="33"/>
        <w:ind w:left="2300" w:right="0" w:firstLine="0"/>
        <w:jc w:val="left"/>
        <w:rPr>
          <w:sz w:val="12"/>
        </w:rPr>
      </w:pPr>
      <w:r>
        <w:rPr>
          <w:w w:val="110"/>
          <w:sz w:val="12"/>
        </w:rPr>
        <w:t>Percentage</w:t>
      </w:r>
      <w:r>
        <w:rPr>
          <w:spacing w:val="-14"/>
          <w:w w:val="110"/>
          <w:sz w:val="12"/>
        </w:rPr>
        <w:t> </w:t>
      </w:r>
      <w:r>
        <w:rPr>
          <w:w w:val="110"/>
          <w:sz w:val="12"/>
        </w:rPr>
        <w:t>balances</w:t>
      </w:r>
    </w:p>
    <w:p>
      <w:pPr>
        <w:spacing w:line="116" w:lineRule="exact" w:before="0"/>
        <w:ind w:left="3385" w:right="0" w:firstLine="0"/>
        <w:jc w:val="left"/>
        <w:rPr>
          <w:sz w:val="12"/>
        </w:rPr>
      </w:pPr>
      <w:r>
        <w:rPr/>
        <w:pict>
          <v:group style="position:absolute;margin-left:40.660999pt;margin-top:8.614971pt;width:159.050pt;height:138.75pt;mso-position-horizontal-relative:page;mso-position-vertical-relative:paragraph;z-index:16328704" coordorigin="813,172" coordsize="3181,2775">
            <v:line style="position:absolute" from="971,2082" to="3837,2082" stroked="true" strokeweight=".5pt" strokecolor="#000000">
              <v:stroke dashstyle="solid"/>
            </v:line>
            <v:shape style="position:absolute;left:967;top:182;width:1555;height:1518" coordorigin="967,182" coordsize="1555,1518" path="m967,182l1047,427m1047,427l1127,917m1127,917l1210,810m1210,810l1290,977m1290,977l1380,610m1380,610l1462,1362m1462,1362l1542,1530m1542,1530l1622,1500m1622,1500l1705,1207m1705,1207l1785,1437m1785,1437l1865,1700m1865,1700l1947,1407m1947,1407l2027,1177m2027,1177l2117,1240m2117,1240l2200,1070m2200,1070l2280,747m2280,747l2362,717m2362,717l2442,610m2442,610l2522,1040e" filled="false" stroked="true" strokeweight="1pt" strokecolor="#972140">
              <v:path arrowok="t"/>
              <v:stroke dashstyle="solid"/>
            </v:shape>
            <v:shape style="position:absolute;left:2512;top:769;width:515;height:480" type="#_x0000_t75" stroked="false">
              <v:imagedata r:id="rId150" o:title=""/>
            </v:shape>
            <v:shape style="position:absolute;left:3017;top:779;width:820;height:2023" coordorigin="3017,780" coordsize="820,2023" path="m3017,780l3100,1300m3100,1300l3180,1147m3180,1147l3260,1437m3260,1437l3342,1560m3342,1560l3422,1637m3422,1637l3512,2052m3512,2052l3595,2190m3595,2190l3675,2250m3675,2250l3755,2802m3755,2802l3837,2097e" filled="false" stroked="true" strokeweight="1pt" strokecolor="#972140">
              <v:path arrowok="t"/>
              <v:stroke dashstyle="solid"/>
            </v:shape>
            <v:line style="position:absolute" from="967,182" to="1127,642" stroked="true" strokeweight="1pt" strokecolor="#0099d9">
              <v:stroke dashstyle="solid"/>
            </v:line>
            <v:line style="position:absolute" from="1117,644" to="1220,644" stroked="true" strokeweight="1.125pt" strokecolor="#0099d9">
              <v:stroke dashstyle="solid"/>
            </v:line>
            <v:shape style="position:absolute;left:1209;top:609;width:1395;height:1120" coordorigin="1210,610" coordsize="1395,1120" path="m1210,642l1290,947m1290,947l1380,717m1380,717l1462,1362m1462,1362l1542,917m1542,917l1622,1240m1622,1240l1705,1270m1705,1270l1785,1300m1785,1300l1865,1730m1865,1730l1947,1240m1947,1240l2027,1132m2027,1132l2117,1100m2117,1100l2200,1010m2200,1010l2280,780m2280,780l2362,810m2362,810l2442,610m2442,610l2522,977m2522,977l2605,1132e" filled="false" stroked="true" strokeweight="1pt" strokecolor="#0099d9">
              <v:path arrowok="t"/>
              <v:stroke dashstyle="solid"/>
            </v:shape>
            <v:line style="position:absolute" from="2595,1134" to="2695,1134" stroked="true" strokeweight="1.125pt" strokecolor="#0099d9">
              <v:stroke dashstyle="solid"/>
            </v:line>
            <v:line style="position:absolute" from="2685,1132" to="2775,977" stroked="true" strokeweight="1pt" strokecolor="#0099d9">
              <v:stroke dashstyle="solid"/>
            </v:line>
            <v:shape style="position:absolute;left:2764;top:978;width:183;height:2" coordorigin="2765,979" coordsize="183,0" path="m2765,979l2867,979m2847,979l2947,979e" filled="false" stroked="true" strokeweight="1.125pt" strokecolor="#0099d9">
              <v:path arrowok="t"/>
              <v:stroke dashstyle="solid"/>
            </v:shape>
            <v:shape style="position:absolute;left:2937;top:809;width:900;height:1930" coordorigin="2937,810" coordsize="900,1930" path="m2937,977l3017,810m3017,810l3100,1270m3100,1270l3180,1070m3180,1070l3260,1407m3260,1407l3342,1700m3342,1700l3422,1790m3422,1790l3512,2097m3512,2097l3595,2342m3595,2342l3675,2420m3675,2420l3755,2740m3755,2740l3837,2342e" filled="false" stroked="true" strokeweight="1pt" strokecolor="#0099d9">
              <v:path arrowok="t"/>
              <v:stroke dashstyle="solid"/>
            </v:shape>
            <v:shape style="position:absolute;left:813;top:343;width:3181;height:2599" coordorigin="813,343" coordsize="3181,2599" path="m977,2938l3837,2938m975,2871l975,2938m1303,2871l1303,2938m1631,2871l1631,2938m1958,2871l1958,2938m2286,2871l2286,2938m2614,2871l2614,2938m3270,2871l3270,2938m2942,2871l2942,2938m3597,2871l3597,2938m813,348l900,348m813,636l900,636m813,925l900,925m813,1213l900,1213m813,1501l900,1501m813,1789l900,1789m813,2082l900,2082m813,2654l900,2654m813,2366l900,2366m813,2942l900,2942m3907,343l3994,343m3907,632l3994,632m3907,920l3994,920m3907,1208l3994,1208m3907,1496l3994,1496m3907,1785l3994,1785m3907,2082l3994,2082m3907,2649l3994,2649m3907,2361l3994,2361m3907,2938l3994,2938e" filled="false" stroked="true" strokeweight=".5pt" strokecolor="#000000">
              <v:path arrowok="t"/>
              <v:stroke dashstyle="solid"/>
            </v:shape>
            <v:shape style="position:absolute;left:2248;top:1260;width:667;height:121" type="#_x0000_t202" filled="false" stroked="false">
              <v:textbox inset="0,0,0,0">
                <w:txbxContent>
                  <w:p>
                    <w:pPr>
                      <w:spacing w:line="116" w:lineRule="exact" w:before="0"/>
                      <w:ind w:left="0" w:right="0" w:firstLine="0"/>
                      <w:jc w:val="left"/>
                      <w:rPr>
                        <w:sz w:val="12"/>
                      </w:rPr>
                    </w:pPr>
                    <w:r>
                      <w:rPr>
                        <w:w w:val="105"/>
                        <w:sz w:val="12"/>
                      </w:rPr>
                      <w:t>Reported (a)</w:t>
                    </w:r>
                  </w:p>
                </w:txbxContent>
              </v:textbox>
              <w10:wrap type="none"/>
            </v:shape>
            <v:shape style="position:absolute;left:2915;top:2319;width:671;height:121" type="#_x0000_t202" filled="false" stroked="false">
              <v:textbox inset="0,0,0,0">
                <w:txbxContent>
                  <w:p>
                    <w:pPr>
                      <w:spacing w:line="116" w:lineRule="exact" w:before="0"/>
                      <w:ind w:left="0" w:right="0" w:firstLine="0"/>
                      <w:jc w:val="left"/>
                      <w:rPr>
                        <w:sz w:val="12"/>
                      </w:rPr>
                    </w:pPr>
                    <w:r>
                      <w:rPr>
                        <w:w w:val="105"/>
                        <w:sz w:val="12"/>
                      </w:rPr>
                      <w:t>Expected (b)</w:t>
                    </w:r>
                  </w:p>
                </w:txbxContent>
              </v:textbox>
              <w10:wrap type="none"/>
            </v:shape>
            <w10:wrap type="none"/>
          </v:group>
        </w:pict>
      </w:r>
      <w:r>
        <w:rPr/>
        <w:pict>
          <v:line style="position:absolute;mso-position-horizontal-relative:page;mso-position-vertical-relative:paragraph;z-index:16329216" from="40.660999pt,2.989971pt" to="44.993999pt,2.989971pt" stroked="true" strokeweight=".5pt" strokecolor="#000000">
            <v:stroke dashstyle="solid"/>
            <w10:wrap type="none"/>
          </v:line>
        </w:pict>
      </w:r>
      <w:r>
        <w:rPr/>
        <w:pict>
          <v:line style="position:absolute;mso-position-horizontal-relative:page;mso-position-vertical-relative:paragraph;z-index:16329728" from="195.369995pt,2.761971pt" to="199.702995pt,2.761971pt" stroked="true" strokeweight=".5pt" strokecolor="#000000">
            <v:stroke dashstyle="solid"/>
            <w10:wrap type="none"/>
          </v:line>
        </w:pict>
      </w:r>
      <w:r>
        <w:rPr>
          <w:w w:val="120"/>
          <w:sz w:val="12"/>
        </w:rPr>
        <w:t>70</w:t>
      </w:r>
    </w:p>
    <w:p>
      <w:pPr>
        <w:pStyle w:val="BodyText"/>
        <w:rPr>
          <w:sz w:val="13"/>
        </w:rPr>
      </w:pPr>
    </w:p>
    <w:p>
      <w:pPr>
        <w:spacing w:before="0"/>
        <w:ind w:left="0" w:right="48" w:firstLine="0"/>
        <w:jc w:val="right"/>
        <w:rPr>
          <w:sz w:val="12"/>
        </w:rPr>
      </w:pPr>
      <w:r>
        <w:rPr>
          <w:w w:val="120"/>
          <w:sz w:val="12"/>
        </w:rPr>
        <w:t>60</w:t>
      </w:r>
    </w:p>
    <w:p>
      <w:pPr>
        <w:pStyle w:val="BodyText"/>
        <w:spacing w:before="1"/>
        <w:rPr>
          <w:sz w:val="13"/>
        </w:rPr>
      </w:pPr>
    </w:p>
    <w:p>
      <w:pPr>
        <w:spacing w:before="0"/>
        <w:ind w:left="0" w:right="48" w:firstLine="0"/>
        <w:jc w:val="right"/>
        <w:rPr>
          <w:sz w:val="12"/>
        </w:rPr>
      </w:pPr>
      <w:r>
        <w:rPr>
          <w:w w:val="120"/>
          <w:sz w:val="12"/>
        </w:rPr>
        <w:t>50</w:t>
      </w:r>
    </w:p>
    <w:p>
      <w:pPr>
        <w:pStyle w:val="BodyText"/>
        <w:rPr>
          <w:sz w:val="13"/>
        </w:rPr>
      </w:pPr>
    </w:p>
    <w:p>
      <w:pPr>
        <w:spacing w:before="1"/>
        <w:ind w:left="0" w:right="48" w:firstLine="0"/>
        <w:jc w:val="right"/>
        <w:rPr>
          <w:sz w:val="12"/>
        </w:rPr>
      </w:pPr>
      <w:r>
        <w:rPr>
          <w:w w:val="120"/>
          <w:sz w:val="12"/>
        </w:rPr>
        <w:t>40</w:t>
      </w:r>
    </w:p>
    <w:p>
      <w:pPr>
        <w:pStyle w:val="BodyText"/>
        <w:rPr>
          <w:sz w:val="13"/>
        </w:rPr>
      </w:pPr>
    </w:p>
    <w:p>
      <w:pPr>
        <w:spacing w:before="0"/>
        <w:ind w:left="0" w:right="48" w:firstLine="0"/>
        <w:jc w:val="right"/>
        <w:rPr>
          <w:sz w:val="12"/>
        </w:rPr>
      </w:pPr>
      <w:r>
        <w:rPr>
          <w:w w:val="120"/>
          <w:sz w:val="12"/>
        </w:rPr>
        <w:t>30</w:t>
      </w:r>
    </w:p>
    <w:p>
      <w:pPr>
        <w:pStyle w:val="BodyText"/>
        <w:rPr>
          <w:sz w:val="13"/>
        </w:rPr>
      </w:pPr>
    </w:p>
    <w:p>
      <w:pPr>
        <w:spacing w:before="1"/>
        <w:ind w:left="0" w:right="48" w:firstLine="0"/>
        <w:jc w:val="right"/>
        <w:rPr>
          <w:sz w:val="12"/>
        </w:rPr>
      </w:pPr>
      <w:r>
        <w:rPr>
          <w:w w:val="120"/>
          <w:sz w:val="12"/>
        </w:rPr>
        <w:t>20</w:t>
      </w:r>
    </w:p>
    <w:p>
      <w:pPr>
        <w:pStyle w:val="BodyText"/>
        <w:rPr>
          <w:sz w:val="13"/>
        </w:rPr>
      </w:pPr>
    </w:p>
    <w:p>
      <w:pPr>
        <w:spacing w:before="0"/>
        <w:ind w:left="0" w:right="48" w:firstLine="0"/>
        <w:jc w:val="right"/>
        <w:rPr>
          <w:sz w:val="12"/>
        </w:rPr>
      </w:pPr>
      <w:r>
        <w:rPr>
          <w:w w:val="120"/>
          <w:sz w:val="12"/>
        </w:rPr>
        <w:t>10</w:t>
      </w:r>
    </w:p>
    <w:p>
      <w:pPr>
        <w:spacing w:line="159" w:lineRule="exact" w:before="15"/>
        <w:ind w:left="3353" w:right="0" w:firstLine="0"/>
        <w:jc w:val="left"/>
        <w:rPr>
          <w:sz w:val="16"/>
        </w:rPr>
      </w:pPr>
      <w:r>
        <w:rPr>
          <w:w w:val="107"/>
          <w:sz w:val="16"/>
        </w:rPr>
        <w:t>+</w:t>
      </w:r>
    </w:p>
    <w:p>
      <w:pPr>
        <w:spacing w:line="139" w:lineRule="auto" w:before="0"/>
        <w:ind w:left="3354" w:right="0" w:firstLine="0"/>
        <w:jc w:val="left"/>
        <w:rPr>
          <w:sz w:val="12"/>
        </w:rPr>
      </w:pPr>
      <w:r>
        <w:rPr>
          <w:spacing w:val="4"/>
          <w:w w:val="120"/>
          <w:position w:val="-9"/>
          <w:sz w:val="16"/>
        </w:rPr>
        <w:t>–</w:t>
      </w:r>
      <w:r>
        <w:rPr>
          <w:spacing w:val="4"/>
          <w:w w:val="120"/>
          <w:sz w:val="12"/>
        </w:rPr>
        <w:t>0</w:t>
      </w:r>
    </w:p>
    <w:p>
      <w:pPr>
        <w:spacing w:before="92"/>
        <w:ind w:left="0" w:right="48" w:firstLine="0"/>
        <w:jc w:val="right"/>
        <w:rPr>
          <w:sz w:val="12"/>
        </w:rPr>
      </w:pPr>
      <w:r>
        <w:rPr>
          <w:w w:val="120"/>
          <w:sz w:val="12"/>
        </w:rPr>
        <w:t>10</w:t>
      </w:r>
    </w:p>
    <w:p>
      <w:pPr>
        <w:pStyle w:val="BodyText"/>
        <w:spacing w:before="1"/>
        <w:rPr>
          <w:sz w:val="13"/>
        </w:rPr>
      </w:pPr>
    </w:p>
    <w:p>
      <w:pPr>
        <w:spacing w:before="0"/>
        <w:ind w:left="0" w:right="48" w:firstLine="0"/>
        <w:jc w:val="right"/>
        <w:rPr>
          <w:sz w:val="12"/>
        </w:rPr>
      </w:pPr>
      <w:r>
        <w:rPr>
          <w:w w:val="120"/>
          <w:sz w:val="12"/>
        </w:rPr>
        <w:t>20</w:t>
      </w:r>
    </w:p>
    <w:p>
      <w:pPr>
        <w:pStyle w:val="BodyText"/>
        <w:rPr>
          <w:sz w:val="13"/>
        </w:rPr>
      </w:pPr>
    </w:p>
    <w:p>
      <w:pPr>
        <w:spacing w:line="132" w:lineRule="exact" w:before="1"/>
        <w:ind w:left="3385" w:right="0" w:firstLine="0"/>
        <w:jc w:val="left"/>
        <w:rPr>
          <w:sz w:val="12"/>
        </w:rPr>
      </w:pPr>
      <w:r>
        <w:rPr>
          <w:w w:val="120"/>
          <w:sz w:val="12"/>
        </w:rPr>
        <w:t>30</w:t>
      </w:r>
    </w:p>
    <w:p>
      <w:pPr>
        <w:tabs>
          <w:tab w:pos="1088" w:val="left" w:leader="none"/>
          <w:tab w:pos="1746" w:val="left" w:leader="none"/>
          <w:tab w:pos="2403" w:val="left" w:leader="none"/>
          <w:tab w:pos="2971" w:val="left" w:leader="none"/>
        </w:tabs>
        <w:spacing w:line="132" w:lineRule="exact" w:before="0"/>
        <w:ind w:left="351" w:right="0" w:firstLine="0"/>
        <w:jc w:val="left"/>
        <w:rPr>
          <w:sz w:val="12"/>
        </w:rPr>
      </w:pPr>
      <w:r>
        <w:rPr>
          <w:w w:val="120"/>
          <w:sz w:val="12"/>
        </w:rPr>
        <w:t>1992</w:t>
        <w:tab/>
        <w:t>94</w:t>
        <w:tab/>
        <w:t>96</w:t>
        <w:tab/>
        <w:t>98</w:t>
        <w:tab/>
        <w:t>2000</w:t>
      </w:r>
    </w:p>
    <w:p>
      <w:pPr>
        <w:spacing w:before="92"/>
        <w:ind w:left="181" w:right="0" w:firstLine="0"/>
        <w:jc w:val="left"/>
        <w:rPr>
          <w:sz w:val="12"/>
        </w:rPr>
      </w:pPr>
      <w:r>
        <w:rPr>
          <w:sz w:val="12"/>
        </w:rPr>
        <w:t>Source: CBI.</w:t>
      </w:r>
    </w:p>
    <w:p>
      <w:pPr>
        <w:pStyle w:val="BodyText"/>
        <w:spacing w:before="1"/>
        <w:rPr>
          <w:sz w:val="10"/>
        </w:rPr>
      </w:pPr>
    </w:p>
    <w:p>
      <w:pPr>
        <w:pStyle w:val="ListParagraph"/>
        <w:numPr>
          <w:ilvl w:val="0"/>
          <w:numId w:val="33"/>
        </w:numPr>
        <w:tabs>
          <w:tab w:pos="422" w:val="left" w:leader="none"/>
        </w:tabs>
        <w:spacing w:line="208" w:lineRule="auto" w:before="1" w:after="0"/>
        <w:ind w:left="421" w:right="38" w:hanging="240"/>
        <w:jc w:val="left"/>
        <w:rPr>
          <w:sz w:val="12"/>
        </w:rPr>
      </w:pPr>
      <w:r>
        <w:rPr>
          <w:w w:val="110"/>
          <w:sz w:val="12"/>
        </w:rPr>
        <w:t>Balance</w:t>
      </w:r>
      <w:r>
        <w:rPr>
          <w:spacing w:val="-15"/>
          <w:w w:val="110"/>
          <w:sz w:val="12"/>
        </w:rPr>
        <w:t> </w:t>
      </w:r>
      <w:r>
        <w:rPr>
          <w:w w:val="110"/>
          <w:sz w:val="12"/>
        </w:rPr>
        <w:t>of</w:t>
      </w:r>
      <w:r>
        <w:rPr>
          <w:spacing w:val="-15"/>
          <w:w w:val="110"/>
          <w:sz w:val="12"/>
        </w:rPr>
        <w:t> </w:t>
      </w:r>
      <w:r>
        <w:rPr>
          <w:w w:val="110"/>
          <w:sz w:val="12"/>
        </w:rPr>
        <w:t>retailers</w:t>
      </w:r>
      <w:r>
        <w:rPr>
          <w:spacing w:val="-14"/>
          <w:w w:val="110"/>
          <w:sz w:val="12"/>
        </w:rPr>
        <w:t> </w:t>
      </w:r>
      <w:r>
        <w:rPr>
          <w:w w:val="110"/>
          <w:sz w:val="12"/>
        </w:rPr>
        <w:t>reporting</w:t>
      </w:r>
      <w:r>
        <w:rPr>
          <w:spacing w:val="-15"/>
          <w:w w:val="110"/>
          <w:sz w:val="12"/>
        </w:rPr>
        <w:t> </w:t>
      </w:r>
      <w:r>
        <w:rPr>
          <w:w w:val="110"/>
          <w:sz w:val="12"/>
        </w:rPr>
        <w:t>higher</w:t>
      </w:r>
      <w:r>
        <w:rPr>
          <w:spacing w:val="-14"/>
          <w:w w:val="110"/>
          <w:sz w:val="12"/>
        </w:rPr>
        <w:t> </w:t>
      </w:r>
      <w:r>
        <w:rPr>
          <w:w w:val="110"/>
          <w:sz w:val="12"/>
        </w:rPr>
        <w:t>prices</w:t>
      </w:r>
      <w:r>
        <w:rPr>
          <w:spacing w:val="-15"/>
          <w:w w:val="110"/>
          <w:sz w:val="12"/>
        </w:rPr>
        <w:t> </w:t>
      </w:r>
      <w:r>
        <w:rPr>
          <w:w w:val="110"/>
          <w:sz w:val="12"/>
        </w:rPr>
        <w:t>over</w:t>
      </w:r>
      <w:r>
        <w:rPr>
          <w:spacing w:val="-14"/>
          <w:w w:val="110"/>
          <w:sz w:val="12"/>
        </w:rPr>
        <w:t> </w:t>
      </w:r>
      <w:r>
        <w:rPr>
          <w:w w:val="110"/>
          <w:sz w:val="12"/>
        </w:rPr>
        <w:t>the</w:t>
      </w:r>
      <w:r>
        <w:rPr>
          <w:spacing w:val="-15"/>
          <w:w w:val="110"/>
          <w:sz w:val="12"/>
        </w:rPr>
        <w:t> </w:t>
      </w:r>
      <w:r>
        <w:rPr>
          <w:w w:val="110"/>
          <w:sz w:val="12"/>
        </w:rPr>
        <w:t>previous month minus those reporting lower</w:t>
      </w:r>
      <w:r>
        <w:rPr>
          <w:spacing w:val="-24"/>
          <w:w w:val="110"/>
          <w:sz w:val="12"/>
        </w:rPr>
        <w:t> </w:t>
      </w:r>
      <w:r>
        <w:rPr>
          <w:w w:val="110"/>
          <w:sz w:val="12"/>
        </w:rPr>
        <w:t>prices.</w:t>
      </w:r>
    </w:p>
    <w:p>
      <w:pPr>
        <w:pStyle w:val="ListParagraph"/>
        <w:numPr>
          <w:ilvl w:val="0"/>
          <w:numId w:val="33"/>
        </w:numPr>
        <w:tabs>
          <w:tab w:pos="422" w:val="left" w:leader="none"/>
        </w:tabs>
        <w:spacing w:line="208" w:lineRule="auto" w:before="0" w:after="0"/>
        <w:ind w:left="421" w:right="208" w:hanging="240"/>
        <w:jc w:val="left"/>
        <w:rPr>
          <w:sz w:val="12"/>
        </w:rPr>
      </w:pPr>
      <w:r>
        <w:rPr>
          <w:w w:val="110"/>
          <w:sz w:val="12"/>
        </w:rPr>
        <w:t>Balance</w:t>
      </w:r>
      <w:r>
        <w:rPr>
          <w:spacing w:val="-15"/>
          <w:w w:val="110"/>
          <w:sz w:val="12"/>
        </w:rPr>
        <w:t> </w:t>
      </w:r>
      <w:r>
        <w:rPr>
          <w:w w:val="110"/>
          <w:sz w:val="12"/>
        </w:rPr>
        <w:t>of</w:t>
      </w:r>
      <w:r>
        <w:rPr>
          <w:spacing w:val="-15"/>
          <w:w w:val="110"/>
          <w:sz w:val="12"/>
        </w:rPr>
        <w:t> </w:t>
      </w:r>
      <w:r>
        <w:rPr>
          <w:w w:val="110"/>
          <w:sz w:val="12"/>
        </w:rPr>
        <w:t>retailers</w:t>
      </w:r>
      <w:r>
        <w:rPr>
          <w:spacing w:val="-15"/>
          <w:w w:val="110"/>
          <w:sz w:val="12"/>
        </w:rPr>
        <w:t> </w:t>
      </w:r>
      <w:r>
        <w:rPr>
          <w:w w:val="110"/>
          <w:sz w:val="12"/>
        </w:rPr>
        <w:t>expecting</w:t>
      </w:r>
      <w:r>
        <w:rPr>
          <w:spacing w:val="-15"/>
          <w:w w:val="110"/>
          <w:sz w:val="12"/>
        </w:rPr>
        <w:t> </w:t>
      </w:r>
      <w:r>
        <w:rPr>
          <w:w w:val="110"/>
          <w:sz w:val="12"/>
        </w:rPr>
        <w:t>to</w:t>
      </w:r>
      <w:r>
        <w:rPr>
          <w:spacing w:val="-15"/>
          <w:w w:val="110"/>
          <w:sz w:val="12"/>
        </w:rPr>
        <w:t> </w:t>
      </w:r>
      <w:r>
        <w:rPr>
          <w:w w:val="110"/>
          <w:sz w:val="12"/>
        </w:rPr>
        <w:t>raise</w:t>
      </w:r>
      <w:r>
        <w:rPr>
          <w:spacing w:val="-15"/>
          <w:w w:val="110"/>
          <w:sz w:val="12"/>
        </w:rPr>
        <w:t> </w:t>
      </w:r>
      <w:r>
        <w:rPr>
          <w:w w:val="110"/>
          <w:sz w:val="12"/>
        </w:rPr>
        <w:t>prices</w:t>
      </w:r>
      <w:r>
        <w:rPr>
          <w:spacing w:val="-15"/>
          <w:w w:val="110"/>
          <w:sz w:val="12"/>
        </w:rPr>
        <w:t> </w:t>
      </w:r>
      <w:r>
        <w:rPr>
          <w:w w:val="110"/>
          <w:sz w:val="12"/>
        </w:rPr>
        <w:t>over</w:t>
      </w:r>
      <w:r>
        <w:rPr>
          <w:spacing w:val="-14"/>
          <w:w w:val="110"/>
          <w:sz w:val="12"/>
        </w:rPr>
        <w:t> </w:t>
      </w:r>
      <w:r>
        <w:rPr>
          <w:w w:val="110"/>
          <w:sz w:val="12"/>
        </w:rPr>
        <w:t>the</w:t>
      </w:r>
      <w:r>
        <w:rPr>
          <w:spacing w:val="-15"/>
          <w:w w:val="110"/>
          <w:sz w:val="12"/>
        </w:rPr>
        <w:t> </w:t>
      </w:r>
      <w:r>
        <w:rPr>
          <w:w w:val="110"/>
          <w:sz w:val="12"/>
        </w:rPr>
        <w:t>next month</w:t>
      </w:r>
      <w:r>
        <w:rPr>
          <w:spacing w:val="-6"/>
          <w:w w:val="110"/>
          <w:sz w:val="12"/>
        </w:rPr>
        <w:t> </w:t>
      </w:r>
      <w:r>
        <w:rPr>
          <w:w w:val="110"/>
          <w:sz w:val="12"/>
        </w:rPr>
        <w:t>minus</w:t>
      </w:r>
      <w:r>
        <w:rPr>
          <w:spacing w:val="-6"/>
          <w:w w:val="110"/>
          <w:sz w:val="12"/>
        </w:rPr>
        <w:t> </w:t>
      </w:r>
      <w:r>
        <w:rPr>
          <w:w w:val="110"/>
          <w:sz w:val="12"/>
        </w:rPr>
        <w:t>those</w:t>
      </w:r>
      <w:r>
        <w:rPr>
          <w:spacing w:val="-5"/>
          <w:w w:val="110"/>
          <w:sz w:val="12"/>
        </w:rPr>
        <w:t> </w:t>
      </w:r>
      <w:r>
        <w:rPr>
          <w:w w:val="110"/>
          <w:sz w:val="12"/>
        </w:rPr>
        <w:t>expecting</w:t>
      </w:r>
      <w:r>
        <w:rPr>
          <w:spacing w:val="-6"/>
          <w:w w:val="110"/>
          <w:sz w:val="12"/>
        </w:rPr>
        <w:t> </w:t>
      </w:r>
      <w:r>
        <w:rPr>
          <w:w w:val="110"/>
          <w:sz w:val="12"/>
        </w:rPr>
        <w:t>to</w:t>
      </w:r>
      <w:r>
        <w:rPr>
          <w:spacing w:val="-5"/>
          <w:w w:val="110"/>
          <w:sz w:val="12"/>
        </w:rPr>
        <w:t> </w:t>
      </w:r>
      <w:r>
        <w:rPr>
          <w:w w:val="110"/>
          <w:sz w:val="12"/>
        </w:rPr>
        <w:t>reduce</w:t>
      </w:r>
      <w:r>
        <w:rPr>
          <w:spacing w:val="-6"/>
          <w:w w:val="110"/>
          <w:sz w:val="12"/>
        </w:rPr>
        <w:t> </w:t>
      </w:r>
      <w:r>
        <w:rPr>
          <w:w w:val="110"/>
          <w:sz w:val="12"/>
        </w:rPr>
        <w:t>prices.</w:t>
      </w:r>
    </w:p>
    <w:p>
      <w:pPr>
        <w:pStyle w:val="BodyText"/>
        <w:spacing w:line="292" w:lineRule="auto" w:before="64"/>
        <w:ind w:left="178" w:right="160"/>
      </w:pPr>
      <w:r>
        <w:rPr/>
        <w:br w:type="column"/>
      </w:r>
      <w:r>
        <w:rPr>
          <w:w w:val="110"/>
        </w:rPr>
        <w:t>The depreciation of the exchange </w:t>
      </w:r>
      <w:r>
        <w:rPr>
          <w:spacing w:val="-4"/>
          <w:w w:val="110"/>
        </w:rPr>
        <w:t>rate </w:t>
      </w:r>
      <w:r>
        <w:rPr>
          <w:w w:val="110"/>
        </w:rPr>
        <w:t>in recent months, combined with the continued firmness of retail sales </w:t>
      </w:r>
      <w:r>
        <w:rPr>
          <w:spacing w:val="-3"/>
          <w:w w:val="110"/>
        </w:rPr>
        <w:t>growth </w:t>
      </w:r>
      <w:r>
        <w:rPr>
          <w:w w:val="110"/>
        </w:rPr>
        <w:t>and</w:t>
      </w:r>
      <w:r>
        <w:rPr>
          <w:spacing w:val="-22"/>
          <w:w w:val="110"/>
        </w:rPr>
        <w:t> </w:t>
      </w:r>
      <w:r>
        <w:rPr>
          <w:w w:val="110"/>
        </w:rPr>
        <w:t>consumer</w:t>
      </w:r>
      <w:r>
        <w:rPr>
          <w:spacing w:val="-21"/>
          <w:w w:val="110"/>
        </w:rPr>
        <w:t> </w:t>
      </w:r>
      <w:r>
        <w:rPr>
          <w:w w:val="110"/>
        </w:rPr>
        <w:t>confidence,</w:t>
      </w:r>
      <w:r>
        <w:rPr>
          <w:spacing w:val="-21"/>
          <w:w w:val="110"/>
        </w:rPr>
        <w:t> </w:t>
      </w:r>
      <w:r>
        <w:rPr>
          <w:spacing w:val="-3"/>
          <w:w w:val="110"/>
        </w:rPr>
        <w:t>may</w:t>
      </w:r>
      <w:r>
        <w:rPr>
          <w:spacing w:val="-21"/>
          <w:w w:val="110"/>
        </w:rPr>
        <w:t> </w:t>
      </w:r>
      <w:r>
        <w:rPr>
          <w:w w:val="110"/>
        </w:rPr>
        <w:t>be</w:t>
      </w:r>
      <w:r>
        <w:rPr>
          <w:spacing w:val="-22"/>
          <w:w w:val="110"/>
        </w:rPr>
        <w:t> </w:t>
      </w:r>
      <w:r>
        <w:rPr>
          <w:w w:val="110"/>
        </w:rPr>
        <w:t>associated</w:t>
      </w:r>
      <w:r>
        <w:rPr>
          <w:spacing w:val="-21"/>
          <w:w w:val="110"/>
        </w:rPr>
        <w:t> </w:t>
      </w:r>
      <w:r>
        <w:rPr>
          <w:w w:val="110"/>
        </w:rPr>
        <w:t>with</w:t>
      </w:r>
      <w:r>
        <w:rPr>
          <w:spacing w:val="-21"/>
          <w:w w:val="110"/>
        </w:rPr>
        <w:t> </w:t>
      </w:r>
      <w:r>
        <w:rPr>
          <w:w w:val="110"/>
        </w:rPr>
        <w:t>a</w:t>
      </w:r>
      <w:r>
        <w:rPr>
          <w:spacing w:val="-21"/>
          <w:w w:val="110"/>
        </w:rPr>
        <w:t> </w:t>
      </w:r>
      <w:r>
        <w:rPr>
          <w:w w:val="110"/>
        </w:rPr>
        <w:t>lessening of</w:t>
      </w:r>
      <w:r>
        <w:rPr>
          <w:spacing w:val="-19"/>
          <w:w w:val="110"/>
        </w:rPr>
        <w:t> </w:t>
      </w:r>
      <w:r>
        <w:rPr>
          <w:spacing w:val="-3"/>
          <w:w w:val="110"/>
        </w:rPr>
        <w:t>downward</w:t>
      </w:r>
      <w:r>
        <w:rPr>
          <w:spacing w:val="-18"/>
          <w:w w:val="110"/>
        </w:rPr>
        <w:t> </w:t>
      </w:r>
      <w:r>
        <w:rPr>
          <w:spacing w:val="-3"/>
          <w:w w:val="110"/>
        </w:rPr>
        <w:t>pressure</w:t>
      </w:r>
      <w:r>
        <w:rPr>
          <w:spacing w:val="-18"/>
          <w:w w:val="110"/>
        </w:rPr>
        <w:t> </w:t>
      </w:r>
      <w:r>
        <w:rPr>
          <w:w w:val="110"/>
        </w:rPr>
        <w:t>on</w:t>
      </w:r>
      <w:r>
        <w:rPr>
          <w:spacing w:val="-19"/>
          <w:w w:val="110"/>
        </w:rPr>
        <w:t> </w:t>
      </w:r>
      <w:r>
        <w:rPr>
          <w:w w:val="110"/>
        </w:rPr>
        <w:t>retail</w:t>
      </w:r>
      <w:r>
        <w:rPr>
          <w:spacing w:val="-18"/>
          <w:w w:val="110"/>
        </w:rPr>
        <w:t> </w:t>
      </w:r>
      <w:r>
        <w:rPr>
          <w:w w:val="110"/>
        </w:rPr>
        <w:t>goods</w:t>
      </w:r>
      <w:r>
        <w:rPr>
          <w:spacing w:val="-18"/>
          <w:w w:val="110"/>
        </w:rPr>
        <w:t> </w:t>
      </w:r>
      <w:r>
        <w:rPr>
          <w:w w:val="110"/>
        </w:rPr>
        <w:t>prices.</w:t>
      </w:r>
      <w:r>
        <w:rPr>
          <w:spacing w:val="19"/>
          <w:w w:val="110"/>
        </w:rPr>
        <w:t> </w:t>
      </w:r>
      <w:r>
        <w:rPr>
          <w:w w:val="110"/>
        </w:rPr>
        <w:t>Consistent</w:t>
      </w:r>
      <w:r>
        <w:rPr>
          <w:spacing w:val="-18"/>
          <w:w w:val="110"/>
        </w:rPr>
        <w:t> </w:t>
      </w:r>
      <w:r>
        <w:rPr>
          <w:w w:val="110"/>
        </w:rPr>
        <w:t>with this,</w:t>
      </w:r>
      <w:r>
        <w:rPr>
          <w:spacing w:val="-21"/>
          <w:w w:val="110"/>
        </w:rPr>
        <w:t> </w:t>
      </w:r>
      <w:r>
        <w:rPr>
          <w:w w:val="110"/>
        </w:rPr>
        <w:t>the</w:t>
      </w:r>
      <w:r>
        <w:rPr>
          <w:spacing w:val="-20"/>
          <w:w w:val="110"/>
        </w:rPr>
        <w:t> </w:t>
      </w:r>
      <w:r>
        <w:rPr>
          <w:w w:val="110"/>
        </w:rPr>
        <w:t>November</w:t>
      </w:r>
      <w:r>
        <w:rPr>
          <w:spacing w:val="-21"/>
          <w:w w:val="110"/>
        </w:rPr>
        <w:t> </w:t>
      </w:r>
      <w:r>
        <w:rPr>
          <w:w w:val="110"/>
        </w:rPr>
        <w:t>CBI</w:t>
      </w:r>
      <w:r>
        <w:rPr>
          <w:spacing w:val="-20"/>
          <w:w w:val="110"/>
        </w:rPr>
        <w:t> </w:t>
      </w:r>
      <w:r>
        <w:rPr>
          <w:w w:val="110"/>
        </w:rPr>
        <w:t>distributive</w:t>
      </w:r>
      <w:r>
        <w:rPr>
          <w:spacing w:val="-21"/>
          <w:w w:val="110"/>
        </w:rPr>
        <w:t> </w:t>
      </w:r>
      <w:r>
        <w:rPr>
          <w:spacing w:val="-3"/>
          <w:w w:val="110"/>
        </w:rPr>
        <w:t>trades</w:t>
      </w:r>
      <w:r>
        <w:rPr>
          <w:spacing w:val="-20"/>
          <w:w w:val="110"/>
        </w:rPr>
        <w:t> </w:t>
      </w:r>
      <w:r>
        <w:rPr>
          <w:spacing w:val="-3"/>
          <w:w w:val="110"/>
        </w:rPr>
        <w:t>survey</w:t>
      </w:r>
      <w:r>
        <w:rPr>
          <w:spacing w:val="-21"/>
          <w:w w:val="110"/>
        </w:rPr>
        <w:t> </w:t>
      </w:r>
      <w:r>
        <w:rPr>
          <w:w w:val="110"/>
        </w:rPr>
        <w:t>reported</w:t>
      </w:r>
      <w:r>
        <w:rPr>
          <w:spacing w:val="-20"/>
          <w:w w:val="110"/>
        </w:rPr>
        <w:t> </w:t>
      </w:r>
      <w:r>
        <w:rPr>
          <w:w w:val="110"/>
        </w:rPr>
        <w:t>the </w:t>
      </w:r>
      <w:r>
        <w:rPr>
          <w:spacing w:val="-3"/>
          <w:w w:val="110"/>
        </w:rPr>
        <w:t>lowest </w:t>
      </w:r>
      <w:r>
        <w:rPr>
          <w:w w:val="110"/>
        </w:rPr>
        <w:t>balance of </w:t>
      </w:r>
      <w:r>
        <w:rPr>
          <w:spacing w:val="-3"/>
          <w:w w:val="110"/>
        </w:rPr>
        <w:t>retailers </w:t>
      </w:r>
      <w:r>
        <w:rPr>
          <w:w w:val="110"/>
        </w:rPr>
        <w:t>experiencing price falls for a year (see Chart </w:t>
      </w:r>
      <w:r>
        <w:rPr>
          <w:spacing w:val="-5"/>
          <w:w w:val="110"/>
        </w:rPr>
        <w:t>4.12), </w:t>
      </w:r>
      <w:r>
        <w:rPr>
          <w:w w:val="110"/>
        </w:rPr>
        <w:t>while the proportion of firms expecting future price cuts also dropped </w:t>
      </w:r>
      <w:r>
        <w:rPr>
          <w:spacing w:val="-3"/>
          <w:w w:val="110"/>
        </w:rPr>
        <w:t>significantly. </w:t>
      </w:r>
      <w:r>
        <w:rPr>
          <w:w w:val="110"/>
        </w:rPr>
        <w:t>The </w:t>
      </w:r>
      <w:r>
        <w:rPr>
          <w:spacing w:val="-3"/>
          <w:w w:val="110"/>
        </w:rPr>
        <w:t>Bank’s </w:t>
      </w:r>
      <w:r>
        <w:rPr>
          <w:w w:val="110"/>
        </w:rPr>
        <w:t>regional Agents also report </w:t>
      </w:r>
      <w:r>
        <w:rPr>
          <w:spacing w:val="-3"/>
          <w:w w:val="110"/>
        </w:rPr>
        <w:t>tentative </w:t>
      </w:r>
      <w:r>
        <w:rPr>
          <w:w w:val="110"/>
        </w:rPr>
        <w:t>signs of a lessening of </w:t>
      </w:r>
      <w:r>
        <w:rPr>
          <w:spacing w:val="-3"/>
          <w:w w:val="110"/>
        </w:rPr>
        <w:t>downward pressure </w:t>
      </w:r>
      <w:r>
        <w:rPr>
          <w:w w:val="110"/>
        </w:rPr>
        <w:t>on retail goods prices. And the Q4 Institute of </w:t>
      </w:r>
      <w:r>
        <w:rPr>
          <w:spacing w:val="-3"/>
          <w:w w:val="110"/>
        </w:rPr>
        <w:t>Directors survey </w:t>
      </w:r>
      <w:r>
        <w:rPr>
          <w:w w:val="110"/>
        </w:rPr>
        <w:t>reported a positive balance of </w:t>
      </w:r>
      <w:r>
        <w:rPr>
          <w:spacing w:val="-3"/>
          <w:w w:val="110"/>
        </w:rPr>
        <w:t>retailers </w:t>
      </w:r>
      <w:r>
        <w:rPr>
          <w:w w:val="110"/>
        </w:rPr>
        <w:t>expecting prices </w:t>
      </w:r>
      <w:r>
        <w:rPr>
          <w:spacing w:val="-4"/>
          <w:w w:val="110"/>
        </w:rPr>
        <w:t>to </w:t>
      </w:r>
      <w:r>
        <w:rPr>
          <w:w w:val="110"/>
        </w:rPr>
        <w:t>rise, with the balance being the strongest for a </w:t>
      </w:r>
      <w:r>
        <w:rPr>
          <w:spacing w:val="-4"/>
          <w:w w:val="110"/>
        </w:rPr>
        <w:t>year. However, </w:t>
      </w:r>
      <w:r>
        <w:rPr>
          <w:w w:val="110"/>
        </w:rPr>
        <w:t>other </w:t>
      </w:r>
      <w:r>
        <w:rPr>
          <w:spacing w:val="-3"/>
          <w:w w:val="110"/>
        </w:rPr>
        <w:t>surveys </w:t>
      </w:r>
      <w:r>
        <w:rPr>
          <w:w w:val="110"/>
        </w:rPr>
        <w:t>suggest </w:t>
      </w:r>
      <w:r>
        <w:rPr>
          <w:spacing w:val="-3"/>
          <w:w w:val="110"/>
        </w:rPr>
        <w:t>weaker </w:t>
      </w:r>
      <w:r>
        <w:rPr>
          <w:w w:val="110"/>
        </w:rPr>
        <w:t>price </w:t>
      </w:r>
      <w:r>
        <w:rPr>
          <w:spacing w:val="-3"/>
          <w:w w:val="110"/>
        </w:rPr>
        <w:t>pressures. </w:t>
      </w:r>
      <w:r>
        <w:rPr>
          <w:w w:val="110"/>
        </w:rPr>
        <w:t>Recent Dun &amp; Bradstreet </w:t>
      </w:r>
      <w:r>
        <w:rPr>
          <w:spacing w:val="-3"/>
          <w:w w:val="110"/>
        </w:rPr>
        <w:t>surveys have </w:t>
      </w:r>
      <w:r>
        <w:rPr>
          <w:w w:val="110"/>
        </w:rPr>
        <w:t>reported a deterioration of retailers’ price expectations. And the</w:t>
      </w:r>
      <w:r>
        <w:rPr>
          <w:spacing w:val="-16"/>
          <w:w w:val="110"/>
        </w:rPr>
        <w:t> </w:t>
      </w:r>
      <w:r>
        <w:rPr>
          <w:w w:val="110"/>
        </w:rPr>
        <w:t>annual</w:t>
      </w:r>
      <w:r>
        <w:rPr>
          <w:spacing w:val="-15"/>
          <w:w w:val="110"/>
        </w:rPr>
        <w:t> </w:t>
      </w:r>
      <w:r>
        <w:rPr>
          <w:spacing w:val="-4"/>
          <w:w w:val="110"/>
        </w:rPr>
        <w:t>rate</w:t>
      </w:r>
      <w:r>
        <w:rPr>
          <w:spacing w:val="-15"/>
          <w:w w:val="110"/>
        </w:rPr>
        <w:t> </w:t>
      </w:r>
      <w:r>
        <w:rPr>
          <w:w w:val="110"/>
        </w:rPr>
        <w:t>of</w:t>
      </w:r>
      <w:r>
        <w:rPr>
          <w:spacing w:val="-16"/>
          <w:w w:val="110"/>
        </w:rPr>
        <w:t> </w:t>
      </w:r>
      <w:r>
        <w:rPr>
          <w:w w:val="110"/>
        </w:rPr>
        <w:t>increase</w:t>
      </w:r>
      <w:r>
        <w:rPr>
          <w:spacing w:val="-15"/>
          <w:w w:val="110"/>
        </w:rPr>
        <w:t> </w:t>
      </w:r>
      <w:r>
        <w:rPr>
          <w:w w:val="110"/>
        </w:rPr>
        <w:t>of</w:t>
      </w:r>
      <w:r>
        <w:rPr>
          <w:spacing w:val="-15"/>
          <w:w w:val="110"/>
        </w:rPr>
        <w:t> </w:t>
      </w:r>
      <w:r>
        <w:rPr>
          <w:w w:val="110"/>
        </w:rPr>
        <w:t>the</w:t>
      </w:r>
      <w:r>
        <w:rPr>
          <w:spacing w:val="-16"/>
          <w:w w:val="110"/>
        </w:rPr>
        <w:t> </w:t>
      </w:r>
      <w:r>
        <w:rPr>
          <w:spacing w:val="-4"/>
          <w:w w:val="110"/>
        </w:rPr>
        <w:t>BRC</w:t>
      </w:r>
      <w:r>
        <w:rPr>
          <w:spacing w:val="-15"/>
          <w:w w:val="110"/>
        </w:rPr>
        <w:t> </w:t>
      </w:r>
      <w:r>
        <w:rPr>
          <w:w w:val="110"/>
        </w:rPr>
        <w:t>shop</w:t>
      </w:r>
      <w:r>
        <w:rPr>
          <w:spacing w:val="-15"/>
          <w:w w:val="110"/>
        </w:rPr>
        <w:t> </w:t>
      </w:r>
      <w:r>
        <w:rPr>
          <w:w w:val="110"/>
        </w:rPr>
        <w:t>price</w:t>
      </w:r>
      <w:r>
        <w:rPr>
          <w:spacing w:val="-15"/>
          <w:w w:val="110"/>
        </w:rPr>
        <w:t> </w:t>
      </w:r>
      <w:r>
        <w:rPr>
          <w:w w:val="110"/>
        </w:rPr>
        <w:t>index</w:t>
      </w:r>
      <w:r>
        <w:rPr>
          <w:spacing w:val="-16"/>
          <w:w w:val="110"/>
        </w:rPr>
        <w:t> </w:t>
      </w:r>
      <w:r>
        <w:rPr>
          <w:w w:val="110"/>
        </w:rPr>
        <w:t>fell</w:t>
      </w:r>
      <w:r>
        <w:rPr>
          <w:spacing w:val="-15"/>
          <w:w w:val="110"/>
        </w:rPr>
        <w:t> </w:t>
      </w:r>
      <w:r>
        <w:rPr>
          <w:spacing w:val="-4"/>
          <w:w w:val="110"/>
        </w:rPr>
        <w:t>to </w:t>
      </w:r>
      <w:r>
        <w:rPr>
          <w:w w:val="110"/>
        </w:rPr>
        <w:t>its </w:t>
      </w:r>
      <w:r>
        <w:rPr>
          <w:spacing w:val="-3"/>
          <w:w w:val="110"/>
        </w:rPr>
        <w:t>lowest level </w:t>
      </w:r>
      <w:r>
        <w:rPr>
          <w:w w:val="110"/>
        </w:rPr>
        <w:t>in five months in </w:t>
      </w:r>
      <w:r>
        <w:rPr>
          <w:spacing w:val="-3"/>
          <w:w w:val="110"/>
        </w:rPr>
        <w:t>January, </w:t>
      </w:r>
      <w:r>
        <w:rPr>
          <w:w w:val="110"/>
        </w:rPr>
        <w:t>after edging up </w:t>
      </w:r>
      <w:r>
        <w:rPr>
          <w:spacing w:val="-4"/>
          <w:w w:val="110"/>
        </w:rPr>
        <w:t>towards </w:t>
      </w:r>
      <w:r>
        <w:rPr>
          <w:w w:val="110"/>
        </w:rPr>
        <w:t>the end of</w:t>
      </w:r>
      <w:r>
        <w:rPr>
          <w:spacing w:val="-15"/>
          <w:w w:val="110"/>
        </w:rPr>
        <w:t> </w:t>
      </w:r>
      <w:r>
        <w:rPr>
          <w:spacing w:val="-4"/>
          <w:w w:val="110"/>
        </w:rPr>
        <w:t>2000.</w:t>
      </w:r>
    </w:p>
    <w:p>
      <w:pPr>
        <w:pStyle w:val="BodyText"/>
        <w:spacing w:before="2"/>
        <w:rPr>
          <w:sz w:val="25"/>
        </w:rPr>
      </w:pPr>
    </w:p>
    <w:p>
      <w:pPr>
        <w:pStyle w:val="BodyText"/>
        <w:spacing w:line="292" w:lineRule="auto"/>
        <w:ind w:left="178" w:right="368"/>
        <w:jc w:val="both"/>
      </w:pPr>
      <w:r>
        <w:rPr>
          <w:w w:val="110"/>
        </w:rPr>
        <w:t>Annual</w:t>
      </w:r>
      <w:r>
        <w:rPr>
          <w:spacing w:val="-23"/>
          <w:w w:val="110"/>
        </w:rPr>
        <w:t> </w:t>
      </w:r>
      <w:r>
        <w:rPr>
          <w:w w:val="110"/>
        </w:rPr>
        <w:t>retail</w:t>
      </w:r>
      <w:r>
        <w:rPr>
          <w:spacing w:val="-22"/>
          <w:w w:val="110"/>
        </w:rPr>
        <w:t> </w:t>
      </w:r>
      <w:r>
        <w:rPr>
          <w:w w:val="110"/>
        </w:rPr>
        <w:t>services</w:t>
      </w:r>
      <w:r>
        <w:rPr>
          <w:spacing w:val="-22"/>
          <w:w w:val="110"/>
        </w:rPr>
        <w:t> </w:t>
      </w:r>
      <w:r>
        <w:rPr>
          <w:w w:val="110"/>
        </w:rPr>
        <w:t>price</w:t>
      </w:r>
      <w:r>
        <w:rPr>
          <w:spacing w:val="-22"/>
          <w:w w:val="110"/>
        </w:rPr>
        <w:t> </w:t>
      </w:r>
      <w:r>
        <w:rPr>
          <w:w w:val="110"/>
        </w:rPr>
        <w:t>inflation</w:t>
      </w:r>
      <w:r>
        <w:rPr>
          <w:spacing w:val="-22"/>
          <w:w w:val="110"/>
        </w:rPr>
        <w:t> </w:t>
      </w:r>
      <w:r>
        <w:rPr>
          <w:w w:val="110"/>
        </w:rPr>
        <w:t>fell</w:t>
      </w:r>
      <w:r>
        <w:rPr>
          <w:spacing w:val="-23"/>
          <w:w w:val="110"/>
        </w:rPr>
        <w:t> </w:t>
      </w:r>
      <w:r>
        <w:rPr>
          <w:w w:val="110"/>
        </w:rPr>
        <w:t>from</w:t>
      </w:r>
      <w:r>
        <w:rPr>
          <w:spacing w:val="-22"/>
          <w:w w:val="110"/>
        </w:rPr>
        <w:t> </w:t>
      </w:r>
      <w:r>
        <w:rPr>
          <w:w w:val="110"/>
        </w:rPr>
        <w:t>3.4%</w:t>
      </w:r>
      <w:r>
        <w:rPr>
          <w:spacing w:val="-22"/>
          <w:w w:val="110"/>
        </w:rPr>
        <w:t> </w:t>
      </w:r>
      <w:r>
        <w:rPr>
          <w:w w:val="110"/>
        </w:rPr>
        <w:t>in</w:t>
      </w:r>
      <w:r>
        <w:rPr>
          <w:spacing w:val="-22"/>
          <w:w w:val="110"/>
        </w:rPr>
        <w:t> </w:t>
      </w:r>
      <w:r>
        <w:rPr>
          <w:w w:val="110"/>
        </w:rPr>
        <w:t>Q3</w:t>
      </w:r>
      <w:r>
        <w:rPr>
          <w:spacing w:val="-22"/>
          <w:w w:val="110"/>
        </w:rPr>
        <w:t> </w:t>
      </w:r>
      <w:r>
        <w:rPr>
          <w:spacing w:val="-4"/>
          <w:w w:val="110"/>
        </w:rPr>
        <w:t>to </w:t>
      </w:r>
      <w:r>
        <w:rPr>
          <w:w w:val="110"/>
        </w:rPr>
        <w:t>3.1%</w:t>
      </w:r>
      <w:r>
        <w:rPr>
          <w:spacing w:val="-13"/>
          <w:w w:val="110"/>
        </w:rPr>
        <w:t> </w:t>
      </w:r>
      <w:r>
        <w:rPr>
          <w:w w:val="110"/>
        </w:rPr>
        <w:t>in</w:t>
      </w:r>
      <w:r>
        <w:rPr>
          <w:spacing w:val="-12"/>
          <w:w w:val="110"/>
        </w:rPr>
        <w:t> </w:t>
      </w:r>
      <w:r>
        <w:rPr>
          <w:w w:val="110"/>
        </w:rPr>
        <w:t>Q4,</w:t>
      </w:r>
      <w:r>
        <w:rPr>
          <w:spacing w:val="-12"/>
          <w:w w:val="110"/>
        </w:rPr>
        <w:t> </w:t>
      </w:r>
      <w:r>
        <w:rPr>
          <w:w w:val="110"/>
        </w:rPr>
        <w:t>the</w:t>
      </w:r>
      <w:r>
        <w:rPr>
          <w:spacing w:val="-12"/>
          <w:w w:val="110"/>
        </w:rPr>
        <w:t> </w:t>
      </w:r>
      <w:r>
        <w:rPr>
          <w:spacing w:val="-3"/>
          <w:w w:val="110"/>
        </w:rPr>
        <w:t>lowest</w:t>
      </w:r>
      <w:r>
        <w:rPr>
          <w:spacing w:val="-12"/>
          <w:w w:val="110"/>
        </w:rPr>
        <w:t> </w:t>
      </w:r>
      <w:r>
        <w:rPr>
          <w:w w:val="110"/>
        </w:rPr>
        <w:t>quarterly</w:t>
      </w:r>
      <w:r>
        <w:rPr>
          <w:spacing w:val="-12"/>
          <w:w w:val="110"/>
        </w:rPr>
        <w:t> </w:t>
      </w:r>
      <w:r>
        <w:rPr>
          <w:w w:val="110"/>
        </w:rPr>
        <w:t>figure</w:t>
      </w:r>
      <w:r>
        <w:rPr>
          <w:spacing w:val="-13"/>
          <w:w w:val="110"/>
        </w:rPr>
        <w:t> </w:t>
      </w:r>
      <w:r>
        <w:rPr>
          <w:w w:val="110"/>
        </w:rPr>
        <w:t>since</w:t>
      </w:r>
      <w:r>
        <w:rPr>
          <w:spacing w:val="-12"/>
          <w:w w:val="110"/>
        </w:rPr>
        <w:t> </w:t>
      </w:r>
      <w:r>
        <w:rPr>
          <w:spacing w:val="-18"/>
          <w:w w:val="110"/>
        </w:rPr>
        <w:t>1998</w:t>
      </w:r>
      <w:r>
        <w:rPr>
          <w:spacing w:val="-12"/>
          <w:w w:val="110"/>
        </w:rPr>
        <w:t> </w:t>
      </w:r>
      <w:r>
        <w:rPr>
          <w:w w:val="110"/>
        </w:rPr>
        <w:t>Q1.</w:t>
      </w:r>
      <w:r>
        <w:rPr>
          <w:spacing w:val="32"/>
          <w:w w:val="110"/>
        </w:rPr>
        <w:t> </w:t>
      </w:r>
      <w:r>
        <w:rPr>
          <w:w w:val="110"/>
        </w:rPr>
        <w:t>That fall</w:t>
      </w:r>
      <w:r>
        <w:rPr>
          <w:spacing w:val="-14"/>
          <w:w w:val="110"/>
        </w:rPr>
        <w:t> </w:t>
      </w:r>
      <w:r>
        <w:rPr>
          <w:w w:val="110"/>
        </w:rPr>
        <w:t>reflected</w:t>
      </w:r>
      <w:r>
        <w:rPr>
          <w:spacing w:val="-13"/>
          <w:w w:val="110"/>
        </w:rPr>
        <w:t> </w:t>
      </w:r>
      <w:r>
        <w:rPr>
          <w:spacing w:val="-3"/>
          <w:w w:val="110"/>
        </w:rPr>
        <w:t>lower</w:t>
      </w:r>
      <w:r>
        <w:rPr>
          <w:spacing w:val="-13"/>
          <w:w w:val="110"/>
        </w:rPr>
        <w:t> </w:t>
      </w:r>
      <w:r>
        <w:rPr>
          <w:w w:val="110"/>
        </w:rPr>
        <w:t>inflation</w:t>
      </w:r>
      <w:r>
        <w:rPr>
          <w:spacing w:val="-13"/>
          <w:w w:val="110"/>
        </w:rPr>
        <w:t> </w:t>
      </w:r>
      <w:r>
        <w:rPr>
          <w:w w:val="110"/>
        </w:rPr>
        <w:t>of</w:t>
      </w:r>
      <w:r>
        <w:rPr>
          <w:spacing w:val="-14"/>
          <w:w w:val="110"/>
        </w:rPr>
        <w:t> </w:t>
      </w:r>
      <w:r>
        <w:rPr>
          <w:w w:val="110"/>
        </w:rPr>
        <w:t>both</w:t>
      </w:r>
      <w:r>
        <w:rPr>
          <w:spacing w:val="-13"/>
          <w:w w:val="110"/>
        </w:rPr>
        <w:t> </w:t>
      </w:r>
      <w:r>
        <w:rPr>
          <w:w w:val="110"/>
        </w:rPr>
        <w:t>shop</w:t>
      </w:r>
      <w:r>
        <w:rPr>
          <w:spacing w:val="-13"/>
          <w:w w:val="110"/>
        </w:rPr>
        <w:t> </w:t>
      </w:r>
      <w:r>
        <w:rPr>
          <w:w w:val="110"/>
        </w:rPr>
        <w:t>services</w:t>
      </w:r>
      <w:r>
        <w:rPr>
          <w:spacing w:val="-13"/>
          <w:w w:val="110"/>
        </w:rPr>
        <w:t> </w:t>
      </w:r>
      <w:r>
        <w:rPr>
          <w:w w:val="110"/>
        </w:rPr>
        <w:t>and</w:t>
      </w:r>
    </w:p>
    <w:p>
      <w:pPr>
        <w:pStyle w:val="BodyText"/>
        <w:spacing w:line="292" w:lineRule="auto"/>
        <w:ind w:left="178" w:right="242"/>
        <w:jc w:val="both"/>
      </w:pPr>
      <w:r>
        <w:rPr>
          <w:w w:val="110"/>
        </w:rPr>
        <w:t>non-shop</w:t>
      </w:r>
      <w:r>
        <w:rPr>
          <w:spacing w:val="-19"/>
          <w:w w:val="110"/>
        </w:rPr>
        <w:t> </w:t>
      </w:r>
      <w:r>
        <w:rPr>
          <w:w w:val="110"/>
        </w:rPr>
        <w:t>services.</w:t>
      </w:r>
      <w:r>
        <w:rPr>
          <w:spacing w:val="18"/>
          <w:w w:val="110"/>
        </w:rPr>
        <w:t> </w:t>
      </w:r>
      <w:r>
        <w:rPr>
          <w:w w:val="110"/>
        </w:rPr>
        <w:t>Annual</w:t>
      </w:r>
      <w:r>
        <w:rPr>
          <w:spacing w:val="-18"/>
          <w:w w:val="110"/>
        </w:rPr>
        <w:t> </w:t>
      </w:r>
      <w:r>
        <w:rPr>
          <w:spacing w:val="-3"/>
          <w:w w:val="110"/>
        </w:rPr>
        <w:t>utility</w:t>
      </w:r>
      <w:r>
        <w:rPr>
          <w:spacing w:val="-19"/>
          <w:w w:val="110"/>
        </w:rPr>
        <w:t> </w:t>
      </w:r>
      <w:r>
        <w:rPr>
          <w:w w:val="110"/>
        </w:rPr>
        <w:t>price</w:t>
      </w:r>
      <w:r>
        <w:rPr>
          <w:spacing w:val="-18"/>
          <w:w w:val="110"/>
        </w:rPr>
        <w:t> </w:t>
      </w:r>
      <w:r>
        <w:rPr>
          <w:w w:val="110"/>
        </w:rPr>
        <w:t>inflation</w:t>
      </w:r>
      <w:r>
        <w:rPr>
          <w:spacing w:val="-19"/>
          <w:w w:val="110"/>
        </w:rPr>
        <w:t> </w:t>
      </w:r>
      <w:r>
        <w:rPr>
          <w:w w:val="110"/>
        </w:rPr>
        <w:t>continued</w:t>
      </w:r>
      <w:r>
        <w:rPr>
          <w:spacing w:val="-18"/>
          <w:w w:val="110"/>
        </w:rPr>
        <w:t> </w:t>
      </w:r>
      <w:r>
        <w:rPr>
          <w:spacing w:val="-4"/>
          <w:w w:val="110"/>
        </w:rPr>
        <w:t>to </w:t>
      </w:r>
      <w:r>
        <w:rPr>
          <w:w w:val="110"/>
        </w:rPr>
        <w:t>be</w:t>
      </w:r>
      <w:r>
        <w:rPr>
          <w:spacing w:val="-12"/>
          <w:w w:val="110"/>
        </w:rPr>
        <w:t> </w:t>
      </w:r>
      <w:r>
        <w:rPr>
          <w:w w:val="110"/>
        </w:rPr>
        <w:t>negative</w:t>
      </w:r>
      <w:r>
        <w:rPr>
          <w:spacing w:val="-12"/>
          <w:w w:val="110"/>
        </w:rPr>
        <w:t> </w:t>
      </w:r>
      <w:r>
        <w:rPr>
          <w:w w:val="110"/>
        </w:rPr>
        <w:t>following</w:t>
      </w:r>
      <w:r>
        <w:rPr>
          <w:spacing w:val="-12"/>
          <w:w w:val="110"/>
        </w:rPr>
        <w:t> </w:t>
      </w:r>
      <w:r>
        <w:rPr>
          <w:w w:val="110"/>
        </w:rPr>
        <w:t>the</w:t>
      </w:r>
      <w:r>
        <w:rPr>
          <w:spacing w:val="-12"/>
          <w:w w:val="110"/>
        </w:rPr>
        <w:t> </w:t>
      </w:r>
      <w:r>
        <w:rPr>
          <w:w w:val="110"/>
        </w:rPr>
        <w:t>sharp</w:t>
      </w:r>
      <w:r>
        <w:rPr>
          <w:spacing w:val="-12"/>
          <w:w w:val="110"/>
        </w:rPr>
        <w:t> </w:t>
      </w:r>
      <w:r>
        <w:rPr>
          <w:w w:val="110"/>
        </w:rPr>
        <w:t>price</w:t>
      </w:r>
      <w:r>
        <w:rPr>
          <w:spacing w:val="-11"/>
          <w:w w:val="110"/>
        </w:rPr>
        <w:t> </w:t>
      </w:r>
      <w:r>
        <w:rPr>
          <w:w w:val="110"/>
        </w:rPr>
        <w:t>cuts</w:t>
      </w:r>
      <w:r>
        <w:rPr>
          <w:spacing w:val="-12"/>
          <w:w w:val="110"/>
        </w:rPr>
        <w:t> </w:t>
      </w:r>
      <w:r>
        <w:rPr>
          <w:w w:val="110"/>
        </w:rPr>
        <w:t>agreed</w:t>
      </w:r>
      <w:r>
        <w:rPr>
          <w:spacing w:val="-12"/>
          <w:w w:val="110"/>
        </w:rPr>
        <w:t> </w:t>
      </w:r>
      <w:r>
        <w:rPr>
          <w:spacing w:val="-3"/>
          <w:w w:val="110"/>
        </w:rPr>
        <w:t>between</w:t>
      </w:r>
    </w:p>
    <w:p>
      <w:pPr>
        <w:spacing w:after="0" w:line="292" w:lineRule="auto"/>
        <w:jc w:val="both"/>
        <w:sectPr>
          <w:type w:val="continuous"/>
          <w:pgSz w:w="11900" w:h="16840"/>
          <w:pgMar w:top="1260" w:bottom="280" w:left="640" w:right="640"/>
          <w:cols w:num="2" w:equalWidth="0">
            <w:col w:w="3582" w:space="1339"/>
            <w:col w:w="5699"/>
          </w:cols>
        </w:sectPr>
      </w:pPr>
    </w:p>
    <w:p>
      <w:pPr>
        <w:pStyle w:val="BodyText"/>
      </w:pPr>
    </w:p>
    <w:p>
      <w:pPr>
        <w:spacing w:after="0"/>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
        <w:rPr>
          <w:sz w:val="24"/>
        </w:rPr>
      </w:pPr>
    </w:p>
    <w:p>
      <w:pPr>
        <w:pStyle w:val="Heading6"/>
        <w:ind w:left="199"/>
      </w:pPr>
      <w:bookmarkStart w:name="Other price indices" w:id="83"/>
      <w:bookmarkEnd w:id="83"/>
      <w:r>
        <w:rPr>
          <w:b w:val="0"/>
        </w:rPr>
      </w:r>
      <w:bookmarkStart w:name="_bookmark41" w:id="84"/>
      <w:bookmarkEnd w:id="84"/>
      <w:r>
        <w:rPr>
          <w:b w:val="0"/>
        </w:rPr>
      </w:r>
      <w:bookmarkStart w:name="_bookmark42" w:id="85"/>
      <w:bookmarkEnd w:id="85"/>
      <w:r>
        <w:rPr>
          <w:b w:val="0"/>
        </w:rPr>
      </w: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4.13</w:t>
      </w:r>
    </w:p>
    <w:p>
      <w:pPr>
        <w:spacing w:before="8"/>
        <w:ind w:left="199" w:right="0" w:firstLine="0"/>
        <w:jc w:val="left"/>
        <w:rPr>
          <w:sz w:val="12"/>
        </w:rPr>
      </w:pPr>
      <w:r>
        <w:rPr>
          <w:rFonts w:ascii="Trebuchet MS"/>
          <w:b/>
          <w:color w:val="89C6DC"/>
          <w:sz w:val="20"/>
        </w:rPr>
        <w:t>Trimmed mean of RPIX inflation</w:t>
      </w:r>
      <w:r>
        <w:rPr>
          <w:position w:val="4"/>
          <w:sz w:val="12"/>
        </w:rPr>
        <w:t>(a)</w:t>
      </w:r>
    </w:p>
    <w:p>
      <w:pPr>
        <w:spacing w:line="194" w:lineRule="auto" w:before="51"/>
        <w:ind w:left="1501" w:right="0" w:firstLine="0"/>
        <w:jc w:val="left"/>
        <w:rPr>
          <w:sz w:val="12"/>
        </w:rPr>
      </w:pPr>
      <w:r>
        <w:rPr/>
        <w:drawing>
          <wp:anchor distT="0" distB="0" distL="0" distR="0" allowOverlap="1" layoutInCell="1" locked="0" behindDoc="0" simplePos="0" relativeHeight="16336384">
            <wp:simplePos x="0" y="0"/>
            <wp:positionH relativeFrom="page">
              <wp:posOffset>528637</wp:posOffset>
            </wp:positionH>
            <wp:positionV relativeFrom="paragraph">
              <wp:posOffset>117900</wp:posOffset>
            </wp:positionV>
            <wp:extent cx="55029" cy="6350"/>
            <wp:effectExtent l="0" t="0" r="0" b="0"/>
            <wp:wrapNone/>
            <wp:docPr id="533" name="image8.png"/>
            <wp:cNvGraphicFramePr>
              <a:graphicFrameLocks noChangeAspect="1"/>
            </wp:cNvGraphicFramePr>
            <a:graphic>
              <a:graphicData uri="http://schemas.openxmlformats.org/drawingml/2006/picture">
                <pic:pic>
                  <pic:nvPicPr>
                    <pic:cNvPr id="534"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10"/>
          <w:sz w:val="12"/>
        </w:rPr>
        <w:t>Percentage changes on a year earli</w:t>
      </w:r>
      <w:r>
        <w:rPr>
          <w:w w:val="110"/>
          <w:sz w:val="12"/>
          <w:u w:val="single"/>
        </w:rPr>
        <w:t>er</w:t>
      </w:r>
      <w:r>
        <w:rPr>
          <w:w w:val="110"/>
          <w:position w:val="-7"/>
          <w:sz w:val="12"/>
        </w:rPr>
        <w:t>10</w:t>
      </w:r>
    </w:p>
    <w:p>
      <w:pPr>
        <w:spacing w:line="118" w:lineRule="exact" w:before="0"/>
        <w:ind w:left="982" w:right="0" w:firstLine="0"/>
        <w:jc w:val="left"/>
        <w:rPr>
          <w:sz w:val="12"/>
        </w:rPr>
      </w:pPr>
      <w:r>
        <w:rPr/>
        <w:pict>
          <v:group style="position:absolute;margin-left:41.625pt;margin-top:3.825996pt;width:160.050pt;height:125.7pt;mso-position-horizontal-relative:page;mso-position-vertical-relative:paragraph;z-index:-22994432" coordorigin="833,77" coordsize="3201,2514">
            <v:shape style="position:absolute;left:832;top:76;width:3201;height:2478" type="#_x0000_t75" stroked="false">
              <v:imagedata r:id="rId151" o:title=""/>
            </v:shape>
            <v:shape style="position:absolute;left:2150;top:448;width:794;height:241" type="#_x0000_t202" filled="false" stroked="false">
              <v:textbox inset="0,0,0,0">
                <w:txbxContent>
                  <w:p>
                    <w:pPr>
                      <w:spacing w:line="208" w:lineRule="auto" w:before="0"/>
                      <w:ind w:left="60" w:right="1" w:hanging="61"/>
                      <w:jc w:val="left"/>
                      <w:rPr>
                        <w:sz w:val="12"/>
                      </w:rPr>
                    </w:pPr>
                    <w:r>
                      <w:rPr>
                        <w:w w:val="105"/>
                        <w:sz w:val="12"/>
                      </w:rPr>
                      <w:t>Trimmed mean of RPIX</w:t>
                    </w:r>
                  </w:p>
                </w:txbxContent>
              </v:textbox>
              <w10:wrap type="none"/>
            </v:shape>
            <v:shape style="position:absolute;left:2035;top:2469;width:408;height:121" type="#_x0000_t202" filled="false" stroked="false">
              <v:textbox inset="0,0,0,0">
                <w:txbxContent>
                  <w:p>
                    <w:pPr>
                      <w:spacing w:line="116" w:lineRule="exact" w:before="0"/>
                      <w:ind w:left="0" w:right="0" w:firstLine="0"/>
                      <w:jc w:val="left"/>
                      <w:rPr>
                        <w:sz w:val="12"/>
                      </w:rPr>
                    </w:pPr>
                    <w:r>
                      <w:rPr>
                        <w:w w:val="105"/>
                        <w:sz w:val="12"/>
                      </w:rPr>
                      <w:t>Median</w:t>
                    </w:r>
                  </w:p>
                </w:txbxContent>
              </v:textbox>
              <w10:wrap type="none"/>
            </v:shape>
            <w10:wrap type="none"/>
          </v:group>
        </w:pict>
      </w:r>
      <w:r>
        <w:rPr>
          <w:sz w:val="12"/>
        </w:rPr>
        <w:t>RPIX</w:t>
      </w:r>
    </w:p>
    <w:p>
      <w:pPr>
        <w:spacing w:before="48"/>
        <w:ind w:left="0" w:right="115" w:firstLine="0"/>
        <w:jc w:val="right"/>
        <w:rPr>
          <w:sz w:val="12"/>
        </w:rPr>
      </w:pPr>
      <w:r>
        <w:rPr>
          <w:w w:val="121"/>
          <w:sz w:val="12"/>
        </w:rPr>
        <w:t>9</w:t>
      </w:r>
    </w:p>
    <w:p>
      <w:pPr>
        <w:pStyle w:val="BodyText"/>
        <w:rPr>
          <w:sz w:val="13"/>
        </w:rPr>
      </w:pPr>
    </w:p>
    <w:p>
      <w:pPr>
        <w:spacing w:before="0"/>
        <w:ind w:left="0" w:right="115" w:firstLine="0"/>
        <w:jc w:val="right"/>
        <w:rPr>
          <w:sz w:val="12"/>
        </w:rPr>
      </w:pPr>
      <w:r>
        <w:rPr>
          <w:w w:val="121"/>
          <w:sz w:val="12"/>
        </w:rPr>
        <w:t>8</w:t>
      </w:r>
    </w:p>
    <w:p>
      <w:pPr>
        <w:pStyle w:val="BodyText"/>
        <w:rPr>
          <w:sz w:val="13"/>
        </w:rPr>
      </w:pPr>
    </w:p>
    <w:p>
      <w:pPr>
        <w:spacing w:before="0"/>
        <w:ind w:left="0" w:right="115" w:firstLine="0"/>
        <w:jc w:val="right"/>
        <w:rPr>
          <w:sz w:val="12"/>
        </w:rPr>
      </w:pPr>
      <w:r>
        <w:rPr>
          <w:w w:val="121"/>
          <w:sz w:val="12"/>
        </w:rPr>
        <w:t>7</w:t>
      </w:r>
    </w:p>
    <w:p>
      <w:pPr>
        <w:pStyle w:val="BodyText"/>
        <w:spacing w:before="1"/>
        <w:rPr>
          <w:sz w:val="13"/>
        </w:rPr>
      </w:pPr>
    </w:p>
    <w:p>
      <w:pPr>
        <w:spacing w:before="0"/>
        <w:ind w:left="0" w:right="115" w:firstLine="0"/>
        <w:jc w:val="right"/>
        <w:rPr>
          <w:sz w:val="12"/>
        </w:rPr>
      </w:pPr>
      <w:r>
        <w:rPr>
          <w:w w:val="121"/>
          <w:sz w:val="12"/>
        </w:rPr>
        <w:t>6</w:t>
      </w:r>
    </w:p>
    <w:p>
      <w:pPr>
        <w:pStyle w:val="BodyText"/>
        <w:rPr>
          <w:sz w:val="13"/>
        </w:rPr>
      </w:pPr>
    </w:p>
    <w:p>
      <w:pPr>
        <w:spacing w:before="0"/>
        <w:ind w:left="0" w:right="115" w:firstLine="0"/>
        <w:jc w:val="right"/>
        <w:rPr>
          <w:sz w:val="12"/>
        </w:rPr>
      </w:pPr>
      <w:r>
        <w:rPr>
          <w:w w:val="121"/>
          <w:sz w:val="12"/>
        </w:rPr>
        <w:t>5</w:t>
      </w:r>
    </w:p>
    <w:p>
      <w:pPr>
        <w:pStyle w:val="BodyText"/>
        <w:rPr>
          <w:sz w:val="13"/>
        </w:rPr>
      </w:pPr>
    </w:p>
    <w:p>
      <w:pPr>
        <w:spacing w:before="0"/>
        <w:ind w:left="0" w:right="115" w:firstLine="0"/>
        <w:jc w:val="right"/>
        <w:rPr>
          <w:sz w:val="12"/>
        </w:rPr>
      </w:pPr>
      <w:r>
        <w:rPr>
          <w:w w:val="121"/>
          <w:sz w:val="12"/>
        </w:rPr>
        <w:t>4</w:t>
      </w:r>
    </w:p>
    <w:p>
      <w:pPr>
        <w:pStyle w:val="BodyText"/>
        <w:rPr>
          <w:sz w:val="13"/>
        </w:rPr>
      </w:pPr>
    </w:p>
    <w:p>
      <w:pPr>
        <w:spacing w:before="1"/>
        <w:ind w:left="0" w:right="115" w:firstLine="0"/>
        <w:jc w:val="right"/>
        <w:rPr>
          <w:sz w:val="12"/>
        </w:rPr>
      </w:pPr>
      <w:r>
        <w:rPr>
          <w:w w:val="121"/>
          <w:sz w:val="12"/>
        </w:rPr>
        <w:t>3</w:t>
      </w:r>
    </w:p>
    <w:p>
      <w:pPr>
        <w:pStyle w:val="BodyText"/>
        <w:rPr>
          <w:sz w:val="13"/>
        </w:rPr>
      </w:pPr>
    </w:p>
    <w:p>
      <w:pPr>
        <w:spacing w:before="0"/>
        <w:ind w:left="0" w:right="115" w:firstLine="0"/>
        <w:jc w:val="right"/>
        <w:rPr>
          <w:sz w:val="12"/>
        </w:rPr>
      </w:pPr>
      <w:r>
        <w:rPr>
          <w:w w:val="121"/>
          <w:sz w:val="12"/>
        </w:rPr>
        <w:t>2</w:t>
      </w:r>
    </w:p>
    <w:p>
      <w:pPr>
        <w:pStyle w:val="BodyText"/>
        <w:rPr>
          <w:sz w:val="13"/>
        </w:rPr>
      </w:pPr>
    </w:p>
    <w:p>
      <w:pPr>
        <w:spacing w:before="0"/>
        <w:ind w:left="0" w:right="115" w:firstLine="0"/>
        <w:jc w:val="right"/>
        <w:rPr>
          <w:sz w:val="12"/>
        </w:rPr>
      </w:pPr>
      <w:r>
        <w:rPr>
          <w:w w:val="121"/>
          <w:sz w:val="12"/>
        </w:rPr>
        <w:t>1</w:t>
      </w:r>
    </w:p>
    <w:p>
      <w:pPr>
        <w:pStyle w:val="BodyText"/>
        <w:rPr>
          <w:sz w:val="13"/>
        </w:rPr>
      </w:pPr>
    </w:p>
    <w:p>
      <w:pPr>
        <w:spacing w:line="116" w:lineRule="exact" w:before="0"/>
        <w:ind w:left="3475" w:right="0" w:firstLine="0"/>
        <w:jc w:val="left"/>
        <w:rPr>
          <w:sz w:val="12"/>
        </w:rPr>
      </w:pPr>
      <w:r>
        <w:rPr/>
        <w:drawing>
          <wp:anchor distT="0" distB="0" distL="0" distR="0" allowOverlap="1" layoutInCell="1" locked="0" behindDoc="0" simplePos="0" relativeHeight="16335872">
            <wp:simplePos x="0" y="0"/>
            <wp:positionH relativeFrom="page">
              <wp:posOffset>528637</wp:posOffset>
            </wp:positionH>
            <wp:positionV relativeFrom="paragraph">
              <wp:posOffset>39910</wp:posOffset>
            </wp:positionV>
            <wp:extent cx="55029" cy="6350"/>
            <wp:effectExtent l="0" t="0" r="0" b="0"/>
            <wp:wrapNone/>
            <wp:docPr id="535" name="image13.png"/>
            <wp:cNvGraphicFramePr>
              <a:graphicFrameLocks noChangeAspect="1"/>
            </wp:cNvGraphicFramePr>
            <a:graphic>
              <a:graphicData uri="http://schemas.openxmlformats.org/drawingml/2006/picture">
                <pic:pic>
                  <pic:nvPicPr>
                    <pic:cNvPr id="536" name="image13.png"/>
                    <pic:cNvPicPr/>
                  </pic:nvPicPr>
                  <pic:blipFill>
                    <a:blip r:embed="rId34"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336896">
            <wp:simplePos x="0" y="0"/>
            <wp:positionH relativeFrom="page">
              <wp:posOffset>632345</wp:posOffset>
            </wp:positionH>
            <wp:positionV relativeFrom="paragraph">
              <wp:posOffset>1823</wp:posOffset>
            </wp:positionV>
            <wp:extent cx="1928825" cy="45758"/>
            <wp:effectExtent l="0" t="0" r="0" b="0"/>
            <wp:wrapNone/>
            <wp:docPr id="537" name="image91.png"/>
            <wp:cNvGraphicFramePr>
              <a:graphicFrameLocks noChangeAspect="1"/>
            </wp:cNvGraphicFramePr>
            <a:graphic>
              <a:graphicData uri="http://schemas.openxmlformats.org/drawingml/2006/picture">
                <pic:pic>
                  <pic:nvPicPr>
                    <pic:cNvPr id="538" name="image91.png"/>
                    <pic:cNvPicPr/>
                  </pic:nvPicPr>
                  <pic:blipFill>
                    <a:blip r:embed="rId152" cstate="print"/>
                    <a:stretch>
                      <a:fillRect/>
                    </a:stretch>
                  </pic:blipFill>
                  <pic:spPr>
                    <a:xfrm>
                      <a:off x="0" y="0"/>
                      <a:ext cx="1928825" cy="45758"/>
                    </a:xfrm>
                    <a:prstGeom prst="rect">
                      <a:avLst/>
                    </a:prstGeom>
                  </pic:spPr>
                </pic:pic>
              </a:graphicData>
            </a:graphic>
          </wp:anchor>
        </w:drawing>
      </w:r>
      <w:r>
        <w:rPr>
          <w:w w:val="121"/>
          <w:sz w:val="12"/>
        </w:rPr>
        <w:t>0</w:t>
      </w:r>
    </w:p>
    <w:p>
      <w:pPr>
        <w:tabs>
          <w:tab w:pos="841" w:val="left" w:leader="none"/>
          <w:tab w:pos="1294" w:val="left" w:leader="none"/>
          <w:tab w:pos="1739" w:val="left" w:leader="none"/>
          <w:tab w:pos="2181" w:val="left" w:leader="none"/>
          <w:tab w:pos="2636" w:val="left" w:leader="none"/>
          <w:tab w:pos="3014" w:val="left" w:leader="none"/>
        </w:tabs>
        <w:spacing w:line="116" w:lineRule="exact" w:before="0"/>
        <w:ind w:left="303" w:right="0" w:firstLine="0"/>
        <w:jc w:val="left"/>
        <w:rPr>
          <w:sz w:val="12"/>
        </w:rPr>
      </w:pPr>
      <w:r>
        <w:rPr>
          <w:w w:val="120"/>
          <w:sz w:val="12"/>
        </w:rPr>
        <w:t>1988</w:t>
        <w:tab/>
        <w:t>90</w:t>
        <w:tab/>
        <w:t>92</w:t>
        <w:tab/>
        <w:t>94</w:t>
        <w:tab/>
        <w:t>96</w:t>
        <w:tab/>
        <w:t>98</w:t>
        <w:tab/>
        <w:t>2000</w:t>
      </w:r>
    </w:p>
    <w:p>
      <w:pPr>
        <w:spacing w:line="208" w:lineRule="auto" w:before="104"/>
        <w:ind w:left="442" w:right="0" w:hanging="240"/>
        <w:jc w:val="left"/>
        <w:rPr>
          <w:sz w:val="12"/>
        </w:rPr>
      </w:pPr>
      <w:r>
        <w:rPr>
          <w:w w:val="110"/>
          <w:sz w:val="12"/>
        </w:rPr>
        <w:t>(a) The trimmed mean measure of RPI inflation is calculated by removing the largest </w:t>
      </w:r>
      <w:r>
        <w:rPr>
          <w:spacing w:val="-8"/>
          <w:w w:val="110"/>
          <w:sz w:val="12"/>
        </w:rPr>
        <w:t>15% </w:t>
      </w:r>
      <w:r>
        <w:rPr>
          <w:w w:val="110"/>
          <w:sz w:val="12"/>
        </w:rPr>
        <w:t>and smallest </w:t>
      </w:r>
      <w:r>
        <w:rPr>
          <w:spacing w:val="-8"/>
          <w:w w:val="110"/>
          <w:sz w:val="12"/>
        </w:rPr>
        <w:t>15% </w:t>
      </w:r>
      <w:r>
        <w:rPr>
          <w:w w:val="110"/>
          <w:sz w:val="12"/>
        </w:rPr>
        <w:t>of the weighted monthly price changes in the components of the RPI. The calculation</w:t>
      </w:r>
      <w:r>
        <w:rPr>
          <w:spacing w:val="-12"/>
          <w:w w:val="110"/>
          <w:sz w:val="12"/>
        </w:rPr>
        <w:t> </w:t>
      </w:r>
      <w:r>
        <w:rPr>
          <w:w w:val="110"/>
          <w:sz w:val="12"/>
        </w:rPr>
        <w:t>takes</w:t>
      </w:r>
      <w:r>
        <w:rPr>
          <w:spacing w:val="-12"/>
          <w:w w:val="110"/>
          <w:sz w:val="12"/>
        </w:rPr>
        <w:t> </w:t>
      </w:r>
      <w:r>
        <w:rPr>
          <w:w w:val="110"/>
          <w:sz w:val="12"/>
        </w:rPr>
        <w:t>account</w:t>
      </w:r>
      <w:r>
        <w:rPr>
          <w:spacing w:val="-11"/>
          <w:w w:val="110"/>
          <w:sz w:val="12"/>
        </w:rPr>
        <w:t> </w:t>
      </w:r>
      <w:r>
        <w:rPr>
          <w:w w:val="110"/>
          <w:sz w:val="12"/>
        </w:rPr>
        <w:t>not</w:t>
      </w:r>
      <w:r>
        <w:rPr>
          <w:spacing w:val="-12"/>
          <w:w w:val="110"/>
          <w:sz w:val="12"/>
        </w:rPr>
        <w:t> </w:t>
      </w:r>
      <w:r>
        <w:rPr>
          <w:w w:val="110"/>
          <w:sz w:val="12"/>
        </w:rPr>
        <w:t>only</w:t>
      </w:r>
      <w:r>
        <w:rPr>
          <w:spacing w:val="-11"/>
          <w:w w:val="110"/>
          <w:sz w:val="12"/>
        </w:rPr>
        <w:t> </w:t>
      </w:r>
      <w:r>
        <w:rPr>
          <w:w w:val="110"/>
          <w:sz w:val="12"/>
        </w:rPr>
        <w:t>of</w:t>
      </w:r>
      <w:r>
        <w:rPr>
          <w:spacing w:val="-12"/>
          <w:w w:val="110"/>
          <w:sz w:val="12"/>
        </w:rPr>
        <w:t> </w:t>
      </w:r>
      <w:r>
        <w:rPr>
          <w:w w:val="110"/>
          <w:sz w:val="12"/>
        </w:rPr>
        <w:t>the</w:t>
      </w:r>
      <w:r>
        <w:rPr>
          <w:spacing w:val="-12"/>
          <w:w w:val="110"/>
          <w:sz w:val="12"/>
        </w:rPr>
        <w:t> </w:t>
      </w:r>
      <w:r>
        <w:rPr>
          <w:w w:val="110"/>
          <w:sz w:val="12"/>
        </w:rPr>
        <w:t>size</w:t>
      </w:r>
      <w:r>
        <w:rPr>
          <w:spacing w:val="-11"/>
          <w:w w:val="110"/>
          <w:sz w:val="12"/>
        </w:rPr>
        <w:t> </w:t>
      </w:r>
      <w:r>
        <w:rPr>
          <w:w w:val="110"/>
          <w:sz w:val="12"/>
        </w:rPr>
        <w:t>of</w:t>
      </w:r>
      <w:r>
        <w:rPr>
          <w:spacing w:val="-12"/>
          <w:w w:val="110"/>
          <w:sz w:val="12"/>
        </w:rPr>
        <w:t> </w:t>
      </w:r>
      <w:r>
        <w:rPr>
          <w:w w:val="110"/>
          <w:sz w:val="12"/>
        </w:rPr>
        <w:t>price</w:t>
      </w:r>
      <w:r>
        <w:rPr>
          <w:spacing w:val="-11"/>
          <w:w w:val="110"/>
          <w:sz w:val="12"/>
        </w:rPr>
        <w:t> </w:t>
      </w:r>
      <w:r>
        <w:rPr>
          <w:w w:val="110"/>
          <w:sz w:val="12"/>
        </w:rPr>
        <w:t>changes in</w:t>
      </w:r>
      <w:r>
        <w:rPr>
          <w:spacing w:val="-10"/>
          <w:w w:val="110"/>
          <w:sz w:val="12"/>
        </w:rPr>
        <w:t> </w:t>
      </w:r>
      <w:r>
        <w:rPr>
          <w:w w:val="110"/>
          <w:sz w:val="12"/>
        </w:rPr>
        <w:t>different</w:t>
      </w:r>
      <w:r>
        <w:rPr>
          <w:spacing w:val="-10"/>
          <w:w w:val="110"/>
          <w:sz w:val="12"/>
        </w:rPr>
        <w:t> </w:t>
      </w:r>
      <w:r>
        <w:rPr>
          <w:w w:val="110"/>
          <w:sz w:val="12"/>
        </w:rPr>
        <w:t>items</w:t>
      </w:r>
      <w:r>
        <w:rPr>
          <w:spacing w:val="-9"/>
          <w:w w:val="110"/>
          <w:sz w:val="12"/>
        </w:rPr>
        <w:t> </w:t>
      </w:r>
      <w:r>
        <w:rPr>
          <w:w w:val="110"/>
          <w:sz w:val="12"/>
        </w:rPr>
        <w:t>that</w:t>
      </w:r>
      <w:r>
        <w:rPr>
          <w:spacing w:val="-10"/>
          <w:w w:val="110"/>
          <w:sz w:val="12"/>
        </w:rPr>
        <w:t> </w:t>
      </w:r>
      <w:r>
        <w:rPr>
          <w:w w:val="110"/>
          <w:sz w:val="12"/>
        </w:rPr>
        <w:t>are</w:t>
      </w:r>
      <w:r>
        <w:rPr>
          <w:spacing w:val="-10"/>
          <w:w w:val="110"/>
          <w:sz w:val="12"/>
        </w:rPr>
        <w:t> </w:t>
      </w:r>
      <w:r>
        <w:rPr>
          <w:w w:val="110"/>
          <w:sz w:val="12"/>
        </w:rPr>
        <w:t>included</w:t>
      </w:r>
      <w:r>
        <w:rPr>
          <w:spacing w:val="-9"/>
          <w:w w:val="110"/>
          <w:sz w:val="12"/>
        </w:rPr>
        <w:t> </w:t>
      </w:r>
      <w:r>
        <w:rPr>
          <w:w w:val="110"/>
          <w:sz w:val="12"/>
        </w:rPr>
        <w:t>in</w:t>
      </w:r>
      <w:r>
        <w:rPr>
          <w:spacing w:val="-10"/>
          <w:w w:val="110"/>
          <w:sz w:val="12"/>
        </w:rPr>
        <w:t> </w:t>
      </w:r>
      <w:r>
        <w:rPr>
          <w:w w:val="110"/>
          <w:sz w:val="12"/>
        </w:rPr>
        <w:t>the</w:t>
      </w:r>
      <w:r>
        <w:rPr>
          <w:spacing w:val="-10"/>
          <w:w w:val="110"/>
          <w:sz w:val="12"/>
        </w:rPr>
        <w:t> </w:t>
      </w:r>
      <w:r>
        <w:rPr>
          <w:w w:val="110"/>
          <w:sz w:val="12"/>
        </w:rPr>
        <w:t>RPI</w:t>
      </w:r>
      <w:r>
        <w:rPr>
          <w:spacing w:val="-9"/>
          <w:w w:val="110"/>
          <w:sz w:val="12"/>
        </w:rPr>
        <w:t> </w:t>
      </w:r>
      <w:r>
        <w:rPr>
          <w:w w:val="110"/>
          <w:sz w:val="12"/>
        </w:rPr>
        <w:t>basket,</w:t>
      </w:r>
      <w:r>
        <w:rPr>
          <w:spacing w:val="-10"/>
          <w:w w:val="110"/>
          <w:sz w:val="12"/>
        </w:rPr>
        <w:t> </w:t>
      </w:r>
      <w:r>
        <w:rPr>
          <w:w w:val="110"/>
          <w:sz w:val="12"/>
        </w:rPr>
        <w:t>but</w:t>
      </w:r>
      <w:r>
        <w:rPr>
          <w:spacing w:val="-9"/>
          <w:w w:val="110"/>
          <w:sz w:val="12"/>
        </w:rPr>
        <w:t> </w:t>
      </w:r>
      <w:r>
        <w:rPr>
          <w:w w:val="110"/>
          <w:sz w:val="12"/>
        </w:rPr>
        <w:t>also the</w:t>
      </w:r>
      <w:r>
        <w:rPr>
          <w:spacing w:val="-5"/>
          <w:w w:val="110"/>
          <w:sz w:val="12"/>
        </w:rPr>
        <w:t> </w:t>
      </w:r>
      <w:r>
        <w:rPr>
          <w:w w:val="110"/>
          <w:sz w:val="12"/>
        </w:rPr>
        <w:t>weights</w:t>
      </w:r>
      <w:r>
        <w:rPr>
          <w:spacing w:val="-4"/>
          <w:w w:val="110"/>
          <w:sz w:val="12"/>
        </w:rPr>
        <w:t> </w:t>
      </w:r>
      <w:r>
        <w:rPr>
          <w:w w:val="110"/>
          <w:sz w:val="12"/>
        </w:rPr>
        <w:t>of</w:t>
      </w:r>
      <w:r>
        <w:rPr>
          <w:spacing w:val="-5"/>
          <w:w w:val="110"/>
          <w:sz w:val="12"/>
        </w:rPr>
        <w:t> </w:t>
      </w:r>
      <w:r>
        <w:rPr>
          <w:w w:val="110"/>
          <w:sz w:val="12"/>
        </w:rPr>
        <w:t>each</w:t>
      </w:r>
      <w:r>
        <w:rPr>
          <w:spacing w:val="-4"/>
          <w:w w:val="110"/>
          <w:sz w:val="12"/>
        </w:rPr>
        <w:t> </w:t>
      </w:r>
      <w:r>
        <w:rPr>
          <w:w w:val="110"/>
          <w:sz w:val="12"/>
        </w:rPr>
        <w:t>item</w:t>
      </w:r>
      <w:r>
        <w:rPr>
          <w:spacing w:val="-4"/>
          <w:w w:val="110"/>
          <w:sz w:val="12"/>
        </w:rPr>
        <w:t> </w:t>
      </w:r>
      <w:r>
        <w:rPr>
          <w:w w:val="110"/>
          <w:sz w:val="12"/>
        </w:rPr>
        <w:t>in</w:t>
      </w:r>
      <w:r>
        <w:rPr>
          <w:spacing w:val="-5"/>
          <w:w w:val="110"/>
          <w:sz w:val="12"/>
        </w:rPr>
        <w:t> </w:t>
      </w:r>
      <w:r>
        <w:rPr>
          <w:w w:val="110"/>
          <w:sz w:val="12"/>
        </w:rPr>
        <w:t>the</w:t>
      </w:r>
      <w:r>
        <w:rPr>
          <w:spacing w:val="-4"/>
          <w:w w:val="110"/>
          <w:sz w:val="12"/>
        </w:rPr>
        <w:t> </w:t>
      </w:r>
      <w:r>
        <w:rPr>
          <w:w w:val="110"/>
          <w:sz w:val="12"/>
        </w:rPr>
        <w:t>index.</w:t>
      </w:r>
    </w:p>
    <w:p>
      <w:pPr>
        <w:pStyle w:val="BodyText"/>
        <w:spacing w:before="3"/>
      </w:pPr>
      <w:r>
        <w:rPr/>
        <w:br w:type="column"/>
      </w:r>
      <w:r>
        <w:rPr/>
      </w:r>
    </w:p>
    <w:p>
      <w:pPr>
        <w:pStyle w:val="BodyText"/>
        <w:spacing w:line="292" w:lineRule="auto"/>
        <w:ind w:left="312" w:right="120"/>
      </w:pPr>
      <w:r>
        <w:rPr>
          <w:spacing w:val="-3"/>
          <w:w w:val="105"/>
        </w:rPr>
        <w:t>regulators </w:t>
      </w:r>
      <w:r>
        <w:rPr>
          <w:w w:val="105"/>
        </w:rPr>
        <w:t>and the utilities for </w:t>
      </w:r>
      <w:r>
        <w:rPr>
          <w:spacing w:val="-4"/>
          <w:w w:val="105"/>
        </w:rPr>
        <w:t>2000 </w:t>
      </w:r>
      <w:r>
        <w:rPr>
          <w:w w:val="105"/>
        </w:rPr>
        <w:t>Q2.  </w:t>
      </w:r>
      <w:r>
        <w:rPr>
          <w:spacing w:val="-3"/>
          <w:w w:val="105"/>
        </w:rPr>
        <w:t>Retail </w:t>
      </w:r>
      <w:r>
        <w:rPr>
          <w:w w:val="105"/>
        </w:rPr>
        <w:t>services   inflation did, </w:t>
      </w:r>
      <w:r>
        <w:rPr>
          <w:spacing w:val="-4"/>
          <w:w w:val="105"/>
        </w:rPr>
        <w:t>however, </w:t>
      </w:r>
      <w:r>
        <w:rPr>
          <w:w w:val="105"/>
        </w:rPr>
        <w:t>edge up </w:t>
      </w:r>
      <w:r>
        <w:rPr>
          <w:spacing w:val="-4"/>
          <w:w w:val="105"/>
        </w:rPr>
        <w:t>to </w:t>
      </w:r>
      <w:r>
        <w:rPr>
          <w:w w:val="105"/>
        </w:rPr>
        <w:t>3.2% in December because  of higher vehicle tax and insurance prices. This is consistent with the increase in the balance of consumer service firms reporting price increases in recent CBI/Deloitte &amp; </w:t>
      </w:r>
      <w:r>
        <w:rPr>
          <w:spacing w:val="-4"/>
          <w:w w:val="105"/>
        </w:rPr>
        <w:t>Touche </w:t>
      </w:r>
      <w:r>
        <w:rPr>
          <w:spacing w:val="-3"/>
          <w:w w:val="105"/>
        </w:rPr>
        <w:t>surveys. </w:t>
      </w:r>
      <w:r>
        <w:rPr>
          <w:w w:val="105"/>
        </w:rPr>
        <w:t>And </w:t>
      </w:r>
      <w:r>
        <w:rPr>
          <w:spacing w:val="-3"/>
          <w:w w:val="105"/>
        </w:rPr>
        <w:t>utility </w:t>
      </w:r>
      <w:r>
        <w:rPr>
          <w:w w:val="105"/>
        </w:rPr>
        <w:t>prices seem likely </w:t>
      </w:r>
      <w:r>
        <w:rPr>
          <w:spacing w:val="-4"/>
          <w:w w:val="105"/>
        </w:rPr>
        <w:t>to </w:t>
      </w:r>
      <w:r>
        <w:rPr>
          <w:w w:val="105"/>
        </w:rPr>
        <w:t>exert less of a negative influence later this </w:t>
      </w:r>
      <w:r>
        <w:rPr>
          <w:spacing w:val="-4"/>
          <w:w w:val="105"/>
        </w:rPr>
        <w:t>year, </w:t>
      </w:r>
      <w:r>
        <w:rPr>
          <w:w w:val="105"/>
        </w:rPr>
        <w:t>as the </w:t>
      </w:r>
      <w:r>
        <w:rPr>
          <w:spacing w:val="-4"/>
          <w:w w:val="105"/>
        </w:rPr>
        <w:t>2000 </w:t>
      </w:r>
      <w:r>
        <w:rPr>
          <w:w w:val="105"/>
        </w:rPr>
        <w:t>Q2 price cuts drop out of the annual comparison. Indeed, the recent large rises in wholesale gas prices and, </w:t>
      </w:r>
      <w:r>
        <w:rPr>
          <w:spacing w:val="-4"/>
          <w:w w:val="105"/>
        </w:rPr>
        <w:t>to </w:t>
      </w:r>
      <w:r>
        <w:rPr>
          <w:w w:val="105"/>
        </w:rPr>
        <w:t>a lesser </w:t>
      </w:r>
      <w:r>
        <w:rPr>
          <w:spacing w:val="-3"/>
          <w:w w:val="105"/>
        </w:rPr>
        <w:t>extent, </w:t>
      </w:r>
      <w:r>
        <w:rPr>
          <w:w w:val="105"/>
        </w:rPr>
        <w:t>producer gas input prices seem likely </w:t>
      </w:r>
      <w:r>
        <w:rPr>
          <w:spacing w:val="-4"/>
          <w:w w:val="105"/>
        </w:rPr>
        <w:t>to </w:t>
      </w:r>
      <w:r>
        <w:rPr>
          <w:w w:val="105"/>
        </w:rPr>
        <w:t>put </w:t>
      </w:r>
      <w:r>
        <w:rPr>
          <w:spacing w:val="-3"/>
          <w:w w:val="105"/>
        </w:rPr>
        <w:t>upward pressure </w:t>
      </w:r>
      <w:r>
        <w:rPr>
          <w:w w:val="105"/>
        </w:rPr>
        <w:t>on the retail gas component of utility prices.</w:t>
      </w:r>
      <w:r>
        <w:rPr>
          <w:w w:val="105"/>
          <w:position w:val="5"/>
          <w:sz w:val="14"/>
        </w:rPr>
        <w:t>(1) </w:t>
      </w:r>
      <w:r>
        <w:rPr>
          <w:w w:val="105"/>
        </w:rPr>
        <w:t>So the gap </w:t>
      </w:r>
      <w:r>
        <w:rPr>
          <w:spacing w:val="-3"/>
          <w:w w:val="105"/>
        </w:rPr>
        <w:t>between </w:t>
      </w:r>
      <w:r>
        <w:rPr>
          <w:w w:val="105"/>
        </w:rPr>
        <w:t>goods and services price inflation </w:t>
      </w:r>
      <w:r>
        <w:rPr>
          <w:spacing w:val="-3"/>
          <w:w w:val="105"/>
        </w:rPr>
        <w:t>may </w:t>
      </w:r>
      <w:r>
        <w:rPr>
          <w:w w:val="105"/>
        </w:rPr>
        <w:t>remain</w:t>
      </w:r>
      <w:r>
        <w:rPr>
          <w:spacing w:val="-11"/>
          <w:w w:val="105"/>
        </w:rPr>
        <w:t> </w:t>
      </w:r>
      <w:r>
        <w:rPr>
          <w:w w:val="105"/>
        </w:rPr>
        <w:t>wide.</w:t>
      </w:r>
    </w:p>
    <w:p>
      <w:pPr>
        <w:pStyle w:val="BodyText"/>
        <w:spacing w:before="1"/>
        <w:rPr>
          <w:sz w:val="17"/>
        </w:rPr>
      </w:pPr>
    </w:p>
    <w:p>
      <w:pPr>
        <w:pStyle w:val="Heading3"/>
        <w:numPr>
          <w:ilvl w:val="1"/>
          <w:numId w:val="32"/>
        </w:numPr>
        <w:tabs>
          <w:tab w:pos="792" w:val="left" w:leader="none"/>
          <w:tab w:pos="793" w:val="left" w:leader="none"/>
          <w:tab w:pos="5712" w:val="left" w:leader="none"/>
        </w:tabs>
        <w:spacing w:line="240" w:lineRule="auto" w:before="1" w:after="0"/>
        <w:ind w:left="792" w:right="0" w:hanging="601"/>
        <w:jc w:val="left"/>
        <w:rPr>
          <w:u w:val="none"/>
        </w:rPr>
      </w:pPr>
      <w:r>
        <w:rPr>
          <w:color w:val="89C6DC"/>
          <w:w w:val="90"/>
          <w:u w:val="single" w:color="006CB4"/>
        </w:rPr>
        <w:t>Other price</w:t>
      </w:r>
      <w:r>
        <w:rPr>
          <w:color w:val="89C6DC"/>
          <w:spacing w:val="-20"/>
          <w:w w:val="90"/>
          <w:u w:val="single" w:color="006CB4"/>
        </w:rPr>
        <w:t> </w:t>
      </w:r>
      <w:r>
        <w:rPr>
          <w:color w:val="89C6DC"/>
          <w:w w:val="90"/>
          <w:u w:val="single" w:color="006CB4"/>
        </w:rPr>
        <w:t>indices</w:t>
      </w:r>
      <w:r>
        <w:rPr>
          <w:color w:val="89C6DC"/>
          <w:u w:val="single" w:color="006CB4"/>
        </w:rPr>
        <w:tab/>
      </w:r>
    </w:p>
    <w:p>
      <w:pPr>
        <w:pStyle w:val="BodyText"/>
        <w:spacing w:before="8"/>
        <w:rPr>
          <w:rFonts w:ascii="Trebuchet MS"/>
          <w:b/>
          <w:sz w:val="26"/>
        </w:rPr>
      </w:pPr>
    </w:p>
    <w:p>
      <w:pPr>
        <w:pStyle w:val="BodyText"/>
        <w:spacing w:line="292" w:lineRule="auto" w:before="1"/>
        <w:ind w:left="312" w:right="150"/>
      </w:pPr>
      <w:r>
        <w:rPr>
          <w:w w:val="105"/>
        </w:rPr>
        <w:t>Measured inflation can be influenced </w:t>
      </w:r>
      <w:r>
        <w:rPr>
          <w:spacing w:val="-3"/>
          <w:w w:val="105"/>
        </w:rPr>
        <w:t>by </w:t>
      </w:r>
      <w:r>
        <w:rPr>
          <w:w w:val="105"/>
        </w:rPr>
        <w:t>volatile items and extreme movements in individual components. Such movements can, because of their </w:t>
      </w:r>
      <w:r>
        <w:rPr>
          <w:spacing w:val="-3"/>
          <w:w w:val="105"/>
        </w:rPr>
        <w:t>temporary </w:t>
      </w:r>
      <w:r>
        <w:rPr>
          <w:w w:val="105"/>
        </w:rPr>
        <w:t>nature, distort the signals on underlying trends in inflation. So it is useful </w:t>
      </w:r>
      <w:r>
        <w:rPr>
          <w:spacing w:val="-4"/>
          <w:w w:val="105"/>
        </w:rPr>
        <w:t>to </w:t>
      </w:r>
      <w:r>
        <w:rPr>
          <w:w w:val="105"/>
        </w:rPr>
        <w:t>construct measures of inflation that </w:t>
      </w:r>
      <w:r>
        <w:rPr>
          <w:spacing w:val="-3"/>
          <w:w w:val="105"/>
        </w:rPr>
        <w:t>exclude </w:t>
      </w:r>
      <w:r>
        <w:rPr>
          <w:w w:val="105"/>
        </w:rPr>
        <w:t>such movements. There are, </w:t>
      </w:r>
      <w:r>
        <w:rPr>
          <w:spacing w:val="-4"/>
          <w:w w:val="105"/>
        </w:rPr>
        <w:t>however, </w:t>
      </w:r>
      <w:r>
        <w:rPr>
          <w:spacing w:val="-3"/>
          <w:w w:val="105"/>
        </w:rPr>
        <w:t>several </w:t>
      </w:r>
      <w:r>
        <w:rPr>
          <w:w w:val="105"/>
        </w:rPr>
        <w:t>potential approaches, each with their strengths and weaknesses. One measure is the median inflation </w:t>
      </w:r>
      <w:r>
        <w:rPr>
          <w:spacing w:val="-4"/>
          <w:w w:val="105"/>
        </w:rPr>
        <w:t>rate </w:t>
      </w:r>
      <w:r>
        <w:rPr>
          <w:w w:val="105"/>
        </w:rPr>
        <w:t>of the </w:t>
      </w:r>
      <w:r>
        <w:rPr>
          <w:spacing w:val="-3"/>
          <w:w w:val="105"/>
        </w:rPr>
        <w:t>weighted </w:t>
      </w:r>
      <w:r>
        <w:rPr>
          <w:w w:val="105"/>
        </w:rPr>
        <w:t>components of the RPIX basket. As has been the case in recent </w:t>
      </w:r>
      <w:r>
        <w:rPr>
          <w:spacing w:val="-3"/>
          <w:w w:val="105"/>
        </w:rPr>
        <w:t>years, </w:t>
      </w:r>
      <w:r>
        <w:rPr>
          <w:w w:val="105"/>
        </w:rPr>
        <w:t>the median inflation </w:t>
      </w:r>
      <w:r>
        <w:rPr>
          <w:spacing w:val="-4"/>
          <w:w w:val="105"/>
        </w:rPr>
        <w:t>rate </w:t>
      </w:r>
      <w:r>
        <w:rPr>
          <w:spacing w:val="-3"/>
          <w:w w:val="105"/>
        </w:rPr>
        <w:t>lay </w:t>
      </w:r>
      <w:r>
        <w:rPr>
          <w:w w:val="105"/>
        </w:rPr>
        <w:t>below RPIX in </w:t>
      </w:r>
      <w:r>
        <w:rPr>
          <w:spacing w:val="-4"/>
          <w:w w:val="105"/>
        </w:rPr>
        <w:t>2000 </w:t>
      </w:r>
      <w:r>
        <w:rPr>
          <w:w w:val="105"/>
        </w:rPr>
        <w:t>Q4 (see Chart </w:t>
      </w:r>
      <w:r>
        <w:rPr>
          <w:spacing w:val="-8"/>
          <w:w w:val="105"/>
        </w:rPr>
        <w:t>4.13). </w:t>
      </w:r>
      <w:r>
        <w:rPr>
          <w:w w:val="105"/>
        </w:rPr>
        <w:t>The gap </w:t>
      </w:r>
      <w:r>
        <w:rPr>
          <w:spacing w:val="-3"/>
          <w:w w:val="105"/>
        </w:rPr>
        <w:t>between </w:t>
      </w:r>
      <w:r>
        <w:rPr>
          <w:w w:val="105"/>
        </w:rPr>
        <w:t>RPIX and median inflation has, </w:t>
      </w:r>
      <w:r>
        <w:rPr>
          <w:spacing w:val="-4"/>
          <w:w w:val="105"/>
        </w:rPr>
        <w:t>however, </w:t>
      </w:r>
      <w:r>
        <w:rPr>
          <w:spacing w:val="-3"/>
          <w:w w:val="105"/>
        </w:rPr>
        <w:t>narrowed </w:t>
      </w:r>
      <w:r>
        <w:rPr>
          <w:w w:val="105"/>
        </w:rPr>
        <w:t>in recent quarters. This suggests that the distribution of price changes across RPIX components has become less </w:t>
      </w:r>
      <w:r>
        <w:rPr>
          <w:spacing w:val="-3"/>
          <w:w w:val="105"/>
        </w:rPr>
        <w:t>skewed </w:t>
      </w:r>
      <w:r>
        <w:rPr>
          <w:spacing w:val="-4"/>
          <w:w w:val="105"/>
        </w:rPr>
        <w:t>towards </w:t>
      </w:r>
      <w:r>
        <w:rPr>
          <w:spacing w:val="-3"/>
          <w:w w:val="105"/>
        </w:rPr>
        <w:t>large </w:t>
      </w:r>
      <w:r>
        <w:rPr>
          <w:w w:val="105"/>
        </w:rPr>
        <w:t>positive changes. A similar picture emerges from the trimmed mean inflation </w:t>
      </w:r>
      <w:r>
        <w:rPr>
          <w:spacing w:val="-4"/>
          <w:w w:val="105"/>
        </w:rPr>
        <w:t>rate, </w:t>
      </w:r>
      <w:r>
        <w:rPr>
          <w:w w:val="105"/>
        </w:rPr>
        <w:t>which </w:t>
      </w:r>
      <w:r>
        <w:rPr>
          <w:spacing w:val="-3"/>
          <w:w w:val="105"/>
        </w:rPr>
        <w:t>excludes </w:t>
      </w:r>
      <w:r>
        <w:rPr>
          <w:w w:val="105"/>
        </w:rPr>
        <w:t>the highest and </w:t>
      </w:r>
      <w:r>
        <w:rPr>
          <w:spacing w:val="-3"/>
          <w:w w:val="105"/>
        </w:rPr>
        <w:t>lowest </w:t>
      </w:r>
      <w:r>
        <w:rPr>
          <w:spacing w:val="-13"/>
          <w:w w:val="105"/>
        </w:rPr>
        <w:t>15% </w:t>
      </w:r>
      <w:r>
        <w:rPr>
          <w:w w:val="105"/>
        </w:rPr>
        <w:t>of </w:t>
      </w:r>
      <w:r>
        <w:rPr>
          <w:spacing w:val="-3"/>
          <w:w w:val="105"/>
        </w:rPr>
        <w:t>weighted </w:t>
      </w:r>
      <w:r>
        <w:rPr>
          <w:w w:val="105"/>
        </w:rPr>
        <w:t>price changes in RPIX. </w:t>
      </w:r>
      <w:r>
        <w:rPr>
          <w:spacing w:val="-4"/>
          <w:w w:val="105"/>
        </w:rPr>
        <w:t>Trimmed </w:t>
      </w:r>
      <w:r>
        <w:rPr>
          <w:w w:val="105"/>
        </w:rPr>
        <w:t>mean inflation </w:t>
      </w:r>
      <w:r>
        <w:rPr>
          <w:spacing w:val="-3"/>
          <w:w w:val="105"/>
        </w:rPr>
        <w:t>was </w:t>
      </w:r>
      <w:r>
        <w:rPr>
          <w:w w:val="105"/>
        </w:rPr>
        <w:t>virtually identical </w:t>
      </w:r>
      <w:r>
        <w:rPr>
          <w:spacing w:val="-4"/>
          <w:w w:val="105"/>
        </w:rPr>
        <w:t>to </w:t>
      </w:r>
      <w:r>
        <w:rPr>
          <w:w w:val="105"/>
        </w:rPr>
        <w:t>RPIX inflation in Q4, suggesting that sharp price changes are not affecting the assessment of underlying</w:t>
      </w:r>
      <w:r>
        <w:rPr>
          <w:spacing w:val="-3"/>
          <w:w w:val="105"/>
        </w:rPr>
        <w:t> </w:t>
      </w:r>
      <w:r>
        <w:rPr>
          <w:w w:val="105"/>
        </w:rPr>
        <w:t>trends.</w:t>
      </w:r>
    </w:p>
    <w:p>
      <w:pPr>
        <w:spacing w:after="0" w:line="292" w:lineRule="auto"/>
        <w:sectPr>
          <w:type w:val="continuous"/>
          <w:pgSz w:w="11900" w:h="16840"/>
          <w:pgMar w:top="1260" w:bottom="280" w:left="640" w:right="640"/>
          <w:cols w:num="2" w:equalWidth="0">
            <w:col w:w="3666" w:space="1121"/>
            <w:col w:w="5833"/>
          </w:cols>
        </w:sectPr>
      </w:pPr>
    </w:p>
    <w:p>
      <w:pPr>
        <w:pStyle w:val="BodyText"/>
        <w:spacing w:before="10"/>
        <w:rPr>
          <w:sz w:val="17"/>
        </w:rPr>
      </w:pPr>
    </w:p>
    <w:p>
      <w:pPr>
        <w:spacing w:after="0"/>
        <w:rPr>
          <w:sz w:val="17"/>
        </w:rPr>
        <w:sectPr>
          <w:type w:val="continuous"/>
          <w:pgSz w:w="11900" w:h="16840"/>
          <w:pgMar w:top="1260" w:bottom="280" w:left="640" w:right="640"/>
        </w:sectPr>
      </w:pPr>
    </w:p>
    <w:p>
      <w:pPr>
        <w:pStyle w:val="Heading6"/>
        <w:spacing w:line="247" w:lineRule="auto" w:before="185"/>
        <w:ind w:left="208"/>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4.14</w:t>
      </w:r>
      <w:r>
        <w:rPr>
          <w:smallCaps w:val="0"/>
          <w:color w:val="89C6DC"/>
          <w:spacing w:val="-1"/>
          <w:w w:val="84"/>
        </w:rPr>
        <w:t> </w:t>
      </w:r>
      <w:r>
        <w:rPr>
          <w:smallCaps w:val="0"/>
          <w:color w:val="89C6DC"/>
          <w:spacing w:val="-1"/>
          <w:w w:val="93"/>
        </w:rPr>
        <w:t>HIC</w:t>
      </w:r>
      <w:r>
        <w:rPr>
          <w:smallCaps w:val="0"/>
          <w:color w:val="89C6DC"/>
          <w:w w:val="93"/>
        </w:rPr>
        <w:t>P</w:t>
      </w:r>
      <w:r>
        <w:rPr>
          <w:smallCaps w:val="0"/>
          <w:color w:val="89C6DC"/>
          <w:spacing w:val="2"/>
        </w:rPr>
        <w:t> </w:t>
      </w:r>
      <w:r>
        <w:rPr>
          <w:smallCaps w:val="0"/>
          <w:color w:val="89C6DC"/>
          <w:spacing w:val="-1"/>
          <w:w w:val="93"/>
        </w:rPr>
        <w:t>an</w:t>
      </w:r>
      <w:r>
        <w:rPr>
          <w:smallCaps w:val="0"/>
          <w:color w:val="89C6DC"/>
          <w:w w:val="93"/>
        </w:rPr>
        <w:t>d</w:t>
      </w:r>
      <w:r>
        <w:rPr>
          <w:smallCaps w:val="0"/>
          <w:color w:val="89C6DC"/>
          <w:spacing w:val="6"/>
        </w:rPr>
        <w:t> </w:t>
      </w:r>
      <w:r>
        <w:rPr>
          <w:smallCaps w:val="0"/>
          <w:color w:val="89C6DC"/>
          <w:spacing w:val="-4"/>
          <w:w w:val="95"/>
        </w:rPr>
        <w:t>R</w:t>
      </w:r>
      <w:r>
        <w:rPr>
          <w:smallCaps w:val="0"/>
          <w:color w:val="89C6DC"/>
          <w:spacing w:val="-6"/>
          <w:w w:val="95"/>
        </w:rPr>
        <w:t>P</w:t>
      </w:r>
      <w:r>
        <w:rPr>
          <w:smallCaps w:val="0"/>
          <w:color w:val="89C6DC"/>
          <w:spacing w:val="-4"/>
          <w:w w:val="97"/>
        </w:rPr>
        <w:t>IX</w:t>
      </w:r>
    </w:p>
    <w:p>
      <w:pPr>
        <w:pStyle w:val="BodyText"/>
        <w:spacing w:before="10" w:after="39"/>
        <w:rPr>
          <w:rFonts w:ascii="Trebuchet MS"/>
          <w:b/>
          <w:sz w:val="13"/>
        </w:rPr>
      </w:pPr>
    </w:p>
    <w:p>
      <w:pPr>
        <w:pStyle w:val="BodyText"/>
        <w:spacing w:line="20" w:lineRule="exact"/>
        <w:ind w:left="193"/>
        <w:rPr>
          <w:rFonts w:ascii="Trebuchet MS"/>
          <w:sz w:val="2"/>
        </w:rPr>
      </w:pPr>
      <w:r>
        <w:rPr>
          <w:rFonts w:ascii="Trebuchet MS"/>
          <w:sz w:val="2"/>
        </w:rPr>
        <w:drawing>
          <wp:inline distT="0" distB="0" distL="0" distR="0">
            <wp:extent cx="55304" cy="6381"/>
            <wp:effectExtent l="0" t="0" r="0" b="0"/>
            <wp:docPr id="539" name="image8.png"/>
            <wp:cNvGraphicFramePr>
              <a:graphicFrameLocks noChangeAspect="1"/>
            </wp:cNvGraphicFramePr>
            <a:graphic>
              <a:graphicData uri="http://schemas.openxmlformats.org/drawingml/2006/picture">
                <pic:pic>
                  <pic:nvPicPr>
                    <pic:cNvPr id="540" name="image8.png"/>
                    <pic:cNvPicPr/>
                  </pic:nvPicPr>
                  <pic:blipFill>
                    <a:blip r:embed="rId29" cstate="print"/>
                    <a:stretch>
                      <a:fillRect/>
                    </a:stretch>
                  </pic:blipFill>
                  <pic:spPr>
                    <a:xfrm>
                      <a:off x="0" y="0"/>
                      <a:ext cx="55304" cy="6381"/>
                    </a:xfrm>
                    <a:prstGeom prst="rect">
                      <a:avLst/>
                    </a:prstGeom>
                  </pic:spPr>
                </pic:pic>
              </a:graphicData>
            </a:graphic>
          </wp:inline>
        </w:drawing>
      </w:r>
      <w:r>
        <w:rPr>
          <w:rFonts w:ascii="Trebuchet MS"/>
          <w:sz w:val="2"/>
        </w:rPr>
      </w:r>
    </w:p>
    <w:p>
      <w:pPr>
        <w:pStyle w:val="BodyText"/>
        <w:spacing w:before="10"/>
        <w:rPr>
          <w:rFonts w:ascii="Trebuchet MS"/>
          <w:b/>
          <w:sz w:val="25"/>
        </w:rPr>
      </w:pPr>
      <w:r>
        <w:rPr/>
        <w:drawing>
          <wp:anchor distT="0" distB="0" distL="0" distR="0" allowOverlap="1" layoutInCell="1" locked="0" behindDoc="0" simplePos="0" relativeHeight="1175">
            <wp:simplePos x="0" y="0"/>
            <wp:positionH relativeFrom="page">
              <wp:posOffset>529361</wp:posOffset>
            </wp:positionH>
            <wp:positionV relativeFrom="paragraph">
              <wp:posOffset>215506</wp:posOffset>
            </wp:positionV>
            <wp:extent cx="55304" cy="6381"/>
            <wp:effectExtent l="0" t="0" r="0" b="0"/>
            <wp:wrapTopAndBottom/>
            <wp:docPr id="541" name="image8.png"/>
            <wp:cNvGraphicFramePr>
              <a:graphicFrameLocks noChangeAspect="1"/>
            </wp:cNvGraphicFramePr>
            <a:graphic>
              <a:graphicData uri="http://schemas.openxmlformats.org/drawingml/2006/picture">
                <pic:pic>
                  <pic:nvPicPr>
                    <pic:cNvPr id="542"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176">
            <wp:simplePos x="0" y="0"/>
            <wp:positionH relativeFrom="page">
              <wp:posOffset>529361</wp:posOffset>
            </wp:positionH>
            <wp:positionV relativeFrom="paragraph">
              <wp:posOffset>443699</wp:posOffset>
            </wp:positionV>
            <wp:extent cx="54478" cy="6286"/>
            <wp:effectExtent l="0" t="0" r="0" b="0"/>
            <wp:wrapTopAndBottom/>
            <wp:docPr id="543" name="image13.png"/>
            <wp:cNvGraphicFramePr>
              <a:graphicFrameLocks noChangeAspect="1"/>
            </wp:cNvGraphicFramePr>
            <a:graphic>
              <a:graphicData uri="http://schemas.openxmlformats.org/drawingml/2006/picture">
                <pic:pic>
                  <pic:nvPicPr>
                    <pic:cNvPr id="544"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177">
            <wp:simplePos x="0" y="0"/>
            <wp:positionH relativeFrom="page">
              <wp:posOffset>529361</wp:posOffset>
            </wp:positionH>
            <wp:positionV relativeFrom="paragraph">
              <wp:posOffset>671906</wp:posOffset>
            </wp:positionV>
            <wp:extent cx="54478" cy="6286"/>
            <wp:effectExtent l="0" t="0" r="0" b="0"/>
            <wp:wrapTopAndBottom/>
            <wp:docPr id="545" name="image13.png"/>
            <wp:cNvGraphicFramePr>
              <a:graphicFrameLocks noChangeAspect="1"/>
            </wp:cNvGraphicFramePr>
            <a:graphic>
              <a:graphicData uri="http://schemas.openxmlformats.org/drawingml/2006/picture">
                <pic:pic>
                  <pic:nvPicPr>
                    <pic:cNvPr id="546"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178">
            <wp:simplePos x="0" y="0"/>
            <wp:positionH relativeFrom="page">
              <wp:posOffset>529361</wp:posOffset>
            </wp:positionH>
            <wp:positionV relativeFrom="paragraph">
              <wp:posOffset>900112</wp:posOffset>
            </wp:positionV>
            <wp:extent cx="54478" cy="6286"/>
            <wp:effectExtent l="0" t="0" r="0" b="0"/>
            <wp:wrapTopAndBottom/>
            <wp:docPr id="547" name="image13.png"/>
            <wp:cNvGraphicFramePr>
              <a:graphicFrameLocks noChangeAspect="1"/>
            </wp:cNvGraphicFramePr>
            <a:graphic>
              <a:graphicData uri="http://schemas.openxmlformats.org/drawingml/2006/picture">
                <pic:pic>
                  <pic:nvPicPr>
                    <pic:cNvPr id="548"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179">
            <wp:simplePos x="0" y="0"/>
            <wp:positionH relativeFrom="page">
              <wp:posOffset>529361</wp:posOffset>
            </wp:positionH>
            <wp:positionV relativeFrom="paragraph">
              <wp:posOffset>1128318</wp:posOffset>
            </wp:positionV>
            <wp:extent cx="54478" cy="6286"/>
            <wp:effectExtent l="0" t="0" r="0" b="0"/>
            <wp:wrapTopAndBottom/>
            <wp:docPr id="549" name="image13.png"/>
            <wp:cNvGraphicFramePr>
              <a:graphicFrameLocks noChangeAspect="1"/>
            </wp:cNvGraphicFramePr>
            <a:graphic>
              <a:graphicData uri="http://schemas.openxmlformats.org/drawingml/2006/picture">
                <pic:pic>
                  <pic:nvPicPr>
                    <pic:cNvPr id="550" name="image13.png"/>
                    <pic:cNvPicPr/>
                  </pic:nvPicPr>
                  <pic:blipFill>
                    <a:blip r:embed="rId34"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180">
            <wp:simplePos x="0" y="0"/>
            <wp:positionH relativeFrom="page">
              <wp:posOffset>529361</wp:posOffset>
            </wp:positionH>
            <wp:positionV relativeFrom="paragraph">
              <wp:posOffset>1356512</wp:posOffset>
            </wp:positionV>
            <wp:extent cx="55304" cy="6381"/>
            <wp:effectExtent l="0" t="0" r="0" b="0"/>
            <wp:wrapTopAndBottom/>
            <wp:docPr id="551" name="image8.png"/>
            <wp:cNvGraphicFramePr>
              <a:graphicFrameLocks noChangeAspect="1"/>
            </wp:cNvGraphicFramePr>
            <a:graphic>
              <a:graphicData uri="http://schemas.openxmlformats.org/drawingml/2006/picture">
                <pic:pic>
                  <pic:nvPicPr>
                    <pic:cNvPr id="552" name="image8.png"/>
                    <pic:cNvPicPr/>
                  </pic:nvPicPr>
                  <pic:blipFill>
                    <a:blip r:embed="rId2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181">
            <wp:simplePos x="0" y="0"/>
            <wp:positionH relativeFrom="page">
              <wp:posOffset>529361</wp:posOffset>
            </wp:positionH>
            <wp:positionV relativeFrom="paragraph">
              <wp:posOffset>1584718</wp:posOffset>
            </wp:positionV>
            <wp:extent cx="55304" cy="6381"/>
            <wp:effectExtent l="0" t="0" r="0" b="0"/>
            <wp:wrapTopAndBottom/>
            <wp:docPr id="553" name="image8.png"/>
            <wp:cNvGraphicFramePr>
              <a:graphicFrameLocks noChangeAspect="1"/>
            </wp:cNvGraphicFramePr>
            <a:graphic>
              <a:graphicData uri="http://schemas.openxmlformats.org/drawingml/2006/picture">
                <pic:pic>
                  <pic:nvPicPr>
                    <pic:cNvPr id="554" name="image8.png"/>
                    <pic:cNvPicPr/>
                  </pic:nvPicPr>
                  <pic:blipFill>
                    <a:blip r:embed="rId29" cstate="print"/>
                    <a:stretch>
                      <a:fillRect/>
                    </a:stretch>
                  </pic:blipFill>
                  <pic:spPr>
                    <a:xfrm>
                      <a:off x="0" y="0"/>
                      <a:ext cx="55304" cy="6381"/>
                    </a:xfrm>
                    <a:prstGeom prst="rect">
                      <a:avLst/>
                    </a:prstGeom>
                  </pic:spPr>
                </pic:pic>
              </a:graphicData>
            </a:graphic>
          </wp:anchor>
        </w:drawing>
      </w:r>
    </w:p>
    <w:p>
      <w:pPr>
        <w:pStyle w:val="BodyText"/>
        <w:spacing w:before="2"/>
        <w:rPr>
          <w:rFonts w:ascii="Trebuchet MS"/>
          <w:b/>
          <w:sz w:val="24"/>
        </w:rPr>
      </w:pPr>
    </w:p>
    <w:p>
      <w:pPr>
        <w:pStyle w:val="BodyText"/>
        <w:spacing w:before="2"/>
        <w:rPr>
          <w:rFonts w:ascii="Trebuchet MS"/>
          <w:b/>
          <w:sz w:val="24"/>
        </w:rPr>
      </w:pPr>
    </w:p>
    <w:p>
      <w:pPr>
        <w:pStyle w:val="BodyText"/>
        <w:spacing w:before="2"/>
        <w:rPr>
          <w:rFonts w:ascii="Trebuchet MS"/>
          <w:b/>
          <w:sz w:val="24"/>
        </w:rPr>
      </w:pPr>
    </w:p>
    <w:p>
      <w:pPr>
        <w:pStyle w:val="BodyText"/>
        <w:spacing w:before="2"/>
        <w:rPr>
          <w:rFonts w:ascii="Trebuchet MS"/>
          <w:b/>
          <w:sz w:val="24"/>
        </w:rPr>
      </w:pPr>
    </w:p>
    <w:p>
      <w:pPr>
        <w:pStyle w:val="BodyText"/>
        <w:spacing w:before="2"/>
        <w:rPr>
          <w:rFonts w:ascii="Trebuchet MS"/>
          <w:b/>
          <w:sz w:val="24"/>
        </w:rPr>
      </w:pPr>
    </w:p>
    <w:p>
      <w:pPr>
        <w:pStyle w:val="BodyText"/>
        <w:spacing w:before="2"/>
        <w:rPr>
          <w:rFonts w:ascii="Trebuchet MS"/>
          <w:b/>
          <w:sz w:val="24"/>
        </w:rPr>
      </w:pP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4"/>
        <w:rPr>
          <w:rFonts w:ascii="Trebuchet MS"/>
          <w:b/>
          <w:sz w:val="12"/>
        </w:rPr>
      </w:pPr>
    </w:p>
    <w:p>
      <w:pPr>
        <w:spacing w:line="121" w:lineRule="exact" w:before="0"/>
        <w:ind w:left="0" w:right="137" w:firstLine="0"/>
        <w:jc w:val="right"/>
        <w:rPr>
          <w:sz w:val="12"/>
        </w:rPr>
      </w:pPr>
      <w:r>
        <w:rPr>
          <w:w w:val="110"/>
          <w:sz w:val="12"/>
        </w:rPr>
        <w:t>Percentage</w:t>
      </w:r>
      <w:r>
        <w:rPr>
          <w:spacing w:val="-7"/>
          <w:w w:val="110"/>
          <w:sz w:val="12"/>
        </w:rPr>
        <w:t> </w:t>
      </w:r>
      <w:r>
        <w:rPr>
          <w:w w:val="110"/>
          <w:sz w:val="12"/>
        </w:rPr>
        <w:t>changes</w:t>
      </w:r>
      <w:r>
        <w:rPr>
          <w:spacing w:val="-7"/>
          <w:w w:val="110"/>
          <w:sz w:val="12"/>
        </w:rPr>
        <w:t> </w:t>
      </w:r>
      <w:r>
        <w:rPr>
          <w:w w:val="110"/>
          <w:sz w:val="12"/>
        </w:rPr>
        <w:t>on</w:t>
      </w:r>
      <w:r>
        <w:rPr>
          <w:spacing w:val="-7"/>
          <w:w w:val="110"/>
          <w:sz w:val="12"/>
        </w:rPr>
        <w:t> </w:t>
      </w:r>
      <w:r>
        <w:rPr>
          <w:w w:val="110"/>
          <w:sz w:val="12"/>
        </w:rPr>
        <w:t>a</w:t>
      </w:r>
      <w:r>
        <w:rPr>
          <w:spacing w:val="-7"/>
          <w:w w:val="110"/>
          <w:sz w:val="12"/>
        </w:rPr>
        <w:t> </w:t>
      </w:r>
      <w:r>
        <w:rPr>
          <w:w w:val="110"/>
          <w:sz w:val="12"/>
        </w:rPr>
        <w:t>year</w:t>
      </w:r>
      <w:r>
        <w:rPr>
          <w:spacing w:val="-6"/>
          <w:w w:val="110"/>
          <w:sz w:val="12"/>
        </w:rPr>
        <w:t> </w:t>
      </w:r>
      <w:r>
        <w:rPr>
          <w:w w:val="110"/>
          <w:sz w:val="12"/>
        </w:rPr>
        <w:t>earlier</w:t>
      </w:r>
    </w:p>
    <w:p>
      <w:pPr>
        <w:spacing w:line="121" w:lineRule="exact" w:before="0"/>
        <w:ind w:left="0" w:right="38" w:firstLine="0"/>
        <w:jc w:val="right"/>
        <w:rPr>
          <w:sz w:val="12"/>
        </w:rPr>
      </w:pPr>
      <w:r>
        <w:rPr/>
        <w:drawing>
          <wp:anchor distT="0" distB="0" distL="0" distR="0" allowOverlap="1" layoutInCell="1" locked="0" behindDoc="0" simplePos="0" relativeHeight="16339968">
            <wp:simplePos x="0" y="0"/>
            <wp:positionH relativeFrom="page">
              <wp:posOffset>2514600</wp:posOffset>
            </wp:positionH>
            <wp:positionV relativeFrom="paragraph">
              <wp:posOffset>29430</wp:posOffset>
            </wp:positionV>
            <wp:extent cx="55041" cy="6350"/>
            <wp:effectExtent l="0" t="0" r="0" b="0"/>
            <wp:wrapNone/>
            <wp:docPr id="555" name="image8.png"/>
            <wp:cNvGraphicFramePr>
              <a:graphicFrameLocks noChangeAspect="1"/>
            </wp:cNvGraphicFramePr>
            <a:graphic>
              <a:graphicData uri="http://schemas.openxmlformats.org/drawingml/2006/picture">
                <pic:pic>
                  <pic:nvPicPr>
                    <pic:cNvPr id="556" name="image8.png"/>
                    <pic:cNvPicPr/>
                  </pic:nvPicPr>
                  <pic:blipFill>
                    <a:blip r:embed="rId29" cstate="print"/>
                    <a:stretch>
                      <a:fillRect/>
                    </a:stretch>
                  </pic:blipFill>
                  <pic:spPr>
                    <a:xfrm>
                      <a:off x="0" y="0"/>
                      <a:ext cx="55041" cy="6350"/>
                    </a:xfrm>
                    <a:prstGeom prst="rect">
                      <a:avLst/>
                    </a:prstGeom>
                  </pic:spPr>
                </pic:pic>
              </a:graphicData>
            </a:graphic>
          </wp:anchor>
        </w:drawing>
      </w:r>
      <w:r>
        <w:rPr>
          <w:w w:val="121"/>
          <w:sz w:val="12"/>
        </w:rPr>
        <w:t>8</w:t>
      </w:r>
    </w:p>
    <w:p>
      <w:pPr>
        <w:pStyle w:val="BodyText"/>
        <w:rPr>
          <w:sz w:val="12"/>
        </w:rPr>
      </w:pPr>
    </w:p>
    <w:p>
      <w:pPr>
        <w:spacing w:before="83"/>
        <w:ind w:left="0" w:right="38" w:firstLine="0"/>
        <w:jc w:val="right"/>
        <w:rPr>
          <w:sz w:val="12"/>
        </w:rPr>
      </w:pPr>
      <w:r>
        <w:rPr/>
        <w:pict>
          <v:group style="position:absolute;margin-left:50.25pt;margin-top:6.783157pt;width:152.1pt;height:118.25pt;mso-position-horizontal-relative:page;mso-position-vertical-relative:paragraph;z-index:16338432" coordorigin="1005,136" coordsize="3042,2365">
            <v:shape style="position:absolute;left:1005;top:135;width:3042;height:2365" type="#_x0000_t75" stroked="false">
              <v:imagedata r:id="rId153" o:title=""/>
            </v:shape>
            <v:shape style="position:absolute;left:1193;top:926;width:276;height:121" type="#_x0000_t202" filled="false" stroked="false">
              <v:textbox inset="0,0,0,0">
                <w:txbxContent>
                  <w:p>
                    <w:pPr>
                      <w:spacing w:line="116" w:lineRule="exact" w:before="0"/>
                      <w:ind w:left="0" w:right="0" w:firstLine="0"/>
                      <w:jc w:val="left"/>
                      <w:rPr>
                        <w:sz w:val="12"/>
                      </w:rPr>
                    </w:pPr>
                    <w:r>
                      <w:rPr>
                        <w:w w:val="95"/>
                        <w:sz w:val="12"/>
                      </w:rPr>
                      <w:t>RPIX</w:t>
                    </w:r>
                  </w:p>
                </w:txbxContent>
              </v:textbox>
              <w10:wrap type="none"/>
            </v:shape>
            <v:shape style="position:absolute;left:1563;top:2092;width:297;height:121" type="#_x0000_t202" filled="false" stroked="false">
              <v:textbox inset="0,0,0,0">
                <w:txbxContent>
                  <w:p>
                    <w:pPr>
                      <w:spacing w:line="116" w:lineRule="exact" w:before="0"/>
                      <w:ind w:left="0" w:right="0" w:firstLine="0"/>
                      <w:jc w:val="left"/>
                      <w:rPr>
                        <w:sz w:val="12"/>
                      </w:rPr>
                    </w:pPr>
                    <w:r>
                      <w:rPr>
                        <w:sz w:val="12"/>
                      </w:rPr>
                      <w:t>HICP</w:t>
                    </w:r>
                  </w:p>
                </w:txbxContent>
              </v:textbox>
              <w10:wrap type="none"/>
            </v:shape>
            <w10:wrap type="none"/>
          </v:group>
        </w:pict>
      </w:r>
      <w:r>
        <w:rPr>
          <w:w w:val="121"/>
          <w:sz w:val="12"/>
        </w:rPr>
        <w:t>7</w:t>
      </w:r>
    </w:p>
    <w:p>
      <w:pPr>
        <w:pStyle w:val="BodyText"/>
        <w:rPr>
          <w:sz w:val="12"/>
        </w:rPr>
      </w:pPr>
    </w:p>
    <w:p>
      <w:pPr>
        <w:spacing w:before="84"/>
        <w:ind w:left="0" w:right="38" w:firstLine="0"/>
        <w:jc w:val="right"/>
        <w:rPr>
          <w:sz w:val="12"/>
        </w:rPr>
      </w:pPr>
      <w:r>
        <w:rPr>
          <w:w w:val="121"/>
          <w:sz w:val="12"/>
        </w:rPr>
        <w:t>6</w:t>
      </w:r>
    </w:p>
    <w:p>
      <w:pPr>
        <w:pStyle w:val="BodyText"/>
        <w:rPr>
          <w:sz w:val="12"/>
        </w:rPr>
      </w:pPr>
    </w:p>
    <w:p>
      <w:pPr>
        <w:spacing w:before="83"/>
        <w:ind w:left="0" w:right="38" w:firstLine="0"/>
        <w:jc w:val="right"/>
        <w:rPr>
          <w:sz w:val="12"/>
        </w:rPr>
      </w:pPr>
      <w:r>
        <w:rPr>
          <w:w w:val="121"/>
          <w:sz w:val="12"/>
        </w:rPr>
        <w:t>5</w:t>
      </w:r>
    </w:p>
    <w:p>
      <w:pPr>
        <w:pStyle w:val="BodyText"/>
        <w:rPr>
          <w:sz w:val="12"/>
        </w:rPr>
      </w:pPr>
    </w:p>
    <w:p>
      <w:pPr>
        <w:spacing w:before="83"/>
        <w:ind w:left="0" w:right="38" w:firstLine="0"/>
        <w:jc w:val="right"/>
        <w:rPr>
          <w:sz w:val="12"/>
        </w:rPr>
      </w:pPr>
      <w:r>
        <w:rPr>
          <w:w w:val="121"/>
          <w:sz w:val="12"/>
        </w:rPr>
        <w:t>4</w:t>
      </w:r>
    </w:p>
    <w:p>
      <w:pPr>
        <w:pStyle w:val="BodyText"/>
        <w:rPr>
          <w:sz w:val="12"/>
        </w:rPr>
      </w:pPr>
    </w:p>
    <w:p>
      <w:pPr>
        <w:spacing w:before="84"/>
        <w:ind w:left="0" w:right="38" w:firstLine="0"/>
        <w:jc w:val="right"/>
        <w:rPr>
          <w:sz w:val="12"/>
        </w:rPr>
      </w:pPr>
      <w:r>
        <w:rPr>
          <w:w w:val="121"/>
          <w:sz w:val="12"/>
        </w:rPr>
        <w:t>3</w:t>
      </w:r>
    </w:p>
    <w:p>
      <w:pPr>
        <w:pStyle w:val="BodyText"/>
        <w:rPr>
          <w:sz w:val="12"/>
        </w:rPr>
      </w:pPr>
    </w:p>
    <w:p>
      <w:pPr>
        <w:spacing w:before="83"/>
        <w:ind w:left="0" w:right="38" w:firstLine="0"/>
        <w:jc w:val="right"/>
        <w:rPr>
          <w:sz w:val="12"/>
        </w:rPr>
      </w:pPr>
      <w:r>
        <w:rPr>
          <w:w w:val="121"/>
          <w:sz w:val="12"/>
        </w:rPr>
        <w:t>2</w:t>
      </w:r>
    </w:p>
    <w:p>
      <w:pPr>
        <w:pStyle w:val="BodyText"/>
        <w:rPr>
          <w:sz w:val="12"/>
        </w:rPr>
      </w:pPr>
    </w:p>
    <w:p>
      <w:pPr>
        <w:spacing w:before="84"/>
        <w:ind w:left="0" w:right="38" w:firstLine="0"/>
        <w:jc w:val="right"/>
        <w:rPr>
          <w:sz w:val="12"/>
        </w:rPr>
      </w:pPr>
      <w:r>
        <w:rPr>
          <w:w w:val="121"/>
          <w:sz w:val="12"/>
        </w:rPr>
        <w:t>1</w:t>
      </w:r>
    </w:p>
    <w:p>
      <w:pPr>
        <w:pStyle w:val="BodyText"/>
        <w:spacing w:line="292" w:lineRule="auto" w:before="63"/>
        <w:ind w:left="193" w:right="232"/>
      </w:pPr>
      <w:r>
        <w:rPr/>
        <w:br w:type="column"/>
      </w:r>
      <w:r>
        <w:rPr>
          <w:w w:val="110"/>
        </w:rPr>
        <w:t>The</w:t>
      </w:r>
      <w:r>
        <w:rPr>
          <w:spacing w:val="-22"/>
          <w:w w:val="110"/>
        </w:rPr>
        <w:t> </w:t>
      </w:r>
      <w:r>
        <w:rPr>
          <w:w w:val="110"/>
        </w:rPr>
        <w:t>harmonised</w:t>
      </w:r>
      <w:r>
        <w:rPr>
          <w:spacing w:val="-22"/>
          <w:w w:val="110"/>
        </w:rPr>
        <w:t> </w:t>
      </w:r>
      <w:r>
        <w:rPr>
          <w:w w:val="110"/>
        </w:rPr>
        <w:t>index</w:t>
      </w:r>
      <w:r>
        <w:rPr>
          <w:spacing w:val="-22"/>
          <w:w w:val="110"/>
        </w:rPr>
        <w:t> </w:t>
      </w:r>
      <w:r>
        <w:rPr>
          <w:w w:val="110"/>
        </w:rPr>
        <w:t>of</w:t>
      </w:r>
      <w:r>
        <w:rPr>
          <w:spacing w:val="-22"/>
          <w:w w:val="110"/>
        </w:rPr>
        <w:t> </w:t>
      </w:r>
      <w:r>
        <w:rPr>
          <w:w w:val="110"/>
        </w:rPr>
        <w:t>consumer</w:t>
      </w:r>
      <w:r>
        <w:rPr>
          <w:spacing w:val="-22"/>
          <w:w w:val="110"/>
        </w:rPr>
        <w:t> </w:t>
      </w:r>
      <w:r>
        <w:rPr>
          <w:w w:val="110"/>
        </w:rPr>
        <w:t>prices</w:t>
      </w:r>
      <w:r>
        <w:rPr>
          <w:spacing w:val="-22"/>
          <w:w w:val="110"/>
        </w:rPr>
        <w:t> </w:t>
      </w:r>
      <w:r>
        <w:rPr>
          <w:w w:val="110"/>
        </w:rPr>
        <w:t>(HICP)</w:t>
      </w:r>
      <w:r>
        <w:rPr>
          <w:spacing w:val="-21"/>
          <w:w w:val="110"/>
        </w:rPr>
        <w:t> </w:t>
      </w:r>
      <w:r>
        <w:rPr>
          <w:w w:val="110"/>
        </w:rPr>
        <w:t>is</w:t>
      </w:r>
      <w:r>
        <w:rPr>
          <w:spacing w:val="-22"/>
          <w:w w:val="110"/>
        </w:rPr>
        <w:t> </w:t>
      </w:r>
      <w:r>
        <w:rPr>
          <w:w w:val="110"/>
        </w:rPr>
        <w:t>another indicator</w:t>
      </w:r>
      <w:r>
        <w:rPr>
          <w:spacing w:val="-30"/>
          <w:w w:val="110"/>
        </w:rPr>
        <w:t> </w:t>
      </w:r>
      <w:r>
        <w:rPr>
          <w:w w:val="110"/>
        </w:rPr>
        <w:t>of</w:t>
      </w:r>
      <w:r>
        <w:rPr>
          <w:spacing w:val="-29"/>
          <w:w w:val="110"/>
        </w:rPr>
        <w:t> </w:t>
      </w:r>
      <w:r>
        <w:rPr>
          <w:w w:val="110"/>
        </w:rPr>
        <w:t>UK</w:t>
      </w:r>
      <w:r>
        <w:rPr>
          <w:spacing w:val="-29"/>
          <w:w w:val="110"/>
        </w:rPr>
        <w:t> </w:t>
      </w:r>
      <w:r>
        <w:rPr>
          <w:w w:val="110"/>
        </w:rPr>
        <w:t>inflation.</w:t>
      </w:r>
      <w:r>
        <w:rPr>
          <w:spacing w:val="-3"/>
          <w:w w:val="110"/>
        </w:rPr>
        <w:t> </w:t>
      </w:r>
      <w:r>
        <w:rPr>
          <w:w w:val="110"/>
        </w:rPr>
        <w:t>Annual</w:t>
      </w:r>
      <w:r>
        <w:rPr>
          <w:spacing w:val="-30"/>
          <w:w w:val="110"/>
        </w:rPr>
        <w:t> </w:t>
      </w:r>
      <w:r>
        <w:rPr>
          <w:w w:val="110"/>
        </w:rPr>
        <w:t>HICP</w:t>
      </w:r>
      <w:r>
        <w:rPr>
          <w:spacing w:val="-29"/>
          <w:w w:val="110"/>
        </w:rPr>
        <w:t> </w:t>
      </w:r>
      <w:r>
        <w:rPr>
          <w:w w:val="110"/>
        </w:rPr>
        <w:t>inflation</w:t>
      </w:r>
      <w:r>
        <w:rPr>
          <w:spacing w:val="-29"/>
          <w:w w:val="110"/>
        </w:rPr>
        <w:t> </w:t>
      </w:r>
      <w:r>
        <w:rPr>
          <w:spacing w:val="-3"/>
          <w:w w:val="110"/>
        </w:rPr>
        <w:t>was</w:t>
      </w:r>
      <w:r>
        <w:rPr>
          <w:spacing w:val="-30"/>
          <w:w w:val="110"/>
        </w:rPr>
        <w:t> </w:t>
      </w:r>
      <w:r>
        <w:rPr>
          <w:w w:val="110"/>
        </w:rPr>
        <w:t>0.9%</w:t>
      </w:r>
      <w:r>
        <w:rPr>
          <w:spacing w:val="-29"/>
          <w:w w:val="110"/>
        </w:rPr>
        <w:t> </w:t>
      </w:r>
      <w:r>
        <w:rPr>
          <w:w w:val="110"/>
        </w:rPr>
        <w:t>in Q4,</w:t>
      </w:r>
      <w:r>
        <w:rPr>
          <w:spacing w:val="-10"/>
          <w:w w:val="110"/>
        </w:rPr>
        <w:t> </w:t>
      </w:r>
      <w:r>
        <w:rPr>
          <w:w w:val="110"/>
        </w:rPr>
        <w:t>up</w:t>
      </w:r>
      <w:r>
        <w:rPr>
          <w:spacing w:val="-9"/>
          <w:w w:val="110"/>
        </w:rPr>
        <w:t> </w:t>
      </w:r>
      <w:r>
        <w:rPr>
          <w:w w:val="110"/>
        </w:rPr>
        <w:t>from</w:t>
      </w:r>
      <w:r>
        <w:rPr>
          <w:spacing w:val="-9"/>
          <w:w w:val="110"/>
        </w:rPr>
        <w:t> </w:t>
      </w:r>
      <w:r>
        <w:rPr>
          <w:w w:val="110"/>
        </w:rPr>
        <w:t>0.8%</w:t>
      </w:r>
      <w:r>
        <w:rPr>
          <w:spacing w:val="-9"/>
          <w:w w:val="110"/>
        </w:rPr>
        <w:t> </w:t>
      </w:r>
      <w:r>
        <w:rPr>
          <w:w w:val="110"/>
        </w:rPr>
        <w:t>in</w:t>
      </w:r>
      <w:r>
        <w:rPr>
          <w:spacing w:val="-10"/>
          <w:w w:val="110"/>
        </w:rPr>
        <w:t> </w:t>
      </w:r>
      <w:r>
        <w:rPr>
          <w:w w:val="110"/>
        </w:rPr>
        <w:t>Q3</w:t>
      </w:r>
      <w:r>
        <w:rPr>
          <w:spacing w:val="-9"/>
          <w:w w:val="110"/>
        </w:rPr>
        <w:t> </w:t>
      </w:r>
      <w:r>
        <w:rPr>
          <w:w w:val="110"/>
        </w:rPr>
        <w:t>and</w:t>
      </w:r>
      <w:r>
        <w:rPr>
          <w:spacing w:val="-9"/>
          <w:w w:val="110"/>
        </w:rPr>
        <w:t> </w:t>
      </w:r>
      <w:r>
        <w:rPr>
          <w:w w:val="110"/>
        </w:rPr>
        <w:t>0.6%</w:t>
      </w:r>
      <w:r>
        <w:rPr>
          <w:spacing w:val="-9"/>
          <w:w w:val="110"/>
        </w:rPr>
        <w:t> </w:t>
      </w:r>
      <w:r>
        <w:rPr>
          <w:w w:val="110"/>
        </w:rPr>
        <w:t>in</w:t>
      </w:r>
      <w:r>
        <w:rPr>
          <w:spacing w:val="-10"/>
          <w:w w:val="110"/>
        </w:rPr>
        <w:t> </w:t>
      </w:r>
      <w:r>
        <w:rPr>
          <w:w w:val="110"/>
        </w:rPr>
        <w:t>Q2</w:t>
      </w:r>
      <w:r>
        <w:rPr>
          <w:spacing w:val="-9"/>
          <w:w w:val="110"/>
        </w:rPr>
        <w:t> </w:t>
      </w:r>
      <w:r>
        <w:rPr>
          <w:w w:val="110"/>
        </w:rPr>
        <w:t>(see</w:t>
      </w:r>
      <w:r>
        <w:rPr>
          <w:spacing w:val="-9"/>
          <w:w w:val="110"/>
        </w:rPr>
        <w:t> </w:t>
      </w:r>
      <w:r>
        <w:rPr>
          <w:w w:val="110"/>
        </w:rPr>
        <w:t>Chart</w:t>
      </w:r>
      <w:r>
        <w:rPr>
          <w:spacing w:val="-9"/>
          <w:w w:val="110"/>
        </w:rPr>
        <w:t> </w:t>
      </w:r>
      <w:r>
        <w:rPr>
          <w:spacing w:val="-7"/>
          <w:w w:val="110"/>
        </w:rPr>
        <w:t>4.14).</w:t>
      </w:r>
    </w:p>
    <w:p>
      <w:pPr>
        <w:pStyle w:val="BodyText"/>
        <w:spacing w:line="292" w:lineRule="auto"/>
        <w:ind w:left="193" w:right="326"/>
      </w:pPr>
      <w:r>
        <w:rPr>
          <w:w w:val="105"/>
        </w:rPr>
        <w:t>Previous </w:t>
      </w:r>
      <w:r>
        <w:rPr>
          <w:i/>
          <w:w w:val="105"/>
        </w:rPr>
        <w:t>Reports </w:t>
      </w:r>
      <w:r>
        <w:rPr>
          <w:w w:val="105"/>
        </w:rPr>
        <w:t>have discussed the main differences between RPIX and HICP. These are differences in coverage (including the treatment of housing costs) and the method used to translate individual price quotes into the</w:t>
      </w:r>
    </w:p>
    <w:p>
      <w:pPr>
        <w:pStyle w:val="BodyText"/>
        <w:spacing w:line="292" w:lineRule="auto"/>
        <w:ind w:left="193" w:right="232"/>
      </w:pPr>
      <w:r>
        <w:rPr>
          <w:w w:val="110"/>
        </w:rPr>
        <w:t>aggregate</w:t>
      </w:r>
      <w:r>
        <w:rPr>
          <w:spacing w:val="-33"/>
          <w:w w:val="110"/>
        </w:rPr>
        <w:t> </w:t>
      </w:r>
      <w:r>
        <w:rPr>
          <w:w w:val="110"/>
        </w:rPr>
        <w:t>index</w:t>
      </w:r>
      <w:r>
        <w:rPr>
          <w:spacing w:val="-33"/>
          <w:w w:val="110"/>
        </w:rPr>
        <w:t> </w:t>
      </w:r>
      <w:r>
        <w:rPr>
          <w:w w:val="110"/>
        </w:rPr>
        <w:t>(arithmetic</w:t>
      </w:r>
      <w:r>
        <w:rPr>
          <w:spacing w:val="-32"/>
          <w:w w:val="110"/>
        </w:rPr>
        <w:t> </w:t>
      </w:r>
      <w:r>
        <w:rPr>
          <w:w w:val="110"/>
        </w:rPr>
        <w:t>means</w:t>
      </w:r>
      <w:r>
        <w:rPr>
          <w:spacing w:val="-33"/>
          <w:w w:val="110"/>
        </w:rPr>
        <w:t> </w:t>
      </w:r>
      <w:r>
        <w:rPr>
          <w:w w:val="110"/>
        </w:rPr>
        <w:t>for</w:t>
      </w:r>
      <w:r>
        <w:rPr>
          <w:spacing w:val="-32"/>
          <w:w w:val="110"/>
        </w:rPr>
        <w:t> </w:t>
      </w:r>
      <w:r>
        <w:rPr>
          <w:w w:val="110"/>
        </w:rPr>
        <w:t>RPIX,</w:t>
      </w:r>
      <w:r>
        <w:rPr>
          <w:spacing w:val="-33"/>
          <w:w w:val="110"/>
        </w:rPr>
        <w:t> </w:t>
      </w:r>
      <w:r>
        <w:rPr>
          <w:w w:val="110"/>
        </w:rPr>
        <w:t>geometric</w:t>
      </w:r>
      <w:r>
        <w:rPr>
          <w:spacing w:val="-32"/>
          <w:w w:val="110"/>
        </w:rPr>
        <w:t> </w:t>
      </w:r>
      <w:r>
        <w:rPr>
          <w:spacing w:val="-3"/>
          <w:w w:val="110"/>
        </w:rPr>
        <w:t>means </w:t>
      </w:r>
      <w:r>
        <w:rPr>
          <w:w w:val="110"/>
        </w:rPr>
        <w:t>for</w:t>
      </w:r>
      <w:r>
        <w:rPr>
          <w:spacing w:val="-6"/>
          <w:w w:val="110"/>
        </w:rPr>
        <w:t> </w:t>
      </w:r>
      <w:r>
        <w:rPr>
          <w:w w:val="110"/>
        </w:rPr>
        <w:t>HICP).</w:t>
      </w:r>
    </w:p>
    <w:p>
      <w:pPr>
        <w:pStyle w:val="BodyText"/>
        <w:spacing w:before="10"/>
        <w:rPr>
          <w:sz w:val="23"/>
        </w:rPr>
      </w:pPr>
    </w:p>
    <w:p>
      <w:pPr>
        <w:pStyle w:val="BodyText"/>
        <w:spacing w:line="292" w:lineRule="auto" w:before="1"/>
        <w:ind w:left="193"/>
      </w:pPr>
      <w:r>
        <w:rPr>
          <w:w w:val="110"/>
        </w:rPr>
        <w:t>It</w:t>
      </w:r>
      <w:r>
        <w:rPr>
          <w:spacing w:val="-22"/>
          <w:w w:val="110"/>
        </w:rPr>
        <w:t> </w:t>
      </w:r>
      <w:r>
        <w:rPr>
          <w:w w:val="110"/>
        </w:rPr>
        <w:t>is</w:t>
      </w:r>
      <w:r>
        <w:rPr>
          <w:spacing w:val="-22"/>
          <w:w w:val="110"/>
        </w:rPr>
        <w:t> </w:t>
      </w:r>
      <w:r>
        <w:rPr>
          <w:w w:val="110"/>
        </w:rPr>
        <w:t>useful</w:t>
      </w:r>
      <w:r>
        <w:rPr>
          <w:spacing w:val="-22"/>
          <w:w w:val="110"/>
        </w:rPr>
        <w:t> </w:t>
      </w:r>
      <w:r>
        <w:rPr>
          <w:spacing w:val="-4"/>
          <w:w w:val="110"/>
        </w:rPr>
        <w:t>to</w:t>
      </w:r>
      <w:r>
        <w:rPr>
          <w:spacing w:val="-22"/>
          <w:w w:val="110"/>
        </w:rPr>
        <w:t> </w:t>
      </w:r>
      <w:r>
        <w:rPr>
          <w:w w:val="110"/>
        </w:rPr>
        <w:t>examine</w:t>
      </w:r>
      <w:r>
        <w:rPr>
          <w:spacing w:val="-22"/>
          <w:w w:val="110"/>
        </w:rPr>
        <w:t> </w:t>
      </w:r>
      <w:r>
        <w:rPr>
          <w:w w:val="110"/>
        </w:rPr>
        <w:t>inflation</w:t>
      </w:r>
      <w:r>
        <w:rPr>
          <w:spacing w:val="-22"/>
          <w:w w:val="110"/>
        </w:rPr>
        <w:t> </w:t>
      </w:r>
      <w:r>
        <w:rPr>
          <w:w w:val="110"/>
        </w:rPr>
        <w:t>developments</w:t>
      </w:r>
      <w:r>
        <w:rPr>
          <w:spacing w:val="-22"/>
          <w:w w:val="110"/>
        </w:rPr>
        <w:t> </w:t>
      </w:r>
      <w:r>
        <w:rPr>
          <w:w w:val="110"/>
        </w:rPr>
        <w:t>at</w:t>
      </w:r>
      <w:r>
        <w:rPr>
          <w:spacing w:val="-22"/>
          <w:w w:val="110"/>
        </w:rPr>
        <w:t> </w:t>
      </w:r>
      <w:r>
        <w:rPr>
          <w:w w:val="110"/>
        </w:rPr>
        <w:t>a</w:t>
      </w:r>
      <w:r>
        <w:rPr>
          <w:spacing w:val="-22"/>
          <w:w w:val="110"/>
        </w:rPr>
        <w:t> </w:t>
      </w:r>
      <w:r>
        <w:rPr>
          <w:w w:val="110"/>
        </w:rPr>
        <w:t>broader</w:t>
      </w:r>
      <w:r>
        <w:rPr>
          <w:spacing w:val="-22"/>
          <w:w w:val="110"/>
        </w:rPr>
        <w:t> </w:t>
      </w:r>
      <w:r>
        <w:rPr>
          <w:spacing w:val="-3"/>
          <w:w w:val="110"/>
        </w:rPr>
        <w:t>level </w:t>
      </w:r>
      <w:r>
        <w:rPr>
          <w:w w:val="110"/>
        </w:rPr>
        <w:t>of economic activity than the retail sector because such developments</w:t>
      </w:r>
      <w:r>
        <w:rPr>
          <w:spacing w:val="-9"/>
          <w:w w:val="110"/>
        </w:rPr>
        <w:t> </w:t>
      </w:r>
      <w:r>
        <w:rPr>
          <w:w w:val="110"/>
        </w:rPr>
        <w:t>can</w:t>
      </w:r>
      <w:r>
        <w:rPr>
          <w:spacing w:val="-9"/>
          <w:w w:val="110"/>
        </w:rPr>
        <w:t> </w:t>
      </w:r>
      <w:r>
        <w:rPr>
          <w:w w:val="110"/>
        </w:rPr>
        <w:t>contain</w:t>
      </w:r>
      <w:r>
        <w:rPr>
          <w:spacing w:val="-9"/>
          <w:w w:val="110"/>
        </w:rPr>
        <w:t> </w:t>
      </w:r>
      <w:r>
        <w:rPr>
          <w:w w:val="110"/>
        </w:rPr>
        <w:t>information</w:t>
      </w:r>
      <w:r>
        <w:rPr>
          <w:spacing w:val="-9"/>
          <w:w w:val="110"/>
        </w:rPr>
        <w:t> </w:t>
      </w:r>
      <w:r>
        <w:rPr>
          <w:w w:val="110"/>
        </w:rPr>
        <w:t>that</w:t>
      </w:r>
      <w:r>
        <w:rPr>
          <w:spacing w:val="-9"/>
          <w:w w:val="110"/>
        </w:rPr>
        <w:t> </w:t>
      </w:r>
      <w:r>
        <w:rPr>
          <w:w w:val="110"/>
        </w:rPr>
        <w:t>enhances</w:t>
      </w:r>
      <w:r>
        <w:rPr>
          <w:spacing w:val="-8"/>
          <w:w w:val="110"/>
        </w:rPr>
        <w:t> </w:t>
      </w:r>
      <w:r>
        <w:rPr>
          <w:w w:val="110"/>
        </w:rPr>
        <w:t>the</w:t>
      </w:r>
    </w:p>
    <w:p>
      <w:pPr>
        <w:spacing w:after="0" w:line="292" w:lineRule="auto"/>
        <w:sectPr>
          <w:type w:val="continuous"/>
          <w:pgSz w:w="11900" w:h="16840"/>
          <w:pgMar w:top="1260" w:bottom="280" w:left="640" w:right="640"/>
          <w:cols w:num="3" w:equalWidth="0">
            <w:col w:w="1456" w:space="40"/>
            <w:col w:w="2051" w:space="1360"/>
            <w:col w:w="5713"/>
          </w:cols>
        </w:sectPr>
      </w:pPr>
    </w:p>
    <w:p>
      <w:pPr>
        <w:spacing w:line="88" w:lineRule="exact" w:before="0"/>
        <w:ind w:left="3433" w:right="0" w:firstLine="0"/>
        <w:jc w:val="left"/>
        <w:rPr>
          <w:sz w:val="12"/>
        </w:rPr>
      </w:pPr>
      <w:r>
        <w:rPr/>
        <w:drawing>
          <wp:anchor distT="0" distB="0" distL="0" distR="0" allowOverlap="1" layoutInCell="1" locked="0" behindDoc="0" simplePos="0" relativeHeight="16338944">
            <wp:simplePos x="0" y="0"/>
            <wp:positionH relativeFrom="page">
              <wp:posOffset>529361</wp:posOffset>
            </wp:positionH>
            <wp:positionV relativeFrom="paragraph">
              <wp:posOffset>20991</wp:posOffset>
            </wp:positionV>
            <wp:extent cx="55029" cy="6350"/>
            <wp:effectExtent l="0" t="0" r="0" b="0"/>
            <wp:wrapNone/>
            <wp:docPr id="557" name="image8.png"/>
            <wp:cNvGraphicFramePr>
              <a:graphicFrameLocks noChangeAspect="1"/>
            </wp:cNvGraphicFramePr>
            <a:graphic>
              <a:graphicData uri="http://schemas.openxmlformats.org/drawingml/2006/picture">
                <pic:pic>
                  <pic:nvPicPr>
                    <pic:cNvPr id="558" name="image8.png"/>
                    <pic:cNvPicPr/>
                  </pic:nvPicPr>
                  <pic:blipFill>
                    <a:blip r:embed="rId29"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339456">
            <wp:simplePos x="0" y="0"/>
            <wp:positionH relativeFrom="page">
              <wp:posOffset>2514600</wp:posOffset>
            </wp:positionH>
            <wp:positionV relativeFrom="paragraph">
              <wp:posOffset>23671</wp:posOffset>
            </wp:positionV>
            <wp:extent cx="55041" cy="6350"/>
            <wp:effectExtent l="0" t="0" r="0" b="0"/>
            <wp:wrapNone/>
            <wp:docPr id="559" name="image13.png"/>
            <wp:cNvGraphicFramePr>
              <a:graphicFrameLocks noChangeAspect="1"/>
            </wp:cNvGraphicFramePr>
            <a:graphic>
              <a:graphicData uri="http://schemas.openxmlformats.org/drawingml/2006/picture">
                <pic:pic>
                  <pic:nvPicPr>
                    <pic:cNvPr id="560" name="image13.png"/>
                    <pic:cNvPicPr/>
                  </pic:nvPicPr>
                  <pic:blipFill>
                    <a:blip r:embed="rId34"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340480">
            <wp:simplePos x="0" y="0"/>
            <wp:positionH relativeFrom="page">
              <wp:posOffset>641921</wp:posOffset>
            </wp:positionH>
            <wp:positionV relativeFrom="paragraph">
              <wp:posOffset>-12841</wp:posOffset>
            </wp:positionV>
            <wp:extent cx="1826107" cy="42862"/>
            <wp:effectExtent l="0" t="0" r="0" b="0"/>
            <wp:wrapNone/>
            <wp:docPr id="561" name="image93.png"/>
            <wp:cNvGraphicFramePr>
              <a:graphicFrameLocks noChangeAspect="1"/>
            </wp:cNvGraphicFramePr>
            <a:graphic>
              <a:graphicData uri="http://schemas.openxmlformats.org/drawingml/2006/picture">
                <pic:pic>
                  <pic:nvPicPr>
                    <pic:cNvPr id="562" name="image93.png"/>
                    <pic:cNvPicPr/>
                  </pic:nvPicPr>
                  <pic:blipFill>
                    <a:blip r:embed="rId154" cstate="print"/>
                    <a:stretch>
                      <a:fillRect/>
                    </a:stretch>
                  </pic:blipFill>
                  <pic:spPr>
                    <a:xfrm>
                      <a:off x="0" y="0"/>
                      <a:ext cx="1826107" cy="42862"/>
                    </a:xfrm>
                    <a:prstGeom prst="rect">
                      <a:avLst/>
                    </a:prstGeom>
                  </pic:spPr>
                </pic:pic>
              </a:graphicData>
            </a:graphic>
          </wp:anchor>
        </w:drawing>
      </w:r>
      <w:r>
        <w:rPr>
          <w:w w:val="121"/>
          <w:sz w:val="12"/>
        </w:rPr>
        <w:t>0</w:t>
      </w:r>
    </w:p>
    <w:p>
      <w:pPr>
        <w:spacing w:line="114" w:lineRule="exact" w:before="0"/>
        <w:ind w:left="383" w:right="0" w:firstLine="0"/>
        <w:jc w:val="left"/>
        <w:rPr>
          <w:sz w:val="12"/>
        </w:rPr>
      </w:pPr>
      <w:r>
        <w:rPr>
          <w:w w:val="120"/>
          <w:sz w:val="12"/>
        </w:rPr>
        <w:t>1992 93 94 95 96 97 98 99 2000</w:t>
      </w:r>
    </w:p>
    <w:p>
      <w:pPr>
        <w:pStyle w:val="BodyText"/>
        <w:spacing w:line="228" w:lineRule="exact"/>
        <w:ind w:left="313"/>
      </w:pPr>
      <w:r>
        <w:rPr/>
        <w:br w:type="column"/>
      </w:r>
      <w:r>
        <w:rPr>
          <w:w w:val="110"/>
        </w:rPr>
        <w:t>understanding of current and future trends in RPIX inflation.</w:t>
      </w:r>
    </w:p>
    <w:p>
      <w:pPr>
        <w:pStyle w:val="BodyText"/>
        <w:spacing w:before="7"/>
        <w:rPr>
          <w:sz w:val="12"/>
        </w:rPr>
      </w:pPr>
      <w:r>
        <w:rPr/>
        <w:pict>
          <v:shape style="position:absolute;margin-left:279.119995pt;margin-top:9.320912pt;width:277.5pt;height:.1pt;mso-position-horizontal-relative:page;mso-position-vertical-relative:paragraph;z-index:-15123456;mso-wrap-distance-left:0;mso-wrap-distance-right:0" coordorigin="5582,186" coordsize="5550,0" path="m5582,186l11132,186e" filled="false" stroked="true" strokeweight=".125pt" strokecolor="#006cb4">
            <v:path arrowok="t"/>
            <v:stroke dashstyle="solid"/>
            <w10:wrap type="topAndBottom"/>
          </v:shape>
        </w:pict>
      </w:r>
    </w:p>
    <w:p>
      <w:pPr>
        <w:spacing w:before="3"/>
        <w:ind w:left="433" w:right="513" w:hanging="240"/>
        <w:jc w:val="left"/>
        <w:rPr>
          <w:sz w:val="14"/>
        </w:rPr>
      </w:pPr>
      <w:r>
        <w:rPr>
          <w:w w:val="110"/>
          <w:sz w:val="14"/>
        </w:rPr>
        <w:t>(1) Regulatory</w:t>
      </w:r>
      <w:r>
        <w:rPr>
          <w:spacing w:val="-16"/>
          <w:w w:val="110"/>
          <w:sz w:val="14"/>
        </w:rPr>
        <w:t> </w:t>
      </w:r>
      <w:r>
        <w:rPr>
          <w:w w:val="110"/>
          <w:sz w:val="14"/>
        </w:rPr>
        <w:t>agreements</w:t>
      </w:r>
      <w:r>
        <w:rPr>
          <w:spacing w:val="-16"/>
          <w:w w:val="110"/>
          <w:sz w:val="14"/>
        </w:rPr>
        <w:t> </w:t>
      </w:r>
      <w:r>
        <w:rPr>
          <w:w w:val="110"/>
          <w:sz w:val="14"/>
        </w:rPr>
        <w:t>governing</w:t>
      </w:r>
      <w:r>
        <w:rPr>
          <w:spacing w:val="-16"/>
          <w:w w:val="110"/>
          <w:sz w:val="14"/>
        </w:rPr>
        <w:t> </w:t>
      </w:r>
      <w:r>
        <w:rPr>
          <w:w w:val="110"/>
          <w:sz w:val="14"/>
        </w:rPr>
        <w:t>retail</w:t>
      </w:r>
      <w:r>
        <w:rPr>
          <w:spacing w:val="-16"/>
          <w:w w:val="110"/>
          <w:sz w:val="14"/>
        </w:rPr>
        <w:t> </w:t>
      </w:r>
      <w:r>
        <w:rPr>
          <w:w w:val="110"/>
          <w:sz w:val="14"/>
        </w:rPr>
        <w:t>gas</w:t>
      </w:r>
      <w:r>
        <w:rPr>
          <w:spacing w:val="-16"/>
          <w:w w:val="110"/>
          <w:sz w:val="14"/>
        </w:rPr>
        <w:t> </w:t>
      </w:r>
      <w:r>
        <w:rPr>
          <w:w w:val="110"/>
          <w:sz w:val="14"/>
        </w:rPr>
        <w:t>prices</w:t>
      </w:r>
      <w:r>
        <w:rPr>
          <w:spacing w:val="-16"/>
          <w:w w:val="110"/>
          <w:sz w:val="14"/>
        </w:rPr>
        <w:t> </w:t>
      </w:r>
      <w:r>
        <w:rPr>
          <w:w w:val="110"/>
          <w:sz w:val="14"/>
        </w:rPr>
        <w:t>expire</w:t>
      </w:r>
      <w:r>
        <w:rPr>
          <w:spacing w:val="-16"/>
          <w:w w:val="110"/>
          <w:sz w:val="14"/>
        </w:rPr>
        <w:t> </w:t>
      </w:r>
      <w:r>
        <w:rPr>
          <w:w w:val="110"/>
          <w:sz w:val="14"/>
        </w:rPr>
        <w:t>in</w:t>
      </w:r>
      <w:r>
        <w:rPr>
          <w:spacing w:val="-16"/>
          <w:w w:val="110"/>
          <w:sz w:val="14"/>
        </w:rPr>
        <w:t> </w:t>
      </w:r>
      <w:r>
        <w:rPr>
          <w:w w:val="110"/>
          <w:sz w:val="14"/>
        </w:rPr>
        <w:t>April</w:t>
      </w:r>
      <w:r>
        <w:rPr>
          <w:spacing w:val="-16"/>
          <w:w w:val="110"/>
          <w:sz w:val="14"/>
        </w:rPr>
        <w:t> </w:t>
      </w:r>
      <w:r>
        <w:rPr>
          <w:spacing w:val="-6"/>
          <w:w w:val="110"/>
          <w:sz w:val="14"/>
        </w:rPr>
        <w:t>2001,</w:t>
      </w:r>
      <w:r>
        <w:rPr>
          <w:spacing w:val="-16"/>
          <w:w w:val="110"/>
          <w:sz w:val="14"/>
        </w:rPr>
        <w:t> </w:t>
      </w:r>
      <w:r>
        <w:rPr>
          <w:w w:val="110"/>
          <w:sz w:val="14"/>
        </w:rPr>
        <w:t>after which</w:t>
      </w:r>
      <w:r>
        <w:rPr>
          <w:spacing w:val="-19"/>
          <w:w w:val="110"/>
          <w:sz w:val="14"/>
        </w:rPr>
        <w:t> </w:t>
      </w:r>
      <w:r>
        <w:rPr>
          <w:w w:val="110"/>
          <w:sz w:val="14"/>
        </w:rPr>
        <w:t>prices</w:t>
      </w:r>
      <w:r>
        <w:rPr>
          <w:spacing w:val="-18"/>
          <w:w w:val="110"/>
          <w:sz w:val="14"/>
        </w:rPr>
        <w:t> </w:t>
      </w:r>
      <w:r>
        <w:rPr>
          <w:w w:val="110"/>
          <w:sz w:val="14"/>
        </w:rPr>
        <w:t>will</w:t>
      </w:r>
      <w:r>
        <w:rPr>
          <w:spacing w:val="-18"/>
          <w:w w:val="110"/>
          <w:sz w:val="14"/>
        </w:rPr>
        <w:t> </w:t>
      </w:r>
      <w:r>
        <w:rPr>
          <w:w w:val="110"/>
          <w:sz w:val="14"/>
        </w:rPr>
        <w:t>be</w:t>
      </w:r>
      <w:r>
        <w:rPr>
          <w:spacing w:val="-19"/>
          <w:w w:val="110"/>
          <w:sz w:val="14"/>
        </w:rPr>
        <w:t> </w:t>
      </w:r>
      <w:r>
        <w:rPr>
          <w:w w:val="110"/>
          <w:sz w:val="14"/>
        </w:rPr>
        <w:t>determined</w:t>
      </w:r>
      <w:r>
        <w:rPr>
          <w:spacing w:val="-18"/>
          <w:w w:val="110"/>
          <w:sz w:val="14"/>
        </w:rPr>
        <w:t> </w:t>
      </w:r>
      <w:r>
        <w:rPr>
          <w:w w:val="110"/>
          <w:sz w:val="14"/>
        </w:rPr>
        <w:t>by</w:t>
      </w:r>
      <w:r>
        <w:rPr>
          <w:spacing w:val="-18"/>
          <w:w w:val="110"/>
          <w:sz w:val="14"/>
        </w:rPr>
        <w:t> </w:t>
      </w:r>
      <w:r>
        <w:rPr>
          <w:w w:val="110"/>
          <w:sz w:val="14"/>
        </w:rPr>
        <w:t>competition</w:t>
      </w:r>
      <w:r>
        <w:rPr>
          <w:spacing w:val="-18"/>
          <w:w w:val="110"/>
          <w:sz w:val="14"/>
        </w:rPr>
        <w:t> </w:t>
      </w:r>
      <w:r>
        <w:rPr>
          <w:spacing w:val="-3"/>
          <w:w w:val="110"/>
          <w:sz w:val="14"/>
        </w:rPr>
        <w:t>between</w:t>
      </w:r>
      <w:r>
        <w:rPr>
          <w:spacing w:val="-19"/>
          <w:w w:val="110"/>
          <w:sz w:val="14"/>
        </w:rPr>
        <w:t> </w:t>
      </w:r>
      <w:r>
        <w:rPr>
          <w:w w:val="110"/>
          <w:sz w:val="14"/>
        </w:rPr>
        <w:t>suppliers,</w:t>
      </w:r>
      <w:r>
        <w:rPr>
          <w:spacing w:val="-18"/>
          <w:w w:val="110"/>
          <w:sz w:val="14"/>
        </w:rPr>
        <w:t> </w:t>
      </w:r>
      <w:r>
        <w:rPr>
          <w:w w:val="110"/>
          <w:sz w:val="14"/>
        </w:rPr>
        <w:t>mirroring changes</w:t>
      </w:r>
      <w:r>
        <w:rPr>
          <w:spacing w:val="-7"/>
          <w:w w:val="110"/>
          <w:sz w:val="14"/>
        </w:rPr>
        <w:t> </w:t>
      </w:r>
      <w:r>
        <w:rPr>
          <w:w w:val="110"/>
          <w:sz w:val="14"/>
        </w:rPr>
        <w:t>in</w:t>
      </w:r>
      <w:r>
        <w:rPr>
          <w:spacing w:val="-7"/>
          <w:w w:val="110"/>
          <w:sz w:val="14"/>
        </w:rPr>
        <w:t> </w:t>
      </w:r>
      <w:r>
        <w:rPr>
          <w:w w:val="110"/>
          <w:sz w:val="14"/>
        </w:rPr>
        <w:t>the</w:t>
      </w:r>
      <w:r>
        <w:rPr>
          <w:spacing w:val="-7"/>
          <w:w w:val="110"/>
          <w:sz w:val="14"/>
        </w:rPr>
        <w:t> </w:t>
      </w:r>
      <w:r>
        <w:rPr>
          <w:w w:val="110"/>
          <w:sz w:val="14"/>
        </w:rPr>
        <w:t>retail</w:t>
      </w:r>
      <w:r>
        <w:rPr>
          <w:spacing w:val="-7"/>
          <w:w w:val="110"/>
          <w:sz w:val="14"/>
        </w:rPr>
        <w:t> </w:t>
      </w:r>
      <w:r>
        <w:rPr>
          <w:w w:val="110"/>
          <w:sz w:val="14"/>
        </w:rPr>
        <w:t>electricity</w:t>
      </w:r>
      <w:r>
        <w:rPr>
          <w:spacing w:val="-7"/>
          <w:w w:val="110"/>
          <w:sz w:val="14"/>
        </w:rPr>
        <w:t> </w:t>
      </w:r>
      <w:r>
        <w:rPr>
          <w:w w:val="110"/>
          <w:sz w:val="14"/>
        </w:rPr>
        <w:t>market</w:t>
      </w:r>
      <w:r>
        <w:rPr>
          <w:spacing w:val="-7"/>
          <w:w w:val="110"/>
          <w:sz w:val="14"/>
        </w:rPr>
        <w:t> </w:t>
      </w:r>
      <w:r>
        <w:rPr>
          <w:spacing w:val="-3"/>
          <w:w w:val="110"/>
          <w:sz w:val="14"/>
        </w:rPr>
        <w:t>twelve</w:t>
      </w:r>
      <w:r>
        <w:rPr>
          <w:spacing w:val="-7"/>
          <w:w w:val="110"/>
          <w:sz w:val="14"/>
        </w:rPr>
        <w:t> </w:t>
      </w:r>
      <w:r>
        <w:rPr>
          <w:w w:val="110"/>
          <w:sz w:val="14"/>
        </w:rPr>
        <w:t>months</w:t>
      </w:r>
      <w:r>
        <w:rPr>
          <w:spacing w:val="-7"/>
          <w:w w:val="110"/>
          <w:sz w:val="14"/>
        </w:rPr>
        <w:t> </w:t>
      </w:r>
      <w:r>
        <w:rPr>
          <w:w w:val="110"/>
          <w:sz w:val="14"/>
        </w:rPr>
        <w:t>earlier.</w:t>
      </w:r>
    </w:p>
    <w:p>
      <w:pPr>
        <w:spacing w:after="0"/>
        <w:jc w:val="left"/>
        <w:rPr>
          <w:sz w:val="14"/>
        </w:rPr>
        <w:sectPr>
          <w:type w:val="continuous"/>
          <w:pgSz w:w="11900" w:h="16840"/>
          <w:pgMar w:top="1260" w:bottom="280" w:left="640" w:right="640"/>
          <w:cols w:num="2" w:equalWidth="0">
            <w:col w:w="3547" w:space="1240"/>
            <w:col w:w="5833"/>
          </w:cols>
        </w:sectPr>
      </w:pPr>
    </w:p>
    <w:p>
      <w:pPr>
        <w:pStyle w:val="BodyText"/>
      </w:pPr>
    </w:p>
    <w:p>
      <w:pPr>
        <w:spacing w:after="0"/>
        <w:sectPr>
          <w:pgSz w:w="11900" w:h="16840"/>
          <w:pgMar w:header="601" w:footer="575" w:top="800" w:bottom="760" w:left="640" w:right="640"/>
        </w:sectPr>
      </w:pPr>
    </w:p>
    <w:p>
      <w:pPr>
        <w:pStyle w:val="BodyText"/>
        <w:rPr>
          <w:sz w:val="23"/>
        </w:rPr>
      </w:pPr>
    </w:p>
    <w:p>
      <w:pPr>
        <w:pStyle w:val="Heading6"/>
        <w:ind w:left="189"/>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4.15</w:t>
      </w:r>
    </w:p>
    <w:p>
      <w:pPr>
        <w:spacing w:before="8"/>
        <w:ind w:left="189" w:right="0" w:firstLine="0"/>
        <w:jc w:val="left"/>
        <w:rPr>
          <w:rFonts w:ascii="Trebuchet MS"/>
          <w:b/>
          <w:sz w:val="20"/>
        </w:rPr>
      </w:pPr>
      <w:r>
        <w:rPr>
          <w:rFonts w:ascii="Trebuchet MS"/>
          <w:b/>
          <w:color w:val="89C6DC"/>
          <w:sz w:val="20"/>
        </w:rPr>
        <w:t>Expenditure price indices</w:t>
      </w:r>
    </w:p>
    <w:p>
      <w:pPr>
        <w:spacing w:line="121" w:lineRule="exact" w:before="33"/>
        <w:ind w:left="1511" w:right="0" w:firstLine="0"/>
        <w:jc w:val="left"/>
        <w:rPr>
          <w:sz w:val="12"/>
        </w:rPr>
      </w:pPr>
      <w:r>
        <w:rPr>
          <w:w w:val="110"/>
          <w:sz w:val="12"/>
        </w:rPr>
        <w:t>Percentage changes on a year earlier</w:t>
      </w:r>
    </w:p>
    <w:p>
      <w:pPr>
        <w:spacing w:line="121" w:lineRule="exact" w:before="0"/>
        <w:ind w:left="3453" w:right="0" w:firstLine="0"/>
        <w:jc w:val="left"/>
        <w:rPr>
          <w:sz w:val="12"/>
        </w:rPr>
      </w:pPr>
      <w:r>
        <w:rPr/>
        <w:pict>
          <v:group style="position:absolute;margin-left:49.384998pt;margin-top:8.723054pt;width:152.8pt;height:116.4pt;mso-position-horizontal-relative:page;mso-position-vertical-relative:paragraph;z-index:16348672" coordorigin="988,174" coordsize="3056,2328">
            <v:shape style="position:absolute;left:997;top:287;width:765;height:1145" coordorigin="998,287" coordsize="765,1145" path="m998,797l1098,342m1098,342l1185,357m1185,357l1285,287m1285,287l1385,1087m1385,1087l1475,1417m1475,1417l1575,1347m1575,1347l1675,1432m1675,1432l1763,757e" filled="false" stroked="true" strokeweight="1pt" strokecolor="#de8508">
              <v:path arrowok="t"/>
              <v:stroke dashstyle="solid"/>
            </v:shape>
            <v:shape style="position:absolute;left:1752;top:552;width:798;height:353" type="#_x0000_t75" stroked="false">
              <v:imagedata r:id="rId155" o:title=""/>
            </v:shape>
            <v:shape style="position:absolute;left:2540;top:879;width:1243;height:1598" coordorigin="2540,880" coordsize="1243,1598" path="m2540,895l2628,1320m2628,1320l2728,1197m2728,1197l2828,1210m2828,1210l2918,1362m2918,1362l3015,880m3015,880l3115,1237m3115,1237l3205,1252m3205,1252l3305,1597m3305,1597l3405,1665m3405,1665l3493,1940m3493,1940l3593,1885m3593,1885l3693,2202m3693,2202l3783,2477e" filled="false" stroked="true" strokeweight="1pt" strokecolor="#de8508">
              <v:path arrowok="t"/>
              <v:stroke dashstyle="solid"/>
            </v:shape>
            <v:line style="position:absolute" from="3773,2478" to="3893,2478" stroked="true" strokeweight="1.125pt" strokecolor="#de8508">
              <v:stroke dashstyle="solid"/>
            </v:line>
            <v:shape style="position:absolute;left:997;top:342;width:2885;height:2150" coordorigin="998,342" coordsize="2885,2150" path="m998,1072l1098,1472m1098,1472l1185,700m1185,700l1285,632m1285,632l1385,1347m1385,1347l1475,1735m1475,1735l1575,2492m1575,2492l1675,1817m1675,1817l1763,1597m1763,1597l1863,1087m1863,1087l1963,715m1963,715l2053,1032m2053,1032l2150,605m2150,605l2250,617m2250,617l2340,342m2340,342l2440,727m2440,727l2540,757m2540,757l2628,1045m2628,1045l2728,1197m2728,1197l2828,440m2828,440l2918,950m2918,950l3015,617m3015,617l3115,495m3115,495l3205,990m3205,990l3305,1405m3305,1405l3405,1155m3405,1155l3493,1362m3493,1362l3593,1182m3593,1182l3693,1170m3693,1170l3783,1900m3783,1900l3883,1775e" filled="false" stroked="true" strokeweight="1pt" strokecolor="#008360">
              <v:path arrowok="t"/>
              <v:stroke dashstyle="solid"/>
            </v:shape>
            <v:shape style="position:absolute;left:3956;top:417;width:87;height:1802" coordorigin="3957,417" coordsize="87,1802" path="m3957,417l4044,417m3957,777l4044,777m3957,1138l4044,1138m3957,1498l4044,1498m3957,1858l4044,1858m3957,2219l4044,2219e" filled="false" stroked="true" strokeweight=".5pt" strokecolor="#000000">
              <v:path arrowok="t"/>
              <v:stroke dashstyle="solid"/>
            </v:shape>
            <v:shape style="position:absolute;left:1282;top:174;width:1199;height:241" type="#_x0000_t202" filled="false" stroked="false">
              <v:textbox inset="0,0,0,0">
                <w:txbxContent>
                  <w:p>
                    <w:pPr>
                      <w:spacing w:line="208" w:lineRule="auto" w:before="0"/>
                      <w:ind w:left="60" w:right="0" w:hanging="61"/>
                      <w:jc w:val="left"/>
                      <w:rPr>
                        <w:sz w:val="12"/>
                      </w:rPr>
                    </w:pPr>
                    <w:r>
                      <w:rPr>
                        <w:w w:val="105"/>
                        <w:sz w:val="12"/>
                      </w:rPr>
                      <w:t>Consumer expenditure </w:t>
                    </w:r>
                    <w:r>
                      <w:rPr>
                        <w:w w:val="110"/>
                        <w:sz w:val="12"/>
                      </w:rPr>
                      <w:t>deflator</w:t>
                    </w:r>
                  </w:p>
                </w:txbxContent>
              </v:textbox>
              <w10:wrap type="none"/>
            </v:shape>
            <v:shape style="position:absolute;left:1668;top:2024;width:698;height:121" type="#_x0000_t202" filled="false" stroked="false">
              <v:textbox inset="0,0,0,0">
                <w:txbxContent>
                  <w:p>
                    <w:pPr>
                      <w:spacing w:line="116" w:lineRule="exact" w:before="0"/>
                      <w:ind w:left="0" w:right="0" w:firstLine="0"/>
                      <w:jc w:val="left"/>
                      <w:rPr>
                        <w:sz w:val="12"/>
                      </w:rPr>
                    </w:pPr>
                    <w:r>
                      <w:rPr>
                        <w:w w:val="105"/>
                        <w:sz w:val="12"/>
                      </w:rPr>
                      <w:t>GDP deflator</w:t>
                    </w:r>
                  </w:p>
                </w:txbxContent>
              </v:textbox>
              <w10:wrap type="none"/>
            </v:shape>
            <w10:wrap type="none"/>
          </v:group>
        </w:pict>
      </w:r>
      <w:r>
        <w:rPr/>
        <w:pict>
          <v:line style="position:absolute;mso-position-horizontal-relative:page;mso-position-vertical-relative:paragraph;z-index:16352768" from="41.125999pt,2.610935pt" to="45.458999pt,2.610935pt" stroked="true" strokeweight=".5pt" strokecolor="#000000">
            <v:stroke dashstyle="solid"/>
            <w10:wrap type="none"/>
          </v:line>
        </w:pict>
      </w:r>
      <w:r>
        <w:rPr/>
        <w:pict>
          <v:line style="position:absolute;mso-position-horizontal-relative:page;mso-position-vertical-relative:paragraph;z-index:16354304" from="197.843994pt,2.841935pt" to="202.175994pt,2.841935pt" stroked="true" strokeweight=".5pt" strokecolor="#000000">
            <v:stroke dashstyle="solid"/>
            <w10:wrap type="none"/>
          </v:line>
        </w:pict>
      </w:r>
      <w:r>
        <w:rPr>
          <w:w w:val="115"/>
          <w:sz w:val="12"/>
        </w:rPr>
        <w:t>4.0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349184" from="41.125999pt,7.692536pt" to="45.458999pt,7.692536pt" stroked="true" strokeweight=".5pt" strokecolor="#000000">
            <v:stroke dashstyle="solid"/>
            <w10:wrap type="none"/>
          </v:line>
        </w:pict>
      </w:r>
      <w:r>
        <w:rPr>
          <w:spacing w:val="-1"/>
          <w:w w:val="115"/>
          <w:sz w:val="12"/>
        </w:rPr>
        <w:t>3.5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349696" from="41.125999pt,7.707536pt" to="45.458999pt,7.707536pt" stroked="true" strokeweight=".5pt" strokecolor="#000000">
            <v:stroke dashstyle="solid"/>
            <w10:wrap type="none"/>
          </v:line>
        </w:pict>
      </w:r>
      <w:r>
        <w:rPr>
          <w:spacing w:val="-1"/>
          <w:w w:val="115"/>
          <w:sz w:val="12"/>
        </w:rPr>
        <w:t>3.0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350208" from="41.125999pt,7.723536pt" to="45.458999pt,7.723536pt" stroked="true" strokeweight=".5pt" strokecolor="#000000">
            <v:stroke dashstyle="solid"/>
            <w10:wrap type="none"/>
          </v:line>
        </w:pict>
      </w:r>
      <w:r>
        <w:rPr>
          <w:spacing w:val="-1"/>
          <w:w w:val="115"/>
          <w:sz w:val="12"/>
        </w:rPr>
        <w:t>2.5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350720" from="41.125999pt,7.739536pt" to="45.458999pt,7.739536pt" stroked="true" strokeweight=".5pt" strokecolor="#000000">
            <v:stroke dashstyle="solid"/>
            <w10:wrap type="none"/>
          </v:line>
        </w:pict>
      </w:r>
      <w:r>
        <w:rPr>
          <w:spacing w:val="-1"/>
          <w:w w:val="115"/>
          <w:sz w:val="12"/>
        </w:rPr>
        <w:t>2.0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351232" from="41.125999pt,7.754536pt" to="45.458999pt,7.754536pt" stroked="true" strokeweight=".5pt" strokecolor="#000000">
            <v:stroke dashstyle="solid"/>
            <w10:wrap type="none"/>
          </v:line>
        </w:pict>
      </w:r>
      <w:r>
        <w:rPr>
          <w:spacing w:val="-1"/>
          <w:w w:val="115"/>
          <w:sz w:val="12"/>
        </w:rPr>
        <w:t>1.5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351744" from="41.125999pt,7.770535pt" to="45.458999pt,7.770535pt" stroked="true" strokeweight=".5pt" strokecolor="#000000">
            <v:stroke dashstyle="solid"/>
            <w10:wrap type="none"/>
          </v:line>
        </w:pict>
      </w:r>
      <w:r>
        <w:rPr>
          <w:spacing w:val="-1"/>
          <w:w w:val="115"/>
          <w:sz w:val="12"/>
        </w:rPr>
        <w:t>1.0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352256" from="41.125999pt,7.785536pt" to="45.458999pt,7.785536pt" stroked="true" strokeweight=".5pt" strokecolor="#000000">
            <v:stroke dashstyle="solid"/>
            <w10:wrap type="none"/>
          </v:line>
        </w:pict>
      </w:r>
      <w:r>
        <w:rPr/>
        <w:pict>
          <v:line style="position:absolute;mso-position-horizontal-relative:page;mso-position-vertical-relative:paragraph;z-index:16353280" from="197.843994pt,8.016536pt" to="202.175994pt,8.016536pt" stroked="true" strokeweight=".5pt" strokecolor="#000000">
            <v:stroke dashstyle="solid"/>
            <w10:wrap type="none"/>
          </v:line>
        </w:pict>
      </w:r>
      <w:r>
        <w:rPr>
          <w:spacing w:val="-1"/>
          <w:w w:val="115"/>
          <w:sz w:val="12"/>
        </w:rPr>
        <w:t>0.5</w:t>
      </w:r>
    </w:p>
    <w:p>
      <w:pPr>
        <w:pStyle w:val="BodyText"/>
        <w:spacing w:before="3"/>
        <w:rPr>
          <w:sz w:val="21"/>
        </w:rPr>
      </w:pPr>
      <w:r>
        <w:rPr/>
        <w:br w:type="column"/>
      </w:r>
      <w:r>
        <w:rPr>
          <w:sz w:val="21"/>
        </w:rPr>
      </w:r>
    </w:p>
    <w:p>
      <w:pPr>
        <w:pStyle w:val="BodyText"/>
        <w:spacing w:line="292" w:lineRule="auto" w:before="1"/>
        <w:ind w:left="189" w:right="120"/>
      </w:pPr>
      <w:r>
        <w:rPr>
          <w:w w:val="110"/>
        </w:rPr>
        <w:t>Such developments </w:t>
      </w:r>
      <w:r>
        <w:rPr>
          <w:spacing w:val="-3"/>
          <w:w w:val="110"/>
        </w:rPr>
        <w:t>may </w:t>
      </w:r>
      <w:r>
        <w:rPr>
          <w:w w:val="110"/>
        </w:rPr>
        <w:t>also provide indications of potential imbalances in the </w:t>
      </w:r>
      <w:r>
        <w:rPr>
          <w:spacing w:val="-4"/>
          <w:w w:val="110"/>
        </w:rPr>
        <w:t>economy. </w:t>
      </w:r>
      <w:r>
        <w:rPr>
          <w:w w:val="110"/>
        </w:rPr>
        <w:t>The </w:t>
      </w:r>
      <w:r>
        <w:rPr>
          <w:spacing w:val="-3"/>
          <w:w w:val="110"/>
        </w:rPr>
        <w:t>deflators </w:t>
      </w:r>
      <w:r>
        <w:rPr>
          <w:w w:val="110"/>
        </w:rPr>
        <w:t>for GDP and its expenditure</w:t>
      </w:r>
      <w:r>
        <w:rPr>
          <w:spacing w:val="-25"/>
          <w:w w:val="110"/>
        </w:rPr>
        <w:t> </w:t>
      </w:r>
      <w:r>
        <w:rPr>
          <w:w w:val="110"/>
        </w:rPr>
        <w:t>components—calculated</w:t>
      </w:r>
      <w:r>
        <w:rPr>
          <w:spacing w:val="-25"/>
          <w:w w:val="110"/>
        </w:rPr>
        <w:t> </w:t>
      </w:r>
      <w:r>
        <w:rPr>
          <w:spacing w:val="-3"/>
          <w:w w:val="110"/>
        </w:rPr>
        <w:t>by</w:t>
      </w:r>
      <w:r>
        <w:rPr>
          <w:spacing w:val="-25"/>
          <w:w w:val="110"/>
        </w:rPr>
        <w:t> </w:t>
      </w:r>
      <w:r>
        <w:rPr>
          <w:w w:val="110"/>
        </w:rPr>
        <w:t>comparing</w:t>
      </w:r>
      <w:r>
        <w:rPr>
          <w:spacing w:val="-24"/>
          <w:w w:val="110"/>
        </w:rPr>
        <w:t> </w:t>
      </w:r>
      <w:r>
        <w:rPr>
          <w:w w:val="110"/>
        </w:rPr>
        <w:t>estimates of nominal and real spending—are indicators of such inflationary</w:t>
      </w:r>
      <w:r>
        <w:rPr>
          <w:spacing w:val="-20"/>
          <w:w w:val="110"/>
        </w:rPr>
        <w:t> </w:t>
      </w:r>
      <w:r>
        <w:rPr>
          <w:spacing w:val="-3"/>
          <w:w w:val="110"/>
        </w:rPr>
        <w:t>pressures.</w:t>
      </w:r>
      <w:r>
        <w:rPr>
          <w:spacing w:val="18"/>
          <w:w w:val="110"/>
        </w:rPr>
        <w:t> </w:t>
      </w:r>
      <w:r>
        <w:rPr>
          <w:w w:val="110"/>
        </w:rPr>
        <w:t>The</w:t>
      </w:r>
      <w:r>
        <w:rPr>
          <w:spacing w:val="-19"/>
          <w:w w:val="110"/>
        </w:rPr>
        <w:t> </w:t>
      </w:r>
      <w:r>
        <w:rPr>
          <w:spacing w:val="-4"/>
          <w:w w:val="110"/>
        </w:rPr>
        <w:t>rate</w:t>
      </w:r>
      <w:r>
        <w:rPr>
          <w:spacing w:val="-19"/>
          <w:w w:val="110"/>
        </w:rPr>
        <w:t> </w:t>
      </w:r>
      <w:r>
        <w:rPr>
          <w:w w:val="110"/>
        </w:rPr>
        <w:t>of</w:t>
      </w:r>
      <w:r>
        <w:rPr>
          <w:spacing w:val="-19"/>
          <w:w w:val="110"/>
        </w:rPr>
        <w:t> </w:t>
      </w:r>
      <w:r>
        <w:rPr>
          <w:w w:val="110"/>
        </w:rPr>
        <w:t>increase</w:t>
      </w:r>
      <w:r>
        <w:rPr>
          <w:spacing w:val="-19"/>
          <w:w w:val="110"/>
        </w:rPr>
        <w:t> </w:t>
      </w:r>
      <w:r>
        <w:rPr>
          <w:w w:val="110"/>
        </w:rPr>
        <w:t>of</w:t>
      </w:r>
      <w:r>
        <w:rPr>
          <w:spacing w:val="-19"/>
          <w:w w:val="110"/>
        </w:rPr>
        <w:t> </w:t>
      </w:r>
      <w:r>
        <w:rPr>
          <w:w w:val="110"/>
        </w:rPr>
        <w:t>the</w:t>
      </w:r>
      <w:r>
        <w:rPr>
          <w:spacing w:val="-19"/>
          <w:w w:val="110"/>
        </w:rPr>
        <w:t> </w:t>
      </w:r>
      <w:r>
        <w:rPr>
          <w:w w:val="110"/>
        </w:rPr>
        <w:t>GDP</w:t>
      </w:r>
      <w:r>
        <w:rPr>
          <w:spacing w:val="-19"/>
          <w:w w:val="110"/>
        </w:rPr>
        <w:t> </w:t>
      </w:r>
      <w:r>
        <w:rPr>
          <w:w w:val="110"/>
        </w:rPr>
        <w:t>deflator has declined sharply </w:t>
      </w:r>
      <w:r>
        <w:rPr>
          <w:spacing w:val="-3"/>
          <w:w w:val="110"/>
        </w:rPr>
        <w:t>over </w:t>
      </w:r>
      <w:r>
        <w:rPr>
          <w:w w:val="110"/>
        </w:rPr>
        <w:t>the past </w:t>
      </w:r>
      <w:r>
        <w:rPr>
          <w:spacing w:val="-5"/>
          <w:w w:val="110"/>
        </w:rPr>
        <w:t>two </w:t>
      </w:r>
      <w:r>
        <w:rPr>
          <w:spacing w:val="-3"/>
          <w:w w:val="110"/>
        </w:rPr>
        <w:t>years </w:t>
      </w:r>
      <w:r>
        <w:rPr>
          <w:w w:val="110"/>
        </w:rPr>
        <w:t>(see Chart </w:t>
      </w:r>
      <w:r>
        <w:rPr>
          <w:spacing w:val="-7"/>
          <w:w w:val="110"/>
        </w:rPr>
        <w:t>4.15), </w:t>
      </w:r>
      <w:r>
        <w:rPr>
          <w:w w:val="110"/>
        </w:rPr>
        <w:t>and</w:t>
      </w:r>
      <w:r>
        <w:rPr>
          <w:spacing w:val="-13"/>
          <w:w w:val="110"/>
        </w:rPr>
        <w:t> </w:t>
      </w:r>
      <w:r>
        <w:rPr>
          <w:w w:val="110"/>
        </w:rPr>
        <w:t>the</w:t>
      </w:r>
      <w:r>
        <w:rPr>
          <w:spacing w:val="-13"/>
          <w:w w:val="110"/>
        </w:rPr>
        <w:t> </w:t>
      </w:r>
      <w:r>
        <w:rPr>
          <w:w w:val="110"/>
        </w:rPr>
        <w:t>Q3</w:t>
      </w:r>
      <w:r>
        <w:rPr>
          <w:spacing w:val="-12"/>
          <w:w w:val="110"/>
        </w:rPr>
        <w:t> </w:t>
      </w:r>
      <w:r>
        <w:rPr>
          <w:w w:val="110"/>
        </w:rPr>
        <w:t>outturn</w:t>
      </w:r>
      <w:r>
        <w:rPr>
          <w:spacing w:val="-13"/>
          <w:w w:val="110"/>
        </w:rPr>
        <w:t> </w:t>
      </w:r>
      <w:r>
        <w:rPr>
          <w:spacing w:val="-3"/>
          <w:w w:val="110"/>
        </w:rPr>
        <w:t>was</w:t>
      </w:r>
      <w:r>
        <w:rPr>
          <w:spacing w:val="-12"/>
          <w:w w:val="110"/>
        </w:rPr>
        <w:t> </w:t>
      </w:r>
      <w:r>
        <w:rPr>
          <w:spacing w:val="-3"/>
          <w:w w:val="110"/>
        </w:rPr>
        <w:t>lower</w:t>
      </w:r>
      <w:r>
        <w:rPr>
          <w:spacing w:val="-13"/>
          <w:w w:val="110"/>
        </w:rPr>
        <w:t> </w:t>
      </w:r>
      <w:r>
        <w:rPr>
          <w:w w:val="110"/>
        </w:rPr>
        <w:t>than</w:t>
      </w:r>
      <w:r>
        <w:rPr>
          <w:spacing w:val="-12"/>
          <w:w w:val="110"/>
        </w:rPr>
        <w:t> </w:t>
      </w:r>
      <w:r>
        <w:rPr>
          <w:spacing w:val="-3"/>
          <w:w w:val="110"/>
        </w:rPr>
        <w:t>expected.</w:t>
      </w:r>
      <w:r>
        <w:rPr>
          <w:spacing w:val="30"/>
          <w:w w:val="110"/>
        </w:rPr>
        <w:t> </w:t>
      </w:r>
      <w:r>
        <w:rPr>
          <w:w w:val="110"/>
        </w:rPr>
        <w:t>This</w:t>
      </w:r>
      <w:r>
        <w:rPr>
          <w:spacing w:val="-12"/>
          <w:w w:val="110"/>
        </w:rPr>
        <w:t> </w:t>
      </w:r>
      <w:r>
        <w:rPr>
          <w:w w:val="110"/>
        </w:rPr>
        <w:t>steep</w:t>
      </w:r>
      <w:r>
        <w:rPr>
          <w:spacing w:val="-13"/>
          <w:w w:val="110"/>
        </w:rPr>
        <w:t> </w:t>
      </w:r>
      <w:r>
        <w:rPr>
          <w:w w:val="110"/>
        </w:rPr>
        <w:t>fall</w:t>
      </w:r>
      <w:r>
        <w:rPr>
          <w:spacing w:val="-12"/>
          <w:w w:val="110"/>
        </w:rPr>
        <w:t> </w:t>
      </w:r>
      <w:r>
        <w:rPr>
          <w:w w:val="110"/>
        </w:rPr>
        <w:t>in whole-economy inflationary </w:t>
      </w:r>
      <w:r>
        <w:rPr>
          <w:spacing w:val="-3"/>
          <w:w w:val="110"/>
        </w:rPr>
        <w:t>pressures </w:t>
      </w:r>
      <w:r>
        <w:rPr>
          <w:w w:val="110"/>
        </w:rPr>
        <w:t>mainly </w:t>
      </w:r>
      <w:r>
        <w:rPr>
          <w:spacing w:val="-3"/>
          <w:w w:val="110"/>
        </w:rPr>
        <w:t>reflected </w:t>
      </w:r>
      <w:r>
        <w:rPr>
          <w:w w:val="110"/>
        </w:rPr>
        <w:t>movements</w:t>
      </w:r>
      <w:r>
        <w:rPr>
          <w:spacing w:val="-17"/>
          <w:w w:val="110"/>
        </w:rPr>
        <w:t> </w:t>
      </w:r>
      <w:r>
        <w:rPr>
          <w:w w:val="110"/>
        </w:rPr>
        <w:t>in</w:t>
      </w:r>
      <w:r>
        <w:rPr>
          <w:spacing w:val="-17"/>
          <w:w w:val="110"/>
        </w:rPr>
        <w:t> </w:t>
      </w:r>
      <w:r>
        <w:rPr>
          <w:w w:val="110"/>
        </w:rPr>
        <w:t>the</w:t>
      </w:r>
      <w:r>
        <w:rPr>
          <w:spacing w:val="-17"/>
          <w:w w:val="110"/>
        </w:rPr>
        <w:t> </w:t>
      </w:r>
      <w:r>
        <w:rPr>
          <w:w w:val="110"/>
        </w:rPr>
        <w:t>deflator</w:t>
      </w:r>
      <w:r>
        <w:rPr>
          <w:spacing w:val="-16"/>
          <w:w w:val="110"/>
        </w:rPr>
        <w:t> </w:t>
      </w:r>
      <w:r>
        <w:rPr>
          <w:w w:val="110"/>
        </w:rPr>
        <w:t>for</w:t>
      </w:r>
      <w:r>
        <w:rPr>
          <w:spacing w:val="-17"/>
          <w:w w:val="110"/>
        </w:rPr>
        <w:t> </w:t>
      </w:r>
      <w:r>
        <w:rPr>
          <w:w w:val="110"/>
        </w:rPr>
        <w:t>consumer</w:t>
      </w:r>
      <w:r>
        <w:rPr>
          <w:spacing w:val="-17"/>
          <w:w w:val="110"/>
        </w:rPr>
        <w:t> </w:t>
      </w:r>
      <w:r>
        <w:rPr>
          <w:w w:val="110"/>
        </w:rPr>
        <w:t>expenditure</w:t>
      </w:r>
      <w:r>
        <w:rPr>
          <w:spacing w:val="-16"/>
          <w:w w:val="110"/>
        </w:rPr>
        <w:t> </w:t>
      </w:r>
      <w:r>
        <w:rPr>
          <w:w w:val="110"/>
        </w:rPr>
        <w:t>(a</w:t>
      </w:r>
      <w:r>
        <w:rPr>
          <w:spacing w:val="-17"/>
          <w:w w:val="110"/>
        </w:rPr>
        <w:t> </w:t>
      </w:r>
      <w:r>
        <w:rPr>
          <w:w w:val="110"/>
        </w:rPr>
        <w:t>wider measure of household spending than retail sales). Indeed, the 0.6% annual rise of the consumer expenditure deflator in Q3 </w:t>
      </w:r>
      <w:r>
        <w:rPr>
          <w:spacing w:val="-3"/>
          <w:w w:val="110"/>
        </w:rPr>
        <w:t>was </w:t>
      </w:r>
      <w:r>
        <w:rPr>
          <w:w w:val="110"/>
        </w:rPr>
        <w:t>the </w:t>
      </w:r>
      <w:r>
        <w:rPr>
          <w:spacing w:val="-3"/>
          <w:w w:val="110"/>
        </w:rPr>
        <w:t>lowest </w:t>
      </w:r>
      <w:r>
        <w:rPr>
          <w:w w:val="110"/>
        </w:rPr>
        <w:t>for more than </w:t>
      </w:r>
      <w:r>
        <w:rPr>
          <w:spacing w:val="-6"/>
          <w:w w:val="110"/>
        </w:rPr>
        <w:t>40</w:t>
      </w:r>
      <w:r>
        <w:rPr>
          <w:spacing w:val="-40"/>
          <w:w w:val="110"/>
        </w:rPr>
        <w:t> </w:t>
      </w:r>
      <w:r>
        <w:rPr>
          <w:spacing w:val="-3"/>
          <w:w w:val="110"/>
        </w:rPr>
        <w:t>years.</w:t>
      </w:r>
    </w:p>
    <w:p>
      <w:pPr>
        <w:spacing w:after="0" w:line="292" w:lineRule="auto"/>
        <w:sectPr>
          <w:type w:val="continuous"/>
          <w:pgSz w:w="11900" w:h="16840"/>
          <w:pgMar w:top="1260" w:bottom="280" w:left="640" w:right="640"/>
          <w:cols w:num="2" w:equalWidth="0">
            <w:col w:w="3666" w:space="1244"/>
            <w:col w:w="5710"/>
          </w:cols>
        </w:sectPr>
      </w:pPr>
    </w:p>
    <w:p>
      <w:pPr>
        <w:pStyle w:val="BodyText"/>
        <w:spacing w:before="7"/>
        <w:rPr>
          <w:sz w:val="12"/>
        </w:rPr>
      </w:pPr>
    </w:p>
    <w:p>
      <w:pPr>
        <w:spacing w:line="77" w:lineRule="exact"/>
        <w:ind w:left="177" w:right="0" w:firstLine="0"/>
        <w:rPr>
          <w:sz w:val="7"/>
        </w:rPr>
      </w:pPr>
      <w:r>
        <w:rPr>
          <w:position w:val="0"/>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position w:val="0"/>
          <w:sz w:val="2"/>
        </w:rPr>
      </w:r>
      <w:r>
        <w:rPr>
          <w:spacing w:val="42"/>
          <w:position w:val="0"/>
          <w:sz w:val="7"/>
        </w:rPr>
        <w:t> </w:t>
      </w:r>
      <w:r>
        <w:rPr>
          <w:spacing w:val="42"/>
          <w:position w:val="-1"/>
          <w:sz w:val="7"/>
        </w:rPr>
        <w:pict>
          <v:group style="width:144.75pt;height:3.65pt;mso-position-horizontal-relative:char;mso-position-vertical-relative:line" coordorigin="0,0" coordsize="2895,73">
            <v:shape style="position:absolute;left:5;top:0;width:2890;height:68" coordorigin="5,0" coordsize="2890,68" path="m8,67l2894,67m5,0l5,67m390,0l390,67m775,0l775,67m1160,0l1160,67m1545,0l1545,67m1930,0l1930,67m2315,0l2315,67m2700,0l2700,67e" filled="false" stroked="true" strokeweight=".5pt" strokecolor="#000000">
              <v:path arrowok="t"/>
              <v:stroke dashstyle="solid"/>
            </v:shape>
          </v:group>
        </w:pict>
      </w:r>
      <w:r>
        <w:rPr>
          <w:spacing w:val="42"/>
          <w:position w:val="-1"/>
          <w:sz w:val="7"/>
        </w:rPr>
      </w:r>
    </w:p>
    <w:p>
      <w:pPr>
        <w:tabs>
          <w:tab w:pos="1233" w:val="left" w:leader="none"/>
          <w:tab w:pos="1620" w:val="left" w:leader="none"/>
          <w:tab w:pos="2008" w:val="left" w:leader="none"/>
          <w:tab w:pos="2385" w:val="left" w:leader="none"/>
          <w:tab w:pos="2773" w:val="left" w:leader="none"/>
        </w:tabs>
        <w:spacing w:before="18"/>
        <w:ind w:left="401" w:right="0" w:firstLine="0"/>
        <w:jc w:val="left"/>
        <w:rPr>
          <w:sz w:val="12"/>
        </w:rPr>
      </w:pPr>
      <w:r>
        <w:rPr/>
        <w:pict>
          <v:line style="position:absolute;mso-position-horizontal-relative:page;mso-position-vertical-relative:paragraph;z-index:16353792" from="197.843994pt,-.268159pt" to="202.175994pt,-.268159pt" stroked="true" strokeweight=".5pt" strokecolor="#000000">
            <v:stroke dashstyle="solid"/>
            <w10:wrap type="none"/>
          </v:line>
        </w:pict>
      </w:r>
      <w:r>
        <w:rPr>
          <w:w w:val="120"/>
          <w:sz w:val="12"/>
        </w:rPr>
        <w:t>1993   </w:t>
      </w:r>
      <w:r>
        <w:rPr>
          <w:spacing w:val="22"/>
          <w:w w:val="120"/>
          <w:sz w:val="12"/>
        </w:rPr>
        <w:t> </w:t>
      </w:r>
      <w:r>
        <w:rPr>
          <w:w w:val="120"/>
          <w:sz w:val="12"/>
        </w:rPr>
        <w:t>94</w:t>
        <w:tab/>
        <w:t>95</w:t>
        <w:tab/>
        <w:t>96</w:t>
        <w:tab/>
        <w:t>97</w:t>
        <w:tab/>
        <w:t>98</w:t>
        <w:tab/>
        <w:t>99</w:t>
      </w:r>
      <w:r>
        <w:rPr>
          <w:spacing w:val="23"/>
          <w:w w:val="120"/>
          <w:sz w:val="12"/>
        </w:rPr>
        <w:t> </w:t>
      </w:r>
      <w:r>
        <w:rPr>
          <w:spacing w:val="-5"/>
          <w:w w:val="120"/>
          <w:sz w:val="12"/>
        </w:rPr>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103"/>
        <w:ind w:left="198"/>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4.16</w:t>
      </w:r>
    </w:p>
    <w:p>
      <w:pPr>
        <w:pStyle w:val="BodyText"/>
        <w:spacing w:before="1"/>
        <w:rPr>
          <w:rFonts w:ascii="Trebuchet MS"/>
          <w:b/>
          <w:sz w:val="12"/>
        </w:rPr>
      </w:pPr>
      <w:r>
        <w:rPr/>
        <w:br w:type="column"/>
      </w:r>
      <w:r>
        <w:rPr>
          <w:rFonts w:ascii="Trebuchet MS"/>
          <w:b/>
          <w:sz w:val="12"/>
        </w:rPr>
      </w:r>
    </w:p>
    <w:p>
      <w:pPr>
        <w:spacing w:before="1"/>
        <w:ind w:left="41" w:right="0" w:firstLine="0"/>
        <w:jc w:val="left"/>
        <w:rPr>
          <w:sz w:val="12"/>
        </w:rPr>
      </w:pPr>
      <w:r>
        <w:rPr>
          <w:w w:val="115"/>
          <w:sz w:val="12"/>
        </w:rPr>
        <w:t>0.0</w:t>
      </w:r>
    </w:p>
    <w:p>
      <w:pPr>
        <w:pStyle w:val="BodyText"/>
        <w:spacing w:before="8"/>
        <w:rPr>
          <w:sz w:val="23"/>
        </w:rPr>
      </w:pPr>
      <w:r>
        <w:rPr/>
        <w:br w:type="column"/>
      </w:r>
      <w:r>
        <w:rPr>
          <w:sz w:val="23"/>
        </w:rPr>
      </w:r>
    </w:p>
    <w:p>
      <w:pPr>
        <w:pStyle w:val="BodyText"/>
        <w:spacing w:line="292" w:lineRule="auto"/>
        <w:ind w:left="198" w:right="129"/>
      </w:pPr>
      <w:r>
        <w:rPr>
          <w:w w:val="110"/>
        </w:rPr>
        <w:t>The</w:t>
      </w:r>
      <w:r>
        <w:rPr>
          <w:spacing w:val="-17"/>
          <w:w w:val="110"/>
        </w:rPr>
        <w:t> </w:t>
      </w:r>
      <w:r>
        <w:rPr>
          <w:spacing w:val="-3"/>
          <w:w w:val="110"/>
        </w:rPr>
        <w:t>level</w:t>
      </w:r>
      <w:r>
        <w:rPr>
          <w:spacing w:val="-16"/>
          <w:w w:val="110"/>
        </w:rPr>
        <w:t> </w:t>
      </w:r>
      <w:r>
        <w:rPr>
          <w:w w:val="110"/>
        </w:rPr>
        <w:t>and</w:t>
      </w:r>
      <w:r>
        <w:rPr>
          <w:spacing w:val="-17"/>
          <w:w w:val="110"/>
        </w:rPr>
        <w:t> </w:t>
      </w:r>
      <w:r>
        <w:rPr>
          <w:spacing w:val="-4"/>
          <w:w w:val="110"/>
        </w:rPr>
        <w:t>rate</w:t>
      </w:r>
      <w:r>
        <w:rPr>
          <w:spacing w:val="-16"/>
          <w:w w:val="110"/>
        </w:rPr>
        <w:t> </w:t>
      </w:r>
      <w:r>
        <w:rPr>
          <w:w w:val="110"/>
        </w:rPr>
        <w:t>of</w:t>
      </w:r>
      <w:r>
        <w:rPr>
          <w:spacing w:val="-17"/>
          <w:w w:val="110"/>
        </w:rPr>
        <w:t> </w:t>
      </w:r>
      <w:r>
        <w:rPr>
          <w:w w:val="110"/>
        </w:rPr>
        <w:t>increase</w:t>
      </w:r>
      <w:r>
        <w:rPr>
          <w:spacing w:val="-16"/>
          <w:w w:val="110"/>
        </w:rPr>
        <w:t> </w:t>
      </w:r>
      <w:r>
        <w:rPr>
          <w:w w:val="110"/>
        </w:rPr>
        <w:t>of</w:t>
      </w:r>
      <w:r>
        <w:rPr>
          <w:spacing w:val="-17"/>
          <w:w w:val="110"/>
        </w:rPr>
        <w:t> </w:t>
      </w:r>
      <w:r>
        <w:rPr>
          <w:w w:val="110"/>
        </w:rPr>
        <w:t>the</w:t>
      </w:r>
      <w:r>
        <w:rPr>
          <w:spacing w:val="-16"/>
          <w:w w:val="110"/>
        </w:rPr>
        <w:t> </w:t>
      </w:r>
      <w:r>
        <w:rPr>
          <w:w w:val="110"/>
        </w:rPr>
        <w:t>GDP</w:t>
      </w:r>
      <w:r>
        <w:rPr>
          <w:spacing w:val="-17"/>
          <w:w w:val="110"/>
        </w:rPr>
        <w:t> </w:t>
      </w:r>
      <w:r>
        <w:rPr>
          <w:w w:val="110"/>
        </w:rPr>
        <w:t>deflator</w:t>
      </w:r>
      <w:r>
        <w:rPr>
          <w:spacing w:val="-16"/>
          <w:w w:val="110"/>
        </w:rPr>
        <w:t> </w:t>
      </w:r>
      <w:r>
        <w:rPr>
          <w:spacing w:val="-3"/>
          <w:w w:val="110"/>
        </w:rPr>
        <w:t>over</w:t>
      </w:r>
      <w:r>
        <w:rPr>
          <w:spacing w:val="-17"/>
          <w:w w:val="110"/>
        </w:rPr>
        <w:t> </w:t>
      </w:r>
      <w:r>
        <w:rPr>
          <w:w w:val="110"/>
        </w:rPr>
        <w:t>the</w:t>
      </w:r>
      <w:r>
        <w:rPr>
          <w:spacing w:val="-16"/>
          <w:w w:val="110"/>
        </w:rPr>
        <w:t> </w:t>
      </w:r>
      <w:r>
        <w:rPr>
          <w:w w:val="110"/>
        </w:rPr>
        <w:t>past </w:t>
      </w:r>
      <w:r>
        <w:rPr>
          <w:spacing w:val="-5"/>
          <w:w w:val="110"/>
        </w:rPr>
        <w:t>two </w:t>
      </w:r>
      <w:r>
        <w:rPr>
          <w:spacing w:val="-3"/>
          <w:w w:val="110"/>
        </w:rPr>
        <w:t>years were </w:t>
      </w:r>
      <w:r>
        <w:rPr>
          <w:w w:val="110"/>
        </w:rPr>
        <w:t>revised down in the Q3 National Accounts release. This reflected large </w:t>
      </w:r>
      <w:r>
        <w:rPr>
          <w:spacing w:val="-3"/>
          <w:w w:val="110"/>
        </w:rPr>
        <w:t>downward </w:t>
      </w:r>
      <w:r>
        <w:rPr>
          <w:w w:val="110"/>
        </w:rPr>
        <w:t>revisions </w:t>
      </w:r>
      <w:r>
        <w:rPr>
          <w:spacing w:val="-4"/>
          <w:w w:val="110"/>
        </w:rPr>
        <w:t>to </w:t>
      </w:r>
      <w:r>
        <w:rPr>
          <w:w w:val="110"/>
        </w:rPr>
        <w:t>the consumer expenditure deflator (see Chart </w:t>
      </w:r>
      <w:r>
        <w:rPr>
          <w:spacing w:val="-6"/>
          <w:w w:val="110"/>
        </w:rPr>
        <w:t>4.16). </w:t>
      </w:r>
      <w:r>
        <w:rPr>
          <w:spacing w:val="-3"/>
          <w:w w:val="110"/>
        </w:rPr>
        <w:t>Several factors</w:t>
      </w:r>
      <w:r>
        <w:rPr>
          <w:spacing w:val="-18"/>
          <w:w w:val="110"/>
        </w:rPr>
        <w:t> </w:t>
      </w:r>
      <w:r>
        <w:rPr>
          <w:w w:val="110"/>
        </w:rPr>
        <w:t>suggest,</w:t>
      </w:r>
      <w:r>
        <w:rPr>
          <w:spacing w:val="-18"/>
          <w:w w:val="110"/>
        </w:rPr>
        <w:t> </w:t>
      </w:r>
      <w:r>
        <w:rPr>
          <w:spacing w:val="-4"/>
          <w:w w:val="110"/>
        </w:rPr>
        <w:t>however,</w:t>
      </w:r>
      <w:r>
        <w:rPr>
          <w:spacing w:val="-17"/>
          <w:w w:val="110"/>
        </w:rPr>
        <w:t> </w:t>
      </w:r>
      <w:r>
        <w:rPr>
          <w:w w:val="110"/>
        </w:rPr>
        <w:t>that</w:t>
      </w:r>
      <w:r>
        <w:rPr>
          <w:spacing w:val="-18"/>
          <w:w w:val="110"/>
        </w:rPr>
        <w:t> </w:t>
      </w:r>
      <w:r>
        <w:rPr>
          <w:w w:val="110"/>
        </w:rPr>
        <w:t>the</w:t>
      </w:r>
      <w:r>
        <w:rPr>
          <w:spacing w:val="-18"/>
          <w:w w:val="110"/>
        </w:rPr>
        <w:t> </w:t>
      </w:r>
      <w:r>
        <w:rPr>
          <w:w w:val="110"/>
        </w:rPr>
        <w:t>revised</w:t>
      </w:r>
      <w:r>
        <w:rPr>
          <w:spacing w:val="-17"/>
          <w:w w:val="110"/>
        </w:rPr>
        <w:t> </w:t>
      </w:r>
      <w:r>
        <w:rPr>
          <w:w w:val="110"/>
        </w:rPr>
        <w:t>data</w:t>
      </w:r>
      <w:r>
        <w:rPr>
          <w:spacing w:val="-18"/>
          <w:w w:val="110"/>
        </w:rPr>
        <w:t> </w:t>
      </w:r>
      <w:r>
        <w:rPr>
          <w:spacing w:val="-3"/>
          <w:w w:val="110"/>
        </w:rPr>
        <w:t>may</w:t>
      </w:r>
      <w:r>
        <w:rPr>
          <w:spacing w:val="-18"/>
          <w:w w:val="110"/>
        </w:rPr>
        <w:t> </w:t>
      </w:r>
      <w:r>
        <w:rPr>
          <w:w w:val="110"/>
        </w:rPr>
        <w:t>be</w:t>
      </w:r>
      <w:r>
        <w:rPr>
          <w:spacing w:val="-17"/>
          <w:w w:val="110"/>
        </w:rPr>
        <w:t> </w:t>
      </w:r>
      <w:r>
        <w:rPr>
          <w:w w:val="110"/>
        </w:rPr>
        <w:t>giving</w:t>
      </w:r>
    </w:p>
    <w:p>
      <w:pPr>
        <w:spacing w:after="0" w:line="292" w:lineRule="auto"/>
        <w:sectPr>
          <w:type w:val="continuous"/>
          <w:pgSz w:w="11900" w:h="16840"/>
          <w:pgMar w:top="1260" w:bottom="280" w:left="640" w:right="640"/>
          <w:cols w:num="3" w:equalWidth="0">
            <w:col w:w="3373" w:space="40"/>
            <w:col w:w="253" w:space="1235"/>
            <w:col w:w="5719"/>
          </w:cols>
        </w:sectPr>
      </w:pPr>
    </w:p>
    <w:p>
      <w:pPr>
        <w:pStyle w:val="Heading6"/>
        <w:spacing w:before="8"/>
        <w:ind w:left="198"/>
      </w:pPr>
      <w:r>
        <w:rPr>
          <w:color w:val="89C6DC"/>
          <w:w w:val="90"/>
        </w:rPr>
        <w:t>Revisions to consumer expenditure deflator</w:t>
      </w:r>
    </w:p>
    <w:p>
      <w:pPr>
        <w:spacing w:line="105" w:lineRule="exact" w:before="36"/>
        <w:ind w:left="1539" w:right="0" w:firstLine="0"/>
        <w:jc w:val="left"/>
        <w:rPr>
          <w:sz w:val="12"/>
        </w:rPr>
      </w:pPr>
      <w:r>
        <w:rPr/>
        <w:pict>
          <v:line style="position:absolute;mso-position-horizontal-relative:page;mso-position-vertical-relative:paragraph;z-index:16356352" from="41.880001pt,51.330677pt" to="46.213001pt,51.330677pt" stroked="true" strokeweight=".5pt" strokecolor="#000000">
            <v:stroke dashstyle="solid"/>
            <w10:wrap type="none"/>
          </v:line>
        </w:pict>
      </w:r>
      <w:r>
        <w:rPr/>
        <w:pict>
          <v:line style="position:absolute;mso-position-horizontal-relative:page;mso-position-vertical-relative:paragraph;z-index:16356864" from="41.880001pt,71.963676pt" to="46.213001pt,71.963676pt" stroked="true" strokeweight=".5pt" strokecolor="#000000">
            <v:stroke dashstyle="solid"/>
            <w10:wrap type="none"/>
          </v:line>
        </w:pict>
      </w:r>
      <w:r>
        <w:rPr/>
        <w:pict>
          <v:line style="position:absolute;mso-position-horizontal-relative:page;mso-position-vertical-relative:paragraph;z-index:16357376" from="41.880001pt,92.597679pt" to="46.213001pt,92.597679pt" stroked="true" strokeweight=".5pt" strokecolor="#000000">
            <v:stroke dashstyle="solid"/>
            <w10:wrap type="none"/>
          </v:line>
        </w:pict>
      </w:r>
      <w:r>
        <w:rPr/>
        <w:pict>
          <v:line style="position:absolute;mso-position-horizontal-relative:page;mso-position-vertical-relative:paragraph;z-index:16361984" from="199.235001pt,9.947677pt" to="203.569001pt,9.947677pt" stroked="true" strokeweight=".5pt" strokecolor="#000000">
            <v:stroke dashstyle="solid"/>
            <w10:wrap type="none"/>
          </v:line>
        </w:pict>
      </w:r>
      <w:r>
        <w:rPr>
          <w:w w:val="110"/>
          <w:sz w:val="12"/>
        </w:rPr>
        <w:t>Percentage changes on a year earlier</w:t>
      </w:r>
    </w:p>
    <w:p>
      <w:pPr>
        <w:pStyle w:val="BodyText"/>
        <w:spacing w:line="223" w:lineRule="exact"/>
        <w:ind w:left="198"/>
      </w:pPr>
      <w:r>
        <w:rPr/>
        <w:br w:type="column"/>
      </w:r>
      <w:r>
        <w:rPr>
          <w:w w:val="110"/>
        </w:rPr>
        <w:t>exaggerated signals about trends in inflation pressures.</w:t>
      </w:r>
    </w:p>
    <w:p>
      <w:pPr>
        <w:spacing w:after="0" w:line="223" w:lineRule="exact"/>
        <w:sectPr>
          <w:type w:val="continuous"/>
          <w:pgSz w:w="11900" w:h="16840"/>
          <w:pgMar w:top="1260" w:bottom="280" w:left="640" w:right="640"/>
          <w:cols w:num="2" w:equalWidth="0">
            <w:col w:w="3954" w:space="948"/>
            <w:col w:w="5718"/>
          </w:cols>
        </w:sectPr>
      </w:pPr>
    </w:p>
    <w:p>
      <w:pPr>
        <w:pStyle w:val="BodyText"/>
        <w:spacing w:before="9"/>
        <w:rPr>
          <w:sz w:val="4"/>
        </w:rPr>
      </w:pPr>
    </w:p>
    <w:p>
      <w:pPr>
        <w:pStyle w:val="BodyText"/>
        <w:spacing w:line="20" w:lineRule="exact"/>
        <w:ind w:left="19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spacing w:before="8"/>
        <w:rPr>
          <w:sz w:val="10"/>
        </w:rPr>
      </w:pPr>
      <w:r>
        <w:rPr/>
        <w:pict>
          <v:shape style="position:absolute;margin-left:41.880001pt;margin-top:8.391244pt;width:4.350pt;height:.1pt;mso-position-horizontal-relative:page;mso-position-vertical-relative:paragraph;z-index:-15114752;mso-wrap-distance-left:0;mso-wrap-distance-right:0" coordorigin="838,168" coordsize="87,0" path="m838,168l924,168e" filled="false" stroked="true" strokeweight=".5pt" strokecolor="#000000">
            <v:path arrowok="t"/>
            <v:stroke dashstyl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2"/>
        </w:rPr>
      </w:pPr>
      <w:r>
        <w:rPr/>
        <w:pict>
          <v:shape style="position:absolute;margin-left:41.880001pt;margin-top:9.475813pt;width:4.350pt;height:.1pt;mso-position-horizontal-relative:page;mso-position-vertical-relative:paragraph;z-index:-15114240;mso-wrap-distance-left:0;mso-wrap-distance-right:0" coordorigin="838,190" coordsize="87,0" path="m838,190l924,190e" filled="false" stroked="true" strokeweight=".5pt" strokecolor="#000000">
            <v:path arrowok="t"/>
            <v:stroke dashstyle="solid"/>
            <w10:wrap type="topAndBottom"/>
          </v:shape>
        </w:pict>
      </w:r>
      <w:r>
        <w:rPr/>
        <w:pict>
          <v:shape style="position:absolute;margin-left:41.880001pt;margin-top:30.109812pt;width:4.350pt;height:.1pt;mso-position-horizontal-relative:page;mso-position-vertical-relative:paragraph;z-index:-15113728;mso-wrap-distance-left:0;mso-wrap-distance-right:0" coordorigin="838,602" coordsize="87,0" path="m838,602l924,602e" filled="false" stroked="true" strokeweight=".5pt" strokecolor="#000000">
            <v:path arrowok="t"/>
            <v:stroke dashstyle="solid"/>
            <w10:wrap type="topAndBottom"/>
          </v:shape>
        </w:pict>
      </w:r>
      <w:r>
        <w:rPr/>
        <w:pict>
          <v:shape style="position:absolute;margin-left:50.779999pt;margin-top:26.639812pt;width:144.1pt;height:3.4pt;mso-position-horizontal-relative:page;mso-position-vertical-relative:paragraph;z-index:-15113216;mso-wrap-distance-left:0;mso-wrap-distance-right:0" coordorigin="1016,533" coordsize="2882,68" path="m1018,600l3897,600m1016,533l1016,600m1840,533l1840,600m2664,533l2664,600m3488,533l3488,600e" filled="false" stroked="true" strokeweight=".5pt" strokecolor="#000000">
            <v:path arrowok="t"/>
            <v:stroke dashstyle="solid"/>
            <w10:wrap type="topAndBottom"/>
          </v:shape>
        </w:pict>
      </w:r>
    </w:p>
    <w:p>
      <w:pPr>
        <w:pStyle w:val="BodyText"/>
        <w:rPr>
          <w:sz w:val="23"/>
        </w:rPr>
      </w:pPr>
    </w:p>
    <w:p>
      <w:pPr>
        <w:tabs>
          <w:tab w:pos="1538" w:val="left" w:leader="none"/>
          <w:tab w:pos="2360" w:val="left" w:leader="none"/>
          <w:tab w:pos="2950" w:val="left" w:leader="none"/>
        </w:tabs>
        <w:spacing w:before="0"/>
        <w:ind w:left="636" w:right="0" w:firstLine="0"/>
        <w:jc w:val="left"/>
        <w:rPr>
          <w:sz w:val="12"/>
        </w:rPr>
      </w:pPr>
      <w:r>
        <w:rPr>
          <w:w w:val="120"/>
          <w:sz w:val="12"/>
        </w:rPr>
        <w:t>1997</w:t>
        <w:tab/>
        <w:t>98</w:t>
        <w:tab/>
        <w:t>99</w:t>
        <w:tab/>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2"/>
        </w:rPr>
      </w:pPr>
    </w:p>
    <w:p>
      <w:pPr>
        <w:pStyle w:val="Heading6"/>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4.17</w:t>
      </w:r>
    </w:p>
    <w:p>
      <w:pPr>
        <w:spacing w:line="247" w:lineRule="auto" w:before="8"/>
        <w:ind w:left="178" w:right="83" w:firstLine="0"/>
        <w:jc w:val="left"/>
        <w:rPr>
          <w:rFonts w:ascii="Trebuchet MS"/>
          <w:b/>
          <w:sz w:val="20"/>
        </w:rPr>
      </w:pPr>
      <w:r>
        <w:rPr>
          <w:rFonts w:ascii="Trebuchet MS"/>
          <w:b/>
          <w:color w:val="89C6DC"/>
          <w:w w:val="95"/>
          <w:sz w:val="20"/>
        </w:rPr>
        <w:t>Measures</w:t>
      </w:r>
      <w:r>
        <w:rPr>
          <w:rFonts w:ascii="Trebuchet MS"/>
          <w:b/>
          <w:color w:val="89C6DC"/>
          <w:spacing w:val="-33"/>
          <w:w w:val="95"/>
          <w:sz w:val="20"/>
        </w:rPr>
        <w:t> </w:t>
      </w:r>
      <w:r>
        <w:rPr>
          <w:rFonts w:ascii="Trebuchet MS"/>
          <w:b/>
          <w:color w:val="89C6DC"/>
          <w:w w:val="95"/>
          <w:sz w:val="20"/>
        </w:rPr>
        <w:t>of</w:t>
      </w:r>
      <w:r>
        <w:rPr>
          <w:rFonts w:ascii="Trebuchet MS"/>
          <w:b/>
          <w:color w:val="89C6DC"/>
          <w:spacing w:val="-33"/>
          <w:w w:val="95"/>
          <w:sz w:val="20"/>
        </w:rPr>
        <w:t> </w:t>
      </w:r>
      <w:r>
        <w:rPr>
          <w:rFonts w:ascii="Trebuchet MS"/>
          <w:b/>
          <w:color w:val="89C6DC"/>
          <w:w w:val="95"/>
          <w:sz w:val="20"/>
        </w:rPr>
        <w:t>domestically</w:t>
      </w:r>
      <w:r>
        <w:rPr>
          <w:rFonts w:ascii="Trebuchet MS"/>
          <w:b/>
          <w:color w:val="89C6DC"/>
          <w:spacing w:val="-32"/>
          <w:w w:val="95"/>
          <w:sz w:val="20"/>
        </w:rPr>
        <w:t> </w:t>
      </w:r>
      <w:r>
        <w:rPr>
          <w:rFonts w:ascii="Trebuchet MS"/>
          <w:b/>
          <w:color w:val="89C6DC"/>
          <w:w w:val="95"/>
          <w:sz w:val="20"/>
        </w:rPr>
        <w:t>generated </w:t>
      </w:r>
      <w:r>
        <w:rPr>
          <w:rFonts w:ascii="Trebuchet MS"/>
          <w:b/>
          <w:color w:val="89C6DC"/>
          <w:sz w:val="20"/>
        </w:rPr>
        <w:t>inflation</w:t>
      </w:r>
    </w:p>
    <w:p>
      <w:pPr>
        <w:spacing w:before="21"/>
        <w:ind w:left="0" w:right="0" w:firstLine="0"/>
        <w:jc w:val="right"/>
        <w:rPr>
          <w:sz w:val="12"/>
        </w:rPr>
      </w:pPr>
      <w:r>
        <w:rPr>
          <w:w w:val="110"/>
          <w:sz w:val="12"/>
        </w:rPr>
        <w:t>Percentage changes on a year earlier</w:t>
      </w:r>
    </w:p>
    <w:p>
      <w:pPr>
        <w:pStyle w:val="BodyText"/>
        <w:spacing w:before="3"/>
        <w:rPr>
          <w:sz w:val="2"/>
        </w:rPr>
      </w:pPr>
    </w:p>
    <w:p>
      <w:pPr>
        <w:tabs>
          <w:tab w:pos="3277" w:val="left" w:leader="none"/>
        </w:tabs>
        <w:spacing w:line="20" w:lineRule="exact"/>
        <w:ind w:left="171"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7"/>
        </w:rPr>
      </w:pPr>
    </w:p>
    <w:p>
      <w:pPr>
        <w:tabs>
          <w:tab w:pos="3277" w:val="left" w:leader="none"/>
        </w:tabs>
        <w:spacing w:line="20" w:lineRule="exact"/>
        <w:ind w:left="171"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10"/>
        <w:rPr>
          <w:sz w:val="22"/>
        </w:rPr>
      </w:pPr>
    </w:p>
    <w:p>
      <w:pPr>
        <w:spacing w:line="86" w:lineRule="exact"/>
        <w:ind w:left="171" w:right="-72" w:firstLine="0"/>
        <w:rPr>
          <w:sz w:val="8"/>
        </w:rPr>
      </w:pPr>
      <w:r>
        <w:rPr>
          <w:position w:val="-1"/>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position w:val="-1"/>
          <w:sz w:val="2"/>
        </w:rPr>
      </w:r>
      <w:r>
        <w:rPr>
          <w:spacing w:val="29"/>
          <w:position w:val="-1"/>
          <w:sz w:val="8"/>
        </w:rPr>
        <w:t> </w:t>
      </w:r>
      <w:r>
        <w:rPr>
          <w:spacing w:val="29"/>
          <w:position w:val="-1"/>
          <w:sz w:val="8"/>
        </w:rPr>
        <w:pict>
          <v:group style="width:151.6pt;height:4.1pt;mso-position-horizontal-relative:char;mso-position-vertical-relative:line" coordorigin="0,0" coordsize="3032,82">
            <v:shape style="position:absolute;left:3;top:0;width:3029;height:77" coordorigin="4,0" coordsize="3029,77" path="m2945,76l3032,76m4,76l2878,76m5,0l5,76m387,0l387,76m770,0l770,76m1152,0l1152,76m1535,0l1535,76m1917,0l1917,76m2300,0l2300,76m2682,0l2682,76e" filled="false" stroked="true" strokeweight=".5pt" strokecolor="#000000">
              <v:path arrowok="t"/>
              <v:stroke dashstyle="solid"/>
            </v:shape>
          </v:group>
        </w:pict>
      </w:r>
      <w:r>
        <w:rPr>
          <w:spacing w:val="29"/>
          <w:position w:val="-1"/>
          <w:sz w:val="8"/>
        </w:rPr>
      </w:r>
    </w:p>
    <w:p>
      <w:pPr>
        <w:tabs>
          <w:tab w:pos="819" w:val="left" w:leader="none"/>
          <w:tab w:pos="1204" w:val="left" w:leader="none"/>
          <w:tab w:pos="1589" w:val="left" w:leader="none"/>
          <w:tab w:pos="1974" w:val="left" w:leader="none"/>
          <w:tab w:pos="2349" w:val="left" w:leader="none"/>
        </w:tabs>
        <w:spacing w:before="29"/>
        <w:ind w:left="0" w:right="42" w:firstLine="0"/>
        <w:jc w:val="right"/>
        <w:rPr>
          <w:sz w:val="12"/>
        </w:rPr>
      </w:pPr>
      <w:r>
        <w:rPr>
          <w:w w:val="120"/>
          <w:sz w:val="12"/>
        </w:rPr>
        <w:t>1993   </w:t>
      </w:r>
      <w:r>
        <w:rPr>
          <w:spacing w:val="12"/>
          <w:w w:val="120"/>
          <w:sz w:val="12"/>
        </w:rPr>
        <w:t> </w:t>
      </w:r>
      <w:r>
        <w:rPr>
          <w:w w:val="120"/>
          <w:sz w:val="12"/>
        </w:rPr>
        <w:t>94</w:t>
        <w:tab/>
        <w:t>95</w:t>
        <w:tab/>
        <w:t>96</w:t>
        <w:tab/>
        <w:t>97</w:t>
        <w:tab/>
        <w:t>98</w:t>
        <w:tab/>
        <w:t>99</w:t>
      </w:r>
      <w:r>
        <w:rPr>
          <w:spacing w:val="4"/>
          <w:w w:val="120"/>
          <w:sz w:val="12"/>
        </w:rPr>
        <w:t> </w:t>
      </w:r>
      <w:r>
        <w:rPr>
          <w:w w:val="120"/>
          <w:sz w:val="12"/>
        </w:rPr>
        <w:t>2000</w:t>
      </w:r>
    </w:p>
    <w:p>
      <w:pPr>
        <w:spacing w:line="116" w:lineRule="exact" w:before="0"/>
        <w:ind w:left="59" w:right="0" w:firstLine="0"/>
        <w:jc w:val="left"/>
        <w:rPr>
          <w:sz w:val="12"/>
        </w:rPr>
      </w:pPr>
      <w:r>
        <w:rPr/>
        <w:br w:type="column"/>
      </w:r>
      <w:r>
        <w:rPr>
          <w:w w:val="115"/>
          <w:sz w:val="12"/>
        </w:rPr>
        <w:t>3.5</w:t>
      </w:r>
    </w:p>
    <w:p>
      <w:pPr>
        <w:pStyle w:val="BodyText"/>
        <w:rPr>
          <w:sz w:val="12"/>
        </w:rPr>
      </w:pPr>
    </w:p>
    <w:p>
      <w:pPr>
        <w:pStyle w:val="BodyText"/>
        <w:spacing w:before="10"/>
        <w:rPr>
          <w:sz w:val="11"/>
        </w:rPr>
      </w:pPr>
    </w:p>
    <w:p>
      <w:pPr>
        <w:spacing w:before="0"/>
        <w:ind w:left="59" w:right="0" w:firstLine="0"/>
        <w:jc w:val="left"/>
        <w:rPr>
          <w:sz w:val="12"/>
        </w:rPr>
      </w:pPr>
      <w:r>
        <w:rPr/>
        <w:pict>
          <v:group style="position:absolute;margin-left:50.259998pt;margin-top:9.735570pt;width:145pt;height:92.75pt;mso-position-horizontal-relative:page;mso-position-vertical-relative:paragraph;z-index:16355840" coordorigin="1005,195" coordsize="2900,1855">
            <v:shape style="position:absolute;left:1015;top:219;width:413;height:493" coordorigin="1015,220" coordsize="413,493" path="m1015,220l1225,712m1225,712l1428,572e" filled="false" stroked="true" strokeweight="1pt" strokecolor="#610e7a">
              <v:path arrowok="t"/>
              <v:stroke dashstyle="solid"/>
            </v:shape>
            <v:line style="position:absolute" from="1418,578" to="1648,578" stroked="true" strokeweight="1.625pt" strokecolor="#610e7a">
              <v:stroke dashstyle="solid"/>
            </v:line>
            <v:shape style="position:absolute;left:1637;top:204;width:613;height:550" coordorigin="1638,205" coordsize="613,550" path="m1638,585l1838,755m1838,755l2050,205m2050,205l2250,615e" filled="false" stroked="true" strokeweight="1pt" strokecolor="#610e7a">
              <v:path arrowok="t"/>
              <v:stroke dashstyle="solid"/>
            </v:shape>
            <v:line style="position:absolute" from="2240,621" to="2470,621" stroked="true" strokeweight="1.625pt" strokecolor="#610e7a">
              <v:stroke dashstyle="solid"/>
            </v:line>
            <v:shape style="position:absolute;left:2460;top:627;width:1435;height:1143" coordorigin="2460,627" coordsize="1435,1143" path="m2460,627l2663,855m2663,855l2873,857m2873,855l3073,995m3073,995l3285,1050m3285,1050l3485,1235m3485,1235l3695,1517m3695,1517l3895,1770e" filled="false" stroked="true" strokeweight="1pt" strokecolor="#610e7a">
              <v:path arrowok="t"/>
              <v:stroke dashstyle="solid"/>
            </v:shape>
            <v:shape style="position:absolute;left:1015;top:219;width:413;height:493" coordorigin="1015,220" coordsize="413,493" path="m1015,220l1225,712m1225,712l1428,572e" filled="false" stroked="true" strokeweight="1pt" strokecolor="#acbc4a">
              <v:path arrowok="t"/>
              <v:stroke dashstyle="solid"/>
            </v:shape>
            <v:line style="position:absolute" from="1418,578" to="1648,578" stroked="true" strokeweight="1.625pt" strokecolor="#acbc4a">
              <v:stroke dashstyle="solid"/>
            </v:line>
            <v:shape style="position:absolute;left:1637;top:204;width:613;height:550" coordorigin="1638,205" coordsize="613,550" path="m1638,585l1838,755m1838,755l2050,205m2050,205l2250,615e" filled="false" stroked="true" strokeweight="1pt" strokecolor="#acbc4a">
              <v:path arrowok="t"/>
              <v:stroke dashstyle="solid"/>
            </v:shape>
            <v:line style="position:absolute" from="2240,621" to="2470,621" stroked="true" strokeweight="1.625pt" strokecolor="#acbc4a">
              <v:stroke dashstyle="solid"/>
            </v:line>
            <v:shape style="position:absolute;left:2460;top:627;width:1235;height:1410" coordorigin="2460,627" coordsize="1235,1410" path="m2460,627l2663,1022m2663,1022l2873,1107m2873,1107l3073,1417m3073,1417l3285,1347m3285,1347l3485,1727m3485,1727l3695,2037e" filled="false" stroked="true" strokeweight="1pt" strokecolor="#acbc4a">
              <v:path arrowok="t"/>
              <v:stroke dashstyle="solid"/>
            </v:shape>
            <v:line style="position:absolute" from="3685,2038" to="3905,2038" stroked="true" strokeweight="1.125pt" strokecolor="#acbc4a">
              <v:stroke dashstyle="solid"/>
            </v:line>
            <v:shape style="position:absolute;left:3025;top:829;width:210;height:121" type="#_x0000_t202" filled="false" stroked="false">
              <v:textbox inset="0,0,0,0">
                <w:txbxContent>
                  <w:p>
                    <w:pPr>
                      <w:spacing w:line="116" w:lineRule="exact" w:before="0"/>
                      <w:ind w:left="0" w:right="0" w:firstLine="0"/>
                      <w:jc w:val="left"/>
                      <w:rPr>
                        <w:sz w:val="12"/>
                      </w:rPr>
                    </w:pPr>
                    <w:r>
                      <w:rPr>
                        <w:w w:val="105"/>
                        <w:sz w:val="12"/>
                      </w:rPr>
                      <w:t>Old</w:t>
                    </w:r>
                  </w:p>
                </w:txbxContent>
              </v:textbox>
              <w10:wrap type="none"/>
            </v:shape>
            <v:shape style="position:absolute;left:2591;top:1332;width:415;height:121" type="#_x0000_t202" filled="false" stroked="false">
              <v:textbox inset="0,0,0,0">
                <w:txbxContent>
                  <w:p>
                    <w:pPr>
                      <w:spacing w:line="116" w:lineRule="exact" w:before="0"/>
                      <w:ind w:left="0" w:right="0" w:firstLine="0"/>
                      <w:jc w:val="left"/>
                      <w:rPr>
                        <w:sz w:val="12"/>
                      </w:rPr>
                    </w:pPr>
                    <w:r>
                      <w:rPr>
                        <w:sz w:val="12"/>
                      </w:rPr>
                      <w:t>Revised</w:t>
                    </w:r>
                  </w:p>
                </w:txbxContent>
              </v:textbox>
              <w10:wrap type="none"/>
            </v:shape>
            <w10:wrap type="none"/>
          </v:group>
        </w:pict>
      </w:r>
      <w:r>
        <w:rPr/>
        <w:pict>
          <v:line style="position:absolute;mso-position-horizontal-relative:page;mso-position-vertical-relative:paragraph;z-index:16358400" from="199.235001pt,4.00357pt" to="203.569001pt,4.00357pt" stroked="true" strokeweight=".5pt" strokecolor="#000000">
            <v:stroke dashstyle="solid"/>
            <w10:wrap type="none"/>
          </v:line>
        </w:pict>
      </w:r>
      <w:r>
        <w:rPr>
          <w:w w:val="115"/>
          <w:sz w:val="12"/>
        </w:rPr>
        <w:t>3.0</w:t>
      </w:r>
    </w:p>
    <w:p>
      <w:pPr>
        <w:pStyle w:val="BodyText"/>
        <w:rPr>
          <w:sz w:val="12"/>
        </w:rPr>
      </w:pPr>
    </w:p>
    <w:p>
      <w:pPr>
        <w:pStyle w:val="BodyText"/>
        <w:spacing w:before="10"/>
        <w:rPr>
          <w:sz w:val="11"/>
        </w:rPr>
      </w:pPr>
    </w:p>
    <w:p>
      <w:pPr>
        <w:spacing w:before="0"/>
        <w:ind w:left="59" w:right="0" w:firstLine="0"/>
        <w:jc w:val="left"/>
        <w:rPr>
          <w:sz w:val="12"/>
        </w:rPr>
      </w:pPr>
      <w:r>
        <w:rPr/>
        <w:pict>
          <v:line style="position:absolute;mso-position-horizontal-relative:page;mso-position-vertical-relative:paragraph;z-index:16358912" from="199.235001pt,4.01157pt" to="203.569001pt,4.01157pt" stroked="true" strokeweight=".5pt" strokecolor="#000000">
            <v:stroke dashstyle="solid"/>
            <w10:wrap type="none"/>
          </v:line>
        </w:pict>
      </w:r>
      <w:r>
        <w:rPr>
          <w:w w:val="115"/>
          <w:sz w:val="12"/>
        </w:rPr>
        <w:t>2.5</w:t>
      </w:r>
    </w:p>
    <w:p>
      <w:pPr>
        <w:pStyle w:val="BodyText"/>
        <w:rPr>
          <w:sz w:val="12"/>
        </w:rPr>
      </w:pPr>
    </w:p>
    <w:p>
      <w:pPr>
        <w:pStyle w:val="BodyText"/>
        <w:spacing w:before="10"/>
        <w:rPr>
          <w:sz w:val="11"/>
        </w:rPr>
      </w:pPr>
    </w:p>
    <w:p>
      <w:pPr>
        <w:spacing w:before="0"/>
        <w:ind w:left="59" w:right="0" w:firstLine="0"/>
        <w:jc w:val="left"/>
        <w:rPr>
          <w:sz w:val="12"/>
        </w:rPr>
      </w:pPr>
      <w:r>
        <w:rPr/>
        <w:pict>
          <v:line style="position:absolute;mso-position-horizontal-relative:page;mso-position-vertical-relative:paragraph;z-index:16359424" from="199.235001pt,4.02057pt" to="203.569001pt,4.02057pt" stroked="true" strokeweight=".5pt" strokecolor="#000000">
            <v:stroke dashstyle="solid"/>
            <w10:wrap type="none"/>
          </v:line>
        </w:pict>
      </w:r>
      <w:r>
        <w:rPr>
          <w:w w:val="115"/>
          <w:sz w:val="12"/>
        </w:rPr>
        <w:t>2.0</w:t>
      </w:r>
    </w:p>
    <w:p>
      <w:pPr>
        <w:pStyle w:val="BodyText"/>
        <w:rPr>
          <w:sz w:val="12"/>
        </w:rPr>
      </w:pPr>
    </w:p>
    <w:p>
      <w:pPr>
        <w:pStyle w:val="BodyText"/>
        <w:spacing w:before="10"/>
        <w:rPr>
          <w:sz w:val="11"/>
        </w:rPr>
      </w:pPr>
    </w:p>
    <w:p>
      <w:pPr>
        <w:spacing w:before="0"/>
        <w:ind w:left="59" w:right="0" w:firstLine="0"/>
        <w:jc w:val="left"/>
        <w:rPr>
          <w:sz w:val="12"/>
        </w:rPr>
      </w:pPr>
      <w:r>
        <w:rPr/>
        <w:pict>
          <v:line style="position:absolute;mso-position-horizontal-relative:page;mso-position-vertical-relative:paragraph;z-index:16359936" from="199.235001pt,4.02857pt" to="203.569001pt,4.02857pt" stroked="true" strokeweight=".5pt" strokecolor="#000000">
            <v:stroke dashstyle="solid"/>
            <w10:wrap type="none"/>
          </v:line>
        </w:pict>
      </w:r>
      <w:r>
        <w:rPr>
          <w:w w:val="115"/>
          <w:sz w:val="12"/>
        </w:rPr>
        <w:t>1.5</w:t>
      </w:r>
    </w:p>
    <w:p>
      <w:pPr>
        <w:pStyle w:val="BodyText"/>
        <w:rPr>
          <w:sz w:val="12"/>
        </w:rPr>
      </w:pPr>
    </w:p>
    <w:p>
      <w:pPr>
        <w:pStyle w:val="BodyText"/>
        <w:spacing w:before="10"/>
        <w:rPr>
          <w:sz w:val="11"/>
        </w:rPr>
      </w:pPr>
    </w:p>
    <w:p>
      <w:pPr>
        <w:spacing w:before="0"/>
        <w:ind w:left="59" w:right="0" w:firstLine="0"/>
        <w:jc w:val="left"/>
        <w:rPr>
          <w:sz w:val="12"/>
        </w:rPr>
      </w:pPr>
      <w:r>
        <w:rPr/>
        <w:pict>
          <v:line style="position:absolute;mso-position-horizontal-relative:page;mso-position-vertical-relative:paragraph;z-index:16360960" from="199.235001pt,4.03857pt" to="203.569001pt,4.03857pt" stroked="true" strokeweight=".5pt" strokecolor="#000000">
            <v:stroke dashstyle="solid"/>
            <w10:wrap type="none"/>
          </v:line>
        </w:pict>
      </w:r>
      <w:r>
        <w:rPr>
          <w:w w:val="115"/>
          <w:sz w:val="12"/>
        </w:rPr>
        <w:t>1.0</w:t>
      </w:r>
    </w:p>
    <w:p>
      <w:pPr>
        <w:pStyle w:val="BodyText"/>
        <w:rPr>
          <w:sz w:val="12"/>
        </w:rPr>
      </w:pPr>
    </w:p>
    <w:p>
      <w:pPr>
        <w:pStyle w:val="BodyText"/>
        <w:spacing w:before="10"/>
        <w:rPr>
          <w:sz w:val="11"/>
        </w:rPr>
      </w:pPr>
    </w:p>
    <w:p>
      <w:pPr>
        <w:spacing w:before="0"/>
        <w:ind w:left="59" w:right="0" w:firstLine="0"/>
        <w:jc w:val="left"/>
        <w:rPr>
          <w:sz w:val="12"/>
        </w:rPr>
      </w:pPr>
      <w:r>
        <w:rPr/>
        <w:pict>
          <v:line style="position:absolute;mso-position-horizontal-relative:page;mso-position-vertical-relative:paragraph;z-index:16360448" from="199.235001pt,4.04657pt" to="203.569001pt,4.04657pt" stroked="true" strokeweight=".5pt" strokecolor="#000000">
            <v:stroke dashstyle="solid"/>
            <w10:wrap type="none"/>
          </v:line>
        </w:pict>
      </w:r>
      <w:r>
        <w:rPr>
          <w:w w:val="115"/>
          <w:sz w:val="12"/>
        </w:rPr>
        <w:t>0.5</w:t>
      </w:r>
    </w:p>
    <w:p>
      <w:pPr>
        <w:pStyle w:val="BodyText"/>
        <w:rPr>
          <w:sz w:val="12"/>
        </w:rPr>
      </w:pPr>
    </w:p>
    <w:p>
      <w:pPr>
        <w:pStyle w:val="BodyText"/>
        <w:spacing w:before="10"/>
        <w:rPr>
          <w:sz w:val="11"/>
        </w:rPr>
      </w:pPr>
    </w:p>
    <w:p>
      <w:pPr>
        <w:spacing w:before="0"/>
        <w:ind w:left="59" w:right="0" w:firstLine="0"/>
        <w:jc w:val="left"/>
        <w:rPr>
          <w:sz w:val="12"/>
        </w:rPr>
      </w:pPr>
      <w:r>
        <w:rPr/>
        <w:pict>
          <v:line style="position:absolute;mso-position-horizontal-relative:page;mso-position-vertical-relative:paragraph;z-index:16361472" from="199.235001pt,4.053570pt" to="203.569001pt,4.053570pt" stroked="true" strokeweight=".5pt" strokecolor="#000000">
            <v:stroke dashstyle="solid"/>
            <w10:wrap type="none"/>
          </v:line>
        </w:pict>
      </w:r>
      <w:r>
        <w:rPr>
          <w:w w:val="115"/>
          <w:sz w:val="12"/>
        </w:rPr>
        <w:t>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0"/>
        </w:rPr>
      </w:pPr>
    </w:p>
    <w:p>
      <w:pPr>
        <w:spacing w:before="0"/>
        <w:ind w:left="18" w:right="0" w:firstLine="0"/>
        <w:jc w:val="left"/>
        <w:rPr>
          <w:sz w:val="12"/>
        </w:rPr>
      </w:pPr>
      <w:r>
        <w:rPr/>
        <w:pict>
          <v:group style="position:absolute;margin-left:40.82pt;margin-top:12.101597pt;width:164.15pt;height:116.15pt;mso-position-horizontal-relative:page;mso-position-vertical-relative:paragraph;z-index:16363520" coordorigin="816,242" coordsize="3283,2323">
            <v:shape style="position:absolute;left:980;top:252;width:2868;height:1603" coordorigin="980,252" coordsize="2868,1603" path="m980,1460l1078,1855m1078,1855l1173,1702m1173,1702l1270,1430m1270,1430l1365,1127m1365,1127l1463,1310m1463,1310l1558,1657m1558,1657l1655,1582m1655,1582l1740,1552m1740,1552l1838,1597m1838,1597l1933,1445m1933,1445l2030,1415m2030,1415l2125,1280m2125,1280l2223,1175m2223,1175l2318,750m2318,750l2415,447m2415,447l2510,357m2510,357l2608,252m2608,252l2703,282m2703,282l2800,312m2800,312l2895,372m2895,372l2993,282m2993,282l3088,417m3088,417l3175,492m3175,492l3270,690m3270,690l3368,872m3368,872l3463,1052m3463,1052l3560,1112m3560,1112l3655,1250m3655,1250l3753,1340m3753,1340l3848,1325e" filled="false" stroked="true" strokeweight="1pt" strokecolor="#de0035">
              <v:path arrowok="t"/>
              <v:stroke dashstyle="solid"/>
            </v:shape>
            <v:shape style="position:absolute;left:980;top:1294;width:385;height:680" coordorigin="980,1295" coordsize="385,680" path="m980,1295l1078,1385m1078,1385l1173,1975m1173,1975l1270,1885m1270,1885l1365,1777e" filled="false" stroked="true" strokeweight="1pt" strokecolor="#f6bd61">
              <v:path arrowok="t"/>
              <v:stroke dashstyle="solid"/>
            </v:shape>
            <v:line style="position:absolute" from="1355,1778" to="1473,1778" stroked="true" strokeweight="1.125pt" strokecolor="#f6bd61">
              <v:stroke dashstyle="solid"/>
            </v:line>
            <v:shape style="position:absolute;left:1462;top:1127;width:1905;height:665" coordorigin="1463,1127" coordsize="1905,665" path="m1463,1777l1558,1732m1558,1732l1655,1792m1655,1792l1740,1747m1740,1747l1838,1762m1838,1762l1933,1445m1933,1445l2030,1522m2030,1522l2125,1250m2125,1250l2223,1157m2223,1157l2318,1567m2318,1567l2415,1370m2415,1370l2510,1355m2510,1355l2608,1460m2608,1460l2703,1250m2703,1250l2800,1340m2800,1340l2895,1507m2895,1507l2993,1265m2993,1265l3088,1310m3088,1310l3175,1265m3175,1265l3270,1127m3270,1127l3368,1142e" filled="false" stroked="true" strokeweight="1pt" strokecolor="#f6bd61">
              <v:path arrowok="t"/>
              <v:stroke dashstyle="solid"/>
            </v:shape>
            <v:line style="position:absolute" from="3358,1143" to="3473,1143" stroked="true" strokeweight="1.125pt" strokecolor="#f6bd61">
              <v:stroke dashstyle="solid"/>
            </v:line>
            <v:shape style="position:absolute;left:3462;top:1127;width:385;height:363" coordorigin="3463,1127" coordsize="385,363" path="m3463,1142l3560,1127m3560,1127l3655,1157m3655,1157l3753,1475m3753,1475l3848,1490e" filled="false" stroked="true" strokeweight="1pt" strokecolor="#f6bd61">
              <v:path arrowok="t"/>
              <v:stroke dashstyle="solid"/>
            </v:shape>
            <v:line style="position:absolute" from="970,2006" to="1088,2006" stroked="true" strokeweight="1.125pt" strokecolor="#835335">
              <v:stroke dashstyle="solid"/>
            </v:line>
            <v:shape style="position:absolute;left:1077;top:659;width:2770;height:1828" coordorigin="1078,660" coordsize="2770,1828" path="m1078,2005l1173,2337m1173,2337l1270,1975m1270,1975l1365,2080m1365,2080l1463,2487m1463,2487l1558,2427m1558,2427l1655,2472m1655,2472l1740,2140m1740,2140l1838,1672m1838,1672l1933,1205m1933,1205l2030,1157m2030,1157l2125,1067m2125,1067l2223,977m2223,977l2318,1340m2318,1340l2415,1250m2415,1250l2510,1142m2510,1142l2608,1235m2608,1235l2703,1127m2703,1127l2800,1157m2800,1157l2895,1175m2895,1175l2993,1205m2993,1205l3088,1097m3088,1097l3175,917m3175,917l3270,857m3270,857l3368,660m3368,660l3463,992m3463,992l3560,1205m3560,1205l3655,1220m3655,1220l3753,1807m3753,1807l3848,1672e" filled="false" stroked="true" strokeweight="1pt" strokecolor="#835335">
              <v:path arrowok="t"/>
              <v:stroke dashstyle="solid"/>
            </v:shape>
            <v:shape style="position:absolute;left:816;top:429;width:3194;height:1798" coordorigin="816,429" coordsize="3194,1798" path="m816,429l903,429m816,788l903,788m816,1148l903,1148m816,1507l903,1507m816,1867l903,1867m816,2226l903,2226m3923,429l4010,429m3923,789l4010,789m3923,1148l4010,1148m3923,1508l4010,1508m3923,1867l4010,1867e" filled="false" stroked="true" strokeweight=".5pt" strokecolor="#000000">
              <v:path arrowok="t"/>
              <v:stroke dashstyle="solid"/>
            </v:shape>
            <v:shape style="position:absolute;left:1588;top:294;width:806;height:241" type="#_x0000_t202" filled="false" stroked="false">
              <v:textbox inset="0,0,0,0">
                <w:txbxContent>
                  <w:p>
                    <w:pPr>
                      <w:spacing w:line="208" w:lineRule="auto" w:before="0"/>
                      <w:ind w:left="60" w:right="10" w:hanging="61"/>
                      <w:jc w:val="left"/>
                      <w:rPr>
                        <w:sz w:val="12"/>
                      </w:rPr>
                    </w:pPr>
                    <w:r>
                      <w:rPr>
                        <w:sz w:val="12"/>
                      </w:rPr>
                      <w:t>RPIX excluding </w:t>
                    </w:r>
                    <w:r>
                      <w:rPr>
                        <w:w w:val="105"/>
                        <w:sz w:val="12"/>
                      </w:rPr>
                      <w:t>import prices</w:t>
                    </w:r>
                  </w:p>
                </w:txbxContent>
              </v:textbox>
              <w10:wrap type="none"/>
            </v:shape>
            <v:shape style="position:absolute;left:978;top:1550;width:3120;height:1015" type="#_x0000_t202" filled="false" stroked="false">
              <v:textbox inset="0,0,0,0">
                <w:txbxContent>
                  <w:p>
                    <w:pPr>
                      <w:spacing w:line="208" w:lineRule="auto" w:before="0"/>
                      <w:ind w:left="1439" w:right="559" w:hanging="61"/>
                      <w:jc w:val="left"/>
                      <w:rPr>
                        <w:sz w:val="12"/>
                      </w:rPr>
                    </w:pPr>
                    <w:r>
                      <w:rPr>
                        <w:w w:val="110"/>
                        <w:sz w:val="12"/>
                      </w:rPr>
                      <w:t>Unit labour costs based on trend productivity (a)(b)</w:t>
                    </w:r>
                  </w:p>
                  <w:p>
                    <w:pPr>
                      <w:tabs>
                        <w:tab w:pos="2870" w:val="left" w:leader="none"/>
                      </w:tabs>
                      <w:spacing w:before="51"/>
                      <w:ind w:left="0" w:right="0" w:firstLine="0"/>
                      <w:jc w:val="left"/>
                      <w:rPr>
                        <w:sz w:val="16"/>
                      </w:rPr>
                    </w:pPr>
                    <w:r>
                      <w:rPr>
                        <w:sz w:val="16"/>
                        <w:u w:val="single"/>
                      </w:rPr>
                      <w:t> </w:t>
                      <w:tab/>
                    </w:r>
                    <w:r>
                      <w:rPr>
                        <w:sz w:val="16"/>
                      </w:rPr>
                      <w:t> </w:t>
                    </w:r>
                    <w:r>
                      <w:rPr>
                        <w:spacing w:val="-7"/>
                        <w:sz w:val="16"/>
                      </w:rPr>
                      <w:t> </w:t>
                    </w:r>
                    <w:r>
                      <w:rPr>
                        <w:sz w:val="16"/>
                        <w:u w:val="single"/>
                      </w:rPr>
                      <w:t> </w:t>
                    </w:r>
                    <w:r>
                      <w:rPr>
                        <w:spacing w:val="-22"/>
                        <w:sz w:val="16"/>
                        <w:u w:val="single"/>
                      </w:rPr>
                      <w:t> </w:t>
                    </w:r>
                    <w:r>
                      <w:rPr>
                        <w:w w:val="110"/>
                        <w:sz w:val="16"/>
                      </w:rPr>
                      <w:t>+</w:t>
                    </w:r>
                  </w:p>
                  <w:p>
                    <w:pPr>
                      <w:spacing w:line="176" w:lineRule="exact" w:before="108"/>
                      <w:ind w:left="0" w:right="19" w:firstLine="0"/>
                      <w:jc w:val="right"/>
                      <w:rPr>
                        <w:sz w:val="16"/>
                      </w:rPr>
                    </w:pPr>
                    <w:r>
                      <w:rPr>
                        <w:w w:val="117"/>
                        <w:sz w:val="16"/>
                      </w:rPr>
                      <w:t>–</w:t>
                    </w:r>
                  </w:p>
                  <w:p>
                    <w:pPr>
                      <w:spacing w:line="130" w:lineRule="exact" w:before="0"/>
                      <w:ind w:left="727" w:right="0" w:firstLine="0"/>
                      <w:jc w:val="left"/>
                      <w:rPr>
                        <w:sz w:val="12"/>
                      </w:rPr>
                    </w:pPr>
                    <w:r>
                      <w:rPr>
                        <w:w w:val="110"/>
                        <w:sz w:val="12"/>
                      </w:rPr>
                      <w:t>Unit labour costs (a)</w:t>
                    </w:r>
                  </w:p>
                </w:txbxContent>
              </v:textbox>
              <w10:wrap type="none"/>
            </v:shape>
            <w10:wrap type="none"/>
          </v:group>
        </w:pict>
      </w:r>
      <w:r>
        <w:rPr>
          <w:w w:val="121"/>
          <w:sz w:val="12"/>
        </w:rPr>
        <w:t>6</w:t>
      </w:r>
    </w:p>
    <w:p>
      <w:pPr>
        <w:pStyle w:val="BodyText"/>
        <w:rPr>
          <w:sz w:val="12"/>
        </w:rPr>
      </w:pPr>
    </w:p>
    <w:p>
      <w:pPr>
        <w:spacing w:before="86"/>
        <w:ind w:left="18" w:right="0" w:firstLine="0"/>
        <w:jc w:val="left"/>
        <w:rPr>
          <w:sz w:val="12"/>
        </w:rPr>
      </w:pPr>
      <w:r>
        <w:rPr>
          <w:w w:val="121"/>
          <w:sz w:val="12"/>
        </w:rPr>
        <w:t>5</w:t>
      </w:r>
    </w:p>
    <w:p>
      <w:pPr>
        <w:pStyle w:val="BodyText"/>
        <w:rPr>
          <w:sz w:val="12"/>
        </w:rPr>
      </w:pPr>
    </w:p>
    <w:p>
      <w:pPr>
        <w:spacing w:before="87"/>
        <w:ind w:left="18" w:right="0" w:firstLine="0"/>
        <w:jc w:val="left"/>
        <w:rPr>
          <w:sz w:val="12"/>
        </w:rPr>
      </w:pPr>
      <w:r>
        <w:rPr>
          <w:w w:val="121"/>
          <w:sz w:val="12"/>
        </w:rPr>
        <w:t>4</w:t>
      </w:r>
    </w:p>
    <w:p>
      <w:pPr>
        <w:pStyle w:val="BodyText"/>
        <w:rPr>
          <w:sz w:val="12"/>
        </w:rPr>
      </w:pPr>
    </w:p>
    <w:p>
      <w:pPr>
        <w:spacing w:before="71"/>
        <w:ind w:left="18" w:right="0" w:firstLine="0"/>
        <w:jc w:val="left"/>
        <w:rPr>
          <w:sz w:val="12"/>
        </w:rPr>
      </w:pPr>
      <w:r>
        <w:rPr>
          <w:w w:val="121"/>
          <w:sz w:val="12"/>
        </w:rPr>
        <w:t>3</w:t>
      </w:r>
    </w:p>
    <w:p>
      <w:pPr>
        <w:pStyle w:val="BodyText"/>
        <w:rPr>
          <w:sz w:val="12"/>
        </w:rPr>
      </w:pPr>
    </w:p>
    <w:p>
      <w:pPr>
        <w:spacing w:before="87"/>
        <w:ind w:left="18" w:right="0" w:firstLine="0"/>
        <w:jc w:val="left"/>
        <w:rPr>
          <w:sz w:val="12"/>
        </w:rPr>
      </w:pPr>
      <w:r>
        <w:rPr>
          <w:w w:val="121"/>
          <w:sz w:val="12"/>
        </w:rPr>
        <w:t>2</w:t>
      </w:r>
    </w:p>
    <w:p>
      <w:pPr>
        <w:pStyle w:val="BodyText"/>
        <w:rPr>
          <w:sz w:val="12"/>
        </w:rPr>
      </w:pPr>
    </w:p>
    <w:p>
      <w:pPr>
        <w:spacing w:before="86"/>
        <w:ind w:left="18" w:right="0" w:firstLine="0"/>
        <w:jc w:val="left"/>
        <w:rPr>
          <w:sz w:val="12"/>
        </w:rPr>
      </w:pPr>
      <w:r>
        <w:rPr>
          <w:w w:val="121"/>
          <w:sz w:val="12"/>
        </w:rPr>
        <w:t>1</w:t>
      </w:r>
    </w:p>
    <w:p>
      <w:pPr>
        <w:pStyle w:val="BodyText"/>
        <w:rPr>
          <w:sz w:val="12"/>
        </w:rPr>
      </w:pPr>
    </w:p>
    <w:p>
      <w:pPr>
        <w:spacing w:before="87"/>
        <w:ind w:left="18" w:right="0" w:firstLine="0"/>
        <w:jc w:val="left"/>
        <w:rPr>
          <w:sz w:val="12"/>
        </w:rPr>
      </w:pPr>
      <w:r>
        <w:rPr>
          <w:w w:val="121"/>
          <w:sz w:val="12"/>
        </w:rPr>
        <w:t>0</w:t>
      </w:r>
    </w:p>
    <w:p>
      <w:pPr>
        <w:pStyle w:val="BodyText"/>
        <w:rPr>
          <w:sz w:val="12"/>
        </w:rPr>
      </w:pPr>
    </w:p>
    <w:p>
      <w:pPr>
        <w:spacing w:before="71"/>
        <w:ind w:left="18" w:right="0" w:firstLine="0"/>
        <w:jc w:val="left"/>
        <w:rPr>
          <w:sz w:val="12"/>
        </w:rPr>
      </w:pPr>
      <w:r>
        <w:rPr>
          <w:w w:val="121"/>
          <w:sz w:val="12"/>
        </w:rPr>
        <w:t>1</w:t>
      </w:r>
    </w:p>
    <w:p>
      <w:pPr>
        <w:pStyle w:val="BodyText"/>
        <w:rPr>
          <w:sz w:val="12"/>
        </w:rPr>
      </w:pPr>
    </w:p>
    <w:p>
      <w:pPr>
        <w:spacing w:before="89"/>
        <w:ind w:left="18" w:right="0" w:firstLine="0"/>
        <w:jc w:val="left"/>
        <w:rPr>
          <w:sz w:val="12"/>
        </w:rPr>
      </w:pPr>
      <w:r>
        <w:rPr>
          <w:w w:val="121"/>
          <w:sz w:val="12"/>
        </w:rPr>
        <w:t>2</w:t>
      </w:r>
    </w:p>
    <w:p>
      <w:pPr>
        <w:pStyle w:val="BodyText"/>
        <w:spacing w:line="292" w:lineRule="auto" w:before="172"/>
        <w:ind w:left="178" w:right="160"/>
      </w:pPr>
      <w:r>
        <w:rPr/>
        <w:br w:type="column"/>
      </w:r>
      <w:r>
        <w:rPr>
          <w:spacing w:val="-3"/>
          <w:w w:val="110"/>
        </w:rPr>
        <w:t>First, </w:t>
      </w:r>
      <w:r>
        <w:rPr>
          <w:w w:val="110"/>
        </w:rPr>
        <w:t>an important factor driving the revisions </w:t>
      </w:r>
      <w:r>
        <w:rPr>
          <w:spacing w:val="-3"/>
          <w:w w:val="110"/>
        </w:rPr>
        <w:t>was </w:t>
      </w:r>
      <w:r>
        <w:rPr>
          <w:w w:val="110"/>
        </w:rPr>
        <w:t>a lower estimate</w:t>
      </w:r>
      <w:r>
        <w:rPr>
          <w:spacing w:val="-14"/>
          <w:w w:val="110"/>
        </w:rPr>
        <w:t> </w:t>
      </w:r>
      <w:r>
        <w:rPr>
          <w:w w:val="110"/>
        </w:rPr>
        <w:t>of</w:t>
      </w:r>
      <w:r>
        <w:rPr>
          <w:spacing w:val="-13"/>
          <w:w w:val="110"/>
        </w:rPr>
        <w:t> </w:t>
      </w:r>
      <w:r>
        <w:rPr>
          <w:w w:val="110"/>
        </w:rPr>
        <w:t>the</w:t>
      </w:r>
      <w:r>
        <w:rPr>
          <w:spacing w:val="-13"/>
          <w:w w:val="110"/>
        </w:rPr>
        <w:t> </w:t>
      </w:r>
      <w:r>
        <w:rPr>
          <w:spacing w:val="-4"/>
          <w:w w:val="110"/>
        </w:rPr>
        <w:t>rate</w:t>
      </w:r>
      <w:r>
        <w:rPr>
          <w:spacing w:val="-13"/>
          <w:w w:val="110"/>
        </w:rPr>
        <w:t> </w:t>
      </w:r>
      <w:r>
        <w:rPr>
          <w:w w:val="110"/>
        </w:rPr>
        <w:t>of</w:t>
      </w:r>
      <w:r>
        <w:rPr>
          <w:spacing w:val="-13"/>
          <w:w w:val="110"/>
        </w:rPr>
        <w:t> </w:t>
      </w:r>
      <w:r>
        <w:rPr>
          <w:w w:val="110"/>
        </w:rPr>
        <w:t>increase</w:t>
      </w:r>
      <w:r>
        <w:rPr>
          <w:spacing w:val="-13"/>
          <w:w w:val="110"/>
        </w:rPr>
        <w:t> </w:t>
      </w:r>
      <w:r>
        <w:rPr>
          <w:w w:val="110"/>
        </w:rPr>
        <w:t>of</w:t>
      </w:r>
      <w:r>
        <w:rPr>
          <w:spacing w:val="-13"/>
          <w:w w:val="110"/>
        </w:rPr>
        <w:t> </w:t>
      </w:r>
      <w:r>
        <w:rPr>
          <w:w w:val="110"/>
        </w:rPr>
        <w:t>imputed</w:t>
      </w:r>
      <w:r>
        <w:rPr>
          <w:spacing w:val="-13"/>
          <w:w w:val="110"/>
        </w:rPr>
        <w:t> </w:t>
      </w:r>
      <w:r>
        <w:rPr>
          <w:w w:val="110"/>
        </w:rPr>
        <w:t>rents—the</w:t>
      </w:r>
      <w:r>
        <w:rPr>
          <w:spacing w:val="-13"/>
          <w:w w:val="110"/>
        </w:rPr>
        <w:t> </w:t>
      </w:r>
      <w:r>
        <w:rPr>
          <w:w w:val="110"/>
        </w:rPr>
        <w:t>notional value</w:t>
      </w:r>
      <w:r>
        <w:rPr>
          <w:spacing w:val="-21"/>
          <w:w w:val="110"/>
        </w:rPr>
        <w:t> </w:t>
      </w:r>
      <w:r>
        <w:rPr>
          <w:w w:val="110"/>
        </w:rPr>
        <w:t>that</w:t>
      </w:r>
      <w:r>
        <w:rPr>
          <w:spacing w:val="-20"/>
          <w:w w:val="110"/>
        </w:rPr>
        <w:t> </w:t>
      </w:r>
      <w:r>
        <w:rPr>
          <w:w w:val="110"/>
        </w:rPr>
        <w:t>house-owners</w:t>
      </w:r>
      <w:r>
        <w:rPr>
          <w:spacing w:val="-20"/>
          <w:w w:val="110"/>
        </w:rPr>
        <w:t> </w:t>
      </w:r>
      <w:r>
        <w:rPr>
          <w:spacing w:val="-3"/>
          <w:w w:val="110"/>
        </w:rPr>
        <w:t>pay</w:t>
      </w:r>
      <w:r>
        <w:rPr>
          <w:spacing w:val="-20"/>
          <w:w w:val="110"/>
        </w:rPr>
        <w:t> </w:t>
      </w:r>
      <w:r>
        <w:rPr>
          <w:w w:val="110"/>
        </w:rPr>
        <w:t>for</w:t>
      </w:r>
      <w:r>
        <w:rPr>
          <w:spacing w:val="-20"/>
          <w:w w:val="110"/>
        </w:rPr>
        <w:t> </w:t>
      </w:r>
      <w:r>
        <w:rPr>
          <w:w w:val="110"/>
        </w:rPr>
        <w:t>the</w:t>
      </w:r>
      <w:r>
        <w:rPr>
          <w:spacing w:val="-20"/>
          <w:w w:val="110"/>
        </w:rPr>
        <w:t> </w:t>
      </w:r>
      <w:r>
        <w:rPr>
          <w:w w:val="110"/>
        </w:rPr>
        <w:t>services</w:t>
      </w:r>
      <w:r>
        <w:rPr>
          <w:spacing w:val="-20"/>
          <w:w w:val="110"/>
        </w:rPr>
        <w:t> </w:t>
      </w:r>
      <w:r>
        <w:rPr>
          <w:w w:val="110"/>
        </w:rPr>
        <w:t>provided</w:t>
      </w:r>
      <w:r>
        <w:rPr>
          <w:spacing w:val="-20"/>
          <w:w w:val="110"/>
        </w:rPr>
        <w:t> </w:t>
      </w:r>
      <w:r>
        <w:rPr>
          <w:spacing w:val="-3"/>
          <w:w w:val="110"/>
        </w:rPr>
        <w:t>by</w:t>
      </w:r>
      <w:r>
        <w:rPr>
          <w:spacing w:val="-20"/>
          <w:w w:val="110"/>
        </w:rPr>
        <w:t> </w:t>
      </w:r>
      <w:r>
        <w:rPr>
          <w:w w:val="110"/>
        </w:rPr>
        <w:t>their houses. Another </w:t>
      </w:r>
      <w:r>
        <w:rPr>
          <w:spacing w:val="-4"/>
          <w:w w:val="110"/>
        </w:rPr>
        <w:t>way </w:t>
      </w:r>
      <w:r>
        <w:rPr>
          <w:w w:val="110"/>
        </w:rPr>
        <w:t>of </w:t>
      </w:r>
      <w:r>
        <w:rPr>
          <w:spacing w:val="-3"/>
          <w:w w:val="110"/>
        </w:rPr>
        <w:t>proxying </w:t>
      </w:r>
      <w:r>
        <w:rPr>
          <w:w w:val="110"/>
        </w:rPr>
        <w:t>such services is through housing depreciation. And this has been rising substantially more quickly than the revised imputed rents series. Second, the revised consumer expenditure deflator is rising substantially more </w:t>
      </w:r>
      <w:r>
        <w:rPr>
          <w:spacing w:val="-3"/>
          <w:w w:val="110"/>
        </w:rPr>
        <w:t>slowly </w:t>
      </w:r>
      <w:r>
        <w:rPr>
          <w:w w:val="110"/>
        </w:rPr>
        <w:t>than the retail price series with the closest</w:t>
      </w:r>
      <w:r>
        <w:rPr>
          <w:spacing w:val="-35"/>
          <w:w w:val="110"/>
        </w:rPr>
        <w:t> </w:t>
      </w:r>
      <w:r>
        <w:rPr>
          <w:spacing w:val="-3"/>
          <w:w w:val="110"/>
        </w:rPr>
        <w:t>coverage</w:t>
      </w:r>
      <w:r>
        <w:rPr>
          <w:spacing w:val="-35"/>
          <w:w w:val="110"/>
        </w:rPr>
        <w:t> </w:t>
      </w:r>
      <w:r>
        <w:rPr>
          <w:w w:val="110"/>
        </w:rPr>
        <w:t>(RPIX</w:t>
      </w:r>
      <w:r>
        <w:rPr>
          <w:spacing w:val="-35"/>
          <w:w w:val="110"/>
        </w:rPr>
        <w:t> </w:t>
      </w:r>
      <w:r>
        <w:rPr>
          <w:w w:val="110"/>
        </w:rPr>
        <w:t>excluding</w:t>
      </w:r>
      <w:r>
        <w:rPr>
          <w:spacing w:val="-34"/>
          <w:w w:val="110"/>
        </w:rPr>
        <w:t> </w:t>
      </w:r>
      <w:r>
        <w:rPr>
          <w:w w:val="110"/>
        </w:rPr>
        <w:t>council</w:t>
      </w:r>
      <w:r>
        <w:rPr>
          <w:spacing w:val="-35"/>
          <w:w w:val="110"/>
        </w:rPr>
        <w:t> </w:t>
      </w:r>
      <w:r>
        <w:rPr>
          <w:w w:val="110"/>
        </w:rPr>
        <w:t>tax),</w:t>
      </w:r>
      <w:r>
        <w:rPr>
          <w:spacing w:val="-35"/>
          <w:w w:val="110"/>
        </w:rPr>
        <w:t> </w:t>
      </w:r>
      <w:r>
        <w:rPr>
          <w:w w:val="110"/>
        </w:rPr>
        <w:t>whereas</w:t>
      </w:r>
      <w:r>
        <w:rPr>
          <w:spacing w:val="-35"/>
          <w:w w:val="110"/>
        </w:rPr>
        <w:t> </w:t>
      </w:r>
      <w:r>
        <w:rPr>
          <w:w w:val="110"/>
        </w:rPr>
        <w:t>the</w:t>
      </w:r>
      <w:r>
        <w:rPr>
          <w:spacing w:val="-34"/>
          <w:w w:val="110"/>
        </w:rPr>
        <w:t> </w:t>
      </w:r>
      <w:r>
        <w:rPr>
          <w:spacing w:val="-5"/>
          <w:w w:val="110"/>
        </w:rPr>
        <w:t>two </w:t>
      </w:r>
      <w:r>
        <w:rPr>
          <w:w w:val="110"/>
        </w:rPr>
        <w:t>series usually </w:t>
      </w:r>
      <w:r>
        <w:rPr>
          <w:spacing w:val="-3"/>
          <w:w w:val="110"/>
        </w:rPr>
        <w:t>move </w:t>
      </w:r>
      <w:r>
        <w:rPr>
          <w:w w:val="110"/>
        </w:rPr>
        <w:t>closely </w:t>
      </w:r>
      <w:r>
        <w:rPr>
          <w:spacing w:val="-3"/>
          <w:w w:val="110"/>
        </w:rPr>
        <w:t>together. </w:t>
      </w:r>
      <w:r>
        <w:rPr>
          <w:w w:val="110"/>
        </w:rPr>
        <w:t>This reflects the </w:t>
      </w:r>
      <w:r>
        <w:rPr>
          <w:spacing w:val="-4"/>
          <w:w w:val="110"/>
        </w:rPr>
        <w:t>rates </w:t>
      </w:r>
      <w:r>
        <w:rPr>
          <w:w w:val="110"/>
        </w:rPr>
        <w:t>of increase of components such as prices of leisure goods and leisure</w:t>
      </w:r>
      <w:r>
        <w:rPr>
          <w:spacing w:val="-21"/>
          <w:w w:val="110"/>
        </w:rPr>
        <w:t> </w:t>
      </w:r>
      <w:r>
        <w:rPr>
          <w:w w:val="110"/>
        </w:rPr>
        <w:t>services</w:t>
      </w:r>
      <w:r>
        <w:rPr>
          <w:spacing w:val="-20"/>
          <w:w w:val="110"/>
        </w:rPr>
        <w:t> </w:t>
      </w:r>
      <w:r>
        <w:rPr>
          <w:w w:val="110"/>
        </w:rPr>
        <w:t>being</w:t>
      </w:r>
      <w:r>
        <w:rPr>
          <w:spacing w:val="-20"/>
          <w:w w:val="110"/>
        </w:rPr>
        <w:t> </w:t>
      </w:r>
      <w:r>
        <w:rPr>
          <w:w w:val="110"/>
        </w:rPr>
        <w:t>substantially</w:t>
      </w:r>
      <w:r>
        <w:rPr>
          <w:spacing w:val="-21"/>
          <w:w w:val="110"/>
        </w:rPr>
        <w:t> </w:t>
      </w:r>
      <w:r>
        <w:rPr>
          <w:spacing w:val="-3"/>
          <w:w w:val="110"/>
        </w:rPr>
        <w:t>weaker</w:t>
      </w:r>
      <w:r>
        <w:rPr>
          <w:spacing w:val="-20"/>
          <w:w w:val="110"/>
        </w:rPr>
        <w:t> </w:t>
      </w:r>
      <w:r>
        <w:rPr>
          <w:w w:val="110"/>
        </w:rPr>
        <w:t>in</w:t>
      </w:r>
      <w:r>
        <w:rPr>
          <w:spacing w:val="-20"/>
          <w:w w:val="110"/>
        </w:rPr>
        <w:t> </w:t>
      </w:r>
      <w:r>
        <w:rPr>
          <w:w w:val="110"/>
        </w:rPr>
        <w:t>the</w:t>
      </w:r>
      <w:r>
        <w:rPr>
          <w:spacing w:val="-21"/>
          <w:w w:val="110"/>
        </w:rPr>
        <w:t> </w:t>
      </w:r>
      <w:r>
        <w:rPr>
          <w:w w:val="110"/>
        </w:rPr>
        <w:t>deflator</w:t>
      </w:r>
      <w:r>
        <w:rPr>
          <w:spacing w:val="-20"/>
          <w:w w:val="110"/>
        </w:rPr>
        <w:t> </w:t>
      </w:r>
      <w:r>
        <w:rPr>
          <w:w w:val="110"/>
        </w:rPr>
        <w:t>data than in the RPI data. These differences </w:t>
      </w:r>
      <w:r>
        <w:rPr>
          <w:spacing w:val="-3"/>
          <w:w w:val="110"/>
        </w:rPr>
        <w:t>may </w:t>
      </w:r>
      <w:r>
        <w:rPr>
          <w:w w:val="110"/>
        </w:rPr>
        <w:t>be reduced with further data releases—unlike the RPI data, the </w:t>
      </w:r>
      <w:r>
        <w:rPr>
          <w:spacing w:val="-3"/>
          <w:w w:val="110"/>
        </w:rPr>
        <w:t>deflators </w:t>
      </w:r>
      <w:r>
        <w:rPr>
          <w:w w:val="110"/>
        </w:rPr>
        <w:t>are subject </w:t>
      </w:r>
      <w:r>
        <w:rPr>
          <w:spacing w:val="-4"/>
          <w:w w:val="110"/>
        </w:rPr>
        <w:t>to </w:t>
      </w:r>
      <w:r>
        <w:rPr>
          <w:w w:val="110"/>
        </w:rPr>
        <w:t>further revisions. The </w:t>
      </w:r>
      <w:r>
        <w:rPr>
          <w:spacing w:val="-3"/>
          <w:w w:val="110"/>
        </w:rPr>
        <w:t>Committee </w:t>
      </w:r>
      <w:r>
        <w:rPr>
          <w:w w:val="110"/>
        </w:rPr>
        <w:t>judges that the </w:t>
      </w:r>
      <w:r>
        <w:rPr>
          <w:spacing w:val="-4"/>
          <w:w w:val="110"/>
        </w:rPr>
        <w:t>lower-than-expected </w:t>
      </w:r>
      <w:r>
        <w:rPr>
          <w:w w:val="110"/>
        </w:rPr>
        <w:t>deflator figures </w:t>
      </w:r>
      <w:r>
        <w:rPr>
          <w:spacing w:val="-3"/>
          <w:w w:val="110"/>
        </w:rPr>
        <w:t>corroborate </w:t>
      </w:r>
      <w:r>
        <w:rPr>
          <w:w w:val="110"/>
        </w:rPr>
        <w:t>the picture from</w:t>
      </w:r>
      <w:r>
        <w:rPr>
          <w:spacing w:val="-22"/>
          <w:w w:val="110"/>
        </w:rPr>
        <w:t> </w:t>
      </w:r>
      <w:r>
        <w:rPr>
          <w:w w:val="110"/>
        </w:rPr>
        <w:t>the</w:t>
      </w:r>
      <w:r>
        <w:rPr>
          <w:spacing w:val="-21"/>
          <w:w w:val="110"/>
        </w:rPr>
        <w:t> </w:t>
      </w:r>
      <w:r>
        <w:rPr>
          <w:w w:val="110"/>
        </w:rPr>
        <w:t>RPIX</w:t>
      </w:r>
      <w:r>
        <w:rPr>
          <w:spacing w:val="-21"/>
          <w:w w:val="110"/>
        </w:rPr>
        <w:t> </w:t>
      </w:r>
      <w:r>
        <w:rPr>
          <w:w w:val="110"/>
        </w:rPr>
        <w:t>data</w:t>
      </w:r>
      <w:r>
        <w:rPr>
          <w:spacing w:val="-21"/>
          <w:w w:val="110"/>
        </w:rPr>
        <w:t> </w:t>
      </w:r>
      <w:r>
        <w:rPr>
          <w:w w:val="110"/>
        </w:rPr>
        <w:t>of</w:t>
      </w:r>
      <w:r>
        <w:rPr>
          <w:spacing w:val="-21"/>
          <w:w w:val="110"/>
        </w:rPr>
        <w:t> </w:t>
      </w:r>
      <w:r>
        <w:rPr>
          <w:spacing w:val="-3"/>
          <w:w w:val="110"/>
        </w:rPr>
        <w:t>lower</w:t>
      </w:r>
      <w:r>
        <w:rPr>
          <w:spacing w:val="-21"/>
          <w:w w:val="110"/>
        </w:rPr>
        <w:t> </w:t>
      </w:r>
      <w:r>
        <w:rPr>
          <w:w w:val="110"/>
        </w:rPr>
        <w:t>inflationary</w:t>
      </w:r>
      <w:r>
        <w:rPr>
          <w:spacing w:val="-21"/>
          <w:w w:val="110"/>
        </w:rPr>
        <w:t> </w:t>
      </w:r>
      <w:r>
        <w:rPr>
          <w:spacing w:val="-3"/>
          <w:w w:val="110"/>
        </w:rPr>
        <w:t>pressures,</w:t>
      </w:r>
      <w:r>
        <w:rPr>
          <w:spacing w:val="-21"/>
          <w:w w:val="110"/>
        </w:rPr>
        <w:t> </w:t>
      </w:r>
      <w:r>
        <w:rPr>
          <w:w w:val="110"/>
        </w:rPr>
        <w:t>rather</w:t>
      </w:r>
      <w:r>
        <w:rPr>
          <w:spacing w:val="-21"/>
          <w:w w:val="110"/>
        </w:rPr>
        <w:t> </w:t>
      </w:r>
      <w:r>
        <w:rPr>
          <w:w w:val="110"/>
        </w:rPr>
        <w:t>than signalling additional</w:t>
      </w:r>
      <w:r>
        <w:rPr>
          <w:spacing w:val="-15"/>
          <w:w w:val="110"/>
        </w:rPr>
        <w:t> </w:t>
      </w:r>
      <w:r>
        <w:rPr>
          <w:w w:val="110"/>
        </w:rPr>
        <w:t>weakness.</w:t>
      </w:r>
    </w:p>
    <w:p>
      <w:pPr>
        <w:pStyle w:val="BodyText"/>
        <w:spacing w:before="5"/>
        <w:rPr>
          <w:sz w:val="23"/>
        </w:rPr>
      </w:pPr>
    </w:p>
    <w:p>
      <w:pPr>
        <w:pStyle w:val="BodyText"/>
        <w:spacing w:line="292" w:lineRule="auto"/>
        <w:ind w:left="178" w:right="232"/>
      </w:pPr>
      <w:r>
        <w:rPr>
          <w:w w:val="105"/>
        </w:rPr>
        <w:t>It is useful </w:t>
      </w:r>
      <w:r>
        <w:rPr>
          <w:spacing w:val="-4"/>
          <w:w w:val="105"/>
        </w:rPr>
        <w:t>to </w:t>
      </w:r>
      <w:r>
        <w:rPr>
          <w:w w:val="105"/>
        </w:rPr>
        <w:t>try </w:t>
      </w:r>
      <w:r>
        <w:rPr>
          <w:spacing w:val="-4"/>
          <w:w w:val="105"/>
        </w:rPr>
        <w:t>to </w:t>
      </w:r>
      <w:r>
        <w:rPr>
          <w:w w:val="105"/>
        </w:rPr>
        <w:t>distinguish the effects of the domestically generated component of inflation from the influences of </w:t>
      </w:r>
      <w:r>
        <w:rPr>
          <w:spacing w:val="-5"/>
          <w:w w:val="105"/>
        </w:rPr>
        <w:t>world </w:t>
      </w:r>
      <w:r>
        <w:rPr>
          <w:w w:val="105"/>
        </w:rPr>
        <w:t>prices and the </w:t>
      </w:r>
      <w:r>
        <w:rPr>
          <w:spacing w:val="-3"/>
          <w:w w:val="105"/>
        </w:rPr>
        <w:t>exchange </w:t>
      </w:r>
      <w:r>
        <w:rPr>
          <w:spacing w:val="-4"/>
          <w:w w:val="105"/>
        </w:rPr>
        <w:t>rate, </w:t>
      </w:r>
      <w:r>
        <w:rPr>
          <w:w w:val="105"/>
        </w:rPr>
        <w:t>particularly when the </w:t>
      </w:r>
      <w:r>
        <w:rPr>
          <w:spacing w:val="-3"/>
          <w:w w:val="105"/>
        </w:rPr>
        <w:t>latter </w:t>
      </w:r>
      <w:r>
        <w:rPr>
          <w:spacing w:val="-5"/>
          <w:w w:val="105"/>
        </w:rPr>
        <w:t>two </w:t>
      </w:r>
      <w:r>
        <w:rPr>
          <w:w w:val="105"/>
        </w:rPr>
        <w:t>are changing by large amounts. Indicators of domestically </w:t>
      </w:r>
      <w:r>
        <w:rPr>
          <w:spacing w:val="-3"/>
          <w:w w:val="105"/>
        </w:rPr>
        <w:t>generated </w:t>
      </w:r>
      <w:r>
        <w:rPr>
          <w:w w:val="105"/>
        </w:rPr>
        <w:t>inflation (DGI) provide some information on the pressures being </w:t>
      </w:r>
      <w:r>
        <w:rPr>
          <w:spacing w:val="-3"/>
          <w:w w:val="105"/>
        </w:rPr>
        <w:t>exerted  </w:t>
      </w:r>
      <w:r>
        <w:rPr>
          <w:w w:val="105"/>
        </w:rPr>
        <w:t>on prices </w:t>
      </w:r>
      <w:r>
        <w:rPr>
          <w:spacing w:val="-3"/>
          <w:w w:val="105"/>
        </w:rPr>
        <w:t>by</w:t>
      </w:r>
      <w:r>
        <w:rPr>
          <w:spacing w:val="46"/>
          <w:w w:val="105"/>
        </w:rPr>
        <w:t> </w:t>
      </w:r>
      <w:r>
        <w:rPr>
          <w:w w:val="105"/>
        </w:rPr>
        <w:t>developments in domestic </w:t>
      </w:r>
      <w:r>
        <w:rPr>
          <w:spacing w:val="-4"/>
          <w:w w:val="105"/>
        </w:rPr>
        <w:t>activity. </w:t>
      </w:r>
      <w:r>
        <w:rPr>
          <w:w w:val="105"/>
        </w:rPr>
        <w:t>Again there are </w:t>
      </w:r>
      <w:r>
        <w:rPr>
          <w:spacing w:val="-3"/>
          <w:w w:val="105"/>
        </w:rPr>
        <w:t>many </w:t>
      </w:r>
      <w:r>
        <w:rPr>
          <w:spacing w:val="-4"/>
          <w:w w:val="105"/>
        </w:rPr>
        <w:t>ways </w:t>
      </w:r>
      <w:r>
        <w:rPr>
          <w:w w:val="105"/>
        </w:rPr>
        <w:t>of estimating these </w:t>
      </w:r>
      <w:r>
        <w:rPr>
          <w:spacing w:val="-3"/>
          <w:w w:val="105"/>
        </w:rPr>
        <w:t>pressures, </w:t>
      </w:r>
      <w:r>
        <w:rPr>
          <w:w w:val="105"/>
        </w:rPr>
        <w:t>each with their strengths and</w:t>
      </w:r>
      <w:r>
        <w:rPr>
          <w:spacing w:val="33"/>
          <w:w w:val="105"/>
        </w:rPr>
        <w:t> </w:t>
      </w:r>
      <w:r>
        <w:rPr>
          <w:w w:val="105"/>
        </w:rPr>
        <w:t>weaknesses.</w:t>
      </w:r>
    </w:p>
    <w:p>
      <w:pPr>
        <w:pStyle w:val="BodyText"/>
        <w:spacing w:line="225" w:lineRule="exact"/>
        <w:ind w:left="178"/>
      </w:pPr>
      <w:r>
        <w:rPr>
          <w:w w:val="110"/>
        </w:rPr>
        <w:t>Chart 4.17 presents three measures. Growth of</w:t>
      </w:r>
    </w:p>
    <w:p>
      <w:pPr>
        <w:pStyle w:val="BodyText"/>
        <w:spacing w:before="50"/>
        <w:ind w:left="178"/>
      </w:pPr>
      <w:r>
        <w:rPr>
          <w:w w:val="110"/>
        </w:rPr>
        <w:t>whole-economy unit labour costs edged up slightly in Q3 as</w:t>
      </w:r>
    </w:p>
    <w:p>
      <w:pPr>
        <w:spacing w:after="0"/>
        <w:sectPr>
          <w:type w:val="continuous"/>
          <w:pgSz w:w="11900" w:h="16840"/>
          <w:pgMar w:top="1260" w:bottom="280" w:left="640" w:right="640"/>
          <w:cols w:num="3" w:equalWidth="0">
            <w:col w:w="3370" w:space="40"/>
            <w:col w:w="271" w:space="1240"/>
            <w:col w:w="5699"/>
          </w:cols>
        </w:sectPr>
      </w:pPr>
    </w:p>
    <w:p>
      <w:pPr>
        <w:pStyle w:val="ListParagraph"/>
        <w:numPr>
          <w:ilvl w:val="0"/>
          <w:numId w:val="34"/>
        </w:numPr>
        <w:tabs>
          <w:tab w:pos="431" w:val="left" w:leader="none"/>
        </w:tabs>
        <w:spacing w:line="208" w:lineRule="auto" w:before="107" w:after="0"/>
        <w:ind w:left="430" w:right="38" w:hanging="240"/>
        <w:jc w:val="left"/>
        <w:rPr>
          <w:sz w:val="12"/>
        </w:rPr>
      </w:pPr>
      <w:r>
        <w:rPr/>
        <w:pict>
          <v:line style="position:absolute;mso-position-horizontal-relative:page;mso-position-vertical-relative:page;z-index:16357888" from="41.880001pt,441.412994pt" to="46.213001pt,441.412994pt" stroked="true" strokeweight=".5pt" strokecolor="#000000">
            <v:stroke dashstyle="solid"/>
            <w10:wrap type="none"/>
          </v:line>
        </w:pict>
      </w:r>
      <w:r>
        <w:rPr>
          <w:w w:val="105"/>
          <w:sz w:val="12"/>
        </w:rPr>
        <w:t>Using National Accounts measures of employee compensation and productivity</w:t>
      </w:r>
      <w:r>
        <w:rPr>
          <w:spacing w:val="-4"/>
          <w:w w:val="105"/>
          <w:sz w:val="12"/>
        </w:rPr>
        <w:t> </w:t>
      </w:r>
      <w:r>
        <w:rPr>
          <w:w w:val="105"/>
          <w:sz w:val="12"/>
        </w:rPr>
        <w:t>growth.</w:t>
      </w:r>
    </w:p>
    <w:p>
      <w:pPr>
        <w:pStyle w:val="ListParagraph"/>
        <w:numPr>
          <w:ilvl w:val="0"/>
          <w:numId w:val="34"/>
        </w:numPr>
        <w:tabs>
          <w:tab w:pos="431" w:val="left" w:leader="none"/>
        </w:tabs>
        <w:spacing w:line="123" w:lineRule="exact" w:before="0" w:after="0"/>
        <w:ind w:left="430" w:right="0" w:hanging="241"/>
        <w:jc w:val="left"/>
        <w:rPr>
          <w:sz w:val="12"/>
        </w:rPr>
      </w:pPr>
      <w:r>
        <w:rPr>
          <w:w w:val="110"/>
          <w:sz w:val="12"/>
        </w:rPr>
        <w:t>Constructed</w:t>
      </w:r>
      <w:r>
        <w:rPr>
          <w:spacing w:val="-13"/>
          <w:w w:val="110"/>
          <w:sz w:val="12"/>
        </w:rPr>
        <w:t> </w:t>
      </w:r>
      <w:r>
        <w:rPr>
          <w:w w:val="110"/>
          <w:sz w:val="12"/>
        </w:rPr>
        <w:t>using</w:t>
      </w:r>
      <w:r>
        <w:rPr>
          <w:spacing w:val="-13"/>
          <w:w w:val="110"/>
          <w:sz w:val="12"/>
        </w:rPr>
        <w:t> </w:t>
      </w:r>
      <w:r>
        <w:rPr>
          <w:w w:val="110"/>
          <w:sz w:val="12"/>
        </w:rPr>
        <w:t>long-run</w:t>
      </w:r>
      <w:r>
        <w:rPr>
          <w:spacing w:val="-13"/>
          <w:w w:val="110"/>
          <w:sz w:val="12"/>
        </w:rPr>
        <w:t> </w:t>
      </w:r>
      <w:r>
        <w:rPr>
          <w:w w:val="110"/>
          <w:sz w:val="12"/>
        </w:rPr>
        <w:t>trend</w:t>
      </w:r>
      <w:r>
        <w:rPr>
          <w:spacing w:val="-12"/>
          <w:w w:val="110"/>
          <w:sz w:val="12"/>
        </w:rPr>
        <w:t> </w:t>
      </w:r>
      <w:r>
        <w:rPr>
          <w:w w:val="110"/>
          <w:sz w:val="12"/>
        </w:rPr>
        <w:t>productivity</w:t>
      </w:r>
      <w:r>
        <w:rPr>
          <w:spacing w:val="-13"/>
          <w:w w:val="110"/>
          <w:sz w:val="12"/>
        </w:rPr>
        <w:t> </w:t>
      </w:r>
      <w:r>
        <w:rPr>
          <w:w w:val="110"/>
          <w:sz w:val="12"/>
        </w:rPr>
        <w:t>growth</w:t>
      </w:r>
      <w:r>
        <w:rPr>
          <w:spacing w:val="-13"/>
          <w:w w:val="110"/>
          <w:sz w:val="12"/>
        </w:rPr>
        <w:t> </w:t>
      </w:r>
      <w:r>
        <w:rPr>
          <w:w w:val="110"/>
          <w:sz w:val="12"/>
        </w:rPr>
        <w:t>of</w:t>
      </w:r>
      <w:r>
        <w:rPr>
          <w:spacing w:val="-12"/>
          <w:w w:val="110"/>
          <w:sz w:val="12"/>
        </w:rPr>
        <w:t> </w:t>
      </w:r>
      <w:r>
        <w:rPr>
          <w:w w:val="110"/>
          <w:sz w:val="12"/>
        </w:rPr>
        <w:t>2%.</w:t>
      </w:r>
    </w:p>
    <w:p>
      <w:pPr>
        <w:pStyle w:val="BodyText"/>
        <w:spacing w:line="209" w:lineRule="exact"/>
        <w:ind w:left="190"/>
      </w:pPr>
      <w:r>
        <w:rPr/>
        <w:br w:type="column"/>
      </w:r>
      <w:r>
        <w:rPr>
          <w:w w:val="105"/>
        </w:rPr>
        <w:t>productivity growth slowed slightly </w:t>
      </w:r>
      <w:hyperlink w:history="true" w:anchor="_bookmark33">
        <w:r>
          <w:rPr>
            <w:w w:val="105"/>
          </w:rPr>
          <w:t>(see </w:t>
        </w:r>
        <w:r>
          <w:rPr>
            <w:color w:val="FF0000"/>
            <w:w w:val="105"/>
          </w:rPr>
          <w:t>Section 3.3</w:t>
        </w:r>
        <w:r>
          <w:rPr>
            <w:w w:val="105"/>
          </w:rPr>
          <w:t>).</w:t>
        </w:r>
      </w:hyperlink>
      <w:r>
        <w:rPr>
          <w:w w:val="105"/>
        </w:rPr>
        <w:t> But</w:t>
      </w:r>
    </w:p>
    <w:p>
      <w:pPr>
        <w:pStyle w:val="BodyText"/>
        <w:spacing w:before="50"/>
        <w:ind w:left="190"/>
      </w:pPr>
      <w:r>
        <w:rPr>
          <w:w w:val="110"/>
        </w:rPr>
        <w:t>because productivity growth remained above its long-run</w:t>
      </w:r>
    </w:p>
    <w:p>
      <w:pPr>
        <w:spacing w:after="0"/>
        <w:sectPr>
          <w:type w:val="continuous"/>
          <w:pgSz w:w="11900" w:h="16840"/>
          <w:pgMar w:top="1260" w:bottom="280" w:left="640" w:right="640"/>
          <w:cols w:num="2" w:equalWidth="0">
            <w:col w:w="3652" w:space="1257"/>
            <w:col w:w="5711"/>
          </w:cols>
        </w:sectPr>
      </w:pPr>
    </w:p>
    <w:p>
      <w:pPr>
        <w:pStyle w:val="BodyText"/>
      </w:pPr>
    </w:p>
    <w:p>
      <w:pPr>
        <w:pStyle w:val="BodyText"/>
        <w:spacing w:before="6"/>
        <w:rPr>
          <w:sz w:val="19"/>
        </w:rPr>
      </w:pPr>
    </w:p>
    <w:p>
      <w:pPr>
        <w:pStyle w:val="BodyText"/>
        <w:spacing w:line="292" w:lineRule="auto"/>
        <w:ind w:left="5085"/>
      </w:pPr>
      <w:bookmarkStart w:name="Summary" w:id="86"/>
      <w:bookmarkEnd w:id="86"/>
      <w:r>
        <w:rPr/>
      </w:r>
      <w:bookmarkStart w:name="_bookmark43" w:id="87"/>
      <w:bookmarkEnd w:id="87"/>
      <w:r>
        <w:rPr/>
      </w:r>
      <w:r>
        <w:rPr>
          <w:w w:val="110"/>
        </w:rPr>
        <w:t>trend, unit labour cost growth based upon trend productivity growth</w:t>
      </w:r>
      <w:r>
        <w:rPr>
          <w:spacing w:val="-18"/>
          <w:w w:val="110"/>
        </w:rPr>
        <w:t> </w:t>
      </w:r>
      <w:r>
        <w:rPr>
          <w:w w:val="110"/>
        </w:rPr>
        <w:t>continued</w:t>
      </w:r>
      <w:r>
        <w:rPr>
          <w:spacing w:val="-18"/>
          <w:w w:val="110"/>
        </w:rPr>
        <w:t> </w:t>
      </w:r>
      <w:r>
        <w:rPr>
          <w:spacing w:val="-4"/>
          <w:w w:val="110"/>
        </w:rPr>
        <w:t>to</w:t>
      </w:r>
      <w:r>
        <w:rPr>
          <w:spacing w:val="-18"/>
          <w:w w:val="110"/>
        </w:rPr>
        <w:t> </w:t>
      </w:r>
      <w:r>
        <w:rPr>
          <w:spacing w:val="-3"/>
          <w:w w:val="110"/>
        </w:rPr>
        <w:t>exceed</w:t>
      </w:r>
      <w:r>
        <w:rPr>
          <w:spacing w:val="-18"/>
          <w:w w:val="110"/>
        </w:rPr>
        <w:t> </w:t>
      </w:r>
      <w:r>
        <w:rPr>
          <w:w w:val="110"/>
        </w:rPr>
        <w:t>measured</w:t>
      </w:r>
      <w:r>
        <w:rPr>
          <w:spacing w:val="-18"/>
          <w:w w:val="110"/>
        </w:rPr>
        <w:t> </w:t>
      </w:r>
      <w:r>
        <w:rPr>
          <w:w w:val="110"/>
        </w:rPr>
        <w:t>unit</w:t>
      </w:r>
      <w:r>
        <w:rPr>
          <w:spacing w:val="-18"/>
          <w:w w:val="110"/>
        </w:rPr>
        <w:t> </w:t>
      </w:r>
      <w:r>
        <w:rPr>
          <w:w w:val="110"/>
        </w:rPr>
        <w:t>labour</w:t>
      </w:r>
      <w:r>
        <w:rPr>
          <w:spacing w:val="-18"/>
          <w:w w:val="110"/>
        </w:rPr>
        <w:t> </w:t>
      </w:r>
      <w:r>
        <w:rPr>
          <w:w w:val="110"/>
        </w:rPr>
        <w:t>cost</w:t>
      </w:r>
      <w:r>
        <w:rPr>
          <w:spacing w:val="-18"/>
          <w:w w:val="110"/>
        </w:rPr>
        <w:t> </w:t>
      </w:r>
      <w:r>
        <w:rPr>
          <w:w w:val="110"/>
        </w:rPr>
        <w:t>growth. The</w:t>
      </w:r>
      <w:r>
        <w:rPr>
          <w:spacing w:val="-21"/>
          <w:w w:val="110"/>
        </w:rPr>
        <w:t> </w:t>
      </w:r>
      <w:r>
        <w:rPr>
          <w:w w:val="110"/>
        </w:rPr>
        <w:t>annual</w:t>
      </w:r>
      <w:r>
        <w:rPr>
          <w:spacing w:val="-21"/>
          <w:w w:val="110"/>
        </w:rPr>
        <w:t> </w:t>
      </w:r>
      <w:r>
        <w:rPr>
          <w:spacing w:val="-4"/>
          <w:w w:val="110"/>
        </w:rPr>
        <w:t>rate</w:t>
      </w:r>
      <w:r>
        <w:rPr>
          <w:spacing w:val="-21"/>
          <w:w w:val="110"/>
        </w:rPr>
        <w:t> </w:t>
      </w:r>
      <w:r>
        <w:rPr>
          <w:w w:val="110"/>
        </w:rPr>
        <w:t>of</w:t>
      </w:r>
      <w:r>
        <w:rPr>
          <w:spacing w:val="-21"/>
          <w:w w:val="110"/>
        </w:rPr>
        <w:t> </w:t>
      </w:r>
      <w:r>
        <w:rPr>
          <w:w w:val="110"/>
        </w:rPr>
        <w:t>increase</w:t>
      </w:r>
      <w:r>
        <w:rPr>
          <w:spacing w:val="-20"/>
          <w:w w:val="110"/>
        </w:rPr>
        <w:t> </w:t>
      </w:r>
      <w:r>
        <w:rPr>
          <w:w w:val="110"/>
        </w:rPr>
        <w:t>of</w:t>
      </w:r>
      <w:r>
        <w:rPr>
          <w:spacing w:val="-21"/>
          <w:w w:val="110"/>
        </w:rPr>
        <w:t> </w:t>
      </w:r>
      <w:r>
        <w:rPr>
          <w:w w:val="110"/>
        </w:rPr>
        <w:t>RPIX</w:t>
      </w:r>
      <w:r>
        <w:rPr>
          <w:spacing w:val="-21"/>
          <w:w w:val="110"/>
        </w:rPr>
        <w:t> </w:t>
      </w:r>
      <w:r>
        <w:rPr>
          <w:w w:val="110"/>
        </w:rPr>
        <w:t>excluding</w:t>
      </w:r>
      <w:r>
        <w:rPr>
          <w:spacing w:val="-21"/>
          <w:w w:val="110"/>
        </w:rPr>
        <w:t> </w:t>
      </w:r>
      <w:r>
        <w:rPr>
          <w:w w:val="110"/>
        </w:rPr>
        <w:t>import</w:t>
      </w:r>
      <w:r>
        <w:rPr>
          <w:spacing w:val="-20"/>
          <w:w w:val="110"/>
        </w:rPr>
        <w:t> </w:t>
      </w:r>
      <w:r>
        <w:rPr>
          <w:w w:val="110"/>
        </w:rPr>
        <w:t>prices, which had been declining for </w:t>
      </w:r>
      <w:r>
        <w:rPr>
          <w:spacing w:val="-3"/>
          <w:w w:val="110"/>
        </w:rPr>
        <w:t>several years, </w:t>
      </w:r>
      <w:r>
        <w:rPr>
          <w:w w:val="110"/>
        </w:rPr>
        <w:t>rose slightly </w:t>
      </w:r>
      <w:r>
        <w:rPr>
          <w:spacing w:val="-4"/>
          <w:w w:val="110"/>
        </w:rPr>
        <w:t>to </w:t>
      </w:r>
      <w:r>
        <w:rPr>
          <w:w w:val="110"/>
        </w:rPr>
        <w:t>2.5%</w:t>
      </w:r>
      <w:r>
        <w:rPr>
          <w:spacing w:val="-10"/>
          <w:w w:val="110"/>
        </w:rPr>
        <w:t> </w:t>
      </w:r>
      <w:r>
        <w:rPr>
          <w:w w:val="110"/>
        </w:rPr>
        <w:t>in</w:t>
      </w:r>
      <w:r>
        <w:rPr>
          <w:spacing w:val="-10"/>
          <w:w w:val="110"/>
        </w:rPr>
        <w:t> </w:t>
      </w:r>
      <w:r>
        <w:rPr>
          <w:w w:val="110"/>
        </w:rPr>
        <w:t>Q3—a</w:t>
      </w:r>
      <w:r>
        <w:rPr>
          <w:spacing w:val="-10"/>
          <w:w w:val="110"/>
        </w:rPr>
        <w:t> </w:t>
      </w:r>
      <w:r>
        <w:rPr>
          <w:w w:val="110"/>
        </w:rPr>
        <w:t>higher</w:t>
      </w:r>
      <w:r>
        <w:rPr>
          <w:spacing w:val="-10"/>
          <w:w w:val="110"/>
        </w:rPr>
        <w:t> </w:t>
      </w:r>
      <w:r>
        <w:rPr>
          <w:spacing w:val="-4"/>
          <w:w w:val="110"/>
        </w:rPr>
        <w:t>rate</w:t>
      </w:r>
      <w:r>
        <w:rPr>
          <w:spacing w:val="-10"/>
          <w:w w:val="110"/>
        </w:rPr>
        <w:t> </w:t>
      </w:r>
      <w:r>
        <w:rPr>
          <w:w w:val="110"/>
        </w:rPr>
        <w:t>than</w:t>
      </w:r>
      <w:r>
        <w:rPr>
          <w:spacing w:val="-10"/>
          <w:w w:val="110"/>
        </w:rPr>
        <w:t> </w:t>
      </w:r>
      <w:r>
        <w:rPr>
          <w:w w:val="110"/>
        </w:rPr>
        <w:t>for</w:t>
      </w:r>
      <w:r>
        <w:rPr>
          <w:spacing w:val="-10"/>
          <w:w w:val="110"/>
        </w:rPr>
        <w:t> </w:t>
      </w:r>
      <w:r>
        <w:rPr>
          <w:w w:val="110"/>
        </w:rPr>
        <w:t>the</w:t>
      </w:r>
      <w:r>
        <w:rPr>
          <w:spacing w:val="-10"/>
          <w:w w:val="110"/>
        </w:rPr>
        <w:t> </w:t>
      </w:r>
      <w:r>
        <w:rPr>
          <w:w w:val="110"/>
        </w:rPr>
        <w:t>labour</w:t>
      </w:r>
      <w:r>
        <w:rPr>
          <w:spacing w:val="-10"/>
          <w:w w:val="110"/>
        </w:rPr>
        <w:t> </w:t>
      </w:r>
      <w:r>
        <w:rPr>
          <w:w w:val="110"/>
        </w:rPr>
        <w:t>cost</w:t>
      </w:r>
      <w:r>
        <w:rPr>
          <w:spacing w:val="-10"/>
          <w:w w:val="110"/>
        </w:rPr>
        <w:t> </w:t>
      </w:r>
      <w:r>
        <w:rPr>
          <w:w w:val="110"/>
        </w:rPr>
        <w:t>measures.</w:t>
      </w:r>
    </w:p>
    <w:p>
      <w:pPr>
        <w:pStyle w:val="BodyText"/>
        <w:spacing w:before="5"/>
        <w:rPr>
          <w:sz w:val="17"/>
        </w:rPr>
      </w:pPr>
    </w:p>
    <w:p>
      <w:pPr>
        <w:pStyle w:val="Heading3"/>
        <w:numPr>
          <w:ilvl w:val="1"/>
          <w:numId w:val="32"/>
        </w:numPr>
        <w:tabs>
          <w:tab w:pos="5565" w:val="left" w:leader="none"/>
          <w:tab w:pos="5566" w:val="left" w:leader="none"/>
          <w:tab w:pos="10464" w:val="left" w:leader="none"/>
        </w:tabs>
        <w:spacing w:line="240" w:lineRule="auto" w:before="0" w:after="0"/>
        <w:ind w:left="5565" w:right="0" w:hanging="601"/>
        <w:jc w:val="left"/>
        <w:rPr>
          <w:u w:val="none"/>
        </w:rPr>
      </w:pPr>
      <w:r>
        <w:rPr>
          <w:color w:val="89C6DC"/>
          <w:u w:val="single" w:color="006CB4"/>
        </w:rPr>
        <w:t>Summary</w:t>
        <w:tab/>
      </w:r>
    </w:p>
    <w:p>
      <w:pPr>
        <w:pStyle w:val="BodyText"/>
        <w:spacing w:before="9"/>
        <w:rPr>
          <w:rFonts w:ascii="Trebuchet MS"/>
          <w:b/>
          <w:sz w:val="26"/>
        </w:rPr>
      </w:pPr>
    </w:p>
    <w:p>
      <w:pPr>
        <w:pStyle w:val="BodyText"/>
        <w:spacing w:line="292" w:lineRule="auto"/>
        <w:ind w:left="5085" w:right="172"/>
      </w:pPr>
      <w:r>
        <w:rPr>
          <w:w w:val="110"/>
        </w:rPr>
        <w:t>Prices of oil and hard commodities </w:t>
      </w:r>
      <w:r>
        <w:rPr>
          <w:spacing w:val="-3"/>
          <w:w w:val="110"/>
        </w:rPr>
        <w:t>have </w:t>
      </w:r>
      <w:r>
        <w:rPr>
          <w:w w:val="110"/>
        </w:rPr>
        <w:t>fallen in recent months. This partly reflects </w:t>
      </w:r>
      <w:r>
        <w:rPr>
          <w:spacing w:val="-3"/>
          <w:w w:val="110"/>
        </w:rPr>
        <w:t>downward </w:t>
      </w:r>
      <w:r>
        <w:rPr>
          <w:w w:val="110"/>
        </w:rPr>
        <w:t>revisions </w:t>
      </w:r>
      <w:r>
        <w:rPr>
          <w:spacing w:val="-4"/>
          <w:w w:val="110"/>
        </w:rPr>
        <w:t>to </w:t>
      </w:r>
      <w:r>
        <w:rPr>
          <w:spacing w:val="-3"/>
          <w:w w:val="110"/>
        </w:rPr>
        <w:t>expected </w:t>
      </w:r>
      <w:r>
        <w:rPr>
          <w:w w:val="110"/>
        </w:rPr>
        <w:t>world</w:t>
      </w:r>
      <w:r>
        <w:rPr>
          <w:spacing w:val="-31"/>
          <w:w w:val="110"/>
        </w:rPr>
        <w:t> </w:t>
      </w:r>
      <w:r>
        <w:rPr>
          <w:w w:val="110"/>
        </w:rPr>
        <w:t>output</w:t>
      </w:r>
      <w:r>
        <w:rPr>
          <w:spacing w:val="-30"/>
          <w:w w:val="110"/>
        </w:rPr>
        <w:t> </w:t>
      </w:r>
      <w:r>
        <w:rPr>
          <w:w w:val="110"/>
        </w:rPr>
        <w:t>growth,</w:t>
      </w:r>
      <w:r>
        <w:rPr>
          <w:spacing w:val="-30"/>
          <w:w w:val="110"/>
        </w:rPr>
        <w:t> </w:t>
      </w:r>
      <w:r>
        <w:rPr>
          <w:spacing w:val="-4"/>
          <w:w w:val="110"/>
        </w:rPr>
        <w:t>to</w:t>
      </w:r>
      <w:r>
        <w:rPr>
          <w:spacing w:val="-30"/>
          <w:w w:val="110"/>
        </w:rPr>
        <w:t> </w:t>
      </w:r>
      <w:r>
        <w:rPr>
          <w:w w:val="110"/>
        </w:rPr>
        <w:t>which</w:t>
      </w:r>
      <w:r>
        <w:rPr>
          <w:spacing w:val="-30"/>
          <w:w w:val="110"/>
        </w:rPr>
        <w:t> </w:t>
      </w:r>
      <w:r>
        <w:rPr>
          <w:w w:val="110"/>
        </w:rPr>
        <w:t>previous</w:t>
      </w:r>
      <w:r>
        <w:rPr>
          <w:spacing w:val="-30"/>
          <w:w w:val="110"/>
        </w:rPr>
        <w:t> </w:t>
      </w:r>
      <w:r>
        <w:rPr>
          <w:w w:val="110"/>
        </w:rPr>
        <w:t>commodity</w:t>
      </w:r>
      <w:r>
        <w:rPr>
          <w:spacing w:val="-31"/>
          <w:w w:val="110"/>
        </w:rPr>
        <w:t> </w:t>
      </w:r>
      <w:r>
        <w:rPr>
          <w:w w:val="110"/>
        </w:rPr>
        <w:t>prices</w:t>
      </w:r>
      <w:r>
        <w:rPr>
          <w:spacing w:val="-30"/>
          <w:w w:val="110"/>
        </w:rPr>
        <w:t> </w:t>
      </w:r>
      <w:r>
        <w:rPr>
          <w:w w:val="110"/>
        </w:rPr>
        <w:t>rises contributed. </w:t>
      </w:r>
      <w:r>
        <w:rPr>
          <w:spacing w:val="-3"/>
          <w:w w:val="110"/>
        </w:rPr>
        <w:t>Lower </w:t>
      </w:r>
      <w:r>
        <w:rPr>
          <w:w w:val="110"/>
        </w:rPr>
        <w:t>input prices, combined with continued subdued unit wage cost growth, suggest that the </w:t>
      </w:r>
      <w:r>
        <w:rPr>
          <w:spacing w:val="-4"/>
          <w:w w:val="110"/>
        </w:rPr>
        <w:t>rate </w:t>
      </w:r>
      <w:r>
        <w:rPr>
          <w:w w:val="110"/>
        </w:rPr>
        <w:t>of increase</w:t>
      </w:r>
      <w:r>
        <w:rPr>
          <w:spacing w:val="-24"/>
          <w:w w:val="110"/>
        </w:rPr>
        <w:t> </w:t>
      </w:r>
      <w:r>
        <w:rPr>
          <w:w w:val="110"/>
        </w:rPr>
        <w:t>of</w:t>
      </w:r>
      <w:r>
        <w:rPr>
          <w:spacing w:val="-24"/>
          <w:w w:val="110"/>
        </w:rPr>
        <w:t> </w:t>
      </w:r>
      <w:r>
        <w:rPr>
          <w:w w:val="110"/>
        </w:rPr>
        <w:t>manufacturers’</w:t>
      </w:r>
      <w:r>
        <w:rPr>
          <w:spacing w:val="-24"/>
          <w:w w:val="110"/>
        </w:rPr>
        <w:t> </w:t>
      </w:r>
      <w:r>
        <w:rPr>
          <w:w w:val="110"/>
        </w:rPr>
        <w:t>costs</w:t>
      </w:r>
      <w:r>
        <w:rPr>
          <w:spacing w:val="-23"/>
          <w:w w:val="110"/>
        </w:rPr>
        <w:t> </w:t>
      </w:r>
      <w:r>
        <w:rPr>
          <w:w w:val="110"/>
        </w:rPr>
        <w:t>has</w:t>
      </w:r>
      <w:r>
        <w:rPr>
          <w:spacing w:val="-24"/>
          <w:w w:val="110"/>
        </w:rPr>
        <w:t> </w:t>
      </w:r>
      <w:r>
        <w:rPr>
          <w:w w:val="110"/>
        </w:rPr>
        <w:t>slowed,</w:t>
      </w:r>
      <w:r>
        <w:rPr>
          <w:spacing w:val="-24"/>
          <w:w w:val="110"/>
        </w:rPr>
        <w:t> </w:t>
      </w:r>
      <w:r>
        <w:rPr>
          <w:w w:val="110"/>
        </w:rPr>
        <w:t>although</w:t>
      </w:r>
      <w:r>
        <w:rPr>
          <w:spacing w:val="-23"/>
          <w:w w:val="110"/>
        </w:rPr>
        <w:t> </w:t>
      </w:r>
      <w:r>
        <w:rPr>
          <w:spacing w:val="-3"/>
          <w:w w:val="110"/>
        </w:rPr>
        <w:t>survey </w:t>
      </w:r>
      <w:r>
        <w:rPr>
          <w:w w:val="110"/>
        </w:rPr>
        <w:t>measures provide more mixed signals. Manufacturing output price</w:t>
      </w:r>
      <w:r>
        <w:rPr>
          <w:spacing w:val="-15"/>
          <w:w w:val="110"/>
        </w:rPr>
        <w:t> </w:t>
      </w:r>
      <w:r>
        <w:rPr>
          <w:w w:val="110"/>
        </w:rPr>
        <w:t>inflation</w:t>
      </w:r>
      <w:r>
        <w:rPr>
          <w:spacing w:val="-14"/>
          <w:w w:val="110"/>
        </w:rPr>
        <w:t> </w:t>
      </w:r>
      <w:r>
        <w:rPr>
          <w:w w:val="110"/>
        </w:rPr>
        <w:t>has</w:t>
      </w:r>
      <w:r>
        <w:rPr>
          <w:spacing w:val="-15"/>
          <w:w w:val="110"/>
        </w:rPr>
        <w:t> </w:t>
      </w:r>
      <w:r>
        <w:rPr>
          <w:w w:val="110"/>
        </w:rPr>
        <w:t>also</w:t>
      </w:r>
      <w:r>
        <w:rPr>
          <w:spacing w:val="-14"/>
          <w:w w:val="110"/>
        </w:rPr>
        <w:t> </w:t>
      </w:r>
      <w:r>
        <w:rPr>
          <w:spacing w:val="-3"/>
          <w:w w:val="110"/>
        </w:rPr>
        <w:t>slowed</w:t>
      </w:r>
      <w:r>
        <w:rPr>
          <w:spacing w:val="-15"/>
          <w:w w:val="110"/>
        </w:rPr>
        <w:t> </w:t>
      </w:r>
      <w:r>
        <w:rPr>
          <w:w w:val="110"/>
        </w:rPr>
        <w:t>and</w:t>
      </w:r>
      <w:r>
        <w:rPr>
          <w:spacing w:val="-14"/>
          <w:w w:val="110"/>
        </w:rPr>
        <w:t> </w:t>
      </w:r>
      <w:r>
        <w:rPr>
          <w:w w:val="110"/>
        </w:rPr>
        <w:t>remains</w:t>
      </w:r>
      <w:r>
        <w:rPr>
          <w:spacing w:val="-15"/>
          <w:w w:val="110"/>
        </w:rPr>
        <w:t> </w:t>
      </w:r>
      <w:r>
        <w:rPr>
          <w:spacing w:val="-3"/>
          <w:w w:val="110"/>
        </w:rPr>
        <w:t>lower</w:t>
      </w:r>
      <w:r>
        <w:rPr>
          <w:spacing w:val="-14"/>
          <w:w w:val="110"/>
        </w:rPr>
        <w:t> </w:t>
      </w:r>
      <w:r>
        <w:rPr>
          <w:w w:val="110"/>
        </w:rPr>
        <w:t>than</w:t>
      </w:r>
      <w:r>
        <w:rPr>
          <w:spacing w:val="-15"/>
          <w:w w:val="110"/>
        </w:rPr>
        <w:t> </w:t>
      </w:r>
      <w:r>
        <w:rPr>
          <w:w w:val="110"/>
        </w:rPr>
        <w:t>the</w:t>
      </w:r>
      <w:r>
        <w:rPr>
          <w:spacing w:val="-14"/>
          <w:w w:val="110"/>
        </w:rPr>
        <w:t> </w:t>
      </w:r>
      <w:r>
        <w:rPr>
          <w:spacing w:val="-4"/>
          <w:w w:val="110"/>
        </w:rPr>
        <w:t>rate </w:t>
      </w:r>
      <w:r>
        <w:rPr>
          <w:w w:val="110"/>
        </w:rPr>
        <w:t>of</w:t>
      </w:r>
      <w:r>
        <w:rPr>
          <w:spacing w:val="-17"/>
          <w:w w:val="110"/>
        </w:rPr>
        <w:t> </w:t>
      </w:r>
      <w:r>
        <w:rPr>
          <w:w w:val="110"/>
        </w:rPr>
        <w:t>increase</w:t>
      </w:r>
      <w:r>
        <w:rPr>
          <w:spacing w:val="-16"/>
          <w:w w:val="110"/>
        </w:rPr>
        <w:t> </w:t>
      </w:r>
      <w:r>
        <w:rPr>
          <w:w w:val="110"/>
        </w:rPr>
        <w:t>of</w:t>
      </w:r>
      <w:r>
        <w:rPr>
          <w:spacing w:val="-17"/>
          <w:w w:val="110"/>
        </w:rPr>
        <w:t> </w:t>
      </w:r>
      <w:r>
        <w:rPr>
          <w:w w:val="110"/>
        </w:rPr>
        <w:t>costs.</w:t>
      </w:r>
      <w:r>
        <w:rPr>
          <w:spacing w:val="23"/>
          <w:w w:val="110"/>
        </w:rPr>
        <w:t> </w:t>
      </w:r>
      <w:r>
        <w:rPr>
          <w:w w:val="110"/>
        </w:rPr>
        <w:t>But</w:t>
      </w:r>
      <w:r>
        <w:rPr>
          <w:spacing w:val="-16"/>
          <w:w w:val="110"/>
        </w:rPr>
        <w:t> </w:t>
      </w:r>
      <w:r>
        <w:rPr>
          <w:spacing w:val="-3"/>
          <w:w w:val="110"/>
        </w:rPr>
        <w:t>surveys</w:t>
      </w:r>
      <w:r>
        <w:rPr>
          <w:spacing w:val="-17"/>
          <w:w w:val="110"/>
        </w:rPr>
        <w:t> </w:t>
      </w:r>
      <w:r>
        <w:rPr>
          <w:w w:val="110"/>
        </w:rPr>
        <w:t>indicate</w:t>
      </w:r>
      <w:r>
        <w:rPr>
          <w:spacing w:val="-16"/>
          <w:w w:val="110"/>
        </w:rPr>
        <w:t> </w:t>
      </w:r>
      <w:r>
        <w:rPr>
          <w:w w:val="110"/>
        </w:rPr>
        <w:t>higher</w:t>
      </w:r>
      <w:r>
        <w:rPr>
          <w:spacing w:val="-17"/>
          <w:w w:val="110"/>
        </w:rPr>
        <w:t> </w:t>
      </w:r>
      <w:r>
        <w:rPr>
          <w:w w:val="110"/>
        </w:rPr>
        <w:t>future</w:t>
      </w:r>
      <w:r>
        <w:rPr>
          <w:spacing w:val="-16"/>
          <w:w w:val="110"/>
        </w:rPr>
        <w:t> </w:t>
      </w:r>
      <w:r>
        <w:rPr>
          <w:w w:val="110"/>
        </w:rPr>
        <w:t>output prices. </w:t>
      </w:r>
      <w:r>
        <w:rPr>
          <w:spacing w:val="-3"/>
          <w:w w:val="110"/>
        </w:rPr>
        <w:t>Surveys </w:t>
      </w:r>
      <w:r>
        <w:rPr>
          <w:w w:val="110"/>
        </w:rPr>
        <w:t>suggest that service sector costs </w:t>
      </w:r>
      <w:r>
        <w:rPr>
          <w:spacing w:val="-3"/>
          <w:w w:val="110"/>
        </w:rPr>
        <w:t>have </w:t>
      </w:r>
      <w:r>
        <w:rPr>
          <w:w w:val="110"/>
        </w:rPr>
        <w:t>risen </w:t>
      </w:r>
      <w:r>
        <w:rPr>
          <w:spacing w:val="-4"/>
          <w:w w:val="110"/>
        </w:rPr>
        <w:t>strongly, </w:t>
      </w:r>
      <w:r>
        <w:rPr>
          <w:w w:val="110"/>
        </w:rPr>
        <w:t>although less quickly than early in </w:t>
      </w:r>
      <w:r>
        <w:rPr>
          <w:spacing w:val="-4"/>
          <w:w w:val="110"/>
        </w:rPr>
        <w:t>2000. </w:t>
      </w:r>
      <w:r>
        <w:rPr>
          <w:w w:val="110"/>
        </w:rPr>
        <w:t>Service sector output price inflation has edged up and some, though not</w:t>
      </w:r>
      <w:r>
        <w:rPr>
          <w:spacing w:val="-19"/>
          <w:w w:val="110"/>
        </w:rPr>
        <w:t> </w:t>
      </w:r>
      <w:r>
        <w:rPr>
          <w:w w:val="110"/>
        </w:rPr>
        <w:t>all,</w:t>
      </w:r>
      <w:r>
        <w:rPr>
          <w:spacing w:val="-19"/>
          <w:w w:val="110"/>
        </w:rPr>
        <w:t> </w:t>
      </w:r>
      <w:r>
        <w:rPr>
          <w:spacing w:val="-3"/>
          <w:w w:val="110"/>
        </w:rPr>
        <w:t>surveys</w:t>
      </w:r>
      <w:r>
        <w:rPr>
          <w:spacing w:val="-18"/>
          <w:w w:val="110"/>
        </w:rPr>
        <w:t> </w:t>
      </w:r>
      <w:r>
        <w:rPr>
          <w:w w:val="110"/>
        </w:rPr>
        <w:t>point</w:t>
      </w:r>
      <w:r>
        <w:rPr>
          <w:spacing w:val="-19"/>
          <w:w w:val="110"/>
        </w:rPr>
        <w:t> </w:t>
      </w:r>
      <w:r>
        <w:rPr>
          <w:spacing w:val="-4"/>
          <w:w w:val="110"/>
        </w:rPr>
        <w:t>to</w:t>
      </w:r>
      <w:r>
        <w:rPr>
          <w:spacing w:val="-18"/>
          <w:w w:val="110"/>
        </w:rPr>
        <w:t> </w:t>
      </w:r>
      <w:r>
        <w:rPr>
          <w:w w:val="110"/>
        </w:rPr>
        <w:t>further</w:t>
      </w:r>
      <w:r>
        <w:rPr>
          <w:spacing w:val="-19"/>
          <w:w w:val="110"/>
        </w:rPr>
        <w:t> </w:t>
      </w:r>
      <w:r>
        <w:rPr>
          <w:w w:val="110"/>
        </w:rPr>
        <w:t>potential</w:t>
      </w:r>
      <w:r>
        <w:rPr>
          <w:spacing w:val="-19"/>
          <w:w w:val="110"/>
        </w:rPr>
        <w:t> </w:t>
      </w:r>
      <w:r>
        <w:rPr>
          <w:w w:val="110"/>
        </w:rPr>
        <w:t>rises.</w:t>
      </w:r>
      <w:r>
        <w:rPr>
          <w:spacing w:val="19"/>
          <w:w w:val="110"/>
        </w:rPr>
        <w:t> </w:t>
      </w:r>
      <w:r>
        <w:rPr>
          <w:spacing w:val="-3"/>
          <w:w w:val="110"/>
        </w:rPr>
        <w:t>Several</w:t>
      </w:r>
      <w:r>
        <w:rPr>
          <w:spacing w:val="-19"/>
          <w:w w:val="110"/>
        </w:rPr>
        <w:t> </w:t>
      </w:r>
      <w:r>
        <w:rPr>
          <w:spacing w:val="-3"/>
          <w:w w:val="110"/>
        </w:rPr>
        <w:t>surveys </w:t>
      </w:r>
      <w:r>
        <w:rPr>
          <w:w w:val="110"/>
        </w:rPr>
        <w:t>and contacts of the </w:t>
      </w:r>
      <w:r>
        <w:rPr>
          <w:spacing w:val="-3"/>
          <w:w w:val="110"/>
        </w:rPr>
        <w:t>Bank’s </w:t>
      </w:r>
      <w:r>
        <w:rPr>
          <w:w w:val="110"/>
        </w:rPr>
        <w:t>regional Agents suggest that the </w:t>
      </w:r>
      <w:r>
        <w:rPr>
          <w:spacing w:val="-3"/>
          <w:w w:val="110"/>
        </w:rPr>
        <w:t>downward pressure </w:t>
      </w:r>
      <w:r>
        <w:rPr>
          <w:w w:val="110"/>
        </w:rPr>
        <w:t>on retail goods inflation is becoming less pronounced.</w:t>
      </w:r>
      <w:r>
        <w:rPr>
          <w:spacing w:val="-11"/>
          <w:w w:val="110"/>
        </w:rPr>
        <w:t> </w:t>
      </w:r>
      <w:r>
        <w:rPr>
          <w:spacing w:val="-4"/>
          <w:w w:val="110"/>
        </w:rPr>
        <w:t>However,</w:t>
      </w:r>
      <w:r>
        <w:rPr>
          <w:spacing w:val="-32"/>
          <w:w w:val="110"/>
        </w:rPr>
        <w:t> </w:t>
      </w:r>
      <w:r>
        <w:rPr>
          <w:w w:val="110"/>
        </w:rPr>
        <w:t>RPIX</w:t>
      </w:r>
      <w:r>
        <w:rPr>
          <w:spacing w:val="-33"/>
          <w:w w:val="110"/>
        </w:rPr>
        <w:t> </w:t>
      </w:r>
      <w:r>
        <w:rPr>
          <w:w w:val="110"/>
        </w:rPr>
        <w:t>inflation</w:t>
      </w:r>
      <w:r>
        <w:rPr>
          <w:spacing w:val="-33"/>
          <w:w w:val="110"/>
        </w:rPr>
        <w:t> </w:t>
      </w:r>
      <w:r>
        <w:rPr>
          <w:spacing w:val="-3"/>
          <w:w w:val="110"/>
        </w:rPr>
        <w:t>was</w:t>
      </w:r>
      <w:r>
        <w:rPr>
          <w:spacing w:val="-32"/>
          <w:w w:val="110"/>
        </w:rPr>
        <w:t> </w:t>
      </w:r>
      <w:r>
        <w:rPr>
          <w:w w:val="110"/>
        </w:rPr>
        <w:t>lower</w:t>
      </w:r>
      <w:r>
        <w:rPr>
          <w:spacing w:val="-33"/>
          <w:w w:val="110"/>
        </w:rPr>
        <w:t> </w:t>
      </w:r>
      <w:r>
        <w:rPr>
          <w:w w:val="110"/>
        </w:rPr>
        <w:t>than</w:t>
      </w:r>
      <w:r>
        <w:rPr>
          <w:spacing w:val="-33"/>
          <w:w w:val="110"/>
        </w:rPr>
        <w:t> </w:t>
      </w:r>
      <w:r>
        <w:rPr>
          <w:w w:val="110"/>
        </w:rPr>
        <w:t>expected in Q4 and remains below the </w:t>
      </w:r>
      <w:r>
        <w:rPr>
          <w:spacing w:val="-3"/>
          <w:w w:val="110"/>
        </w:rPr>
        <w:t>Government’s </w:t>
      </w:r>
      <w:r>
        <w:rPr>
          <w:w w:val="110"/>
        </w:rPr>
        <w:t>2</w:t>
      </w:r>
      <w:r>
        <w:rPr>
          <w:w w:val="110"/>
          <w:position w:val="7"/>
          <w:sz w:val="10"/>
        </w:rPr>
        <w:t>1</w:t>
      </w:r>
      <w:r>
        <w:rPr>
          <w:w w:val="110"/>
        </w:rPr>
        <w:t>/</w:t>
      </w:r>
      <w:r>
        <w:rPr>
          <w:w w:val="110"/>
          <w:position w:val="1"/>
          <w:sz w:val="10"/>
        </w:rPr>
        <w:t>2</w:t>
      </w:r>
      <w:r>
        <w:rPr>
          <w:w w:val="110"/>
        </w:rPr>
        <w:t>% target. In the central projection inflation </w:t>
      </w:r>
      <w:r>
        <w:rPr>
          <w:spacing w:val="-4"/>
          <w:w w:val="110"/>
        </w:rPr>
        <w:t>stays </w:t>
      </w:r>
      <w:r>
        <w:rPr>
          <w:w w:val="110"/>
        </w:rPr>
        <w:t>around 2% throughout </w:t>
      </w:r>
      <w:r>
        <w:rPr>
          <w:spacing w:val="-11"/>
          <w:w w:val="110"/>
        </w:rPr>
        <w:t>2001 </w:t>
      </w:r>
      <w:r>
        <w:rPr>
          <w:w w:val="110"/>
        </w:rPr>
        <w:t>but then starts </w:t>
      </w:r>
      <w:r>
        <w:rPr>
          <w:spacing w:val="-4"/>
          <w:w w:val="110"/>
        </w:rPr>
        <w:t>to </w:t>
      </w:r>
      <w:r>
        <w:rPr>
          <w:w w:val="110"/>
        </w:rPr>
        <w:t>pick up, reaching the </w:t>
      </w:r>
      <w:r>
        <w:rPr>
          <w:spacing w:val="-3"/>
          <w:w w:val="110"/>
        </w:rPr>
        <w:t>target </w:t>
      </w:r>
      <w:r>
        <w:rPr>
          <w:spacing w:val="-4"/>
          <w:w w:val="110"/>
        </w:rPr>
        <w:t>rate </w:t>
      </w:r>
      <w:r>
        <w:rPr>
          <w:w w:val="110"/>
        </w:rPr>
        <w:t>at the </w:t>
      </w:r>
      <w:r>
        <w:rPr>
          <w:spacing w:val="-5"/>
          <w:w w:val="110"/>
        </w:rPr>
        <w:t>two-year </w:t>
      </w:r>
      <w:r>
        <w:rPr>
          <w:w w:val="110"/>
        </w:rPr>
        <w:t>forecast</w:t>
      </w:r>
      <w:r>
        <w:rPr>
          <w:spacing w:val="-8"/>
          <w:w w:val="110"/>
        </w:rPr>
        <w:t> </w:t>
      </w:r>
      <w:r>
        <w:rPr>
          <w:w w:val="110"/>
        </w:rPr>
        <w:t>horizon.</w:t>
      </w:r>
    </w:p>
    <w:p>
      <w:pPr>
        <w:spacing w:after="0" w:line="292" w:lineRule="auto"/>
        <w:sectPr>
          <w:pgSz w:w="11900" w:h="16840"/>
          <w:pgMar w:header="601" w:footer="575" w:top="800" w:bottom="76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092736;mso-wrap-distance-left:0;mso-wrap-distance-right:0" type="#_x0000_t202" filled="true" fillcolor="#ebf4f7" stroked="false">
            <v:textbox inset="0,0,0,0">
              <w:txbxContent>
                <w:p>
                  <w:pPr>
                    <w:tabs>
                      <w:tab w:pos="9843" w:val="left" w:leader="none"/>
                    </w:tabs>
                    <w:spacing w:before="217"/>
                    <w:ind w:left="260" w:right="0" w:firstLine="0"/>
                    <w:jc w:val="left"/>
                    <w:rPr>
                      <w:rFonts w:ascii="Trebuchet MS"/>
                      <w:sz w:val="48"/>
                    </w:rPr>
                  </w:pPr>
                  <w:bookmarkStart w:name="Monetary policy since the November Repor" w:id="88"/>
                  <w:bookmarkEnd w:id="88"/>
                  <w:r>
                    <w:rPr/>
                  </w:r>
                  <w:bookmarkStart w:name="_bookmark44" w:id="89"/>
                  <w:bookmarkEnd w:id="89"/>
                  <w:r>
                    <w:rPr/>
                  </w:r>
                  <w:r>
                    <w:rPr>
                      <w:rFonts w:ascii="Trebuchet MS"/>
                      <w:color w:val="89C6DC"/>
                      <w:spacing w:val="-3"/>
                      <w:sz w:val="48"/>
                    </w:rPr>
                    <w:t>Monetary</w:t>
                  </w:r>
                  <w:r>
                    <w:rPr>
                      <w:rFonts w:ascii="Trebuchet MS"/>
                      <w:color w:val="89C6DC"/>
                      <w:spacing w:val="-65"/>
                      <w:sz w:val="48"/>
                    </w:rPr>
                    <w:t> </w:t>
                  </w:r>
                  <w:r>
                    <w:rPr>
                      <w:rFonts w:ascii="Trebuchet MS"/>
                      <w:color w:val="89C6DC"/>
                      <w:sz w:val="48"/>
                    </w:rPr>
                    <w:t>policy</w:t>
                  </w:r>
                  <w:r>
                    <w:rPr>
                      <w:rFonts w:ascii="Trebuchet MS"/>
                      <w:color w:val="89C6DC"/>
                      <w:spacing w:val="-65"/>
                      <w:sz w:val="48"/>
                    </w:rPr>
                    <w:t> </w:t>
                  </w:r>
                  <w:r>
                    <w:rPr>
                      <w:rFonts w:ascii="Trebuchet MS"/>
                      <w:color w:val="89C6DC"/>
                      <w:sz w:val="48"/>
                    </w:rPr>
                    <w:t>since</w:t>
                  </w:r>
                  <w:r>
                    <w:rPr>
                      <w:rFonts w:ascii="Trebuchet MS"/>
                      <w:color w:val="89C6DC"/>
                      <w:spacing w:val="-65"/>
                      <w:sz w:val="48"/>
                    </w:rPr>
                    <w:t> </w:t>
                  </w:r>
                  <w:r>
                    <w:rPr>
                      <w:rFonts w:ascii="Trebuchet MS"/>
                      <w:color w:val="89C6DC"/>
                      <w:sz w:val="48"/>
                    </w:rPr>
                    <w:t>the</w:t>
                  </w:r>
                  <w:r>
                    <w:rPr>
                      <w:rFonts w:ascii="Trebuchet MS"/>
                      <w:color w:val="89C6DC"/>
                      <w:spacing w:val="-65"/>
                      <w:sz w:val="48"/>
                    </w:rPr>
                    <w:t> </w:t>
                  </w:r>
                  <w:r>
                    <w:rPr>
                      <w:rFonts w:ascii="Trebuchet MS"/>
                      <w:color w:val="89C6DC"/>
                      <w:spacing w:val="-4"/>
                      <w:sz w:val="48"/>
                    </w:rPr>
                    <w:t>November</w:t>
                  </w:r>
                  <w:r>
                    <w:rPr>
                      <w:rFonts w:ascii="Trebuchet MS"/>
                      <w:color w:val="89C6DC"/>
                      <w:spacing w:val="-65"/>
                      <w:sz w:val="48"/>
                    </w:rPr>
                    <w:t> </w:t>
                  </w:r>
                  <w:r>
                    <w:rPr>
                      <w:rFonts w:ascii="Trebuchet MS"/>
                      <w:i/>
                      <w:color w:val="89C6DC"/>
                      <w:sz w:val="49"/>
                    </w:rPr>
                    <w:t>Report</w:t>
                    <w:tab/>
                  </w:r>
                  <w:r>
                    <w:rPr>
                      <w:rFonts w:ascii="Trebuchet MS"/>
                      <w:color w:val="89C6DC"/>
                      <w:sz w:val="48"/>
                    </w:rPr>
                    <w:t>5</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6"/>
        </w:rPr>
      </w:pPr>
    </w:p>
    <w:p>
      <w:pPr>
        <w:pStyle w:val="BodyText"/>
        <w:spacing w:line="292" w:lineRule="auto" w:before="61"/>
        <w:ind w:left="5100" w:right="172"/>
      </w:pPr>
      <w:r>
        <w:rPr>
          <w:w w:val="105"/>
        </w:rPr>
        <w:t>This section summarises the economic developments and monetary policy decisions taken by the MPC since the November </w:t>
      </w:r>
      <w:r>
        <w:rPr>
          <w:i/>
          <w:w w:val="105"/>
        </w:rPr>
        <w:t>Report</w:t>
      </w:r>
      <w:r>
        <w:rPr>
          <w:w w:val="105"/>
        </w:rPr>
        <w:t>.</w:t>
      </w:r>
      <w:r>
        <w:rPr>
          <w:w w:val="105"/>
          <w:position w:val="5"/>
          <w:sz w:val="14"/>
        </w:rPr>
        <w:t>(1) </w:t>
      </w:r>
      <w:r>
        <w:rPr>
          <w:w w:val="105"/>
        </w:rPr>
        <w:t>The Bank’s repo rate was maintained at 6% in December and January. In February it was cut to 5.75%</w:t>
      </w:r>
    </w:p>
    <w:p>
      <w:pPr>
        <w:pStyle w:val="BodyText"/>
        <w:spacing w:before="2"/>
        <w:rPr>
          <w:sz w:val="24"/>
        </w:rPr>
      </w:pPr>
    </w:p>
    <w:p>
      <w:pPr>
        <w:pStyle w:val="BodyText"/>
        <w:spacing w:line="292" w:lineRule="auto"/>
        <w:ind w:left="5100" w:right="241"/>
      </w:pPr>
      <w:r>
        <w:rPr>
          <w:w w:val="110"/>
        </w:rPr>
        <w:t>In</w:t>
      </w:r>
      <w:r>
        <w:rPr>
          <w:spacing w:val="-26"/>
          <w:w w:val="110"/>
        </w:rPr>
        <w:t> </w:t>
      </w:r>
      <w:r>
        <w:rPr>
          <w:w w:val="110"/>
        </w:rPr>
        <w:t>the</w:t>
      </w:r>
      <w:r>
        <w:rPr>
          <w:spacing w:val="-25"/>
          <w:w w:val="110"/>
        </w:rPr>
        <w:t> </w:t>
      </w:r>
      <w:r>
        <w:rPr>
          <w:w w:val="110"/>
        </w:rPr>
        <w:t>November</w:t>
      </w:r>
      <w:r>
        <w:rPr>
          <w:spacing w:val="-25"/>
          <w:w w:val="110"/>
        </w:rPr>
        <w:t> </w:t>
      </w:r>
      <w:r>
        <w:rPr>
          <w:i/>
          <w:w w:val="110"/>
        </w:rPr>
        <w:t>Report</w:t>
      </w:r>
      <w:r>
        <w:rPr>
          <w:w w:val="110"/>
        </w:rPr>
        <w:t>,</w:t>
      </w:r>
      <w:r>
        <w:rPr>
          <w:spacing w:val="-26"/>
          <w:w w:val="110"/>
        </w:rPr>
        <w:t> </w:t>
      </w:r>
      <w:r>
        <w:rPr>
          <w:w w:val="110"/>
        </w:rPr>
        <w:t>the</w:t>
      </w:r>
      <w:r>
        <w:rPr>
          <w:spacing w:val="-25"/>
          <w:w w:val="110"/>
        </w:rPr>
        <w:t> </w:t>
      </w:r>
      <w:r>
        <w:rPr>
          <w:spacing w:val="-3"/>
          <w:w w:val="110"/>
        </w:rPr>
        <w:t>MPC’s</w:t>
      </w:r>
      <w:r>
        <w:rPr>
          <w:spacing w:val="-25"/>
          <w:w w:val="110"/>
        </w:rPr>
        <w:t> </w:t>
      </w:r>
      <w:r>
        <w:rPr>
          <w:w w:val="110"/>
        </w:rPr>
        <w:t>central</w:t>
      </w:r>
      <w:r>
        <w:rPr>
          <w:spacing w:val="-26"/>
          <w:w w:val="110"/>
        </w:rPr>
        <w:t> </w:t>
      </w:r>
      <w:r>
        <w:rPr>
          <w:w w:val="110"/>
        </w:rPr>
        <w:t>projection</w:t>
      </w:r>
      <w:r>
        <w:rPr>
          <w:spacing w:val="-25"/>
          <w:w w:val="110"/>
        </w:rPr>
        <w:t> </w:t>
      </w:r>
      <w:r>
        <w:rPr>
          <w:spacing w:val="-3"/>
          <w:w w:val="110"/>
        </w:rPr>
        <w:t>was</w:t>
      </w:r>
      <w:r>
        <w:rPr>
          <w:spacing w:val="-25"/>
          <w:w w:val="110"/>
        </w:rPr>
        <w:t> </w:t>
      </w:r>
      <w:r>
        <w:rPr>
          <w:w w:val="110"/>
        </w:rPr>
        <w:t>for RPIX inflation </w:t>
      </w:r>
      <w:r>
        <w:rPr>
          <w:spacing w:val="-4"/>
          <w:w w:val="110"/>
        </w:rPr>
        <w:t>to </w:t>
      </w:r>
      <w:r>
        <w:rPr>
          <w:spacing w:val="-3"/>
          <w:w w:val="110"/>
        </w:rPr>
        <w:t>stay </w:t>
      </w:r>
      <w:r>
        <w:rPr>
          <w:w w:val="110"/>
        </w:rPr>
        <w:t>slightly below the 2</w:t>
      </w:r>
      <w:r>
        <w:rPr>
          <w:w w:val="110"/>
          <w:position w:val="7"/>
          <w:sz w:val="10"/>
        </w:rPr>
        <w:t>1</w:t>
      </w:r>
      <w:r>
        <w:rPr>
          <w:w w:val="110"/>
        </w:rPr>
        <w:t>/</w:t>
      </w:r>
      <w:r>
        <w:rPr>
          <w:w w:val="110"/>
          <w:position w:val="1"/>
          <w:sz w:val="10"/>
        </w:rPr>
        <w:t>2</w:t>
      </w:r>
      <w:r>
        <w:rPr>
          <w:w w:val="110"/>
        </w:rPr>
        <w:t>% </w:t>
      </w:r>
      <w:r>
        <w:rPr>
          <w:spacing w:val="-3"/>
          <w:w w:val="110"/>
        </w:rPr>
        <w:t>target </w:t>
      </w:r>
      <w:r>
        <w:rPr>
          <w:w w:val="110"/>
        </w:rPr>
        <w:t>during </w:t>
      </w:r>
      <w:r>
        <w:rPr>
          <w:spacing w:val="-9"/>
          <w:w w:val="110"/>
        </w:rPr>
        <w:t>2001, </w:t>
      </w:r>
      <w:r>
        <w:rPr>
          <w:w w:val="110"/>
        </w:rPr>
        <w:t>but </w:t>
      </w:r>
      <w:r>
        <w:rPr>
          <w:spacing w:val="-4"/>
          <w:w w:val="110"/>
        </w:rPr>
        <w:t>to </w:t>
      </w:r>
      <w:r>
        <w:rPr>
          <w:w w:val="110"/>
        </w:rPr>
        <w:t>edge up </w:t>
      </w:r>
      <w:r>
        <w:rPr>
          <w:spacing w:val="-4"/>
          <w:w w:val="110"/>
        </w:rPr>
        <w:t>to </w:t>
      </w:r>
      <w:r>
        <w:rPr>
          <w:w w:val="110"/>
        </w:rPr>
        <w:t>around the </w:t>
      </w:r>
      <w:r>
        <w:rPr>
          <w:spacing w:val="-3"/>
          <w:w w:val="110"/>
        </w:rPr>
        <w:t>target </w:t>
      </w:r>
      <w:r>
        <w:rPr>
          <w:w w:val="110"/>
        </w:rPr>
        <w:t>at the </w:t>
      </w:r>
      <w:r>
        <w:rPr>
          <w:spacing w:val="-5"/>
          <w:w w:val="110"/>
        </w:rPr>
        <w:t>two-year </w:t>
      </w:r>
      <w:r>
        <w:rPr>
          <w:w w:val="110"/>
        </w:rPr>
        <w:t>horizon. Annual real GDP </w:t>
      </w:r>
      <w:r>
        <w:rPr>
          <w:spacing w:val="-2"/>
          <w:w w:val="110"/>
        </w:rPr>
        <w:t>growth </w:t>
      </w:r>
      <w:r>
        <w:rPr>
          <w:spacing w:val="-3"/>
          <w:w w:val="110"/>
        </w:rPr>
        <w:t>was </w:t>
      </w:r>
      <w:r>
        <w:rPr>
          <w:w w:val="110"/>
        </w:rPr>
        <w:t>judged likely </w:t>
      </w:r>
      <w:r>
        <w:rPr>
          <w:spacing w:val="-4"/>
          <w:w w:val="110"/>
        </w:rPr>
        <w:t>to </w:t>
      </w:r>
      <w:r>
        <w:rPr>
          <w:w w:val="110"/>
        </w:rPr>
        <w:t>slow </w:t>
      </w:r>
      <w:r>
        <w:rPr>
          <w:spacing w:val="-4"/>
          <w:w w:val="110"/>
        </w:rPr>
        <w:t>towards </w:t>
      </w:r>
      <w:r>
        <w:rPr>
          <w:w w:val="110"/>
        </w:rPr>
        <w:t>its trend </w:t>
      </w:r>
      <w:r>
        <w:rPr>
          <w:spacing w:val="-4"/>
          <w:w w:val="110"/>
        </w:rPr>
        <w:t>rate </w:t>
      </w:r>
      <w:r>
        <w:rPr>
          <w:w w:val="110"/>
        </w:rPr>
        <w:t>in </w:t>
      </w:r>
      <w:r>
        <w:rPr>
          <w:spacing w:val="-9"/>
          <w:w w:val="110"/>
        </w:rPr>
        <w:t>2001, </w:t>
      </w:r>
      <w:r>
        <w:rPr>
          <w:w w:val="110"/>
        </w:rPr>
        <w:t>and </w:t>
      </w:r>
      <w:r>
        <w:rPr>
          <w:spacing w:val="-4"/>
          <w:w w:val="110"/>
        </w:rPr>
        <w:t>to </w:t>
      </w:r>
      <w:r>
        <w:rPr>
          <w:w w:val="110"/>
        </w:rPr>
        <w:t>remain around trend in </w:t>
      </w:r>
      <w:r>
        <w:rPr>
          <w:spacing w:val="-5"/>
          <w:w w:val="110"/>
        </w:rPr>
        <w:t>2002. </w:t>
      </w:r>
      <w:r>
        <w:rPr>
          <w:w w:val="110"/>
        </w:rPr>
        <w:t>Relative </w:t>
      </w:r>
      <w:r>
        <w:rPr>
          <w:spacing w:val="-4"/>
          <w:w w:val="110"/>
        </w:rPr>
        <w:t>to </w:t>
      </w:r>
      <w:r>
        <w:rPr>
          <w:w w:val="110"/>
        </w:rPr>
        <w:t>the central projection, some members preferred alternative assumptions about supply-side and labour</w:t>
      </w:r>
      <w:r>
        <w:rPr>
          <w:spacing w:val="-20"/>
          <w:w w:val="110"/>
        </w:rPr>
        <w:t> </w:t>
      </w:r>
      <w:r>
        <w:rPr>
          <w:spacing w:val="-2"/>
          <w:w w:val="110"/>
        </w:rPr>
        <w:t>market</w:t>
      </w:r>
      <w:r>
        <w:rPr>
          <w:spacing w:val="-20"/>
          <w:w w:val="110"/>
        </w:rPr>
        <w:t> </w:t>
      </w:r>
      <w:r>
        <w:rPr>
          <w:w w:val="110"/>
        </w:rPr>
        <w:t>developments</w:t>
      </w:r>
      <w:r>
        <w:rPr>
          <w:spacing w:val="-20"/>
          <w:w w:val="110"/>
        </w:rPr>
        <w:t> </w:t>
      </w:r>
      <w:r>
        <w:rPr>
          <w:w w:val="110"/>
        </w:rPr>
        <w:t>that,</w:t>
      </w:r>
      <w:r>
        <w:rPr>
          <w:spacing w:val="-19"/>
          <w:w w:val="110"/>
        </w:rPr>
        <w:t> </w:t>
      </w:r>
      <w:r>
        <w:rPr>
          <w:w w:val="110"/>
        </w:rPr>
        <w:t>in</w:t>
      </w:r>
      <w:r>
        <w:rPr>
          <w:spacing w:val="-20"/>
          <w:w w:val="110"/>
        </w:rPr>
        <w:t> </w:t>
      </w:r>
      <w:r>
        <w:rPr>
          <w:w w:val="110"/>
        </w:rPr>
        <w:t>combination,</w:t>
      </w:r>
      <w:r>
        <w:rPr>
          <w:spacing w:val="-20"/>
          <w:w w:val="110"/>
        </w:rPr>
        <w:t> </w:t>
      </w:r>
      <w:r>
        <w:rPr>
          <w:w w:val="110"/>
        </w:rPr>
        <w:t>could</w:t>
      </w:r>
      <w:r>
        <w:rPr>
          <w:spacing w:val="-20"/>
          <w:w w:val="110"/>
        </w:rPr>
        <w:t> </w:t>
      </w:r>
      <w:r>
        <w:rPr>
          <w:spacing w:val="-3"/>
          <w:w w:val="110"/>
        </w:rPr>
        <w:t>raise </w:t>
      </w:r>
      <w:r>
        <w:rPr>
          <w:w w:val="110"/>
        </w:rPr>
        <w:t>or lower the inflation profile </w:t>
      </w:r>
      <w:r>
        <w:rPr>
          <w:spacing w:val="-3"/>
          <w:w w:val="110"/>
        </w:rPr>
        <w:t>by </w:t>
      </w:r>
      <w:r>
        <w:rPr>
          <w:w w:val="110"/>
        </w:rPr>
        <w:t>up </w:t>
      </w:r>
      <w:r>
        <w:rPr>
          <w:spacing w:val="-4"/>
          <w:w w:val="110"/>
        </w:rPr>
        <w:t>to </w:t>
      </w:r>
      <w:r>
        <w:rPr>
          <w:w w:val="110"/>
          <w:position w:val="7"/>
          <w:sz w:val="10"/>
        </w:rPr>
        <w:t>1</w:t>
      </w:r>
      <w:r>
        <w:rPr>
          <w:w w:val="110"/>
        </w:rPr>
        <w:t>/</w:t>
      </w:r>
      <w:r>
        <w:rPr>
          <w:w w:val="110"/>
          <w:position w:val="1"/>
          <w:sz w:val="10"/>
        </w:rPr>
        <w:t>4</w:t>
      </w:r>
      <w:r>
        <w:rPr>
          <w:w w:val="110"/>
        </w:rPr>
        <w:t>% at the </w:t>
      </w:r>
      <w:r>
        <w:rPr>
          <w:spacing w:val="-5"/>
          <w:w w:val="110"/>
        </w:rPr>
        <w:t>two-year </w:t>
      </w:r>
      <w:r>
        <w:rPr>
          <w:w w:val="110"/>
        </w:rPr>
        <w:t>horizon.</w:t>
      </w:r>
    </w:p>
    <w:p>
      <w:pPr>
        <w:pStyle w:val="BodyText"/>
        <w:spacing w:before="9"/>
        <w:rPr>
          <w:sz w:val="23"/>
        </w:rPr>
      </w:pPr>
    </w:p>
    <w:p>
      <w:pPr>
        <w:pStyle w:val="BodyText"/>
        <w:spacing w:line="292" w:lineRule="auto" w:before="1"/>
        <w:ind w:left="5100" w:right="180"/>
      </w:pPr>
      <w:r>
        <w:rPr>
          <w:w w:val="110"/>
        </w:rPr>
        <w:t>At its meeting on 6–7 </w:t>
      </w:r>
      <w:r>
        <w:rPr>
          <w:spacing w:val="-2"/>
          <w:w w:val="110"/>
        </w:rPr>
        <w:t>December, </w:t>
      </w:r>
      <w:r>
        <w:rPr>
          <w:w w:val="110"/>
        </w:rPr>
        <w:t>the </w:t>
      </w:r>
      <w:r>
        <w:rPr>
          <w:spacing w:val="-3"/>
          <w:w w:val="110"/>
        </w:rPr>
        <w:t>Committee </w:t>
      </w:r>
      <w:r>
        <w:rPr>
          <w:w w:val="110"/>
        </w:rPr>
        <w:t>first discussed the </w:t>
      </w:r>
      <w:r>
        <w:rPr>
          <w:spacing w:val="-3"/>
          <w:w w:val="110"/>
        </w:rPr>
        <w:t>world </w:t>
      </w:r>
      <w:r>
        <w:rPr>
          <w:spacing w:val="-4"/>
          <w:w w:val="110"/>
        </w:rPr>
        <w:t>economy, </w:t>
      </w:r>
      <w:r>
        <w:rPr>
          <w:w w:val="110"/>
        </w:rPr>
        <w:t>particularly the United </w:t>
      </w:r>
      <w:r>
        <w:rPr>
          <w:spacing w:val="-3"/>
          <w:w w:val="110"/>
        </w:rPr>
        <w:t>States. </w:t>
      </w:r>
      <w:r>
        <w:rPr>
          <w:w w:val="110"/>
        </w:rPr>
        <w:t>There</w:t>
      </w:r>
      <w:r>
        <w:rPr>
          <w:spacing w:val="-34"/>
          <w:w w:val="110"/>
        </w:rPr>
        <w:t> </w:t>
      </w:r>
      <w:r>
        <w:rPr>
          <w:spacing w:val="-3"/>
          <w:w w:val="110"/>
        </w:rPr>
        <w:t>was</w:t>
      </w:r>
      <w:r>
        <w:rPr>
          <w:spacing w:val="-33"/>
          <w:w w:val="110"/>
        </w:rPr>
        <w:t> </w:t>
      </w:r>
      <w:r>
        <w:rPr>
          <w:w w:val="110"/>
        </w:rPr>
        <w:t>growing</w:t>
      </w:r>
      <w:r>
        <w:rPr>
          <w:spacing w:val="-34"/>
          <w:w w:val="110"/>
        </w:rPr>
        <w:t> </w:t>
      </w:r>
      <w:r>
        <w:rPr>
          <w:w w:val="110"/>
        </w:rPr>
        <w:t>evidence</w:t>
      </w:r>
      <w:r>
        <w:rPr>
          <w:spacing w:val="-33"/>
          <w:w w:val="110"/>
        </w:rPr>
        <w:t> </w:t>
      </w:r>
      <w:r>
        <w:rPr>
          <w:w w:val="110"/>
        </w:rPr>
        <w:t>of</w:t>
      </w:r>
      <w:r>
        <w:rPr>
          <w:spacing w:val="-34"/>
          <w:w w:val="110"/>
        </w:rPr>
        <w:t> </w:t>
      </w:r>
      <w:r>
        <w:rPr>
          <w:w w:val="110"/>
        </w:rPr>
        <w:t>a</w:t>
      </w:r>
      <w:r>
        <w:rPr>
          <w:spacing w:val="-33"/>
          <w:w w:val="110"/>
        </w:rPr>
        <w:t> </w:t>
      </w:r>
      <w:r>
        <w:rPr>
          <w:w w:val="110"/>
        </w:rPr>
        <w:t>slowdown</w:t>
      </w:r>
      <w:r>
        <w:rPr>
          <w:spacing w:val="-34"/>
          <w:w w:val="110"/>
        </w:rPr>
        <w:t> </w:t>
      </w:r>
      <w:r>
        <w:rPr>
          <w:w w:val="110"/>
        </w:rPr>
        <w:t>in</w:t>
      </w:r>
      <w:r>
        <w:rPr>
          <w:spacing w:val="-33"/>
          <w:w w:val="110"/>
        </w:rPr>
        <w:t> </w:t>
      </w:r>
      <w:r>
        <w:rPr>
          <w:w w:val="110"/>
        </w:rPr>
        <w:t>the</w:t>
      </w:r>
      <w:r>
        <w:rPr>
          <w:spacing w:val="-34"/>
          <w:w w:val="110"/>
        </w:rPr>
        <w:t> </w:t>
      </w:r>
      <w:r>
        <w:rPr>
          <w:w w:val="110"/>
        </w:rPr>
        <w:t>US</w:t>
      </w:r>
      <w:r>
        <w:rPr>
          <w:spacing w:val="-33"/>
          <w:w w:val="110"/>
        </w:rPr>
        <w:t> </w:t>
      </w:r>
      <w:r>
        <w:rPr>
          <w:spacing w:val="-3"/>
          <w:w w:val="110"/>
        </w:rPr>
        <w:t>economy.</w:t>
      </w:r>
    </w:p>
    <w:p>
      <w:pPr>
        <w:pStyle w:val="BodyText"/>
        <w:spacing w:line="228" w:lineRule="exact"/>
        <w:ind w:left="5100"/>
      </w:pPr>
      <w:r>
        <w:rPr>
          <w:w w:val="105"/>
        </w:rPr>
        <w:t>Equity prices had fallen, and the NASDAQ index of</w:t>
      </w:r>
    </w:p>
    <w:p>
      <w:pPr>
        <w:pStyle w:val="BodyText"/>
        <w:spacing w:line="292" w:lineRule="auto" w:before="50"/>
        <w:ind w:left="5100" w:right="172"/>
      </w:pPr>
      <w:r>
        <w:rPr>
          <w:w w:val="110"/>
        </w:rPr>
        <w:t>high-technology stocks had dropped by </w:t>
      </w:r>
      <w:r>
        <w:rPr>
          <w:spacing w:val="-8"/>
          <w:w w:val="110"/>
        </w:rPr>
        <w:t>45% </w:t>
      </w:r>
      <w:r>
        <w:rPr>
          <w:w w:val="110"/>
        </w:rPr>
        <w:t>since March. Business</w:t>
      </w:r>
      <w:r>
        <w:rPr>
          <w:spacing w:val="-32"/>
          <w:w w:val="110"/>
        </w:rPr>
        <w:t> </w:t>
      </w:r>
      <w:r>
        <w:rPr>
          <w:w w:val="110"/>
        </w:rPr>
        <w:t>and</w:t>
      </w:r>
      <w:r>
        <w:rPr>
          <w:spacing w:val="-32"/>
          <w:w w:val="110"/>
        </w:rPr>
        <w:t> </w:t>
      </w:r>
      <w:r>
        <w:rPr>
          <w:w w:val="110"/>
        </w:rPr>
        <w:t>consumer</w:t>
      </w:r>
      <w:r>
        <w:rPr>
          <w:spacing w:val="-32"/>
          <w:w w:val="110"/>
        </w:rPr>
        <w:t> </w:t>
      </w:r>
      <w:r>
        <w:rPr>
          <w:w w:val="110"/>
        </w:rPr>
        <w:t>confidence</w:t>
      </w:r>
      <w:r>
        <w:rPr>
          <w:spacing w:val="-32"/>
          <w:w w:val="110"/>
        </w:rPr>
        <w:t> </w:t>
      </w:r>
      <w:r>
        <w:rPr>
          <w:w w:val="110"/>
        </w:rPr>
        <w:t>had</w:t>
      </w:r>
      <w:r>
        <w:rPr>
          <w:spacing w:val="-32"/>
          <w:w w:val="110"/>
        </w:rPr>
        <w:t> </w:t>
      </w:r>
      <w:r>
        <w:rPr>
          <w:w w:val="110"/>
        </w:rPr>
        <w:t>weakened.</w:t>
      </w:r>
      <w:r>
        <w:rPr>
          <w:spacing w:val="-8"/>
          <w:w w:val="110"/>
        </w:rPr>
        <w:t> </w:t>
      </w:r>
      <w:r>
        <w:rPr>
          <w:w w:val="110"/>
        </w:rPr>
        <w:t>Downside risks </w:t>
      </w:r>
      <w:r>
        <w:rPr>
          <w:spacing w:val="-4"/>
          <w:w w:val="110"/>
        </w:rPr>
        <w:t>to </w:t>
      </w:r>
      <w:r>
        <w:rPr>
          <w:w w:val="110"/>
        </w:rPr>
        <w:t>US growth had increased since November but </w:t>
      </w:r>
      <w:r>
        <w:rPr>
          <w:spacing w:val="-3"/>
          <w:w w:val="110"/>
        </w:rPr>
        <w:t>moderate</w:t>
      </w:r>
      <w:r>
        <w:rPr>
          <w:spacing w:val="-14"/>
          <w:w w:val="110"/>
        </w:rPr>
        <w:t> </w:t>
      </w:r>
      <w:r>
        <w:rPr>
          <w:spacing w:val="-2"/>
          <w:w w:val="110"/>
        </w:rPr>
        <w:t>growth</w:t>
      </w:r>
      <w:r>
        <w:rPr>
          <w:spacing w:val="-13"/>
          <w:w w:val="110"/>
        </w:rPr>
        <w:t> </w:t>
      </w:r>
      <w:r>
        <w:rPr>
          <w:spacing w:val="-3"/>
          <w:w w:val="110"/>
        </w:rPr>
        <w:t>was</w:t>
      </w:r>
      <w:r>
        <w:rPr>
          <w:spacing w:val="-14"/>
          <w:w w:val="110"/>
        </w:rPr>
        <w:t> </w:t>
      </w:r>
      <w:r>
        <w:rPr>
          <w:w w:val="110"/>
        </w:rPr>
        <w:t>still</w:t>
      </w:r>
      <w:r>
        <w:rPr>
          <w:spacing w:val="-13"/>
          <w:w w:val="110"/>
        </w:rPr>
        <w:t> </w:t>
      </w:r>
      <w:r>
        <w:rPr>
          <w:w w:val="110"/>
        </w:rPr>
        <w:t>more</w:t>
      </w:r>
      <w:r>
        <w:rPr>
          <w:spacing w:val="-13"/>
          <w:w w:val="110"/>
        </w:rPr>
        <w:t> </w:t>
      </w:r>
      <w:r>
        <w:rPr>
          <w:w w:val="110"/>
        </w:rPr>
        <w:t>likely</w:t>
      </w:r>
      <w:r>
        <w:rPr>
          <w:spacing w:val="-14"/>
          <w:w w:val="110"/>
        </w:rPr>
        <w:t> </w:t>
      </w:r>
      <w:r>
        <w:rPr>
          <w:w w:val="110"/>
        </w:rPr>
        <w:t>than</w:t>
      </w:r>
      <w:r>
        <w:rPr>
          <w:spacing w:val="-13"/>
          <w:w w:val="110"/>
        </w:rPr>
        <w:t> </w:t>
      </w:r>
      <w:r>
        <w:rPr>
          <w:w w:val="110"/>
        </w:rPr>
        <w:t>a</w:t>
      </w:r>
      <w:r>
        <w:rPr>
          <w:spacing w:val="-13"/>
          <w:w w:val="110"/>
        </w:rPr>
        <w:t> </w:t>
      </w:r>
      <w:r>
        <w:rPr>
          <w:w w:val="110"/>
        </w:rPr>
        <w:t>recession.</w:t>
      </w:r>
    </w:p>
    <w:p>
      <w:pPr>
        <w:pStyle w:val="BodyText"/>
        <w:spacing w:line="292" w:lineRule="auto"/>
        <w:ind w:left="5100" w:right="199"/>
      </w:pPr>
      <w:r>
        <w:rPr>
          <w:w w:val="105"/>
        </w:rPr>
        <w:t>Euro-area GDP </w:t>
      </w:r>
      <w:r>
        <w:rPr>
          <w:spacing w:val="-2"/>
          <w:w w:val="105"/>
        </w:rPr>
        <w:t>growth </w:t>
      </w:r>
      <w:r>
        <w:rPr>
          <w:spacing w:val="-3"/>
          <w:w w:val="105"/>
        </w:rPr>
        <w:t>was lower </w:t>
      </w:r>
      <w:r>
        <w:rPr>
          <w:w w:val="105"/>
        </w:rPr>
        <w:t>in Q3 than in Q2, though inflation </w:t>
      </w:r>
      <w:r>
        <w:rPr>
          <w:spacing w:val="-3"/>
          <w:w w:val="105"/>
        </w:rPr>
        <w:t>was above </w:t>
      </w:r>
      <w:r>
        <w:rPr>
          <w:w w:val="105"/>
        </w:rPr>
        <w:t>2%. </w:t>
      </w:r>
      <w:r>
        <w:rPr>
          <w:spacing w:val="-3"/>
          <w:w w:val="105"/>
        </w:rPr>
        <w:t>Lower </w:t>
      </w:r>
      <w:r>
        <w:rPr>
          <w:w w:val="105"/>
        </w:rPr>
        <w:t>oil prices and a stronger euro might help </w:t>
      </w:r>
      <w:r>
        <w:rPr>
          <w:spacing w:val="-4"/>
          <w:w w:val="105"/>
        </w:rPr>
        <w:t>to </w:t>
      </w:r>
      <w:r>
        <w:rPr>
          <w:w w:val="105"/>
        </w:rPr>
        <w:t>reduce inflationary pressure.  There </w:t>
      </w:r>
      <w:r>
        <w:rPr>
          <w:spacing w:val="-3"/>
          <w:w w:val="105"/>
        </w:rPr>
        <w:t>was </w:t>
      </w:r>
      <w:r>
        <w:rPr>
          <w:w w:val="105"/>
        </w:rPr>
        <w:t>a  danger that a US </w:t>
      </w:r>
      <w:r>
        <w:rPr>
          <w:spacing w:val="-3"/>
          <w:w w:val="105"/>
        </w:rPr>
        <w:t>slowdown </w:t>
      </w:r>
      <w:r>
        <w:rPr>
          <w:w w:val="105"/>
        </w:rPr>
        <w:t>might </w:t>
      </w:r>
      <w:r>
        <w:rPr>
          <w:spacing w:val="-3"/>
          <w:w w:val="105"/>
        </w:rPr>
        <w:t>adversely </w:t>
      </w:r>
      <w:r>
        <w:rPr>
          <w:w w:val="105"/>
        </w:rPr>
        <w:t>affect emerging </w:t>
      </w:r>
      <w:r>
        <w:rPr>
          <w:spacing w:val="-2"/>
          <w:w w:val="105"/>
        </w:rPr>
        <w:t>market </w:t>
      </w:r>
      <w:r>
        <w:rPr>
          <w:w w:val="105"/>
        </w:rPr>
        <w:t>economies, but Consensus growth forecasts had been revised down only a little for these countries for </w:t>
      </w:r>
      <w:r>
        <w:rPr>
          <w:spacing w:val="-9"/>
          <w:w w:val="105"/>
        </w:rPr>
        <w:t>2001. </w:t>
      </w:r>
      <w:r>
        <w:rPr>
          <w:spacing w:val="-3"/>
          <w:w w:val="105"/>
        </w:rPr>
        <w:t>Falls </w:t>
      </w:r>
      <w:r>
        <w:rPr>
          <w:w w:val="105"/>
        </w:rPr>
        <w:t>in </w:t>
      </w:r>
      <w:r>
        <w:rPr>
          <w:spacing w:val="-3"/>
          <w:w w:val="105"/>
        </w:rPr>
        <w:t>long-term interest </w:t>
      </w:r>
      <w:r>
        <w:rPr>
          <w:spacing w:val="-4"/>
          <w:w w:val="105"/>
        </w:rPr>
        <w:t>rates </w:t>
      </w:r>
      <w:r>
        <w:rPr>
          <w:w w:val="105"/>
        </w:rPr>
        <w:t>in the  major  industrial  countries during the month might have reflected a reduction</w:t>
      </w:r>
      <w:r>
        <w:rPr>
          <w:spacing w:val="27"/>
          <w:w w:val="105"/>
        </w:rPr>
        <w:t> </w:t>
      </w:r>
      <w:r>
        <w:rPr>
          <w:w w:val="105"/>
        </w:rPr>
        <w:t>of</w:t>
      </w:r>
    </w:p>
    <w:p>
      <w:pPr>
        <w:pStyle w:val="BodyText"/>
        <w:spacing w:line="225" w:lineRule="exact"/>
        <w:ind w:left="5100"/>
      </w:pPr>
      <w:r>
        <w:rPr>
          <w:w w:val="110"/>
        </w:rPr>
        <w:t>longer-term growth prospects.</w:t>
      </w:r>
    </w:p>
    <w:p>
      <w:pPr>
        <w:pStyle w:val="BodyText"/>
        <w:spacing w:before="5"/>
        <w:rPr>
          <w:sz w:val="28"/>
        </w:rPr>
      </w:pPr>
    </w:p>
    <w:p>
      <w:pPr>
        <w:pStyle w:val="BodyText"/>
        <w:spacing w:line="292" w:lineRule="auto"/>
        <w:ind w:left="5100" w:right="194"/>
      </w:pPr>
      <w:r>
        <w:rPr>
          <w:w w:val="110"/>
        </w:rPr>
        <w:t>In the domestic </w:t>
      </w:r>
      <w:r>
        <w:rPr>
          <w:spacing w:val="-3"/>
          <w:w w:val="110"/>
        </w:rPr>
        <w:t>economy, </w:t>
      </w:r>
      <w:r>
        <w:rPr>
          <w:w w:val="110"/>
        </w:rPr>
        <w:t>money and credit data remained strong. Unsecured lending </w:t>
      </w:r>
      <w:r>
        <w:rPr>
          <w:spacing w:val="-2"/>
          <w:w w:val="110"/>
        </w:rPr>
        <w:t>growth </w:t>
      </w:r>
      <w:r>
        <w:rPr>
          <w:spacing w:val="-4"/>
          <w:w w:val="110"/>
        </w:rPr>
        <w:t>to </w:t>
      </w:r>
      <w:r>
        <w:rPr>
          <w:w w:val="110"/>
        </w:rPr>
        <w:t>households appeared </w:t>
      </w:r>
      <w:r>
        <w:rPr>
          <w:spacing w:val="-4"/>
          <w:w w:val="110"/>
        </w:rPr>
        <w:t>to </w:t>
      </w:r>
      <w:r>
        <w:rPr>
          <w:w w:val="110"/>
        </w:rPr>
        <w:t>be supporting </w:t>
      </w:r>
      <w:r>
        <w:rPr>
          <w:spacing w:val="-3"/>
          <w:w w:val="110"/>
        </w:rPr>
        <w:t>stronger-than-expected </w:t>
      </w:r>
      <w:r>
        <w:rPr>
          <w:w w:val="110"/>
        </w:rPr>
        <w:t>consumption, but </w:t>
      </w:r>
      <w:r>
        <w:rPr>
          <w:spacing w:val="-3"/>
          <w:w w:val="110"/>
        </w:rPr>
        <w:t>rapid </w:t>
      </w:r>
      <w:r>
        <w:rPr>
          <w:w w:val="110"/>
        </w:rPr>
        <w:t>lending</w:t>
      </w:r>
      <w:r>
        <w:rPr>
          <w:spacing w:val="-26"/>
          <w:w w:val="110"/>
        </w:rPr>
        <w:t> </w:t>
      </w:r>
      <w:r>
        <w:rPr>
          <w:spacing w:val="-2"/>
          <w:w w:val="110"/>
        </w:rPr>
        <w:t>growth</w:t>
      </w:r>
      <w:r>
        <w:rPr>
          <w:spacing w:val="-25"/>
          <w:w w:val="110"/>
        </w:rPr>
        <w:t> </w:t>
      </w:r>
      <w:r>
        <w:rPr>
          <w:spacing w:val="-4"/>
          <w:w w:val="110"/>
        </w:rPr>
        <w:t>to</w:t>
      </w:r>
      <w:r>
        <w:rPr>
          <w:spacing w:val="-26"/>
          <w:w w:val="110"/>
        </w:rPr>
        <w:t> </w:t>
      </w:r>
      <w:r>
        <w:rPr>
          <w:w w:val="110"/>
        </w:rPr>
        <w:t>PNFCs</w:t>
      </w:r>
      <w:r>
        <w:rPr>
          <w:spacing w:val="-25"/>
          <w:w w:val="110"/>
        </w:rPr>
        <w:t> </w:t>
      </w:r>
      <w:r>
        <w:rPr>
          <w:spacing w:val="-3"/>
          <w:w w:val="110"/>
        </w:rPr>
        <w:t>was</w:t>
      </w:r>
      <w:r>
        <w:rPr>
          <w:spacing w:val="-26"/>
          <w:w w:val="110"/>
        </w:rPr>
        <w:t> </w:t>
      </w:r>
      <w:r>
        <w:rPr>
          <w:w w:val="110"/>
        </w:rPr>
        <w:t>a</w:t>
      </w:r>
      <w:r>
        <w:rPr>
          <w:spacing w:val="-25"/>
          <w:w w:val="110"/>
        </w:rPr>
        <w:t> </w:t>
      </w:r>
      <w:r>
        <w:rPr>
          <w:w w:val="110"/>
        </w:rPr>
        <w:t>puzzle,</w:t>
      </w:r>
      <w:r>
        <w:rPr>
          <w:spacing w:val="-26"/>
          <w:w w:val="110"/>
        </w:rPr>
        <w:t> </w:t>
      </w:r>
      <w:r>
        <w:rPr>
          <w:w w:val="110"/>
        </w:rPr>
        <w:t>given</w:t>
      </w:r>
      <w:r>
        <w:rPr>
          <w:spacing w:val="-25"/>
          <w:w w:val="110"/>
        </w:rPr>
        <w:t> </w:t>
      </w:r>
      <w:r>
        <w:rPr>
          <w:w w:val="110"/>
        </w:rPr>
        <w:t>the</w:t>
      </w:r>
      <w:r>
        <w:rPr>
          <w:spacing w:val="-25"/>
          <w:w w:val="110"/>
        </w:rPr>
        <w:t> </w:t>
      </w:r>
      <w:r>
        <w:rPr>
          <w:w w:val="110"/>
        </w:rPr>
        <w:t>weakness</w:t>
      </w:r>
      <w:r>
        <w:rPr>
          <w:spacing w:val="-26"/>
          <w:w w:val="110"/>
        </w:rPr>
        <w:t> </w:t>
      </w:r>
      <w:r>
        <w:rPr>
          <w:w w:val="110"/>
        </w:rPr>
        <w:t>in business </w:t>
      </w:r>
      <w:r>
        <w:rPr>
          <w:spacing w:val="-3"/>
          <w:w w:val="110"/>
        </w:rPr>
        <w:t>investment </w:t>
      </w:r>
      <w:r>
        <w:rPr>
          <w:w w:val="110"/>
        </w:rPr>
        <w:t>growth. </w:t>
      </w:r>
      <w:r>
        <w:rPr>
          <w:spacing w:val="-3"/>
          <w:w w:val="110"/>
        </w:rPr>
        <w:t>Interest </w:t>
      </w:r>
      <w:r>
        <w:rPr>
          <w:spacing w:val="-4"/>
          <w:w w:val="110"/>
        </w:rPr>
        <w:t>rate </w:t>
      </w:r>
      <w:r>
        <w:rPr>
          <w:w w:val="110"/>
        </w:rPr>
        <w:t>expectations</w:t>
      </w:r>
      <w:r>
        <w:rPr>
          <w:spacing w:val="-11"/>
          <w:w w:val="110"/>
        </w:rPr>
        <w:t> </w:t>
      </w:r>
      <w:r>
        <w:rPr>
          <w:w w:val="110"/>
        </w:rPr>
        <w:t>had</w:t>
      </w:r>
    </w:p>
    <w:p>
      <w:pPr>
        <w:pStyle w:val="BodyText"/>
        <w:spacing w:before="3"/>
        <w:rPr>
          <w:sz w:val="26"/>
        </w:rPr>
      </w:pPr>
      <w:r>
        <w:rPr/>
        <w:pict>
          <v:shape style="position:absolute;margin-left:278.529999pt;margin-top:17.154642pt;width:277.5pt;height:.1pt;mso-position-horizontal-relative:page;mso-position-vertical-relative:paragraph;z-index:-15092224;mso-wrap-distance-left:0;mso-wrap-distance-right:0" coordorigin="5571,343" coordsize="5550,0" path="m5571,343l11120,343e" filled="false" stroked="true" strokeweight=".125pt" strokecolor="#006cb4">
            <v:path arrowok="t"/>
            <v:stroke dashstyle="solid"/>
            <w10:wrap type="topAndBottom"/>
          </v:shape>
        </w:pict>
      </w:r>
    </w:p>
    <w:p>
      <w:pPr>
        <w:spacing w:before="0"/>
        <w:ind w:left="5199" w:right="675" w:hanging="240"/>
        <w:jc w:val="left"/>
        <w:rPr>
          <w:sz w:val="14"/>
        </w:rPr>
      </w:pPr>
      <w:r>
        <w:rPr>
          <w:w w:val="110"/>
          <w:sz w:val="14"/>
        </w:rPr>
        <w:t>(1)</w:t>
      </w:r>
      <w:r>
        <w:rPr>
          <w:spacing w:val="3"/>
          <w:w w:val="110"/>
          <w:sz w:val="14"/>
        </w:rPr>
        <w:t> </w:t>
      </w:r>
      <w:r>
        <w:rPr>
          <w:color w:val="FF0000"/>
          <w:w w:val="110"/>
          <w:sz w:val="14"/>
        </w:rPr>
        <w:t>The</w:t>
      </w:r>
      <w:r>
        <w:rPr>
          <w:color w:val="FF0000"/>
          <w:spacing w:val="-14"/>
          <w:w w:val="110"/>
          <w:sz w:val="14"/>
        </w:rPr>
        <w:t> </w:t>
      </w:r>
      <w:r>
        <w:rPr>
          <w:color w:val="FF0000"/>
          <w:w w:val="110"/>
          <w:sz w:val="14"/>
        </w:rPr>
        <w:t>minutes</w:t>
      </w:r>
      <w:r>
        <w:rPr>
          <w:color w:val="FF0000"/>
          <w:spacing w:val="-14"/>
          <w:w w:val="110"/>
          <w:sz w:val="14"/>
        </w:rPr>
        <w:t> </w:t>
      </w:r>
      <w:r>
        <w:rPr>
          <w:color w:val="FF0000"/>
          <w:w w:val="110"/>
          <w:sz w:val="14"/>
        </w:rPr>
        <w:t>of</w:t>
      </w:r>
      <w:r>
        <w:rPr>
          <w:color w:val="FF0000"/>
          <w:spacing w:val="-15"/>
          <w:w w:val="110"/>
          <w:sz w:val="14"/>
        </w:rPr>
        <w:t> </w:t>
      </w:r>
      <w:r>
        <w:rPr>
          <w:color w:val="FF0000"/>
          <w:w w:val="110"/>
          <w:sz w:val="14"/>
        </w:rPr>
        <w:t>the</w:t>
      </w:r>
      <w:r>
        <w:rPr>
          <w:color w:val="FF0000"/>
          <w:spacing w:val="-14"/>
          <w:w w:val="110"/>
          <w:sz w:val="14"/>
        </w:rPr>
        <w:t> </w:t>
      </w:r>
      <w:r>
        <w:rPr>
          <w:color w:val="FF0000"/>
          <w:w w:val="110"/>
          <w:sz w:val="14"/>
        </w:rPr>
        <w:t>November,</w:t>
      </w:r>
      <w:r>
        <w:rPr>
          <w:color w:val="FF0000"/>
          <w:spacing w:val="-14"/>
          <w:w w:val="110"/>
          <w:sz w:val="14"/>
        </w:rPr>
        <w:t> </w:t>
      </w:r>
      <w:r>
        <w:rPr>
          <w:color w:val="FF0000"/>
          <w:w w:val="110"/>
          <w:sz w:val="14"/>
        </w:rPr>
        <w:t>December</w:t>
      </w:r>
      <w:r>
        <w:rPr>
          <w:color w:val="FF0000"/>
          <w:spacing w:val="-15"/>
          <w:w w:val="110"/>
          <w:sz w:val="14"/>
        </w:rPr>
        <w:t> </w:t>
      </w:r>
      <w:r>
        <w:rPr>
          <w:color w:val="FF0000"/>
          <w:w w:val="110"/>
          <w:sz w:val="14"/>
        </w:rPr>
        <w:t>and</w:t>
      </w:r>
      <w:r>
        <w:rPr>
          <w:color w:val="FF0000"/>
          <w:spacing w:val="-14"/>
          <w:w w:val="110"/>
          <w:sz w:val="14"/>
        </w:rPr>
        <w:t> </w:t>
      </w:r>
      <w:r>
        <w:rPr>
          <w:color w:val="FF0000"/>
          <w:w w:val="110"/>
          <w:sz w:val="14"/>
        </w:rPr>
        <w:t>January</w:t>
      </w:r>
      <w:r>
        <w:rPr>
          <w:color w:val="FF0000"/>
          <w:spacing w:val="-14"/>
          <w:w w:val="110"/>
          <w:sz w:val="14"/>
        </w:rPr>
        <w:t> </w:t>
      </w:r>
      <w:r>
        <w:rPr>
          <w:color w:val="FF0000"/>
          <w:w w:val="110"/>
          <w:sz w:val="14"/>
        </w:rPr>
        <w:t>meetings</w:t>
      </w:r>
      <w:r>
        <w:rPr>
          <w:color w:val="FF0000"/>
          <w:spacing w:val="-15"/>
          <w:w w:val="110"/>
          <w:sz w:val="14"/>
        </w:rPr>
        <w:t> </w:t>
      </w:r>
      <w:r>
        <w:rPr>
          <w:color w:val="FF0000"/>
          <w:w w:val="110"/>
          <w:sz w:val="14"/>
        </w:rPr>
        <w:t>are</w:t>
      </w:r>
      <w:r>
        <w:rPr>
          <w:color w:val="FF0000"/>
          <w:spacing w:val="-14"/>
          <w:w w:val="110"/>
          <w:sz w:val="14"/>
        </w:rPr>
        <w:t> </w:t>
      </w:r>
      <w:r>
        <w:rPr>
          <w:color w:val="FF0000"/>
          <w:w w:val="110"/>
          <w:sz w:val="14"/>
        </w:rPr>
        <w:t>reproduced under</w:t>
      </w:r>
      <w:r>
        <w:rPr>
          <w:color w:val="FF0000"/>
          <w:spacing w:val="-6"/>
          <w:w w:val="110"/>
          <w:sz w:val="14"/>
        </w:rPr>
        <w:t> </w:t>
      </w:r>
      <w:r>
        <w:rPr>
          <w:color w:val="FF0000"/>
          <w:w w:val="110"/>
          <w:sz w:val="14"/>
        </w:rPr>
        <w:t>a</w:t>
      </w:r>
      <w:r>
        <w:rPr>
          <w:color w:val="FF0000"/>
          <w:spacing w:val="-5"/>
          <w:w w:val="110"/>
          <w:sz w:val="14"/>
        </w:rPr>
        <w:t> </w:t>
      </w:r>
      <w:r>
        <w:rPr>
          <w:color w:val="FF0000"/>
          <w:w w:val="110"/>
          <w:sz w:val="14"/>
        </w:rPr>
        <w:t>separate</w:t>
      </w:r>
      <w:r>
        <w:rPr>
          <w:color w:val="FF0000"/>
          <w:spacing w:val="-5"/>
          <w:w w:val="110"/>
          <w:sz w:val="14"/>
        </w:rPr>
        <w:t> </w:t>
      </w:r>
      <w:r>
        <w:rPr>
          <w:color w:val="FF0000"/>
          <w:spacing w:val="-3"/>
          <w:w w:val="110"/>
          <w:sz w:val="14"/>
        </w:rPr>
        <w:t>cover,</w:t>
      </w:r>
      <w:r>
        <w:rPr>
          <w:color w:val="FF0000"/>
          <w:spacing w:val="-5"/>
          <w:w w:val="110"/>
          <w:sz w:val="14"/>
        </w:rPr>
        <w:t> </w:t>
      </w:r>
      <w:r>
        <w:rPr>
          <w:color w:val="FF0000"/>
          <w:w w:val="110"/>
          <w:sz w:val="14"/>
        </w:rPr>
        <w:t>published</w:t>
      </w:r>
      <w:r>
        <w:rPr>
          <w:color w:val="FF0000"/>
          <w:spacing w:val="-5"/>
          <w:w w:val="110"/>
          <w:sz w:val="14"/>
        </w:rPr>
        <w:t> </w:t>
      </w:r>
      <w:r>
        <w:rPr>
          <w:color w:val="FF0000"/>
          <w:w w:val="110"/>
          <w:sz w:val="14"/>
        </w:rPr>
        <w:t>alongside</w:t>
      </w:r>
      <w:r>
        <w:rPr>
          <w:color w:val="FF0000"/>
          <w:spacing w:val="-6"/>
          <w:w w:val="110"/>
          <w:sz w:val="14"/>
        </w:rPr>
        <w:t> </w:t>
      </w:r>
      <w:r>
        <w:rPr>
          <w:color w:val="FF0000"/>
          <w:w w:val="110"/>
          <w:sz w:val="14"/>
        </w:rPr>
        <w:t>this</w:t>
      </w:r>
      <w:r>
        <w:rPr>
          <w:color w:val="FF0000"/>
          <w:spacing w:val="-5"/>
          <w:w w:val="110"/>
          <w:sz w:val="14"/>
        </w:rPr>
        <w:t> </w:t>
      </w:r>
      <w:r>
        <w:rPr>
          <w:i/>
          <w:color w:val="FF0000"/>
          <w:w w:val="110"/>
          <w:sz w:val="14"/>
        </w:rPr>
        <w:t>Report</w:t>
      </w:r>
      <w:r>
        <w:rPr>
          <w:color w:val="FF0000"/>
          <w:w w:val="110"/>
          <w:sz w:val="14"/>
        </w:rPr>
        <w:t>.</w:t>
      </w:r>
    </w:p>
    <w:p>
      <w:pPr>
        <w:spacing w:after="0"/>
        <w:jc w:val="left"/>
        <w:rPr>
          <w:sz w:val="14"/>
        </w:rPr>
        <w:sectPr>
          <w:headerReference w:type="default" r:id="rId156"/>
          <w:footerReference w:type="default" r:id="rId157"/>
          <w:footerReference w:type="even" r:id="rId158"/>
          <w:pgSz w:w="11900" w:h="16840"/>
          <w:pgMar w:header="0" w:footer="575" w:top="800" w:bottom="760" w:left="640" w:right="640"/>
          <w:pgNumType w:start="49"/>
        </w:sectPr>
      </w:pPr>
    </w:p>
    <w:p>
      <w:pPr>
        <w:pStyle w:val="BodyText"/>
      </w:pPr>
    </w:p>
    <w:p>
      <w:pPr>
        <w:pStyle w:val="BodyText"/>
        <w:rPr>
          <w:sz w:val="16"/>
        </w:rPr>
      </w:pPr>
    </w:p>
    <w:p>
      <w:pPr>
        <w:pStyle w:val="BodyText"/>
        <w:spacing w:line="292" w:lineRule="auto" w:before="61"/>
        <w:ind w:left="5099"/>
      </w:pPr>
      <w:r>
        <w:rPr>
          <w:w w:val="110"/>
        </w:rPr>
        <w:t>fallen</w:t>
      </w:r>
      <w:r>
        <w:rPr>
          <w:spacing w:val="-25"/>
          <w:w w:val="110"/>
        </w:rPr>
        <w:t> </w:t>
      </w:r>
      <w:r>
        <w:rPr>
          <w:w w:val="110"/>
        </w:rPr>
        <w:t>sharply</w:t>
      </w:r>
      <w:r>
        <w:rPr>
          <w:spacing w:val="-24"/>
          <w:w w:val="110"/>
        </w:rPr>
        <w:t> </w:t>
      </w:r>
      <w:r>
        <w:rPr>
          <w:w w:val="110"/>
        </w:rPr>
        <w:t>since</w:t>
      </w:r>
      <w:r>
        <w:rPr>
          <w:spacing w:val="-24"/>
          <w:w w:val="110"/>
        </w:rPr>
        <w:t> </w:t>
      </w:r>
      <w:r>
        <w:rPr>
          <w:w w:val="110"/>
        </w:rPr>
        <w:t>the</w:t>
      </w:r>
      <w:r>
        <w:rPr>
          <w:spacing w:val="-25"/>
          <w:w w:val="110"/>
        </w:rPr>
        <w:t> </w:t>
      </w:r>
      <w:r>
        <w:rPr>
          <w:w w:val="110"/>
        </w:rPr>
        <w:t>previous</w:t>
      </w:r>
      <w:r>
        <w:rPr>
          <w:spacing w:val="-24"/>
          <w:w w:val="110"/>
        </w:rPr>
        <w:t> </w:t>
      </w:r>
      <w:r>
        <w:rPr>
          <w:w w:val="110"/>
        </w:rPr>
        <w:t>meeting,</w:t>
      </w:r>
      <w:r>
        <w:rPr>
          <w:spacing w:val="-24"/>
          <w:w w:val="110"/>
        </w:rPr>
        <w:t> </w:t>
      </w:r>
      <w:r>
        <w:rPr>
          <w:w w:val="110"/>
        </w:rPr>
        <w:t>and</w:t>
      </w:r>
      <w:r>
        <w:rPr>
          <w:spacing w:val="-24"/>
          <w:w w:val="110"/>
        </w:rPr>
        <w:t> </w:t>
      </w:r>
      <w:r>
        <w:rPr>
          <w:w w:val="110"/>
        </w:rPr>
        <w:t>the</w:t>
      </w:r>
      <w:r>
        <w:rPr>
          <w:spacing w:val="-25"/>
          <w:w w:val="110"/>
        </w:rPr>
        <w:t> </w:t>
      </w:r>
      <w:r>
        <w:rPr>
          <w:w w:val="110"/>
        </w:rPr>
        <w:t>sterling</w:t>
      </w:r>
      <w:r>
        <w:rPr>
          <w:spacing w:val="-24"/>
          <w:w w:val="110"/>
        </w:rPr>
        <w:t> </w:t>
      </w:r>
      <w:r>
        <w:rPr>
          <w:w w:val="110"/>
        </w:rPr>
        <w:t>ERI </w:t>
      </w:r>
      <w:r>
        <w:rPr>
          <w:spacing w:val="-3"/>
          <w:w w:val="110"/>
        </w:rPr>
        <w:t>was</w:t>
      </w:r>
      <w:r>
        <w:rPr>
          <w:spacing w:val="-11"/>
          <w:w w:val="110"/>
        </w:rPr>
        <w:t> </w:t>
      </w:r>
      <w:r>
        <w:rPr>
          <w:w w:val="110"/>
        </w:rPr>
        <w:t>about</w:t>
      </w:r>
      <w:r>
        <w:rPr>
          <w:spacing w:val="-11"/>
          <w:w w:val="110"/>
        </w:rPr>
        <w:t> </w:t>
      </w:r>
      <w:r>
        <w:rPr>
          <w:w w:val="110"/>
        </w:rPr>
        <w:t>2%</w:t>
      </w:r>
      <w:r>
        <w:rPr>
          <w:spacing w:val="-11"/>
          <w:w w:val="110"/>
        </w:rPr>
        <w:t> </w:t>
      </w:r>
      <w:r>
        <w:rPr>
          <w:w w:val="110"/>
        </w:rPr>
        <w:t>below</w:t>
      </w:r>
      <w:r>
        <w:rPr>
          <w:spacing w:val="-11"/>
          <w:w w:val="110"/>
        </w:rPr>
        <w:t> </w:t>
      </w:r>
      <w:r>
        <w:rPr>
          <w:w w:val="110"/>
        </w:rPr>
        <w:t>the</w:t>
      </w:r>
      <w:r>
        <w:rPr>
          <w:spacing w:val="-11"/>
          <w:w w:val="110"/>
        </w:rPr>
        <w:t> </w:t>
      </w:r>
      <w:r>
        <w:rPr>
          <w:w w:val="110"/>
        </w:rPr>
        <w:t>path</w:t>
      </w:r>
      <w:r>
        <w:rPr>
          <w:spacing w:val="-11"/>
          <w:w w:val="110"/>
        </w:rPr>
        <w:t> </w:t>
      </w:r>
      <w:r>
        <w:rPr>
          <w:w w:val="110"/>
        </w:rPr>
        <w:t>assumed</w:t>
      </w:r>
      <w:r>
        <w:rPr>
          <w:spacing w:val="-11"/>
          <w:w w:val="110"/>
        </w:rPr>
        <w:t> </w:t>
      </w:r>
      <w:r>
        <w:rPr>
          <w:w w:val="110"/>
        </w:rPr>
        <w:t>in</w:t>
      </w:r>
      <w:r>
        <w:rPr>
          <w:spacing w:val="-11"/>
          <w:w w:val="110"/>
        </w:rPr>
        <w:t> </w:t>
      </w:r>
      <w:r>
        <w:rPr>
          <w:spacing w:val="-3"/>
          <w:w w:val="110"/>
        </w:rPr>
        <w:t>November.</w:t>
      </w:r>
    </w:p>
    <w:p>
      <w:pPr>
        <w:pStyle w:val="BodyText"/>
        <w:spacing w:before="3"/>
        <w:rPr>
          <w:sz w:val="24"/>
        </w:rPr>
      </w:pPr>
    </w:p>
    <w:p>
      <w:pPr>
        <w:pStyle w:val="BodyText"/>
        <w:spacing w:line="292" w:lineRule="auto"/>
        <w:ind w:left="5099"/>
      </w:pPr>
      <w:r>
        <w:rPr>
          <w:w w:val="110"/>
        </w:rPr>
        <w:t>GDP </w:t>
      </w:r>
      <w:r>
        <w:rPr>
          <w:spacing w:val="-2"/>
          <w:w w:val="110"/>
        </w:rPr>
        <w:t>growth </w:t>
      </w:r>
      <w:r>
        <w:rPr>
          <w:spacing w:val="-3"/>
          <w:w w:val="110"/>
        </w:rPr>
        <w:t>was </w:t>
      </w:r>
      <w:r>
        <w:rPr>
          <w:w w:val="110"/>
        </w:rPr>
        <w:t>0.7% in Q3, in line with the preliminary estimate, but consumption </w:t>
      </w:r>
      <w:r>
        <w:rPr>
          <w:spacing w:val="-2"/>
          <w:w w:val="110"/>
        </w:rPr>
        <w:t>growth </w:t>
      </w:r>
      <w:r>
        <w:rPr>
          <w:spacing w:val="-3"/>
          <w:w w:val="110"/>
        </w:rPr>
        <w:t>was </w:t>
      </w:r>
      <w:r>
        <w:rPr>
          <w:w w:val="110"/>
        </w:rPr>
        <w:t>higher than </w:t>
      </w:r>
      <w:r>
        <w:rPr>
          <w:spacing w:val="-3"/>
          <w:w w:val="110"/>
        </w:rPr>
        <w:t>expected, </w:t>
      </w:r>
      <w:r>
        <w:rPr>
          <w:w w:val="110"/>
        </w:rPr>
        <w:t>while</w:t>
      </w:r>
      <w:r>
        <w:rPr>
          <w:spacing w:val="-25"/>
          <w:w w:val="110"/>
        </w:rPr>
        <w:t> </w:t>
      </w:r>
      <w:r>
        <w:rPr>
          <w:spacing w:val="-3"/>
          <w:w w:val="110"/>
        </w:rPr>
        <w:t>investment</w:t>
      </w:r>
      <w:r>
        <w:rPr>
          <w:spacing w:val="-24"/>
          <w:w w:val="110"/>
        </w:rPr>
        <w:t> </w:t>
      </w:r>
      <w:r>
        <w:rPr>
          <w:w w:val="110"/>
        </w:rPr>
        <w:t>and</w:t>
      </w:r>
      <w:r>
        <w:rPr>
          <w:spacing w:val="-24"/>
          <w:w w:val="110"/>
        </w:rPr>
        <w:t> </w:t>
      </w:r>
      <w:r>
        <w:rPr>
          <w:w w:val="110"/>
        </w:rPr>
        <w:t>government</w:t>
      </w:r>
      <w:r>
        <w:rPr>
          <w:spacing w:val="-24"/>
          <w:w w:val="110"/>
        </w:rPr>
        <w:t> </w:t>
      </w:r>
      <w:r>
        <w:rPr>
          <w:w w:val="110"/>
        </w:rPr>
        <w:t>spending</w:t>
      </w:r>
      <w:r>
        <w:rPr>
          <w:spacing w:val="-24"/>
          <w:w w:val="110"/>
        </w:rPr>
        <w:t> </w:t>
      </w:r>
      <w:r>
        <w:rPr>
          <w:spacing w:val="-2"/>
          <w:w w:val="110"/>
        </w:rPr>
        <w:t>growth</w:t>
      </w:r>
      <w:r>
        <w:rPr>
          <w:spacing w:val="-25"/>
          <w:w w:val="110"/>
        </w:rPr>
        <w:t> </w:t>
      </w:r>
      <w:r>
        <w:rPr>
          <w:spacing w:val="-3"/>
          <w:w w:val="110"/>
        </w:rPr>
        <w:t>were</w:t>
      </w:r>
      <w:r>
        <w:rPr>
          <w:spacing w:val="-24"/>
          <w:w w:val="110"/>
        </w:rPr>
        <w:t> </w:t>
      </w:r>
      <w:r>
        <w:rPr>
          <w:spacing w:val="-3"/>
          <w:w w:val="110"/>
        </w:rPr>
        <w:t>lower </w:t>
      </w:r>
      <w:r>
        <w:rPr>
          <w:w w:val="110"/>
        </w:rPr>
        <w:t>than </w:t>
      </w:r>
      <w:r>
        <w:rPr>
          <w:spacing w:val="-3"/>
          <w:w w:val="110"/>
        </w:rPr>
        <w:t>expected. </w:t>
      </w:r>
      <w:r>
        <w:rPr>
          <w:w w:val="110"/>
        </w:rPr>
        <w:t>Important issues </w:t>
      </w:r>
      <w:r>
        <w:rPr>
          <w:spacing w:val="-3"/>
          <w:w w:val="110"/>
        </w:rPr>
        <w:t>were </w:t>
      </w:r>
      <w:r>
        <w:rPr>
          <w:w w:val="110"/>
        </w:rPr>
        <w:t>whether consumption would </w:t>
      </w:r>
      <w:r>
        <w:rPr>
          <w:spacing w:val="-3"/>
          <w:w w:val="110"/>
        </w:rPr>
        <w:t>decelerate </w:t>
      </w:r>
      <w:r>
        <w:rPr>
          <w:w w:val="110"/>
        </w:rPr>
        <w:t>as fast as assumed in the November projections</w:t>
      </w:r>
      <w:r>
        <w:rPr>
          <w:spacing w:val="-14"/>
          <w:w w:val="110"/>
        </w:rPr>
        <w:t> </w:t>
      </w:r>
      <w:r>
        <w:rPr>
          <w:w w:val="110"/>
        </w:rPr>
        <w:t>and,</w:t>
      </w:r>
      <w:r>
        <w:rPr>
          <w:spacing w:val="-14"/>
          <w:w w:val="110"/>
        </w:rPr>
        <w:t> </w:t>
      </w:r>
      <w:r>
        <w:rPr>
          <w:w w:val="110"/>
        </w:rPr>
        <w:t>in</w:t>
      </w:r>
      <w:r>
        <w:rPr>
          <w:spacing w:val="-13"/>
          <w:w w:val="110"/>
        </w:rPr>
        <w:t> </w:t>
      </w:r>
      <w:r>
        <w:rPr>
          <w:w w:val="110"/>
        </w:rPr>
        <w:t>the</w:t>
      </w:r>
      <w:r>
        <w:rPr>
          <w:spacing w:val="-14"/>
          <w:w w:val="110"/>
        </w:rPr>
        <w:t> </w:t>
      </w:r>
      <w:r>
        <w:rPr>
          <w:w w:val="110"/>
        </w:rPr>
        <w:t>opposite</w:t>
      </w:r>
      <w:r>
        <w:rPr>
          <w:spacing w:val="-13"/>
          <w:w w:val="110"/>
        </w:rPr>
        <w:t> </w:t>
      </w:r>
      <w:r>
        <w:rPr>
          <w:w w:val="110"/>
        </w:rPr>
        <w:t>direction,</w:t>
      </w:r>
      <w:r>
        <w:rPr>
          <w:spacing w:val="-14"/>
          <w:w w:val="110"/>
        </w:rPr>
        <w:t> </w:t>
      </w:r>
      <w:r>
        <w:rPr>
          <w:w w:val="110"/>
        </w:rPr>
        <w:t>whether</w:t>
      </w:r>
      <w:r>
        <w:rPr>
          <w:spacing w:val="-13"/>
          <w:w w:val="110"/>
        </w:rPr>
        <w:t> </w:t>
      </w:r>
      <w:r>
        <w:rPr>
          <w:spacing w:val="-3"/>
          <w:w w:val="110"/>
        </w:rPr>
        <w:t>investment </w:t>
      </w:r>
      <w:r>
        <w:rPr>
          <w:w w:val="110"/>
        </w:rPr>
        <w:t>would </w:t>
      </w:r>
      <w:r>
        <w:rPr>
          <w:spacing w:val="-3"/>
          <w:w w:val="110"/>
        </w:rPr>
        <w:t>grow </w:t>
      </w:r>
      <w:r>
        <w:rPr>
          <w:w w:val="110"/>
        </w:rPr>
        <w:t>as </w:t>
      </w:r>
      <w:r>
        <w:rPr>
          <w:spacing w:val="-4"/>
          <w:w w:val="110"/>
        </w:rPr>
        <w:t>rapidly. </w:t>
      </w:r>
      <w:r>
        <w:rPr>
          <w:w w:val="110"/>
        </w:rPr>
        <w:t>Leading indicators suggested a </w:t>
      </w:r>
      <w:r>
        <w:rPr>
          <w:spacing w:val="-3"/>
          <w:w w:val="110"/>
        </w:rPr>
        <w:t>slowdown </w:t>
      </w:r>
      <w:r>
        <w:rPr>
          <w:w w:val="110"/>
        </w:rPr>
        <w:t>of UK growth continuing </w:t>
      </w:r>
      <w:r>
        <w:rPr>
          <w:spacing w:val="-3"/>
          <w:w w:val="110"/>
        </w:rPr>
        <w:t>into </w:t>
      </w:r>
      <w:r>
        <w:rPr>
          <w:spacing w:val="-9"/>
          <w:w w:val="110"/>
        </w:rPr>
        <w:t>2001, </w:t>
      </w:r>
      <w:r>
        <w:rPr>
          <w:w w:val="110"/>
        </w:rPr>
        <w:t>but some members</w:t>
      </w:r>
      <w:r>
        <w:rPr>
          <w:spacing w:val="-12"/>
          <w:w w:val="110"/>
        </w:rPr>
        <w:t> </w:t>
      </w:r>
      <w:r>
        <w:rPr>
          <w:w w:val="110"/>
        </w:rPr>
        <w:t>did</w:t>
      </w:r>
      <w:r>
        <w:rPr>
          <w:spacing w:val="-11"/>
          <w:w w:val="110"/>
        </w:rPr>
        <w:t> </w:t>
      </w:r>
      <w:r>
        <w:rPr>
          <w:w w:val="110"/>
        </w:rPr>
        <w:t>not</w:t>
      </w:r>
      <w:r>
        <w:rPr>
          <w:spacing w:val="-11"/>
          <w:w w:val="110"/>
        </w:rPr>
        <w:t> </w:t>
      </w:r>
      <w:r>
        <w:rPr>
          <w:w w:val="110"/>
        </w:rPr>
        <w:t>think</w:t>
      </w:r>
      <w:r>
        <w:rPr>
          <w:spacing w:val="-11"/>
          <w:w w:val="110"/>
        </w:rPr>
        <w:t> </w:t>
      </w:r>
      <w:r>
        <w:rPr>
          <w:w w:val="110"/>
        </w:rPr>
        <w:t>that</w:t>
      </w:r>
      <w:r>
        <w:rPr>
          <w:spacing w:val="-11"/>
          <w:w w:val="110"/>
        </w:rPr>
        <w:t> </w:t>
      </w:r>
      <w:r>
        <w:rPr>
          <w:w w:val="110"/>
        </w:rPr>
        <w:t>these</w:t>
      </w:r>
      <w:r>
        <w:rPr>
          <w:spacing w:val="-11"/>
          <w:w w:val="110"/>
        </w:rPr>
        <w:t> </w:t>
      </w:r>
      <w:r>
        <w:rPr>
          <w:w w:val="110"/>
        </w:rPr>
        <w:t>contained</w:t>
      </w:r>
      <w:r>
        <w:rPr>
          <w:spacing w:val="-11"/>
          <w:w w:val="110"/>
        </w:rPr>
        <w:t> </w:t>
      </w:r>
      <w:r>
        <w:rPr>
          <w:w w:val="110"/>
        </w:rPr>
        <w:t>much</w:t>
      </w:r>
      <w:r>
        <w:rPr>
          <w:spacing w:val="-11"/>
          <w:w w:val="110"/>
        </w:rPr>
        <w:t> </w:t>
      </w:r>
      <w:r>
        <w:rPr>
          <w:w w:val="110"/>
        </w:rPr>
        <w:t>incremental information.</w:t>
      </w:r>
    </w:p>
    <w:p>
      <w:pPr>
        <w:pStyle w:val="BodyText"/>
        <w:spacing w:before="10"/>
        <w:rPr>
          <w:sz w:val="23"/>
        </w:rPr>
      </w:pPr>
    </w:p>
    <w:p>
      <w:pPr>
        <w:pStyle w:val="BodyText"/>
        <w:spacing w:line="292" w:lineRule="auto"/>
        <w:ind w:left="5099" w:right="172"/>
      </w:pPr>
      <w:r>
        <w:rPr>
          <w:w w:val="110"/>
        </w:rPr>
        <w:t>Employment</w:t>
      </w:r>
      <w:r>
        <w:rPr>
          <w:spacing w:val="-20"/>
          <w:w w:val="110"/>
        </w:rPr>
        <w:t> </w:t>
      </w:r>
      <w:r>
        <w:rPr>
          <w:w w:val="110"/>
        </w:rPr>
        <w:t>data</w:t>
      </w:r>
      <w:r>
        <w:rPr>
          <w:spacing w:val="-20"/>
          <w:w w:val="110"/>
        </w:rPr>
        <w:t> </w:t>
      </w:r>
      <w:r>
        <w:rPr>
          <w:w w:val="110"/>
        </w:rPr>
        <w:t>suggested</w:t>
      </w:r>
      <w:r>
        <w:rPr>
          <w:spacing w:val="-20"/>
          <w:w w:val="110"/>
        </w:rPr>
        <w:t> </w:t>
      </w:r>
      <w:r>
        <w:rPr>
          <w:w w:val="110"/>
        </w:rPr>
        <w:t>that</w:t>
      </w:r>
      <w:r>
        <w:rPr>
          <w:spacing w:val="-19"/>
          <w:w w:val="110"/>
        </w:rPr>
        <w:t> </w:t>
      </w:r>
      <w:r>
        <w:rPr>
          <w:w w:val="110"/>
        </w:rPr>
        <w:t>the</w:t>
      </w:r>
      <w:r>
        <w:rPr>
          <w:spacing w:val="-20"/>
          <w:w w:val="110"/>
        </w:rPr>
        <w:t> </w:t>
      </w:r>
      <w:r>
        <w:rPr>
          <w:w w:val="110"/>
        </w:rPr>
        <w:t>labour</w:t>
      </w:r>
      <w:r>
        <w:rPr>
          <w:spacing w:val="-20"/>
          <w:w w:val="110"/>
        </w:rPr>
        <w:t> </w:t>
      </w:r>
      <w:r>
        <w:rPr>
          <w:spacing w:val="-2"/>
          <w:w w:val="110"/>
        </w:rPr>
        <w:t>market</w:t>
      </w:r>
      <w:r>
        <w:rPr>
          <w:spacing w:val="-20"/>
          <w:w w:val="110"/>
        </w:rPr>
        <w:t> </w:t>
      </w:r>
      <w:r>
        <w:rPr>
          <w:w w:val="110"/>
        </w:rPr>
        <w:t>remained tight but might be turning, and there </w:t>
      </w:r>
      <w:r>
        <w:rPr>
          <w:spacing w:val="-3"/>
          <w:w w:val="110"/>
        </w:rPr>
        <w:t>was </w:t>
      </w:r>
      <w:r>
        <w:rPr>
          <w:w w:val="110"/>
        </w:rPr>
        <w:t>no change </w:t>
      </w:r>
      <w:r>
        <w:rPr>
          <w:spacing w:val="-4"/>
          <w:w w:val="110"/>
        </w:rPr>
        <w:t>to </w:t>
      </w:r>
      <w:r>
        <w:rPr>
          <w:w w:val="110"/>
        </w:rPr>
        <w:t>the </w:t>
      </w:r>
      <w:r>
        <w:rPr>
          <w:spacing w:val="-4"/>
          <w:w w:val="110"/>
        </w:rPr>
        <w:t>rate </w:t>
      </w:r>
      <w:r>
        <w:rPr>
          <w:w w:val="110"/>
        </w:rPr>
        <w:t>of increase of earnings. The Committee agreed that it would be important </w:t>
      </w:r>
      <w:r>
        <w:rPr>
          <w:spacing w:val="-4"/>
          <w:w w:val="110"/>
        </w:rPr>
        <w:t>to </w:t>
      </w:r>
      <w:r>
        <w:rPr>
          <w:w w:val="110"/>
        </w:rPr>
        <w:t>monitor settlements in the new year </w:t>
      </w:r>
      <w:r>
        <w:rPr>
          <w:spacing w:val="-3"/>
          <w:w w:val="110"/>
        </w:rPr>
        <w:t>closely,</w:t>
      </w:r>
      <w:r>
        <w:rPr>
          <w:spacing w:val="-15"/>
          <w:w w:val="110"/>
        </w:rPr>
        <w:t> </w:t>
      </w:r>
      <w:r>
        <w:rPr>
          <w:spacing w:val="-4"/>
          <w:w w:val="110"/>
        </w:rPr>
        <w:t>to</w:t>
      </w:r>
      <w:r>
        <w:rPr>
          <w:spacing w:val="-15"/>
          <w:w w:val="110"/>
        </w:rPr>
        <w:t> </w:t>
      </w:r>
      <w:r>
        <w:rPr>
          <w:w w:val="110"/>
        </w:rPr>
        <w:t>see</w:t>
      </w:r>
      <w:r>
        <w:rPr>
          <w:spacing w:val="-14"/>
          <w:w w:val="110"/>
        </w:rPr>
        <w:t> </w:t>
      </w:r>
      <w:r>
        <w:rPr>
          <w:w w:val="110"/>
        </w:rPr>
        <w:t>how</w:t>
      </w:r>
      <w:r>
        <w:rPr>
          <w:spacing w:val="-15"/>
          <w:w w:val="110"/>
        </w:rPr>
        <w:t> </w:t>
      </w:r>
      <w:r>
        <w:rPr>
          <w:spacing w:val="-4"/>
          <w:w w:val="110"/>
        </w:rPr>
        <w:t>far,</w:t>
      </w:r>
      <w:r>
        <w:rPr>
          <w:spacing w:val="-15"/>
          <w:w w:val="110"/>
        </w:rPr>
        <w:t> </w:t>
      </w:r>
      <w:r>
        <w:rPr>
          <w:w w:val="110"/>
        </w:rPr>
        <w:t>if</w:t>
      </w:r>
      <w:r>
        <w:rPr>
          <w:spacing w:val="-14"/>
          <w:w w:val="110"/>
        </w:rPr>
        <w:t> </w:t>
      </w:r>
      <w:r>
        <w:rPr>
          <w:w w:val="110"/>
        </w:rPr>
        <w:t>at</w:t>
      </w:r>
      <w:r>
        <w:rPr>
          <w:spacing w:val="-15"/>
          <w:w w:val="110"/>
        </w:rPr>
        <w:t> </w:t>
      </w:r>
      <w:r>
        <w:rPr>
          <w:w w:val="110"/>
        </w:rPr>
        <w:t>all,</w:t>
      </w:r>
      <w:r>
        <w:rPr>
          <w:spacing w:val="-15"/>
          <w:w w:val="110"/>
        </w:rPr>
        <w:t> </w:t>
      </w:r>
      <w:r>
        <w:rPr>
          <w:w w:val="110"/>
        </w:rPr>
        <w:t>the</w:t>
      </w:r>
      <w:r>
        <w:rPr>
          <w:spacing w:val="-14"/>
          <w:w w:val="110"/>
        </w:rPr>
        <w:t> </w:t>
      </w:r>
      <w:r>
        <w:rPr>
          <w:w w:val="110"/>
        </w:rPr>
        <w:t>tight</w:t>
      </w:r>
      <w:r>
        <w:rPr>
          <w:spacing w:val="-15"/>
          <w:w w:val="110"/>
        </w:rPr>
        <w:t> </w:t>
      </w:r>
      <w:r>
        <w:rPr>
          <w:w w:val="110"/>
        </w:rPr>
        <w:t>labour</w:t>
      </w:r>
      <w:r>
        <w:rPr>
          <w:spacing w:val="-15"/>
          <w:w w:val="110"/>
        </w:rPr>
        <w:t> </w:t>
      </w:r>
      <w:r>
        <w:rPr>
          <w:spacing w:val="-2"/>
          <w:w w:val="110"/>
        </w:rPr>
        <w:t>market</w:t>
      </w:r>
      <w:r>
        <w:rPr>
          <w:spacing w:val="-14"/>
          <w:w w:val="110"/>
        </w:rPr>
        <w:t> </w:t>
      </w:r>
      <w:r>
        <w:rPr>
          <w:w w:val="110"/>
        </w:rPr>
        <w:t>led</w:t>
      </w:r>
      <w:r>
        <w:rPr>
          <w:spacing w:val="-15"/>
          <w:w w:val="110"/>
        </w:rPr>
        <w:t> </w:t>
      </w:r>
      <w:r>
        <w:rPr>
          <w:spacing w:val="-4"/>
          <w:w w:val="110"/>
        </w:rPr>
        <w:t>to </w:t>
      </w:r>
      <w:r>
        <w:rPr>
          <w:spacing w:val="-3"/>
          <w:w w:val="110"/>
        </w:rPr>
        <w:t>pressure </w:t>
      </w:r>
      <w:r>
        <w:rPr>
          <w:w w:val="110"/>
        </w:rPr>
        <w:t>for higher wage</w:t>
      </w:r>
      <w:r>
        <w:rPr>
          <w:spacing w:val="-24"/>
          <w:w w:val="110"/>
        </w:rPr>
        <w:t> </w:t>
      </w:r>
      <w:r>
        <w:rPr>
          <w:w w:val="110"/>
        </w:rPr>
        <w:t>rises.</w:t>
      </w:r>
    </w:p>
    <w:p>
      <w:pPr>
        <w:pStyle w:val="BodyText"/>
        <w:rPr>
          <w:sz w:val="24"/>
        </w:rPr>
      </w:pPr>
    </w:p>
    <w:p>
      <w:pPr>
        <w:pStyle w:val="BodyText"/>
        <w:spacing w:line="292" w:lineRule="auto"/>
        <w:ind w:left="5099" w:right="140"/>
      </w:pPr>
      <w:r>
        <w:rPr>
          <w:w w:val="105"/>
        </w:rPr>
        <w:t>RPIX inflation had fallen back to 2% in October, though the provisional estimate was for some recovery in November. The short-term prospects were for RPIX inflation to remain below target, despite the recent strength of oil prices. Most measures of domestically generated inflation were at or below 2</w:t>
      </w:r>
      <w:r>
        <w:rPr>
          <w:w w:val="105"/>
          <w:position w:val="7"/>
          <w:sz w:val="10"/>
        </w:rPr>
        <w:t>1</w:t>
      </w:r>
      <w:r>
        <w:rPr>
          <w:w w:val="105"/>
        </w:rPr>
        <w:t>/</w:t>
      </w:r>
      <w:r>
        <w:rPr>
          <w:w w:val="105"/>
          <w:position w:val="1"/>
          <w:sz w:val="10"/>
        </w:rPr>
        <w:t>2</w:t>
      </w:r>
      <w:r>
        <w:rPr>
          <w:w w:val="105"/>
        </w:rPr>
        <w:t>%.</w:t>
      </w:r>
    </w:p>
    <w:p>
      <w:pPr>
        <w:pStyle w:val="BodyText"/>
        <w:spacing w:before="1"/>
        <w:rPr>
          <w:sz w:val="24"/>
        </w:rPr>
      </w:pPr>
    </w:p>
    <w:p>
      <w:pPr>
        <w:pStyle w:val="BodyText"/>
        <w:spacing w:line="292" w:lineRule="auto"/>
        <w:ind w:left="5099" w:right="278"/>
      </w:pPr>
      <w:r>
        <w:rPr>
          <w:w w:val="110"/>
        </w:rPr>
        <w:t>In</w:t>
      </w:r>
      <w:r>
        <w:rPr>
          <w:spacing w:val="-22"/>
          <w:w w:val="110"/>
        </w:rPr>
        <w:t> </w:t>
      </w:r>
      <w:r>
        <w:rPr>
          <w:w w:val="110"/>
        </w:rPr>
        <w:t>considering</w:t>
      </w:r>
      <w:r>
        <w:rPr>
          <w:spacing w:val="-22"/>
          <w:w w:val="110"/>
        </w:rPr>
        <w:t> </w:t>
      </w:r>
      <w:r>
        <w:rPr>
          <w:w w:val="110"/>
        </w:rPr>
        <w:t>the</w:t>
      </w:r>
      <w:r>
        <w:rPr>
          <w:spacing w:val="-22"/>
          <w:w w:val="110"/>
        </w:rPr>
        <w:t> </w:t>
      </w:r>
      <w:r>
        <w:rPr>
          <w:w w:val="110"/>
        </w:rPr>
        <w:t>immediate</w:t>
      </w:r>
      <w:r>
        <w:rPr>
          <w:spacing w:val="-22"/>
          <w:w w:val="110"/>
        </w:rPr>
        <w:t> </w:t>
      </w:r>
      <w:r>
        <w:rPr>
          <w:w w:val="110"/>
        </w:rPr>
        <w:t>policy</w:t>
      </w:r>
      <w:r>
        <w:rPr>
          <w:spacing w:val="-22"/>
          <w:w w:val="110"/>
        </w:rPr>
        <w:t> </w:t>
      </w:r>
      <w:r>
        <w:rPr>
          <w:w w:val="110"/>
        </w:rPr>
        <w:t>decision,</w:t>
      </w:r>
      <w:r>
        <w:rPr>
          <w:spacing w:val="-22"/>
          <w:w w:val="110"/>
        </w:rPr>
        <w:t> </w:t>
      </w:r>
      <w:r>
        <w:rPr>
          <w:w w:val="110"/>
        </w:rPr>
        <w:t>the</w:t>
      </w:r>
      <w:r>
        <w:rPr>
          <w:spacing w:val="-22"/>
          <w:w w:val="110"/>
        </w:rPr>
        <w:t> </w:t>
      </w:r>
      <w:r>
        <w:rPr>
          <w:w w:val="110"/>
        </w:rPr>
        <w:t>Committee noted that the world economy </w:t>
      </w:r>
      <w:r>
        <w:rPr>
          <w:spacing w:val="-3"/>
          <w:w w:val="110"/>
        </w:rPr>
        <w:t>was </w:t>
      </w:r>
      <w:r>
        <w:rPr>
          <w:w w:val="110"/>
        </w:rPr>
        <w:t>probably slowing </w:t>
      </w:r>
      <w:r>
        <w:rPr>
          <w:spacing w:val="-3"/>
          <w:w w:val="110"/>
        </w:rPr>
        <w:t>faster </w:t>
      </w:r>
      <w:r>
        <w:rPr>
          <w:w w:val="110"/>
        </w:rPr>
        <w:t>than had been </w:t>
      </w:r>
      <w:r>
        <w:rPr>
          <w:spacing w:val="-3"/>
          <w:w w:val="110"/>
        </w:rPr>
        <w:t>expected. </w:t>
      </w:r>
      <w:r>
        <w:rPr>
          <w:w w:val="110"/>
        </w:rPr>
        <w:t>Domestic news </w:t>
      </w:r>
      <w:r>
        <w:rPr>
          <w:spacing w:val="-3"/>
          <w:w w:val="110"/>
        </w:rPr>
        <w:t>was</w:t>
      </w:r>
      <w:r>
        <w:rPr>
          <w:spacing w:val="-37"/>
          <w:w w:val="110"/>
        </w:rPr>
        <w:t> </w:t>
      </w:r>
      <w:r>
        <w:rPr>
          <w:w w:val="110"/>
        </w:rPr>
        <w:t>mixed.</w:t>
      </w:r>
    </w:p>
    <w:p>
      <w:pPr>
        <w:pStyle w:val="BodyText"/>
        <w:spacing w:line="292" w:lineRule="auto"/>
        <w:ind w:left="5099" w:right="224"/>
      </w:pPr>
      <w:r>
        <w:rPr>
          <w:w w:val="105"/>
        </w:rPr>
        <w:t>Consumption </w:t>
      </w:r>
      <w:r>
        <w:rPr>
          <w:spacing w:val="-3"/>
          <w:w w:val="105"/>
        </w:rPr>
        <w:t>was </w:t>
      </w:r>
      <w:r>
        <w:rPr>
          <w:w w:val="105"/>
        </w:rPr>
        <w:t>still growing </w:t>
      </w:r>
      <w:r>
        <w:rPr>
          <w:spacing w:val="-3"/>
          <w:w w:val="105"/>
        </w:rPr>
        <w:t>faster </w:t>
      </w:r>
      <w:r>
        <w:rPr>
          <w:w w:val="105"/>
        </w:rPr>
        <w:t>than </w:t>
      </w:r>
      <w:r>
        <w:rPr>
          <w:spacing w:val="-3"/>
          <w:w w:val="105"/>
        </w:rPr>
        <w:t>expected, </w:t>
      </w:r>
      <w:r>
        <w:rPr>
          <w:w w:val="105"/>
        </w:rPr>
        <w:t>but investment and government consumption had been weaker  than </w:t>
      </w:r>
      <w:r>
        <w:rPr>
          <w:spacing w:val="-3"/>
          <w:w w:val="105"/>
        </w:rPr>
        <w:t>expected. </w:t>
      </w:r>
      <w:r>
        <w:rPr>
          <w:w w:val="105"/>
        </w:rPr>
        <w:t>There </w:t>
      </w:r>
      <w:r>
        <w:rPr>
          <w:spacing w:val="-3"/>
          <w:w w:val="105"/>
        </w:rPr>
        <w:t>were </w:t>
      </w:r>
      <w:r>
        <w:rPr>
          <w:spacing w:val="-5"/>
          <w:w w:val="105"/>
        </w:rPr>
        <w:t>two </w:t>
      </w:r>
      <w:r>
        <w:rPr>
          <w:w w:val="105"/>
        </w:rPr>
        <w:t>broad views within the </w:t>
      </w:r>
      <w:r>
        <w:rPr>
          <w:spacing w:val="-3"/>
          <w:w w:val="105"/>
        </w:rPr>
        <w:t>Committee.  </w:t>
      </w:r>
      <w:r>
        <w:rPr>
          <w:w w:val="105"/>
        </w:rPr>
        <w:t>On one </w:t>
      </w:r>
      <w:r>
        <w:rPr>
          <w:spacing w:val="-5"/>
          <w:w w:val="105"/>
        </w:rPr>
        <w:t>view, </w:t>
      </w:r>
      <w:r>
        <w:rPr>
          <w:w w:val="105"/>
        </w:rPr>
        <w:t>while uncertainty had increased  since </w:t>
      </w:r>
      <w:r>
        <w:rPr>
          <w:spacing w:val="-3"/>
          <w:w w:val="105"/>
        </w:rPr>
        <w:t>November, </w:t>
      </w:r>
      <w:r>
        <w:rPr>
          <w:w w:val="105"/>
        </w:rPr>
        <w:t>the balance of news </w:t>
      </w:r>
      <w:r>
        <w:rPr>
          <w:spacing w:val="-3"/>
          <w:w w:val="105"/>
        </w:rPr>
        <w:t>was </w:t>
      </w:r>
      <w:r>
        <w:rPr>
          <w:w w:val="105"/>
        </w:rPr>
        <w:t>not sufficient </w:t>
      </w:r>
      <w:r>
        <w:rPr>
          <w:spacing w:val="-4"/>
          <w:w w:val="105"/>
        </w:rPr>
        <w:t>to </w:t>
      </w:r>
      <w:r>
        <w:rPr>
          <w:w w:val="105"/>
        </w:rPr>
        <w:t>justify a </w:t>
      </w:r>
      <w:r>
        <w:rPr>
          <w:spacing w:val="-4"/>
          <w:w w:val="105"/>
        </w:rPr>
        <w:t>rate </w:t>
      </w:r>
      <w:r>
        <w:rPr>
          <w:w w:val="105"/>
        </w:rPr>
        <w:t>change. While the </w:t>
      </w:r>
      <w:r>
        <w:rPr>
          <w:spacing w:val="-3"/>
          <w:w w:val="105"/>
        </w:rPr>
        <w:t>slowdown </w:t>
      </w:r>
      <w:r>
        <w:rPr>
          <w:w w:val="105"/>
        </w:rPr>
        <w:t>in the </w:t>
      </w:r>
      <w:r>
        <w:rPr>
          <w:spacing w:val="-3"/>
          <w:w w:val="105"/>
        </w:rPr>
        <w:t>world </w:t>
      </w:r>
      <w:r>
        <w:rPr>
          <w:w w:val="105"/>
        </w:rPr>
        <w:t>economy would </w:t>
      </w:r>
      <w:r>
        <w:rPr>
          <w:spacing w:val="-3"/>
          <w:w w:val="105"/>
        </w:rPr>
        <w:t>restrain </w:t>
      </w:r>
      <w:r>
        <w:rPr>
          <w:w w:val="105"/>
        </w:rPr>
        <w:t>UK economic </w:t>
      </w:r>
      <w:r>
        <w:rPr>
          <w:spacing w:val="-4"/>
          <w:w w:val="105"/>
        </w:rPr>
        <w:t>activity, </w:t>
      </w:r>
      <w:r>
        <w:rPr>
          <w:w w:val="105"/>
        </w:rPr>
        <w:t>there </w:t>
      </w:r>
      <w:r>
        <w:rPr>
          <w:spacing w:val="-3"/>
          <w:w w:val="105"/>
        </w:rPr>
        <w:t>was </w:t>
      </w:r>
      <w:r>
        <w:rPr>
          <w:w w:val="105"/>
        </w:rPr>
        <w:t>little sign of a reduction in the pace of domestic consumption growth. On the second </w:t>
      </w:r>
      <w:r>
        <w:rPr>
          <w:spacing w:val="-4"/>
          <w:w w:val="105"/>
        </w:rPr>
        <w:t>view, </w:t>
      </w:r>
      <w:r>
        <w:rPr>
          <w:w w:val="105"/>
        </w:rPr>
        <w:t>the major news on the month </w:t>
      </w:r>
      <w:r>
        <w:rPr>
          <w:spacing w:val="-3"/>
          <w:w w:val="105"/>
        </w:rPr>
        <w:t>was </w:t>
      </w:r>
      <w:r>
        <w:rPr>
          <w:w w:val="105"/>
        </w:rPr>
        <w:t>the </w:t>
      </w:r>
      <w:r>
        <w:rPr>
          <w:spacing w:val="-3"/>
          <w:w w:val="105"/>
        </w:rPr>
        <w:t>sharper-than-expected </w:t>
      </w:r>
      <w:r>
        <w:rPr>
          <w:w w:val="105"/>
        </w:rPr>
        <w:t>slowing of </w:t>
      </w:r>
      <w:r>
        <w:rPr>
          <w:spacing w:val="-3"/>
          <w:w w:val="105"/>
        </w:rPr>
        <w:t>world </w:t>
      </w:r>
      <w:r>
        <w:rPr>
          <w:w w:val="105"/>
        </w:rPr>
        <w:t>demand, which reduced prospective UK inflation. RPIX inflation had been below </w:t>
      </w:r>
      <w:r>
        <w:rPr>
          <w:spacing w:val="-3"/>
          <w:w w:val="105"/>
        </w:rPr>
        <w:t>target </w:t>
      </w:r>
      <w:r>
        <w:rPr>
          <w:w w:val="105"/>
        </w:rPr>
        <w:t>for </w:t>
      </w:r>
      <w:r>
        <w:rPr>
          <w:spacing w:val="-17"/>
          <w:w w:val="105"/>
        </w:rPr>
        <w:t>18 </w:t>
      </w:r>
      <w:r>
        <w:rPr>
          <w:w w:val="105"/>
        </w:rPr>
        <w:t>months, and might </w:t>
      </w:r>
      <w:r>
        <w:rPr>
          <w:spacing w:val="-3"/>
          <w:w w:val="105"/>
        </w:rPr>
        <w:t>stay </w:t>
      </w:r>
      <w:r>
        <w:rPr>
          <w:w w:val="105"/>
        </w:rPr>
        <w:t>there for another  </w:t>
      </w:r>
      <w:r>
        <w:rPr>
          <w:spacing w:val="-5"/>
          <w:w w:val="105"/>
        </w:rPr>
        <w:t>two </w:t>
      </w:r>
      <w:r>
        <w:rPr>
          <w:spacing w:val="-3"/>
          <w:w w:val="105"/>
        </w:rPr>
        <w:t>years </w:t>
      </w:r>
      <w:r>
        <w:rPr>
          <w:w w:val="105"/>
        </w:rPr>
        <w:t>without some policy easing. A small </w:t>
      </w:r>
      <w:r>
        <w:rPr>
          <w:spacing w:val="-4"/>
          <w:w w:val="105"/>
        </w:rPr>
        <w:t>rate </w:t>
      </w:r>
      <w:r>
        <w:rPr>
          <w:w w:val="105"/>
        </w:rPr>
        <w:t>cut </w:t>
      </w:r>
      <w:r>
        <w:rPr>
          <w:spacing w:val="-3"/>
          <w:w w:val="105"/>
        </w:rPr>
        <w:t>was </w:t>
      </w:r>
      <w:r>
        <w:rPr>
          <w:w w:val="105"/>
        </w:rPr>
        <w:t>justified </w:t>
      </w:r>
      <w:r>
        <w:rPr>
          <w:spacing w:val="-3"/>
          <w:w w:val="105"/>
        </w:rPr>
        <w:t>by </w:t>
      </w:r>
      <w:r>
        <w:rPr>
          <w:w w:val="105"/>
        </w:rPr>
        <w:t>the weakening </w:t>
      </w:r>
      <w:r>
        <w:rPr>
          <w:spacing w:val="-3"/>
          <w:w w:val="105"/>
        </w:rPr>
        <w:t>external </w:t>
      </w:r>
      <w:r>
        <w:rPr>
          <w:w w:val="105"/>
        </w:rPr>
        <w:t>environment and would help sustain business and consumer confidence.  The </w:t>
      </w:r>
      <w:r>
        <w:rPr>
          <w:spacing w:val="-3"/>
          <w:w w:val="105"/>
        </w:rPr>
        <w:t>Committee voted by </w:t>
      </w:r>
      <w:r>
        <w:rPr>
          <w:w w:val="105"/>
        </w:rPr>
        <w:t>7 </w:t>
      </w:r>
      <w:r>
        <w:rPr>
          <w:spacing w:val="-4"/>
          <w:w w:val="105"/>
        </w:rPr>
        <w:t>to </w:t>
      </w:r>
      <w:r>
        <w:rPr>
          <w:w w:val="105"/>
        </w:rPr>
        <w:t>2 </w:t>
      </w:r>
      <w:r>
        <w:rPr>
          <w:spacing w:val="-4"/>
          <w:w w:val="105"/>
        </w:rPr>
        <w:t>to </w:t>
      </w:r>
      <w:r>
        <w:rPr>
          <w:w w:val="105"/>
        </w:rPr>
        <w:t>leave the </w:t>
      </w:r>
      <w:r>
        <w:rPr>
          <w:spacing w:val="-3"/>
          <w:w w:val="105"/>
        </w:rPr>
        <w:t>Bank’s </w:t>
      </w:r>
      <w:r>
        <w:rPr>
          <w:w w:val="105"/>
        </w:rPr>
        <w:t>repo </w:t>
      </w:r>
      <w:r>
        <w:rPr>
          <w:spacing w:val="-4"/>
          <w:w w:val="105"/>
        </w:rPr>
        <w:t>rate </w:t>
      </w:r>
      <w:r>
        <w:rPr>
          <w:w w:val="105"/>
        </w:rPr>
        <w:t>unchanged.</w:t>
      </w:r>
    </w:p>
    <w:p>
      <w:pPr>
        <w:pStyle w:val="BodyText"/>
        <w:spacing w:before="4"/>
        <w:rPr>
          <w:sz w:val="23"/>
        </w:rPr>
      </w:pPr>
    </w:p>
    <w:p>
      <w:pPr>
        <w:pStyle w:val="BodyText"/>
        <w:spacing w:line="292" w:lineRule="auto"/>
        <w:ind w:left="5099" w:right="203"/>
      </w:pPr>
      <w:r>
        <w:rPr>
          <w:w w:val="110"/>
        </w:rPr>
        <w:t>At</w:t>
      </w:r>
      <w:r>
        <w:rPr>
          <w:spacing w:val="-15"/>
          <w:w w:val="110"/>
        </w:rPr>
        <w:t> </w:t>
      </w:r>
      <w:r>
        <w:rPr>
          <w:w w:val="110"/>
        </w:rPr>
        <w:t>its</w:t>
      </w:r>
      <w:r>
        <w:rPr>
          <w:spacing w:val="-15"/>
          <w:w w:val="110"/>
        </w:rPr>
        <w:t> </w:t>
      </w:r>
      <w:r>
        <w:rPr>
          <w:w w:val="110"/>
        </w:rPr>
        <w:t>meeting</w:t>
      </w:r>
      <w:r>
        <w:rPr>
          <w:spacing w:val="-14"/>
          <w:w w:val="110"/>
        </w:rPr>
        <w:t> </w:t>
      </w:r>
      <w:r>
        <w:rPr>
          <w:w w:val="110"/>
        </w:rPr>
        <w:t>on</w:t>
      </w:r>
      <w:r>
        <w:rPr>
          <w:spacing w:val="-15"/>
          <w:w w:val="110"/>
        </w:rPr>
        <w:t> 10–11 </w:t>
      </w:r>
      <w:r>
        <w:rPr>
          <w:spacing w:val="-3"/>
          <w:w w:val="110"/>
        </w:rPr>
        <w:t>January,</w:t>
      </w:r>
      <w:r>
        <w:rPr>
          <w:spacing w:val="-14"/>
          <w:w w:val="110"/>
        </w:rPr>
        <w:t> </w:t>
      </w:r>
      <w:r>
        <w:rPr>
          <w:w w:val="110"/>
        </w:rPr>
        <w:t>the</w:t>
      </w:r>
      <w:r>
        <w:rPr>
          <w:spacing w:val="-15"/>
          <w:w w:val="110"/>
        </w:rPr>
        <w:t> </w:t>
      </w:r>
      <w:r>
        <w:rPr>
          <w:w w:val="110"/>
        </w:rPr>
        <w:t>MPC</w:t>
      </w:r>
      <w:r>
        <w:rPr>
          <w:spacing w:val="-14"/>
          <w:w w:val="110"/>
        </w:rPr>
        <w:t> </w:t>
      </w:r>
      <w:r>
        <w:rPr>
          <w:w w:val="110"/>
        </w:rPr>
        <w:t>again</w:t>
      </w:r>
      <w:r>
        <w:rPr>
          <w:spacing w:val="-15"/>
          <w:w w:val="110"/>
        </w:rPr>
        <w:t> </w:t>
      </w:r>
      <w:r>
        <w:rPr>
          <w:w w:val="110"/>
        </w:rPr>
        <w:t>started</w:t>
      </w:r>
      <w:r>
        <w:rPr>
          <w:spacing w:val="-15"/>
          <w:w w:val="110"/>
        </w:rPr>
        <w:t> </w:t>
      </w:r>
      <w:r>
        <w:rPr>
          <w:w w:val="110"/>
        </w:rPr>
        <w:t>with</w:t>
      </w:r>
      <w:r>
        <w:rPr>
          <w:spacing w:val="-14"/>
          <w:w w:val="110"/>
        </w:rPr>
        <w:t> </w:t>
      </w:r>
      <w:r>
        <w:rPr>
          <w:w w:val="110"/>
        </w:rPr>
        <w:t>a discussion</w:t>
      </w:r>
      <w:r>
        <w:rPr>
          <w:spacing w:val="-24"/>
          <w:w w:val="110"/>
        </w:rPr>
        <w:t> </w:t>
      </w:r>
      <w:r>
        <w:rPr>
          <w:w w:val="110"/>
        </w:rPr>
        <w:t>of</w:t>
      </w:r>
      <w:r>
        <w:rPr>
          <w:spacing w:val="-23"/>
          <w:w w:val="110"/>
        </w:rPr>
        <w:t> </w:t>
      </w:r>
      <w:r>
        <w:rPr>
          <w:w w:val="110"/>
        </w:rPr>
        <w:t>developments</w:t>
      </w:r>
      <w:r>
        <w:rPr>
          <w:spacing w:val="-23"/>
          <w:w w:val="110"/>
        </w:rPr>
        <w:t> </w:t>
      </w:r>
      <w:r>
        <w:rPr>
          <w:w w:val="110"/>
        </w:rPr>
        <w:t>in</w:t>
      </w:r>
      <w:r>
        <w:rPr>
          <w:spacing w:val="-23"/>
          <w:w w:val="110"/>
        </w:rPr>
        <w:t> </w:t>
      </w:r>
      <w:r>
        <w:rPr>
          <w:w w:val="110"/>
        </w:rPr>
        <w:t>the</w:t>
      </w:r>
      <w:r>
        <w:rPr>
          <w:spacing w:val="-24"/>
          <w:w w:val="110"/>
        </w:rPr>
        <w:t> </w:t>
      </w:r>
      <w:r>
        <w:rPr>
          <w:w w:val="110"/>
        </w:rPr>
        <w:t>world</w:t>
      </w:r>
      <w:r>
        <w:rPr>
          <w:spacing w:val="-23"/>
          <w:w w:val="110"/>
        </w:rPr>
        <w:t> </w:t>
      </w:r>
      <w:r>
        <w:rPr>
          <w:spacing w:val="-3"/>
          <w:w w:val="110"/>
        </w:rPr>
        <w:t>economy.</w:t>
      </w:r>
      <w:r>
        <w:rPr>
          <w:spacing w:val="9"/>
          <w:w w:val="110"/>
        </w:rPr>
        <w:t> </w:t>
      </w:r>
      <w:r>
        <w:rPr>
          <w:w w:val="110"/>
        </w:rPr>
        <w:t>There</w:t>
      </w:r>
      <w:r>
        <w:rPr>
          <w:spacing w:val="-23"/>
          <w:w w:val="110"/>
        </w:rPr>
        <w:t> </w:t>
      </w:r>
      <w:r>
        <w:rPr>
          <w:spacing w:val="-3"/>
          <w:w w:val="110"/>
        </w:rPr>
        <w:t>was </w:t>
      </w:r>
      <w:r>
        <w:rPr>
          <w:w w:val="110"/>
        </w:rPr>
        <w:t>further</w:t>
      </w:r>
      <w:r>
        <w:rPr>
          <w:spacing w:val="-30"/>
          <w:w w:val="110"/>
        </w:rPr>
        <w:t> </w:t>
      </w:r>
      <w:r>
        <w:rPr>
          <w:w w:val="110"/>
        </w:rPr>
        <w:t>evidence</w:t>
      </w:r>
      <w:r>
        <w:rPr>
          <w:spacing w:val="-29"/>
          <w:w w:val="110"/>
        </w:rPr>
        <w:t> </w:t>
      </w:r>
      <w:r>
        <w:rPr>
          <w:w w:val="110"/>
        </w:rPr>
        <w:t>of</w:t>
      </w:r>
      <w:r>
        <w:rPr>
          <w:spacing w:val="-30"/>
          <w:w w:val="110"/>
        </w:rPr>
        <w:t> </w:t>
      </w:r>
      <w:r>
        <w:rPr>
          <w:w w:val="110"/>
        </w:rPr>
        <w:t>a</w:t>
      </w:r>
      <w:r>
        <w:rPr>
          <w:spacing w:val="-29"/>
          <w:w w:val="110"/>
        </w:rPr>
        <w:t> </w:t>
      </w:r>
      <w:r>
        <w:rPr>
          <w:w w:val="110"/>
        </w:rPr>
        <w:t>sharper-than-expected</w:t>
      </w:r>
      <w:r>
        <w:rPr>
          <w:spacing w:val="-30"/>
          <w:w w:val="110"/>
        </w:rPr>
        <w:t> </w:t>
      </w:r>
      <w:r>
        <w:rPr>
          <w:w w:val="110"/>
        </w:rPr>
        <w:t>US</w:t>
      </w:r>
      <w:r>
        <w:rPr>
          <w:spacing w:val="-29"/>
          <w:w w:val="110"/>
        </w:rPr>
        <w:t> </w:t>
      </w:r>
      <w:r>
        <w:rPr>
          <w:w w:val="110"/>
        </w:rPr>
        <w:t>slowdown</w:t>
      </w:r>
      <w:r>
        <w:rPr>
          <w:spacing w:val="-29"/>
          <w:w w:val="110"/>
        </w:rPr>
        <w:t> </w:t>
      </w:r>
      <w:r>
        <w:rPr>
          <w:w w:val="110"/>
        </w:rPr>
        <w:t>and</w:t>
      </w:r>
    </w:p>
    <w:p>
      <w:pPr>
        <w:spacing w:after="0" w:line="292" w:lineRule="auto"/>
        <w:sectPr>
          <w:headerReference w:type="default" r:id="rId159"/>
          <w:pgSz w:w="11900" w:h="16840"/>
          <w:pgMar w:header="601" w:footer="575" w:top="800" w:bottom="760" w:left="640" w:right="640"/>
        </w:sectPr>
      </w:pPr>
    </w:p>
    <w:p>
      <w:pPr>
        <w:spacing w:before="78" w:after="17"/>
        <w:ind w:left="0" w:right="142" w:firstLine="0"/>
        <w:jc w:val="right"/>
        <w:rPr>
          <w:rFonts w:ascii="Trebuchet MS"/>
          <w:sz w:val="14"/>
        </w:rPr>
      </w:pPr>
      <w:r>
        <w:rPr>
          <w:rFonts w:ascii="Trebuchet MS"/>
          <w:i/>
          <w:w w:val="95"/>
          <w:sz w:val="14"/>
        </w:rPr>
        <w:t>Monetary policy since the November </w:t>
      </w:r>
      <w:r>
        <w:rPr>
          <w:rFonts w:ascii="Trebuchet MS"/>
          <w:w w:val="95"/>
          <w:sz w:val="14"/>
        </w:rPr>
        <w:t>Report</w:t>
      </w:r>
    </w:p>
    <w:p>
      <w:pPr>
        <w:pStyle w:val="BodyText"/>
        <w:spacing w:line="20" w:lineRule="exact"/>
        <w:ind w:left="138"/>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rFonts w:ascii="Trebuchet MS"/>
          <w:sz w:val="2"/>
        </w:rPr>
      </w:r>
    </w:p>
    <w:p>
      <w:pPr>
        <w:pStyle w:val="BodyText"/>
        <w:rPr>
          <w:rFonts w:ascii="Trebuchet MS"/>
        </w:rPr>
      </w:pPr>
    </w:p>
    <w:p>
      <w:pPr>
        <w:pStyle w:val="BodyText"/>
        <w:spacing w:before="8"/>
        <w:rPr>
          <w:rFonts w:ascii="Trebuchet MS"/>
          <w:sz w:val="17"/>
        </w:rPr>
      </w:pPr>
    </w:p>
    <w:p>
      <w:pPr>
        <w:pStyle w:val="BodyText"/>
        <w:spacing w:line="292" w:lineRule="auto" w:before="1"/>
        <w:ind w:left="5080" w:right="172"/>
      </w:pPr>
      <w:r>
        <w:rPr>
          <w:w w:val="110"/>
        </w:rPr>
        <w:t>the</w:t>
      </w:r>
      <w:r>
        <w:rPr>
          <w:spacing w:val="-15"/>
          <w:w w:val="110"/>
        </w:rPr>
        <w:t> </w:t>
      </w:r>
      <w:r>
        <w:rPr>
          <w:w w:val="110"/>
        </w:rPr>
        <w:t>FOMC</w:t>
      </w:r>
      <w:r>
        <w:rPr>
          <w:spacing w:val="-14"/>
          <w:w w:val="110"/>
        </w:rPr>
        <w:t> </w:t>
      </w:r>
      <w:r>
        <w:rPr>
          <w:w w:val="110"/>
        </w:rPr>
        <w:t>had</w:t>
      </w:r>
      <w:r>
        <w:rPr>
          <w:spacing w:val="-14"/>
          <w:w w:val="110"/>
        </w:rPr>
        <w:t> </w:t>
      </w:r>
      <w:r>
        <w:rPr>
          <w:w w:val="110"/>
        </w:rPr>
        <w:t>cut</w:t>
      </w:r>
      <w:r>
        <w:rPr>
          <w:spacing w:val="-15"/>
          <w:w w:val="110"/>
        </w:rPr>
        <w:t> </w:t>
      </w:r>
      <w:r>
        <w:rPr>
          <w:w w:val="110"/>
        </w:rPr>
        <w:t>their</w:t>
      </w:r>
      <w:r>
        <w:rPr>
          <w:spacing w:val="-14"/>
          <w:w w:val="110"/>
        </w:rPr>
        <w:t> </w:t>
      </w:r>
      <w:r>
        <w:rPr>
          <w:w w:val="110"/>
        </w:rPr>
        <w:t>policy</w:t>
      </w:r>
      <w:r>
        <w:rPr>
          <w:spacing w:val="-14"/>
          <w:w w:val="110"/>
        </w:rPr>
        <w:t> </w:t>
      </w:r>
      <w:r>
        <w:rPr>
          <w:spacing w:val="-4"/>
          <w:w w:val="110"/>
        </w:rPr>
        <w:t>rate</w:t>
      </w:r>
      <w:r>
        <w:rPr>
          <w:spacing w:val="-15"/>
          <w:w w:val="110"/>
        </w:rPr>
        <w:t> </w:t>
      </w:r>
      <w:r>
        <w:rPr>
          <w:spacing w:val="-3"/>
          <w:w w:val="110"/>
        </w:rPr>
        <w:t>by</w:t>
      </w:r>
      <w:r>
        <w:rPr>
          <w:spacing w:val="-14"/>
          <w:w w:val="110"/>
        </w:rPr>
        <w:t> </w:t>
      </w:r>
      <w:r>
        <w:rPr>
          <w:spacing w:val="-8"/>
          <w:w w:val="110"/>
        </w:rPr>
        <w:t>50</w:t>
      </w:r>
      <w:r>
        <w:rPr>
          <w:spacing w:val="-14"/>
          <w:w w:val="110"/>
        </w:rPr>
        <w:t> </w:t>
      </w:r>
      <w:r>
        <w:rPr>
          <w:w w:val="110"/>
        </w:rPr>
        <w:t>basis</w:t>
      </w:r>
      <w:r>
        <w:rPr>
          <w:spacing w:val="-14"/>
          <w:w w:val="110"/>
        </w:rPr>
        <w:t> </w:t>
      </w:r>
      <w:r>
        <w:rPr>
          <w:w w:val="110"/>
        </w:rPr>
        <w:t>points</w:t>
      </w:r>
      <w:r>
        <w:rPr>
          <w:spacing w:val="-15"/>
          <w:w w:val="110"/>
        </w:rPr>
        <w:t> </w:t>
      </w:r>
      <w:r>
        <w:rPr>
          <w:w w:val="110"/>
        </w:rPr>
        <w:t>in</w:t>
      </w:r>
      <w:r>
        <w:rPr>
          <w:spacing w:val="-14"/>
          <w:w w:val="110"/>
        </w:rPr>
        <w:t> </w:t>
      </w:r>
      <w:r>
        <w:rPr>
          <w:w w:val="110"/>
        </w:rPr>
        <w:t>early </w:t>
      </w:r>
      <w:r>
        <w:rPr>
          <w:spacing w:val="-3"/>
          <w:w w:val="110"/>
        </w:rPr>
        <w:t>January. </w:t>
      </w:r>
      <w:r>
        <w:rPr>
          <w:w w:val="110"/>
        </w:rPr>
        <w:t>The consensus view </w:t>
      </w:r>
      <w:r>
        <w:rPr>
          <w:spacing w:val="-3"/>
          <w:w w:val="110"/>
        </w:rPr>
        <w:t>was </w:t>
      </w:r>
      <w:r>
        <w:rPr>
          <w:w w:val="110"/>
        </w:rPr>
        <w:t>that some </w:t>
      </w:r>
      <w:r>
        <w:rPr>
          <w:spacing w:val="-3"/>
          <w:w w:val="110"/>
        </w:rPr>
        <w:t>slowdown </w:t>
      </w:r>
      <w:r>
        <w:rPr>
          <w:w w:val="110"/>
        </w:rPr>
        <w:t>had been desirable and that modest </w:t>
      </w:r>
      <w:r>
        <w:rPr>
          <w:spacing w:val="-2"/>
          <w:w w:val="110"/>
        </w:rPr>
        <w:t>growth </w:t>
      </w:r>
      <w:r>
        <w:rPr>
          <w:spacing w:val="-3"/>
          <w:w w:val="110"/>
        </w:rPr>
        <w:t>was </w:t>
      </w:r>
      <w:r>
        <w:rPr>
          <w:w w:val="110"/>
        </w:rPr>
        <w:t>likely </w:t>
      </w:r>
      <w:r>
        <w:rPr>
          <w:spacing w:val="-4"/>
          <w:w w:val="110"/>
        </w:rPr>
        <w:t>to </w:t>
      </w:r>
      <w:r>
        <w:rPr>
          <w:spacing w:val="-2"/>
          <w:w w:val="110"/>
        </w:rPr>
        <w:t>resume </w:t>
      </w:r>
      <w:r>
        <w:rPr>
          <w:w w:val="110"/>
        </w:rPr>
        <w:t>later in the </w:t>
      </w:r>
      <w:r>
        <w:rPr>
          <w:spacing w:val="-4"/>
          <w:w w:val="110"/>
        </w:rPr>
        <w:t>year. </w:t>
      </w:r>
      <w:r>
        <w:rPr>
          <w:w w:val="110"/>
        </w:rPr>
        <w:t>Some Committee members, </w:t>
      </w:r>
      <w:r>
        <w:rPr>
          <w:spacing w:val="-4"/>
          <w:w w:val="110"/>
        </w:rPr>
        <w:t>however, </w:t>
      </w:r>
      <w:r>
        <w:rPr>
          <w:w w:val="110"/>
        </w:rPr>
        <w:t>saw some</w:t>
      </w:r>
      <w:r>
        <w:rPr>
          <w:spacing w:val="-17"/>
          <w:w w:val="110"/>
        </w:rPr>
        <w:t> </w:t>
      </w:r>
      <w:r>
        <w:rPr>
          <w:w w:val="110"/>
        </w:rPr>
        <w:t>risks</w:t>
      </w:r>
      <w:r>
        <w:rPr>
          <w:spacing w:val="-17"/>
          <w:w w:val="110"/>
        </w:rPr>
        <w:t> </w:t>
      </w:r>
      <w:r>
        <w:rPr>
          <w:w w:val="110"/>
        </w:rPr>
        <w:t>of</w:t>
      </w:r>
      <w:r>
        <w:rPr>
          <w:spacing w:val="-17"/>
          <w:w w:val="110"/>
        </w:rPr>
        <w:t> </w:t>
      </w:r>
      <w:r>
        <w:rPr>
          <w:w w:val="110"/>
        </w:rPr>
        <w:t>a</w:t>
      </w:r>
      <w:r>
        <w:rPr>
          <w:spacing w:val="-16"/>
          <w:w w:val="110"/>
        </w:rPr>
        <w:t> </w:t>
      </w:r>
      <w:r>
        <w:rPr>
          <w:w w:val="110"/>
        </w:rPr>
        <w:t>more</w:t>
      </w:r>
      <w:r>
        <w:rPr>
          <w:spacing w:val="-17"/>
          <w:w w:val="110"/>
        </w:rPr>
        <w:t> </w:t>
      </w:r>
      <w:r>
        <w:rPr>
          <w:w w:val="110"/>
        </w:rPr>
        <w:t>pronounced</w:t>
      </w:r>
      <w:r>
        <w:rPr>
          <w:spacing w:val="-17"/>
          <w:w w:val="110"/>
        </w:rPr>
        <w:t> </w:t>
      </w:r>
      <w:r>
        <w:rPr>
          <w:w w:val="110"/>
        </w:rPr>
        <w:t>and</w:t>
      </w:r>
      <w:r>
        <w:rPr>
          <w:spacing w:val="-16"/>
          <w:w w:val="110"/>
        </w:rPr>
        <w:t> </w:t>
      </w:r>
      <w:r>
        <w:rPr>
          <w:w w:val="110"/>
        </w:rPr>
        <w:t>sustained</w:t>
      </w:r>
      <w:r>
        <w:rPr>
          <w:spacing w:val="-17"/>
          <w:w w:val="110"/>
        </w:rPr>
        <w:t> </w:t>
      </w:r>
      <w:r>
        <w:rPr>
          <w:spacing w:val="-3"/>
          <w:w w:val="110"/>
        </w:rPr>
        <w:t>slowdown.</w:t>
      </w:r>
    </w:p>
    <w:p>
      <w:pPr>
        <w:pStyle w:val="BodyText"/>
        <w:spacing w:line="292" w:lineRule="auto"/>
        <w:ind w:left="5080" w:right="234"/>
      </w:pPr>
      <w:r>
        <w:rPr>
          <w:w w:val="105"/>
        </w:rPr>
        <w:t>Prospects for growth in Japan seemed </w:t>
      </w:r>
      <w:r>
        <w:rPr>
          <w:spacing w:val="-4"/>
          <w:w w:val="105"/>
        </w:rPr>
        <w:t>to </w:t>
      </w:r>
      <w:r>
        <w:rPr>
          <w:spacing w:val="-3"/>
          <w:w w:val="105"/>
        </w:rPr>
        <w:t>have </w:t>
      </w:r>
      <w:r>
        <w:rPr>
          <w:w w:val="105"/>
        </w:rPr>
        <w:t>weakened and some other Asian economies had also slowed. But the cut in US </w:t>
      </w:r>
      <w:r>
        <w:rPr>
          <w:spacing w:val="-3"/>
          <w:w w:val="105"/>
        </w:rPr>
        <w:t>interest </w:t>
      </w:r>
      <w:r>
        <w:rPr>
          <w:spacing w:val="-4"/>
          <w:w w:val="105"/>
        </w:rPr>
        <w:t>rates </w:t>
      </w:r>
      <w:r>
        <w:rPr>
          <w:w w:val="105"/>
        </w:rPr>
        <w:t>and the </w:t>
      </w:r>
      <w:r>
        <w:rPr>
          <w:spacing w:val="-3"/>
          <w:w w:val="105"/>
        </w:rPr>
        <w:t>lower </w:t>
      </w:r>
      <w:r>
        <w:rPr>
          <w:w w:val="105"/>
        </w:rPr>
        <w:t>oil price would help </w:t>
      </w:r>
      <w:r>
        <w:rPr>
          <w:spacing w:val="-3"/>
          <w:w w:val="105"/>
        </w:rPr>
        <w:t>many </w:t>
      </w:r>
      <w:r>
        <w:rPr>
          <w:w w:val="105"/>
        </w:rPr>
        <w:t>countries </w:t>
      </w:r>
      <w:r>
        <w:rPr>
          <w:spacing w:val="-4"/>
          <w:w w:val="105"/>
        </w:rPr>
        <w:t>to </w:t>
      </w:r>
      <w:r>
        <w:rPr>
          <w:w w:val="105"/>
        </w:rPr>
        <w:t>sustain </w:t>
      </w:r>
      <w:r>
        <w:rPr>
          <w:spacing w:val="-4"/>
          <w:w w:val="105"/>
        </w:rPr>
        <w:t>activity.   </w:t>
      </w:r>
      <w:r>
        <w:rPr>
          <w:w w:val="105"/>
        </w:rPr>
        <w:t>The </w:t>
      </w:r>
      <w:r>
        <w:rPr>
          <w:spacing w:val="-3"/>
          <w:w w:val="105"/>
        </w:rPr>
        <w:t>recovery </w:t>
      </w:r>
      <w:r>
        <w:rPr>
          <w:w w:val="105"/>
        </w:rPr>
        <w:t>of the euro and </w:t>
      </w:r>
      <w:r>
        <w:rPr>
          <w:spacing w:val="-3"/>
          <w:w w:val="105"/>
        </w:rPr>
        <w:t>lower </w:t>
      </w:r>
      <w:r>
        <w:rPr>
          <w:w w:val="105"/>
        </w:rPr>
        <w:t>oil prices would reduce inflationary </w:t>
      </w:r>
      <w:r>
        <w:rPr>
          <w:spacing w:val="-3"/>
          <w:w w:val="105"/>
        </w:rPr>
        <w:t>pressure </w:t>
      </w:r>
      <w:r>
        <w:rPr>
          <w:w w:val="105"/>
        </w:rPr>
        <w:t>in the euro area and had </w:t>
      </w:r>
      <w:r>
        <w:rPr>
          <w:spacing w:val="-3"/>
          <w:w w:val="105"/>
        </w:rPr>
        <w:t>improved </w:t>
      </w:r>
      <w:r>
        <w:rPr>
          <w:w w:val="105"/>
        </w:rPr>
        <w:t>confidence. There </w:t>
      </w:r>
      <w:r>
        <w:rPr>
          <w:spacing w:val="-3"/>
          <w:w w:val="105"/>
        </w:rPr>
        <w:t>were </w:t>
      </w:r>
      <w:r>
        <w:rPr>
          <w:w w:val="105"/>
        </w:rPr>
        <w:t>downside risks </w:t>
      </w:r>
      <w:r>
        <w:rPr>
          <w:spacing w:val="-4"/>
          <w:w w:val="105"/>
        </w:rPr>
        <w:t>to </w:t>
      </w:r>
      <w:r>
        <w:rPr>
          <w:w w:val="105"/>
        </w:rPr>
        <w:t>the UK economy from the slowing of world </w:t>
      </w:r>
      <w:r>
        <w:rPr>
          <w:spacing w:val="-3"/>
          <w:w w:val="105"/>
        </w:rPr>
        <w:t>activity, </w:t>
      </w:r>
      <w:r>
        <w:rPr>
          <w:w w:val="105"/>
        </w:rPr>
        <w:t>but it </w:t>
      </w:r>
      <w:r>
        <w:rPr>
          <w:spacing w:val="-3"/>
          <w:w w:val="105"/>
        </w:rPr>
        <w:t>was </w:t>
      </w:r>
      <w:r>
        <w:rPr>
          <w:w w:val="105"/>
        </w:rPr>
        <w:t>not yet clear how likely </w:t>
      </w:r>
      <w:r>
        <w:rPr>
          <w:spacing w:val="-3"/>
          <w:w w:val="105"/>
        </w:rPr>
        <w:t>any </w:t>
      </w:r>
      <w:r>
        <w:rPr>
          <w:w w:val="105"/>
        </w:rPr>
        <w:t>of the more pessimistic scenarios</w:t>
      </w:r>
      <w:r>
        <w:rPr>
          <w:spacing w:val="-3"/>
          <w:w w:val="105"/>
        </w:rPr>
        <w:t> </w:t>
      </w:r>
      <w:r>
        <w:rPr>
          <w:w w:val="105"/>
        </w:rPr>
        <w:t>were.</w:t>
      </w:r>
    </w:p>
    <w:p>
      <w:pPr>
        <w:pStyle w:val="BodyText"/>
        <w:spacing w:before="7"/>
        <w:rPr>
          <w:sz w:val="23"/>
        </w:rPr>
      </w:pPr>
    </w:p>
    <w:p>
      <w:pPr>
        <w:pStyle w:val="BodyText"/>
        <w:spacing w:line="292" w:lineRule="auto"/>
        <w:ind w:left="5080" w:right="140"/>
      </w:pPr>
      <w:r>
        <w:rPr>
          <w:w w:val="110"/>
        </w:rPr>
        <w:t>There </w:t>
      </w:r>
      <w:r>
        <w:rPr>
          <w:spacing w:val="-3"/>
          <w:w w:val="110"/>
        </w:rPr>
        <w:t>was </w:t>
      </w:r>
      <w:r>
        <w:rPr>
          <w:w w:val="110"/>
        </w:rPr>
        <w:t>little news in the recent UK GDP data, but it did support earlier releases indicating that household consumption</w:t>
      </w:r>
      <w:r>
        <w:rPr>
          <w:spacing w:val="-21"/>
          <w:w w:val="110"/>
        </w:rPr>
        <w:t> </w:t>
      </w:r>
      <w:r>
        <w:rPr>
          <w:spacing w:val="-2"/>
          <w:w w:val="110"/>
        </w:rPr>
        <w:t>growth</w:t>
      </w:r>
      <w:r>
        <w:rPr>
          <w:spacing w:val="-20"/>
          <w:w w:val="110"/>
        </w:rPr>
        <w:t> </w:t>
      </w:r>
      <w:r>
        <w:rPr>
          <w:spacing w:val="-3"/>
          <w:w w:val="110"/>
        </w:rPr>
        <w:t>was</w:t>
      </w:r>
      <w:r>
        <w:rPr>
          <w:spacing w:val="-21"/>
          <w:w w:val="110"/>
        </w:rPr>
        <w:t> </w:t>
      </w:r>
      <w:r>
        <w:rPr>
          <w:spacing w:val="-3"/>
          <w:w w:val="110"/>
        </w:rPr>
        <w:t>faster</w:t>
      </w:r>
      <w:r>
        <w:rPr>
          <w:spacing w:val="-20"/>
          <w:w w:val="110"/>
        </w:rPr>
        <w:t> </w:t>
      </w:r>
      <w:r>
        <w:rPr>
          <w:w w:val="110"/>
        </w:rPr>
        <w:t>than</w:t>
      </w:r>
      <w:r>
        <w:rPr>
          <w:spacing w:val="-20"/>
          <w:w w:val="110"/>
        </w:rPr>
        <w:t> </w:t>
      </w:r>
      <w:r>
        <w:rPr>
          <w:spacing w:val="-3"/>
          <w:w w:val="110"/>
        </w:rPr>
        <w:t>expected</w:t>
      </w:r>
      <w:r>
        <w:rPr>
          <w:spacing w:val="-21"/>
          <w:w w:val="110"/>
        </w:rPr>
        <w:t> </w:t>
      </w:r>
      <w:r>
        <w:rPr>
          <w:w w:val="110"/>
        </w:rPr>
        <w:t>while</w:t>
      </w:r>
      <w:r>
        <w:rPr>
          <w:spacing w:val="-20"/>
          <w:w w:val="110"/>
        </w:rPr>
        <w:t> </w:t>
      </w:r>
      <w:r>
        <w:rPr>
          <w:spacing w:val="-3"/>
          <w:w w:val="110"/>
        </w:rPr>
        <w:t>investment </w:t>
      </w:r>
      <w:r>
        <w:rPr>
          <w:w w:val="110"/>
        </w:rPr>
        <w:t>and government consumption </w:t>
      </w:r>
      <w:r>
        <w:rPr>
          <w:spacing w:val="-2"/>
          <w:w w:val="110"/>
        </w:rPr>
        <w:t>growth </w:t>
      </w:r>
      <w:r>
        <w:rPr>
          <w:w w:val="110"/>
        </w:rPr>
        <w:t>had been </w:t>
      </w:r>
      <w:r>
        <w:rPr>
          <w:spacing w:val="-3"/>
          <w:w w:val="110"/>
        </w:rPr>
        <w:t>slower </w:t>
      </w:r>
      <w:r>
        <w:rPr>
          <w:w w:val="110"/>
        </w:rPr>
        <w:t>than expected. It </w:t>
      </w:r>
      <w:r>
        <w:rPr>
          <w:spacing w:val="-3"/>
          <w:w w:val="110"/>
        </w:rPr>
        <w:t>was </w:t>
      </w:r>
      <w:r>
        <w:rPr>
          <w:w w:val="110"/>
        </w:rPr>
        <w:t>possible that there </w:t>
      </w:r>
      <w:r>
        <w:rPr>
          <w:spacing w:val="-3"/>
          <w:w w:val="110"/>
        </w:rPr>
        <w:t>were </w:t>
      </w:r>
      <w:r>
        <w:rPr>
          <w:w w:val="110"/>
        </w:rPr>
        <w:t>measurement problems relating </w:t>
      </w:r>
      <w:r>
        <w:rPr>
          <w:spacing w:val="-4"/>
          <w:w w:val="110"/>
        </w:rPr>
        <w:t>to </w:t>
      </w:r>
      <w:r>
        <w:rPr>
          <w:w w:val="110"/>
        </w:rPr>
        <w:t>price </w:t>
      </w:r>
      <w:r>
        <w:rPr>
          <w:spacing w:val="-3"/>
          <w:w w:val="110"/>
        </w:rPr>
        <w:t>deflators </w:t>
      </w:r>
      <w:r>
        <w:rPr>
          <w:w w:val="110"/>
        </w:rPr>
        <w:t>for both </w:t>
      </w:r>
      <w:r>
        <w:rPr>
          <w:spacing w:val="-3"/>
          <w:w w:val="110"/>
        </w:rPr>
        <w:t>private </w:t>
      </w:r>
      <w:r>
        <w:rPr>
          <w:w w:val="110"/>
        </w:rPr>
        <w:t>consumption and investment. It </w:t>
      </w:r>
      <w:r>
        <w:rPr>
          <w:spacing w:val="-3"/>
          <w:w w:val="110"/>
        </w:rPr>
        <w:t>was </w:t>
      </w:r>
      <w:r>
        <w:rPr>
          <w:w w:val="110"/>
        </w:rPr>
        <w:t>also possible that </w:t>
      </w:r>
      <w:r>
        <w:rPr>
          <w:spacing w:val="-3"/>
          <w:w w:val="110"/>
        </w:rPr>
        <w:t>any </w:t>
      </w:r>
      <w:r>
        <w:rPr>
          <w:w w:val="110"/>
        </w:rPr>
        <w:t>government</w:t>
      </w:r>
      <w:r>
        <w:rPr>
          <w:spacing w:val="-23"/>
          <w:w w:val="110"/>
        </w:rPr>
        <w:t> </w:t>
      </w:r>
      <w:r>
        <w:rPr>
          <w:w w:val="110"/>
        </w:rPr>
        <w:t>underspending</w:t>
      </w:r>
      <w:r>
        <w:rPr>
          <w:spacing w:val="-22"/>
          <w:w w:val="110"/>
        </w:rPr>
        <w:t> </w:t>
      </w:r>
      <w:r>
        <w:rPr>
          <w:w w:val="110"/>
        </w:rPr>
        <w:t>relative</w:t>
      </w:r>
      <w:r>
        <w:rPr>
          <w:spacing w:val="-22"/>
          <w:w w:val="110"/>
        </w:rPr>
        <w:t> </w:t>
      </w:r>
      <w:r>
        <w:rPr>
          <w:spacing w:val="-4"/>
          <w:w w:val="110"/>
        </w:rPr>
        <w:t>to</w:t>
      </w:r>
      <w:r>
        <w:rPr>
          <w:spacing w:val="-23"/>
          <w:w w:val="110"/>
        </w:rPr>
        <w:t> </w:t>
      </w:r>
      <w:r>
        <w:rPr>
          <w:w w:val="110"/>
        </w:rPr>
        <w:t>announced</w:t>
      </w:r>
      <w:r>
        <w:rPr>
          <w:spacing w:val="-22"/>
          <w:w w:val="110"/>
        </w:rPr>
        <w:t> </w:t>
      </w:r>
      <w:r>
        <w:rPr>
          <w:w w:val="110"/>
        </w:rPr>
        <w:t>plans</w:t>
      </w:r>
      <w:r>
        <w:rPr>
          <w:spacing w:val="-22"/>
          <w:w w:val="110"/>
        </w:rPr>
        <w:t> </w:t>
      </w:r>
      <w:r>
        <w:rPr>
          <w:w w:val="110"/>
        </w:rPr>
        <w:t>would be made up in later</w:t>
      </w:r>
      <w:r>
        <w:rPr>
          <w:spacing w:val="-29"/>
          <w:w w:val="110"/>
        </w:rPr>
        <w:t> </w:t>
      </w:r>
      <w:r>
        <w:rPr>
          <w:w w:val="110"/>
        </w:rPr>
        <w:t>periods.</w:t>
      </w:r>
    </w:p>
    <w:p>
      <w:pPr>
        <w:pStyle w:val="BodyText"/>
        <w:spacing w:before="10"/>
        <w:rPr>
          <w:sz w:val="23"/>
        </w:rPr>
      </w:pPr>
    </w:p>
    <w:p>
      <w:pPr>
        <w:pStyle w:val="BodyText"/>
        <w:spacing w:line="292" w:lineRule="auto"/>
        <w:ind w:left="5080" w:right="172"/>
      </w:pPr>
      <w:r>
        <w:rPr>
          <w:w w:val="110"/>
        </w:rPr>
        <w:t>Growth</w:t>
      </w:r>
      <w:r>
        <w:rPr>
          <w:spacing w:val="-21"/>
          <w:w w:val="110"/>
        </w:rPr>
        <w:t> </w:t>
      </w:r>
      <w:r>
        <w:rPr>
          <w:w w:val="110"/>
        </w:rPr>
        <w:t>in</w:t>
      </w:r>
      <w:r>
        <w:rPr>
          <w:spacing w:val="-20"/>
          <w:w w:val="110"/>
        </w:rPr>
        <w:t> </w:t>
      </w:r>
      <w:r>
        <w:rPr>
          <w:w w:val="110"/>
        </w:rPr>
        <w:t>lending</w:t>
      </w:r>
      <w:r>
        <w:rPr>
          <w:spacing w:val="-21"/>
          <w:w w:val="110"/>
        </w:rPr>
        <w:t> </w:t>
      </w:r>
      <w:r>
        <w:rPr>
          <w:spacing w:val="-4"/>
          <w:w w:val="110"/>
        </w:rPr>
        <w:t>to</w:t>
      </w:r>
      <w:r>
        <w:rPr>
          <w:spacing w:val="-20"/>
          <w:w w:val="110"/>
        </w:rPr>
        <w:t> </w:t>
      </w:r>
      <w:r>
        <w:rPr>
          <w:w w:val="110"/>
        </w:rPr>
        <w:t>households,</w:t>
      </w:r>
      <w:r>
        <w:rPr>
          <w:spacing w:val="-20"/>
          <w:w w:val="110"/>
        </w:rPr>
        <w:t> </w:t>
      </w:r>
      <w:r>
        <w:rPr>
          <w:w w:val="110"/>
        </w:rPr>
        <w:t>especially</w:t>
      </w:r>
      <w:r>
        <w:rPr>
          <w:spacing w:val="-21"/>
          <w:w w:val="110"/>
        </w:rPr>
        <w:t> </w:t>
      </w:r>
      <w:r>
        <w:rPr>
          <w:w w:val="110"/>
        </w:rPr>
        <w:t>consumer</w:t>
      </w:r>
      <w:r>
        <w:rPr>
          <w:spacing w:val="-20"/>
          <w:w w:val="110"/>
        </w:rPr>
        <w:t> </w:t>
      </w:r>
      <w:r>
        <w:rPr>
          <w:w w:val="110"/>
        </w:rPr>
        <w:t>credit, remained high, though lending </w:t>
      </w:r>
      <w:r>
        <w:rPr>
          <w:spacing w:val="-4"/>
          <w:w w:val="110"/>
        </w:rPr>
        <w:t>to </w:t>
      </w:r>
      <w:r>
        <w:rPr>
          <w:w w:val="110"/>
        </w:rPr>
        <w:t>non-financial companies had slowed. The housing </w:t>
      </w:r>
      <w:r>
        <w:rPr>
          <w:spacing w:val="-2"/>
          <w:w w:val="110"/>
        </w:rPr>
        <w:t>market </w:t>
      </w:r>
      <w:r>
        <w:rPr>
          <w:w w:val="110"/>
        </w:rPr>
        <w:t>appeared </w:t>
      </w:r>
      <w:r>
        <w:rPr>
          <w:spacing w:val="-4"/>
          <w:w w:val="110"/>
        </w:rPr>
        <w:t>to </w:t>
      </w:r>
      <w:r>
        <w:rPr>
          <w:spacing w:val="-3"/>
          <w:w w:val="110"/>
        </w:rPr>
        <w:t>have </w:t>
      </w:r>
      <w:r>
        <w:rPr>
          <w:w w:val="110"/>
        </w:rPr>
        <w:t>stabilised, with</w:t>
      </w:r>
      <w:r>
        <w:rPr>
          <w:spacing w:val="-12"/>
          <w:w w:val="110"/>
        </w:rPr>
        <w:t> </w:t>
      </w:r>
      <w:r>
        <w:rPr>
          <w:w w:val="110"/>
        </w:rPr>
        <w:t>the</w:t>
      </w:r>
      <w:r>
        <w:rPr>
          <w:spacing w:val="-12"/>
          <w:w w:val="110"/>
        </w:rPr>
        <w:t> </w:t>
      </w:r>
      <w:r>
        <w:rPr>
          <w:w w:val="110"/>
        </w:rPr>
        <w:t>period</w:t>
      </w:r>
      <w:r>
        <w:rPr>
          <w:spacing w:val="-11"/>
          <w:w w:val="110"/>
        </w:rPr>
        <w:t> </w:t>
      </w:r>
      <w:r>
        <w:rPr>
          <w:w w:val="110"/>
        </w:rPr>
        <w:t>of</w:t>
      </w:r>
      <w:r>
        <w:rPr>
          <w:spacing w:val="-12"/>
          <w:w w:val="110"/>
        </w:rPr>
        <w:t> </w:t>
      </w:r>
      <w:r>
        <w:rPr>
          <w:w w:val="110"/>
        </w:rPr>
        <w:t>rapid</w:t>
      </w:r>
      <w:r>
        <w:rPr>
          <w:spacing w:val="-12"/>
          <w:w w:val="110"/>
        </w:rPr>
        <w:t> </w:t>
      </w:r>
      <w:r>
        <w:rPr>
          <w:w w:val="110"/>
        </w:rPr>
        <w:t>price</w:t>
      </w:r>
      <w:r>
        <w:rPr>
          <w:spacing w:val="-11"/>
          <w:w w:val="110"/>
        </w:rPr>
        <w:t> </w:t>
      </w:r>
      <w:r>
        <w:rPr>
          <w:w w:val="110"/>
        </w:rPr>
        <w:t>rises</w:t>
      </w:r>
      <w:r>
        <w:rPr>
          <w:spacing w:val="-12"/>
          <w:w w:val="110"/>
        </w:rPr>
        <w:t> </w:t>
      </w:r>
      <w:r>
        <w:rPr>
          <w:w w:val="110"/>
        </w:rPr>
        <w:t>coming</w:t>
      </w:r>
      <w:r>
        <w:rPr>
          <w:spacing w:val="-12"/>
          <w:w w:val="110"/>
        </w:rPr>
        <w:t> </w:t>
      </w:r>
      <w:r>
        <w:rPr>
          <w:spacing w:val="-4"/>
          <w:w w:val="110"/>
        </w:rPr>
        <w:t>to</w:t>
      </w:r>
      <w:r>
        <w:rPr>
          <w:spacing w:val="-11"/>
          <w:w w:val="110"/>
        </w:rPr>
        <w:t> </w:t>
      </w:r>
      <w:r>
        <w:rPr>
          <w:w w:val="110"/>
        </w:rPr>
        <w:t>an</w:t>
      </w:r>
      <w:r>
        <w:rPr>
          <w:spacing w:val="-12"/>
          <w:w w:val="110"/>
        </w:rPr>
        <w:t> </w:t>
      </w:r>
      <w:r>
        <w:rPr>
          <w:w w:val="110"/>
        </w:rPr>
        <w:t>end.</w:t>
      </w:r>
      <w:r>
        <w:rPr>
          <w:spacing w:val="32"/>
          <w:w w:val="110"/>
        </w:rPr>
        <w:t> </w:t>
      </w:r>
      <w:r>
        <w:rPr>
          <w:w w:val="110"/>
        </w:rPr>
        <w:t>Current house</w:t>
      </w:r>
      <w:r>
        <w:rPr>
          <w:spacing w:val="-19"/>
          <w:w w:val="110"/>
        </w:rPr>
        <w:t> </w:t>
      </w:r>
      <w:r>
        <w:rPr>
          <w:w w:val="110"/>
        </w:rPr>
        <w:t>price</w:t>
      </w:r>
      <w:r>
        <w:rPr>
          <w:spacing w:val="-18"/>
          <w:w w:val="110"/>
        </w:rPr>
        <w:t> </w:t>
      </w:r>
      <w:r>
        <w:rPr>
          <w:w w:val="110"/>
        </w:rPr>
        <w:t>inflation</w:t>
      </w:r>
      <w:r>
        <w:rPr>
          <w:spacing w:val="-18"/>
          <w:w w:val="110"/>
        </w:rPr>
        <w:t> </w:t>
      </w:r>
      <w:r>
        <w:rPr>
          <w:w w:val="110"/>
        </w:rPr>
        <w:t>appeared</w:t>
      </w:r>
      <w:r>
        <w:rPr>
          <w:spacing w:val="-19"/>
          <w:w w:val="110"/>
        </w:rPr>
        <w:t> </w:t>
      </w:r>
      <w:r>
        <w:rPr>
          <w:w w:val="110"/>
        </w:rPr>
        <w:t>broadly</w:t>
      </w:r>
      <w:r>
        <w:rPr>
          <w:spacing w:val="-18"/>
          <w:w w:val="110"/>
        </w:rPr>
        <w:t> </w:t>
      </w:r>
      <w:r>
        <w:rPr>
          <w:w w:val="110"/>
        </w:rPr>
        <w:t>in</w:t>
      </w:r>
      <w:r>
        <w:rPr>
          <w:spacing w:val="-18"/>
          <w:w w:val="110"/>
        </w:rPr>
        <w:t> </w:t>
      </w:r>
      <w:r>
        <w:rPr>
          <w:w w:val="110"/>
        </w:rPr>
        <w:t>line</w:t>
      </w:r>
      <w:r>
        <w:rPr>
          <w:spacing w:val="-19"/>
          <w:w w:val="110"/>
        </w:rPr>
        <w:t> </w:t>
      </w:r>
      <w:r>
        <w:rPr>
          <w:w w:val="110"/>
        </w:rPr>
        <w:t>with</w:t>
      </w:r>
      <w:r>
        <w:rPr>
          <w:spacing w:val="-18"/>
          <w:w w:val="110"/>
        </w:rPr>
        <w:t> </w:t>
      </w:r>
      <w:r>
        <w:rPr>
          <w:w w:val="110"/>
        </w:rPr>
        <w:t>projections made at the time of the November </w:t>
      </w:r>
      <w:r>
        <w:rPr>
          <w:i/>
          <w:w w:val="110"/>
        </w:rPr>
        <w:t>Report</w:t>
      </w:r>
      <w:r>
        <w:rPr>
          <w:w w:val="110"/>
        </w:rPr>
        <w:t>. The sterling ERI had fallen </w:t>
      </w:r>
      <w:r>
        <w:rPr>
          <w:spacing w:val="-3"/>
          <w:w w:val="110"/>
        </w:rPr>
        <w:t>by </w:t>
      </w:r>
      <w:r>
        <w:rPr>
          <w:w w:val="110"/>
        </w:rPr>
        <w:t>2</w:t>
      </w:r>
      <w:r>
        <w:rPr>
          <w:w w:val="110"/>
          <w:position w:val="7"/>
          <w:sz w:val="10"/>
        </w:rPr>
        <w:t>1</w:t>
      </w:r>
      <w:r>
        <w:rPr>
          <w:w w:val="110"/>
        </w:rPr>
        <w:t>/</w:t>
      </w:r>
      <w:r>
        <w:rPr>
          <w:w w:val="110"/>
          <w:position w:val="1"/>
          <w:sz w:val="10"/>
        </w:rPr>
        <w:t>2</w:t>
      </w:r>
      <w:r>
        <w:rPr>
          <w:w w:val="110"/>
        </w:rPr>
        <w:t>% since November but by only 0.4% on the month, though this </w:t>
      </w:r>
      <w:r>
        <w:rPr>
          <w:spacing w:val="-2"/>
          <w:w w:val="110"/>
        </w:rPr>
        <w:t>masked </w:t>
      </w:r>
      <w:r>
        <w:rPr>
          <w:w w:val="110"/>
        </w:rPr>
        <w:t>a bigger depreciation against the euro, partly offset </w:t>
      </w:r>
      <w:r>
        <w:rPr>
          <w:spacing w:val="-3"/>
          <w:w w:val="110"/>
        </w:rPr>
        <w:t>by </w:t>
      </w:r>
      <w:r>
        <w:rPr>
          <w:w w:val="110"/>
        </w:rPr>
        <w:t>a significant appreciation against the dollar and</w:t>
      </w:r>
      <w:r>
        <w:rPr>
          <w:spacing w:val="-11"/>
          <w:w w:val="110"/>
        </w:rPr>
        <w:t> </w:t>
      </w:r>
      <w:r>
        <w:rPr>
          <w:w w:val="110"/>
        </w:rPr>
        <w:t>yen.</w:t>
      </w:r>
    </w:p>
    <w:p>
      <w:pPr>
        <w:pStyle w:val="BodyText"/>
        <w:spacing w:before="10"/>
        <w:rPr>
          <w:sz w:val="23"/>
        </w:rPr>
      </w:pPr>
    </w:p>
    <w:p>
      <w:pPr>
        <w:pStyle w:val="BodyText"/>
        <w:spacing w:line="292" w:lineRule="auto"/>
        <w:ind w:left="5080"/>
      </w:pPr>
      <w:r>
        <w:rPr>
          <w:w w:val="110"/>
        </w:rPr>
        <w:t>Labour </w:t>
      </w:r>
      <w:r>
        <w:rPr>
          <w:spacing w:val="-2"/>
          <w:w w:val="110"/>
        </w:rPr>
        <w:t>market </w:t>
      </w:r>
      <w:r>
        <w:rPr>
          <w:w w:val="110"/>
        </w:rPr>
        <w:t>data suggested no further tightening, but showed no clear signs of loosening either. Neither </w:t>
      </w:r>
      <w:r>
        <w:rPr>
          <w:spacing w:val="-3"/>
          <w:w w:val="110"/>
        </w:rPr>
        <w:t>was </w:t>
      </w:r>
      <w:r>
        <w:rPr>
          <w:w w:val="110"/>
        </w:rPr>
        <w:t>there much</w:t>
      </w:r>
      <w:r>
        <w:rPr>
          <w:spacing w:val="-22"/>
          <w:w w:val="110"/>
        </w:rPr>
        <w:t> </w:t>
      </w:r>
      <w:r>
        <w:rPr>
          <w:w w:val="110"/>
        </w:rPr>
        <w:t>news</w:t>
      </w:r>
      <w:r>
        <w:rPr>
          <w:spacing w:val="-21"/>
          <w:w w:val="110"/>
        </w:rPr>
        <w:t> </w:t>
      </w:r>
      <w:r>
        <w:rPr>
          <w:w w:val="110"/>
        </w:rPr>
        <w:t>on</w:t>
      </w:r>
      <w:r>
        <w:rPr>
          <w:spacing w:val="-21"/>
          <w:w w:val="110"/>
        </w:rPr>
        <w:t> </w:t>
      </w:r>
      <w:r>
        <w:rPr>
          <w:w w:val="110"/>
        </w:rPr>
        <w:t>earnings</w:t>
      </w:r>
      <w:r>
        <w:rPr>
          <w:spacing w:val="-21"/>
          <w:w w:val="110"/>
        </w:rPr>
        <w:t> </w:t>
      </w:r>
      <w:r>
        <w:rPr>
          <w:w w:val="110"/>
        </w:rPr>
        <w:t>or</w:t>
      </w:r>
      <w:r>
        <w:rPr>
          <w:spacing w:val="-21"/>
          <w:w w:val="110"/>
        </w:rPr>
        <w:t> </w:t>
      </w:r>
      <w:r>
        <w:rPr>
          <w:w w:val="110"/>
        </w:rPr>
        <w:t>settlements.</w:t>
      </w:r>
      <w:r>
        <w:rPr>
          <w:spacing w:val="14"/>
          <w:w w:val="110"/>
        </w:rPr>
        <w:t> </w:t>
      </w:r>
      <w:r>
        <w:rPr>
          <w:w w:val="110"/>
        </w:rPr>
        <w:t>The</w:t>
      </w:r>
      <w:r>
        <w:rPr>
          <w:spacing w:val="-21"/>
          <w:w w:val="110"/>
        </w:rPr>
        <w:t> </w:t>
      </w:r>
      <w:r>
        <w:rPr>
          <w:w w:val="110"/>
        </w:rPr>
        <w:t>growth</w:t>
      </w:r>
      <w:r>
        <w:rPr>
          <w:spacing w:val="-21"/>
          <w:w w:val="110"/>
        </w:rPr>
        <w:t> </w:t>
      </w:r>
      <w:r>
        <w:rPr>
          <w:w w:val="110"/>
        </w:rPr>
        <w:t>of</w:t>
      </w:r>
      <w:r>
        <w:rPr>
          <w:spacing w:val="-21"/>
          <w:w w:val="110"/>
        </w:rPr>
        <w:t> </w:t>
      </w:r>
      <w:r>
        <w:rPr>
          <w:w w:val="110"/>
        </w:rPr>
        <w:t>earnings </w:t>
      </w:r>
      <w:r>
        <w:rPr>
          <w:spacing w:val="-3"/>
          <w:w w:val="110"/>
        </w:rPr>
        <w:t>was</w:t>
      </w:r>
      <w:r>
        <w:rPr>
          <w:spacing w:val="-16"/>
          <w:w w:val="110"/>
        </w:rPr>
        <w:t> </w:t>
      </w:r>
      <w:r>
        <w:rPr>
          <w:w w:val="110"/>
        </w:rPr>
        <w:t>much</w:t>
      </w:r>
      <w:r>
        <w:rPr>
          <w:spacing w:val="-16"/>
          <w:w w:val="110"/>
        </w:rPr>
        <w:t> </w:t>
      </w:r>
      <w:r>
        <w:rPr>
          <w:w w:val="110"/>
        </w:rPr>
        <w:t>as</w:t>
      </w:r>
      <w:r>
        <w:rPr>
          <w:spacing w:val="-16"/>
          <w:w w:val="110"/>
        </w:rPr>
        <w:t> </w:t>
      </w:r>
      <w:r>
        <w:rPr>
          <w:w w:val="110"/>
        </w:rPr>
        <w:t>had</w:t>
      </w:r>
      <w:r>
        <w:rPr>
          <w:spacing w:val="-16"/>
          <w:w w:val="110"/>
        </w:rPr>
        <w:t> </w:t>
      </w:r>
      <w:r>
        <w:rPr>
          <w:w w:val="110"/>
        </w:rPr>
        <w:t>been</w:t>
      </w:r>
      <w:r>
        <w:rPr>
          <w:spacing w:val="-16"/>
          <w:w w:val="110"/>
        </w:rPr>
        <w:t> </w:t>
      </w:r>
      <w:r>
        <w:rPr>
          <w:w w:val="110"/>
        </w:rPr>
        <w:t>anticipated</w:t>
      </w:r>
      <w:r>
        <w:rPr>
          <w:spacing w:val="-16"/>
          <w:w w:val="110"/>
        </w:rPr>
        <w:t> </w:t>
      </w:r>
      <w:r>
        <w:rPr>
          <w:w w:val="110"/>
        </w:rPr>
        <w:t>and</w:t>
      </w:r>
      <w:r>
        <w:rPr>
          <w:spacing w:val="-16"/>
          <w:w w:val="110"/>
        </w:rPr>
        <w:t> </w:t>
      </w:r>
      <w:r>
        <w:rPr>
          <w:w w:val="110"/>
        </w:rPr>
        <w:t>there</w:t>
      </w:r>
      <w:r>
        <w:rPr>
          <w:spacing w:val="-16"/>
          <w:w w:val="110"/>
        </w:rPr>
        <w:t> </w:t>
      </w:r>
      <w:r>
        <w:rPr>
          <w:spacing w:val="-3"/>
          <w:w w:val="110"/>
        </w:rPr>
        <w:t>were</w:t>
      </w:r>
      <w:r>
        <w:rPr>
          <w:spacing w:val="-16"/>
          <w:w w:val="110"/>
        </w:rPr>
        <w:t> </w:t>
      </w:r>
      <w:r>
        <w:rPr>
          <w:w w:val="110"/>
        </w:rPr>
        <w:t>few</w:t>
      </w:r>
      <w:r>
        <w:rPr>
          <w:spacing w:val="-16"/>
          <w:w w:val="110"/>
        </w:rPr>
        <w:t> </w:t>
      </w:r>
      <w:r>
        <w:rPr>
          <w:w w:val="110"/>
        </w:rPr>
        <w:t>signs</w:t>
      </w:r>
      <w:r>
        <w:rPr>
          <w:spacing w:val="-16"/>
          <w:w w:val="110"/>
        </w:rPr>
        <w:t> </w:t>
      </w:r>
      <w:r>
        <w:rPr>
          <w:w w:val="110"/>
        </w:rPr>
        <w:t>of settlements</w:t>
      </w:r>
      <w:r>
        <w:rPr>
          <w:spacing w:val="-9"/>
          <w:w w:val="110"/>
        </w:rPr>
        <w:t> </w:t>
      </w:r>
      <w:r>
        <w:rPr>
          <w:w w:val="110"/>
        </w:rPr>
        <w:t>rising</w:t>
      </w:r>
      <w:r>
        <w:rPr>
          <w:spacing w:val="-9"/>
          <w:w w:val="110"/>
        </w:rPr>
        <w:t> </w:t>
      </w:r>
      <w:r>
        <w:rPr>
          <w:w w:val="110"/>
        </w:rPr>
        <w:t>in</w:t>
      </w:r>
      <w:r>
        <w:rPr>
          <w:spacing w:val="-9"/>
          <w:w w:val="110"/>
        </w:rPr>
        <w:t> </w:t>
      </w:r>
      <w:r>
        <w:rPr>
          <w:w w:val="110"/>
        </w:rPr>
        <w:t>response</w:t>
      </w:r>
      <w:r>
        <w:rPr>
          <w:spacing w:val="-9"/>
          <w:w w:val="110"/>
        </w:rPr>
        <w:t> </w:t>
      </w:r>
      <w:r>
        <w:rPr>
          <w:spacing w:val="-4"/>
          <w:w w:val="110"/>
        </w:rPr>
        <w:t>to</w:t>
      </w:r>
      <w:r>
        <w:rPr>
          <w:spacing w:val="-9"/>
          <w:w w:val="110"/>
        </w:rPr>
        <w:t> </w:t>
      </w:r>
      <w:r>
        <w:rPr>
          <w:w w:val="110"/>
        </w:rPr>
        <w:t>the</w:t>
      </w:r>
      <w:r>
        <w:rPr>
          <w:spacing w:val="-9"/>
          <w:w w:val="110"/>
        </w:rPr>
        <w:t> </w:t>
      </w:r>
      <w:r>
        <w:rPr>
          <w:w w:val="110"/>
        </w:rPr>
        <w:t>tight</w:t>
      </w:r>
      <w:r>
        <w:rPr>
          <w:spacing w:val="-9"/>
          <w:w w:val="110"/>
        </w:rPr>
        <w:t> </w:t>
      </w:r>
      <w:r>
        <w:rPr>
          <w:w w:val="110"/>
        </w:rPr>
        <w:t>labour</w:t>
      </w:r>
      <w:r>
        <w:rPr>
          <w:spacing w:val="-9"/>
          <w:w w:val="110"/>
        </w:rPr>
        <w:t> </w:t>
      </w:r>
      <w:r>
        <w:rPr>
          <w:w w:val="110"/>
        </w:rPr>
        <w:t>market.</w:t>
      </w:r>
    </w:p>
    <w:p>
      <w:pPr>
        <w:pStyle w:val="BodyText"/>
        <w:spacing w:before="1"/>
        <w:rPr>
          <w:sz w:val="24"/>
        </w:rPr>
      </w:pPr>
    </w:p>
    <w:p>
      <w:pPr>
        <w:pStyle w:val="BodyText"/>
        <w:spacing w:line="292" w:lineRule="auto"/>
        <w:ind w:left="5080" w:right="172"/>
      </w:pPr>
      <w:r>
        <w:rPr>
          <w:w w:val="110"/>
        </w:rPr>
        <w:t>The sterling oil price </w:t>
      </w:r>
      <w:r>
        <w:rPr>
          <w:spacing w:val="-3"/>
          <w:w w:val="110"/>
        </w:rPr>
        <w:t>was </w:t>
      </w:r>
      <w:r>
        <w:rPr>
          <w:w w:val="110"/>
        </w:rPr>
        <w:t>more than </w:t>
      </w:r>
      <w:r>
        <w:rPr>
          <w:spacing w:val="-5"/>
          <w:w w:val="110"/>
        </w:rPr>
        <w:t>20% </w:t>
      </w:r>
      <w:r>
        <w:rPr>
          <w:spacing w:val="-3"/>
          <w:w w:val="110"/>
        </w:rPr>
        <w:t>lower </w:t>
      </w:r>
      <w:r>
        <w:rPr>
          <w:w w:val="110"/>
        </w:rPr>
        <w:t>than in November and the futures price </w:t>
      </w:r>
      <w:r>
        <w:rPr>
          <w:spacing w:val="-3"/>
          <w:w w:val="110"/>
        </w:rPr>
        <w:t>was </w:t>
      </w:r>
      <w:r>
        <w:rPr>
          <w:w w:val="110"/>
        </w:rPr>
        <w:t>below the November projection</w:t>
      </w:r>
      <w:r>
        <w:rPr>
          <w:spacing w:val="-18"/>
          <w:w w:val="110"/>
        </w:rPr>
        <w:t> </w:t>
      </w:r>
      <w:r>
        <w:rPr>
          <w:w w:val="110"/>
        </w:rPr>
        <w:t>at</w:t>
      </w:r>
      <w:r>
        <w:rPr>
          <w:spacing w:val="-17"/>
          <w:w w:val="110"/>
        </w:rPr>
        <w:t> </w:t>
      </w:r>
      <w:r>
        <w:rPr>
          <w:w w:val="110"/>
        </w:rPr>
        <w:t>a</w:t>
      </w:r>
      <w:r>
        <w:rPr>
          <w:spacing w:val="-17"/>
          <w:w w:val="110"/>
        </w:rPr>
        <w:t> </w:t>
      </w:r>
      <w:r>
        <w:rPr>
          <w:spacing w:val="-5"/>
          <w:w w:val="110"/>
        </w:rPr>
        <w:t>two-year</w:t>
      </w:r>
      <w:r>
        <w:rPr>
          <w:spacing w:val="-17"/>
          <w:w w:val="110"/>
        </w:rPr>
        <w:t> </w:t>
      </w:r>
      <w:r>
        <w:rPr>
          <w:w w:val="110"/>
        </w:rPr>
        <w:t>horizon.</w:t>
      </w:r>
      <w:r>
        <w:rPr>
          <w:spacing w:val="21"/>
          <w:w w:val="110"/>
        </w:rPr>
        <w:t> </w:t>
      </w:r>
      <w:r>
        <w:rPr>
          <w:w w:val="110"/>
        </w:rPr>
        <w:t>The</w:t>
      </w:r>
      <w:r>
        <w:rPr>
          <w:spacing w:val="-17"/>
          <w:w w:val="110"/>
        </w:rPr>
        <w:t> </w:t>
      </w:r>
      <w:r>
        <w:rPr>
          <w:w w:val="110"/>
        </w:rPr>
        <w:t>GDP</w:t>
      </w:r>
      <w:r>
        <w:rPr>
          <w:spacing w:val="-17"/>
          <w:w w:val="110"/>
        </w:rPr>
        <w:t> </w:t>
      </w:r>
      <w:r>
        <w:rPr>
          <w:w w:val="110"/>
        </w:rPr>
        <w:t>deflator</w:t>
      </w:r>
      <w:r>
        <w:rPr>
          <w:spacing w:val="-18"/>
          <w:w w:val="110"/>
        </w:rPr>
        <w:t> </w:t>
      </w:r>
      <w:r>
        <w:rPr>
          <w:w w:val="110"/>
        </w:rPr>
        <w:t>had</w:t>
      </w:r>
      <w:r>
        <w:rPr>
          <w:spacing w:val="-17"/>
          <w:w w:val="110"/>
        </w:rPr>
        <w:t> </w:t>
      </w:r>
      <w:r>
        <w:rPr>
          <w:w w:val="110"/>
        </w:rPr>
        <w:t>risen </w:t>
      </w:r>
      <w:r>
        <w:rPr>
          <w:spacing w:val="-3"/>
          <w:w w:val="110"/>
        </w:rPr>
        <w:t>by </w:t>
      </w:r>
      <w:r>
        <w:rPr>
          <w:w w:val="110"/>
        </w:rPr>
        <w:t>only 0.7% in </w:t>
      </w:r>
      <w:r>
        <w:rPr>
          <w:spacing w:val="-4"/>
          <w:w w:val="110"/>
        </w:rPr>
        <w:t>2000 </w:t>
      </w:r>
      <w:r>
        <w:rPr>
          <w:w w:val="110"/>
        </w:rPr>
        <w:t>Q3 and its annual increase had been revised down </w:t>
      </w:r>
      <w:r>
        <w:rPr>
          <w:spacing w:val="-4"/>
          <w:w w:val="110"/>
        </w:rPr>
        <w:t>to </w:t>
      </w:r>
      <w:r>
        <w:rPr>
          <w:w w:val="110"/>
        </w:rPr>
        <w:t>1.6%, considerably below the November projection. If the data </w:t>
      </w:r>
      <w:r>
        <w:rPr>
          <w:spacing w:val="-3"/>
          <w:w w:val="110"/>
        </w:rPr>
        <w:t>were </w:t>
      </w:r>
      <w:r>
        <w:rPr>
          <w:w w:val="110"/>
        </w:rPr>
        <w:t>correct, this might suggest that the</w:t>
      </w:r>
      <w:r>
        <w:rPr>
          <w:spacing w:val="-21"/>
          <w:w w:val="110"/>
        </w:rPr>
        <w:t> </w:t>
      </w:r>
      <w:r>
        <w:rPr>
          <w:w w:val="110"/>
        </w:rPr>
        <w:t>pace</w:t>
      </w:r>
      <w:r>
        <w:rPr>
          <w:spacing w:val="-20"/>
          <w:w w:val="110"/>
        </w:rPr>
        <w:t> </w:t>
      </w:r>
      <w:r>
        <w:rPr>
          <w:w w:val="110"/>
        </w:rPr>
        <w:t>at</w:t>
      </w:r>
      <w:r>
        <w:rPr>
          <w:spacing w:val="-20"/>
          <w:w w:val="110"/>
        </w:rPr>
        <w:t> </w:t>
      </w:r>
      <w:r>
        <w:rPr>
          <w:w w:val="110"/>
        </w:rPr>
        <w:t>which</w:t>
      </w:r>
      <w:r>
        <w:rPr>
          <w:spacing w:val="-20"/>
          <w:w w:val="110"/>
        </w:rPr>
        <w:t> </w:t>
      </w:r>
      <w:r>
        <w:rPr>
          <w:w w:val="110"/>
        </w:rPr>
        <w:t>the</w:t>
      </w:r>
      <w:r>
        <w:rPr>
          <w:spacing w:val="-20"/>
          <w:w w:val="110"/>
        </w:rPr>
        <w:t> </w:t>
      </w:r>
      <w:r>
        <w:rPr>
          <w:w w:val="110"/>
        </w:rPr>
        <w:t>economy</w:t>
      </w:r>
      <w:r>
        <w:rPr>
          <w:spacing w:val="-20"/>
          <w:w w:val="110"/>
        </w:rPr>
        <w:t> </w:t>
      </w:r>
      <w:r>
        <w:rPr>
          <w:w w:val="110"/>
        </w:rPr>
        <w:t>could</w:t>
      </w:r>
      <w:r>
        <w:rPr>
          <w:spacing w:val="-20"/>
          <w:w w:val="110"/>
        </w:rPr>
        <w:t> </w:t>
      </w:r>
      <w:r>
        <w:rPr>
          <w:spacing w:val="-3"/>
          <w:w w:val="110"/>
        </w:rPr>
        <w:t>grow</w:t>
      </w:r>
      <w:r>
        <w:rPr>
          <w:spacing w:val="-20"/>
          <w:w w:val="110"/>
        </w:rPr>
        <w:t> </w:t>
      </w:r>
      <w:r>
        <w:rPr>
          <w:w w:val="110"/>
        </w:rPr>
        <w:t>without</w:t>
      </w:r>
      <w:r>
        <w:rPr>
          <w:spacing w:val="-21"/>
          <w:w w:val="110"/>
        </w:rPr>
        <w:t> </w:t>
      </w:r>
      <w:r>
        <w:rPr>
          <w:w w:val="110"/>
        </w:rPr>
        <w:t>giving</w:t>
      </w:r>
      <w:r>
        <w:rPr>
          <w:spacing w:val="-20"/>
          <w:w w:val="110"/>
        </w:rPr>
        <w:t> </w:t>
      </w:r>
      <w:r>
        <w:rPr>
          <w:w w:val="110"/>
        </w:rPr>
        <w:t>rise </w:t>
      </w:r>
      <w:r>
        <w:rPr>
          <w:spacing w:val="-4"/>
          <w:w w:val="110"/>
        </w:rPr>
        <w:t>to </w:t>
      </w:r>
      <w:r>
        <w:rPr>
          <w:w w:val="110"/>
        </w:rPr>
        <w:t>inflationary </w:t>
      </w:r>
      <w:r>
        <w:rPr>
          <w:spacing w:val="-3"/>
          <w:w w:val="110"/>
        </w:rPr>
        <w:t>pressures </w:t>
      </w:r>
      <w:r>
        <w:rPr>
          <w:w w:val="110"/>
        </w:rPr>
        <w:t>had</w:t>
      </w:r>
      <w:r>
        <w:rPr>
          <w:spacing w:val="-19"/>
          <w:w w:val="110"/>
        </w:rPr>
        <w:t> </w:t>
      </w:r>
      <w:r>
        <w:rPr>
          <w:w w:val="110"/>
        </w:rPr>
        <w:t>increased.</w:t>
      </w:r>
    </w:p>
    <w:p>
      <w:pPr>
        <w:spacing w:after="0" w:line="292" w:lineRule="auto"/>
        <w:sectPr>
          <w:headerReference w:type="even" r:id="rId160"/>
          <w:pgSz w:w="11900" w:h="16840"/>
          <w:pgMar w:header="0" w:footer="575" w:top="540" w:bottom="760" w:left="640" w:right="640"/>
        </w:sectPr>
      </w:pPr>
    </w:p>
    <w:p>
      <w:pPr>
        <w:pStyle w:val="BodyText"/>
      </w:pPr>
    </w:p>
    <w:p>
      <w:pPr>
        <w:pStyle w:val="BodyText"/>
        <w:rPr>
          <w:sz w:val="16"/>
        </w:rPr>
      </w:pPr>
    </w:p>
    <w:p>
      <w:pPr>
        <w:pStyle w:val="BodyText"/>
        <w:spacing w:line="292" w:lineRule="auto" w:before="61"/>
        <w:ind w:left="5100" w:right="140"/>
      </w:pPr>
      <w:r>
        <w:rPr>
          <w:w w:val="110"/>
        </w:rPr>
        <w:t>On</w:t>
      </w:r>
      <w:r>
        <w:rPr>
          <w:spacing w:val="-21"/>
          <w:w w:val="110"/>
        </w:rPr>
        <w:t> </w:t>
      </w:r>
      <w:r>
        <w:rPr>
          <w:w w:val="110"/>
        </w:rPr>
        <w:t>the</w:t>
      </w:r>
      <w:r>
        <w:rPr>
          <w:spacing w:val="-20"/>
          <w:w w:val="110"/>
        </w:rPr>
        <w:t> </w:t>
      </w:r>
      <w:r>
        <w:rPr>
          <w:w w:val="110"/>
        </w:rPr>
        <w:t>immediate</w:t>
      </w:r>
      <w:r>
        <w:rPr>
          <w:spacing w:val="-21"/>
          <w:w w:val="110"/>
        </w:rPr>
        <w:t> </w:t>
      </w:r>
      <w:r>
        <w:rPr>
          <w:w w:val="110"/>
        </w:rPr>
        <w:t>policy</w:t>
      </w:r>
      <w:r>
        <w:rPr>
          <w:spacing w:val="-20"/>
          <w:w w:val="110"/>
        </w:rPr>
        <w:t> </w:t>
      </w:r>
      <w:r>
        <w:rPr>
          <w:w w:val="110"/>
        </w:rPr>
        <w:t>decision,</w:t>
      </w:r>
      <w:r>
        <w:rPr>
          <w:spacing w:val="-20"/>
          <w:w w:val="110"/>
        </w:rPr>
        <w:t> </w:t>
      </w:r>
      <w:r>
        <w:rPr>
          <w:w w:val="110"/>
        </w:rPr>
        <w:t>there</w:t>
      </w:r>
      <w:r>
        <w:rPr>
          <w:spacing w:val="-21"/>
          <w:w w:val="110"/>
        </w:rPr>
        <w:t> </w:t>
      </w:r>
      <w:r>
        <w:rPr>
          <w:spacing w:val="-3"/>
          <w:w w:val="110"/>
        </w:rPr>
        <w:t>were</w:t>
      </w:r>
      <w:r>
        <w:rPr>
          <w:spacing w:val="-20"/>
          <w:w w:val="110"/>
        </w:rPr>
        <w:t> </w:t>
      </w:r>
      <w:r>
        <w:rPr>
          <w:spacing w:val="-5"/>
          <w:w w:val="110"/>
        </w:rPr>
        <w:t>two</w:t>
      </w:r>
      <w:r>
        <w:rPr>
          <w:spacing w:val="-21"/>
          <w:w w:val="110"/>
        </w:rPr>
        <w:t> </w:t>
      </w:r>
      <w:r>
        <w:rPr>
          <w:w w:val="110"/>
        </w:rPr>
        <w:t>broad</w:t>
      </w:r>
      <w:r>
        <w:rPr>
          <w:spacing w:val="-20"/>
          <w:w w:val="110"/>
        </w:rPr>
        <w:t> </w:t>
      </w:r>
      <w:r>
        <w:rPr>
          <w:w w:val="110"/>
        </w:rPr>
        <w:t>sets</w:t>
      </w:r>
      <w:r>
        <w:rPr>
          <w:spacing w:val="-20"/>
          <w:w w:val="110"/>
        </w:rPr>
        <w:t> </w:t>
      </w:r>
      <w:r>
        <w:rPr>
          <w:w w:val="110"/>
        </w:rPr>
        <w:t>of views.</w:t>
      </w:r>
      <w:r>
        <w:rPr>
          <w:spacing w:val="6"/>
          <w:w w:val="110"/>
        </w:rPr>
        <w:t> </w:t>
      </w:r>
      <w:r>
        <w:rPr>
          <w:w w:val="110"/>
        </w:rPr>
        <w:t>On</w:t>
      </w:r>
      <w:r>
        <w:rPr>
          <w:spacing w:val="-25"/>
          <w:w w:val="110"/>
        </w:rPr>
        <w:t> </w:t>
      </w:r>
      <w:r>
        <w:rPr>
          <w:w w:val="110"/>
        </w:rPr>
        <w:t>one</w:t>
      </w:r>
      <w:r>
        <w:rPr>
          <w:spacing w:val="-24"/>
          <w:w w:val="110"/>
        </w:rPr>
        <w:t> </w:t>
      </w:r>
      <w:r>
        <w:rPr>
          <w:spacing w:val="-5"/>
          <w:w w:val="110"/>
        </w:rPr>
        <w:t>view,</w:t>
      </w:r>
      <w:r>
        <w:rPr>
          <w:spacing w:val="-25"/>
          <w:w w:val="110"/>
        </w:rPr>
        <w:t> </w:t>
      </w:r>
      <w:r>
        <w:rPr>
          <w:w w:val="110"/>
        </w:rPr>
        <w:t>while</w:t>
      </w:r>
      <w:r>
        <w:rPr>
          <w:spacing w:val="-24"/>
          <w:w w:val="110"/>
        </w:rPr>
        <w:t> </w:t>
      </w:r>
      <w:r>
        <w:rPr>
          <w:w w:val="110"/>
        </w:rPr>
        <w:t>there</w:t>
      </w:r>
      <w:r>
        <w:rPr>
          <w:spacing w:val="-25"/>
          <w:w w:val="110"/>
        </w:rPr>
        <w:t> </w:t>
      </w:r>
      <w:r>
        <w:rPr>
          <w:spacing w:val="-3"/>
          <w:w w:val="110"/>
        </w:rPr>
        <w:t>were</w:t>
      </w:r>
      <w:r>
        <w:rPr>
          <w:spacing w:val="-24"/>
          <w:w w:val="110"/>
        </w:rPr>
        <w:t> </w:t>
      </w:r>
      <w:r>
        <w:rPr>
          <w:w w:val="110"/>
        </w:rPr>
        <w:t>downside</w:t>
      </w:r>
      <w:r>
        <w:rPr>
          <w:spacing w:val="-25"/>
          <w:w w:val="110"/>
        </w:rPr>
        <w:t> </w:t>
      </w:r>
      <w:r>
        <w:rPr>
          <w:w w:val="110"/>
        </w:rPr>
        <w:t>risks</w:t>
      </w:r>
      <w:r>
        <w:rPr>
          <w:spacing w:val="-24"/>
          <w:w w:val="110"/>
        </w:rPr>
        <w:t> </w:t>
      </w:r>
      <w:r>
        <w:rPr>
          <w:w w:val="110"/>
        </w:rPr>
        <w:t>from</w:t>
      </w:r>
      <w:r>
        <w:rPr>
          <w:spacing w:val="-25"/>
          <w:w w:val="110"/>
        </w:rPr>
        <w:t> </w:t>
      </w:r>
      <w:r>
        <w:rPr>
          <w:w w:val="110"/>
        </w:rPr>
        <w:t>the slowdown in the world economy in general and the US economy</w:t>
      </w:r>
      <w:r>
        <w:rPr>
          <w:spacing w:val="-26"/>
          <w:w w:val="110"/>
        </w:rPr>
        <w:t> </w:t>
      </w:r>
      <w:r>
        <w:rPr>
          <w:w w:val="110"/>
        </w:rPr>
        <w:t>in</w:t>
      </w:r>
      <w:r>
        <w:rPr>
          <w:spacing w:val="-26"/>
          <w:w w:val="110"/>
        </w:rPr>
        <w:t> </w:t>
      </w:r>
      <w:r>
        <w:rPr>
          <w:w w:val="110"/>
        </w:rPr>
        <w:t>particular,</w:t>
      </w:r>
      <w:r>
        <w:rPr>
          <w:spacing w:val="-25"/>
          <w:w w:val="110"/>
        </w:rPr>
        <w:t> </w:t>
      </w:r>
      <w:r>
        <w:rPr>
          <w:w w:val="110"/>
        </w:rPr>
        <w:t>UK</w:t>
      </w:r>
      <w:r>
        <w:rPr>
          <w:spacing w:val="-26"/>
          <w:w w:val="110"/>
        </w:rPr>
        <w:t> </w:t>
      </w:r>
      <w:r>
        <w:rPr>
          <w:w w:val="110"/>
        </w:rPr>
        <w:t>domestic</w:t>
      </w:r>
      <w:r>
        <w:rPr>
          <w:spacing w:val="-26"/>
          <w:w w:val="110"/>
        </w:rPr>
        <w:t> </w:t>
      </w:r>
      <w:r>
        <w:rPr>
          <w:w w:val="110"/>
        </w:rPr>
        <w:t>demand</w:t>
      </w:r>
      <w:r>
        <w:rPr>
          <w:spacing w:val="-25"/>
          <w:w w:val="110"/>
        </w:rPr>
        <w:t> </w:t>
      </w:r>
      <w:r>
        <w:rPr>
          <w:w w:val="110"/>
        </w:rPr>
        <w:t>remained</w:t>
      </w:r>
      <w:r>
        <w:rPr>
          <w:spacing w:val="-26"/>
          <w:w w:val="110"/>
        </w:rPr>
        <w:t> </w:t>
      </w:r>
      <w:r>
        <w:rPr>
          <w:w w:val="110"/>
        </w:rPr>
        <w:t>robust, money</w:t>
      </w:r>
      <w:r>
        <w:rPr>
          <w:spacing w:val="-17"/>
          <w:w w:val="110"/>
        </w:rPr>
        <w:t> </w:t>
      </w:r>
      <w:r>
        <w:rPr>
          <w:w w:val="110"/>
        </w:rPr>
        <w:t>and</w:t>
      </w:r>
      <w:r>
        <w:rPr>
          <w:spacing w:val="-17"/>
          <w:w w:val="110"/>
        </w:rPr>
        <w:t> </w:t>
      </w:r>
      <w:r>
        <w:rPr>
          <w:w w:val="110"/>
        </w:rPr>
        <w:t>credit</w:t>
      </w:r>
      <w:r>
        <w:rPr>
          <w:spacing w:val="-17"/>
          <w:w w:val="110"/>
        </w:rPr>
        <w:t> </w:t>
      </w:r>
      <w:r>
        <w:rPr>
          <w:w w:val="110"/>
        </w:rPr>
        <w:t>growth</w:t>
      </w:r>
      <w:r>
        <w:rPr>
          <w:spacing w:val="-17"/>
          <w:w w:val="110"/>
        </w:rPr>
        <w:t> </w:t>
      </w:r>
      <w:r>
        <w:rPr>
          <w:w w:val="110"/>
        </w:rPr>
        <w:t>remained</w:t>
      </w:r>
      <w:r>
        <w:rPr>
          <w:spacing w:val="-17"/>
          <w:w w:val="110"/>
        </w:rPr>
        <w:t> </w:t>
      </w:r>
      <w:r>
        <w:rPr>
          <w:w w:val="110"/>
        </w:rPr>
        <w:t>buoyant,</w:t>
      </w:r>
      <w:r>
        <w:rPr>
          <w:spacing w:val="-17"/>
          <w:w w:val="110"/>
        </w:rPr>
        <w:t> </w:t>
      </w:r>
      <w:r>
        <w:rPr>
          <w:w w:val="110"/>
        </w:rPr>
        <w:t>and</w:t>
      </w:r>
      <w:r>
        <w:rPr>
          <w:spacing w:val="-17"/>
          <w:w w:val="110"/>
        </w:rPr>
        <w:t> </w:t>
      </w:r>
      <w:r>
        <w:rPr>
          <w:w w:val="110"/>
        </w:rPr>
        <w:t>there</w:t>
      </w:r>
      <w:r>
        <w:rPr>
          <w:spacing w:val="-16"/>
          <w:w w:val="110"/>
        </w:rPr>
        <w:t> </w:t>
      </w:r>
      <w:r>
        <w:rPr>
          <w:spacing w:val="-3"/>
          <w:w w:val="110"/>
        </w:rPr>
        <w:t>was</w:t>
      </w:r>
      <w:r>
        <w:rPr>
          <w:spacing w:val="-17"/>
          <w:w w:val="110"/>
        </w:rPr>
        <w:t> </w:t>
      </w:r>
      <w:r>
        <w:rPr>
          <w:w w:val="110"/>
        </w:rPr>
        <w:t>no pressing need </w:t>
      </w:r>
      <w:r>
        <w:rPr>
          <w:spacing w:val="-4"/>
          <w:w w:val="110"/>
        </w:rPr>
        <w:t>to </w:t>
      </w:r>
      <w:r>
        <w:rPr>
          <w:w w:val="110"/>
        </w:rPr>
        <w:t>change </w:t>
      </w:r>
      <w:r>
        <w:rPr>
          <w:spacing w:val="-4"/>
          <w:w w:val="110"/>
        </w:rPr>
        <w:t>rates. </w:t>
      </w:r>
      <w:r>
        <w:rPr>
          <w:w w:val="110"/>
        </w:rPr>
        <w:t>On this view it would be sensible </w:t>
      </w:r>
      <w:r>
        <w:rPr>
          <w:spacing w:val="-4"/>
          <w:w w:val="110"/>
        </w:rPr>
        <w:t>to </w:t>
      </w:r>
      <w:r>
        <w:rPr>
          <w:w w:val="110"/>
        </w:rPr>
        <w:t>wait for clearer evidence that the labour market and the pace of consumption </w:t>
      </w:r>
      <w:r>
        <w:rPr>
          <w:spacing w:val="-3"/>
          <w:w w:val="110"/>
        </w:rPr>
        <w:t>were </w:t>
      </w:r>
      <w:r>
        <w:rPr>
          <w:w w:val="110"/>
        </w:rPr>
        <w:t>easing before lowering </w:t>
      </w:r>
      <w:r>
        <w:rPr>
          <w:spacing w:val="-4"/>
          <w:w w:val="110"/>
        </w:rPr>
        <w:t>rates. </w:t>
      </w:r>
      <w:r>
        <w:rPr>
          <w:w w:val="110"/>
        </w:rPr>
        <w:t>On another </w:t>
      </w:r>
      <w:r>
        <w:rPr>
          <w:spacing w:val="-5"/>
          <w:w w:val="110"/>
        </w:rPr>
        <w:t>view, </w:t>
      </w:r>
      <w:r>
        <w:rPr>
          <w:w w:val="110"/>
        </w:rPr>
        <w:t>an immediate cut of </w:t>
      </w:r>
      <w:r>
        <w:rPr>
          <w:spacing w:val="-12"/>
          <w:w w:val="110"/>
        </w:rPr>
        <w:t>25 </w:t>
      </w:r>
      <w:r>
        <w:rPr>
          <w:w w:val="110"/>
        </w:rPr>
        <w:t>basis points </w:t>
      </w:r>
      <w:r>
        <w:rPr>
          <w:spacing w:val="-3"/>
          <w:w w:val="110"/>
        </w:rPr>
        <w:t>was</w:t>
      </w:r>
      <w:r>
        <w:rPr>
          <w:spacing w:val="-17"/>
          <w:w w:val="110"/>
        </w:rPr>
        <w:t> </w:t>
      </w:r>
      <w:r>
        <w:rPr>
          <w:w w:val="110"/>
        </w:rPr>
        <w:t>appropriate.</w:t>
      </w:r>
      <w:r>
        <w:rPr>
          <w:spacing w:val="23"/>
          <w:w w:val="110"/>
        </w:rPr>
        <w:t> </w:t>
      </w:r>
      <w:r>
        <w:rPr>
          <w:w w:val="110"/>
        </w:rPr>
        <w:t>One</w:t>
      </w:r>
      <w:r>
        <w:rPr>
          <w:spacing w:val="-16"/>
          <w:w w:val="110"/>
        </w:rPr>
        <w:t> </w:t>
      </w:r>
      <w:r>
        <w:rPr>
          <w:w w:val="110"/>
        </w:rPr>
        <w:t>perspective</w:t>
      </w:r>
      <w:r>
        <w:rPr>
          <w:spacing w:val="-16"/>
          <w:w w:val="110"/>
        </w:rPr>
        <w:t> </w:t>
      </w:r>
      <w:r>
        <w:rPr>
          <w:spacing w:val="-3"/>
          <w:w w:val="110"/>
        </w:rPr>
        <w:t>was</w:t>
      </w:r>
      <w:r>
        <w:rPr>
          <w:spacing w:val="-17"/>
          <w:w w:val="110"/>
        </w:rPr>
        <w:t> </w:t>
      </w:r>
      <w:r>
        <w:rPr>
          <w:w w:val="110"/>
        </w:rPr>
        <w:t>that</w:t>
      </w:r>
      <w:r>
        <w:rPr>
          <w:spacing w:val="-16"/>
          <w:w w:val="110"/>
        </w:rPr>
        <w:t> </w:t>
      </w:r>
      <w:r>
        <w:rPr>
          <w:w w:val="110"/>
        </w:rPr>
        <w:t>it</w:t>
      </w:r>
      <w:r>
        <w:rPr>
          <w:spacing w:val="-16"/>
          <w:w w:val="110"/>
        </w:rPr>
        <w:t> </w:t>
      </w:r>
      <w:r>
        <w:rPr>
          <w:spacing w:val="-3"/>
          <w:w w:val="110"/>
        </w:rPr>
        <w:t>was</w:t>
      </w:r>
      <w:r>
        <w:rPr>
          <w:spacing w:val="-17"/>
          <w:w w:val="110"/>
        </w:rPr>
        <w:t> </w:t>
      </w:r>
      <w:r>
        <w:rPr>
          <w:w w:val="110"/>
        </w:rPr>
        <w:t>important</w:t>
      </w:r>
      <w:r>
        <w:rPr>
          <w:spacing w:val="-16"/>
          <w:w w:val="110"/>
        </w:rPr>
        <w:t> </w:t>
      </w:r>
      <w:r>
        <w:rPr>
          <w:spacing w:val="-4"/>
          <w:w w:val="110"/>
        </w:rPr>
        <w:t>to </w:t>
      </w:r>
      <w:r>
        <w:rPr>
          <w:w w:val="110"/>
        </w:rPr>
        <w:t>head off a potential fall in confidence that might be hard </w:t>
      </w:r>
      <w:r>
        <w:rPr>
          <w:spacing w:val="-4"/>
          <w:w w:val="110"/>
        </w:rPr>
        <w:t>to </w:t>
      </w:r>
      <w:r>
        <w:rPr>
          <w:spacing w:val="-3"/>
          <w:w w:val="110"/>
        </w:rPr>
        <w:t>reverse </w:t>
      </w:r>
      <w:r>
        <w:rPr>
          <w:spacing w:val="-4"/>
          <w:w w:val="110"/>
        </w:rPr>
        <w:t>later. </w:t>
      </w:r>
      <w:r>
        <w:rPr>
          <w:spacing w:val="-3"/>
          <w:w w:val="110"/>
        </w:rPr>
        <w:t>With </w:t>
      </w:r>
      <w:r>
        <w:rPr>
          <w:w w:val="110"/>
        </w:rPr>
        <w:t>RPIX inflation below </w:t>
      </w:r>
      <w:r>
        <w:rPr>
          <w:spacing w:val="-3"/>
          <w:w w:val="110"/>
        </w:rPr>
        <w:t>target, </w:t>
      </w:r>
      <w:r>
        <w:rPr>
          <w:w w:val="110"/>
        </w:rPr>
        <w:t>this would insure</w:t>
      </w:r>
      <w:r>
        <w:rPr>
          <w:spacing w:val="-9"/>
          <w:w w:val="110"/>
        </w:rPr>
        <w:t> </w:t>
      </w:r>
      <w:r>
        <w:rPr>
          <w:w w:val="110"/>
        </w:rPr>
        <w:t>against</w:t>
      </w:r>
      <w:r>
        <w:rPr>
          <w:spacing w:val="-8"/>
          <w:w w:val="110"/>
        </w:rPr>
        <w:t> </w:t>
      </w:r>
      <w:r>
        <w:rPr>
          <w:w w:val="110"/>
        </w:rPr>
        <w:t>downside</w:t>
      </w:r>
      <w:r>
        <w:rPr>
          <w:spacing w:val="-8"/>
          <w:w w:val="110"/>
        </w:rPr>
        <w:t> </w:t>
      </w:r>
      <w:r>
        <w:rPr>
          <w:w w:val="110"/>
        </w:rPr>
        <w:t>risks</w:t>
      </w:r>
      <w:r>
        <w:rPr>
          <w:spacing w:val="-8"/>
          <w:w w:val="110"/>
        </w:rPr>
        <w:t> </w:t>
      </w:r>
      <w:r>
        <w:rPr>
          <w:w w:val="110"/>
        </w:rPr>
        <w:t>without</w:t>
      </w:r>
      <w:r>
        <w:rPr>
          <w:spacing w:val="-9"/>
          <w:w w:val="110"/>
        </w:rPr>
        <w:t> </w:t>
      </w:r>
      <w:r>
        <w:rPr>
          <w:w w:val="110"/>
        </w:rPr>
        <w:t>putting</w:t>
      </w:r>
      <w:r>
        <w:rPr>
          <w:spacing w:val="-8"/>
          <w:w w:val="110"/>
        </w:rPr>
        <w:t> </w:t>
      </w:r>
      <w:r>
        <w:rPr>
          <w:w w:val="110"/>
        </w:rPr>
        <w:t>the</w:t>
      </w:r>
    </w:p>
    <w:p>
      <w:pPr>
        <w:pStyle w:val="BodyText"/>
        <w:spacing w:line="292" w:lineRule="auto"/>
        <w:ind w:left="5100" w:right="296"/>
      </w:pPr>
      <w:r>
        <w:rPr>
          <w:w w:val="105"/>
        </w:rPr>
        <w:t>medium-term inflation </w:t>
      </w:r>
      <w:r>
        <w:rPr>
          <w:spacing w:val="-3"/>
          <w:w w:val="105"/>
        </w:rPr>
        <w:t>target </w:t>
      </w:r>
      <w:r>
        <w:rPr>
          <w:w w:val="105"/>
        </w:rPr>
        <w:t>in </w:t>
      </w:r>
      <w:r>
        <w:rPr>
          <w:spacing w:val="-4"/>
          <w:w w:val="105"/>
        </w:rPr>
        <w:t>jeopardy. </w:t>
      </w:r>
      <w:r>
        <w:rPr>
          <w:w w:val="105"/>
        </w:rPr>
        <w:t>Another perspective </w:t>
      </w:r>
      <w:r>
        <w:rPr>
          <w:spacing w:val="-3"/>
          <w:w w:val="105"/>
        </w:rPr>
        <w:t>was </w:t>
      </w:r>
      <w:r>
        <w:rPr>
          <w:w w:val="105"/>
        </w:rPr>
        <w:t>that the news on </w:t>
      </w:r>
      <w:r>
        <w:rPr>
          <w:spacing w:val="-3"/>
          <w:w w:val="105"/>
        </w:rPr>
        <w:t>world </w:t>
      </w:r>
      <w:r>
        <w:rPr>
          <w:spacing w:val="-4"/>
          <w:w w:val="105"/>
        </w:rPr>
        <w:t>activity, </w:t>
      </w:r>
      <w:r>
        <w:rPr>
          <w:w w:val="105"/>
        </w:rPr>
        <w:t>commodity prices (including oil) and </w:t>
      </w:r>
      <w:r>
        <w:rPr>
          <w:spacing w:val="-3"/>
          <w:w w:val="105"/>
        </w:rPr>
        <w:t>equity </w:t>
      </w:r>
      <w:r>
        <w:rPr>
          <w:w w:val="105"/>
        </w:rPr>
        <w:t>prices </w:t>
      </w:r>
      <w:r>
        <w:rPr>
          <w:spacing w:val="-3"/>
          <w:w w:val="105"/>
        </w:rPr>
        <w:t>were </w:t>
      </w:r>
      <w:r>
        <w:rPr>
          <w:w w:val="105"/>
        </w:rPr>
        <w:t>together indicating a significant weakening of inflationary </w:t>
      </w:r>
      <w:r>
        <w:rPr>
          <w:spacing w:val="-3"/>
          <w:w w:val="105"/>
        </w:rPr>
        <w:t>pressures, </w:t>
      </w:r>
      <w:r>
        <w:rPr>
          <w:w w:val="105"/>
        </w:rPr>
        <w:t>and there </w:t>
      </w:r>
      <w:r>
        <w:rPr>
          <w:spacing w:val="-3"/>
          <w:w w:val="105"/>
        </w:rPr>
        <w:t>was </w:t>
      </w:r>
      <w:r>
        <w:rPr>
          <w:w w:val="105"/>
        </w:rPr>
        <w:t>little prospect of inflation returning </w:t>
      </w:r>
      <w:r>
        <w:rPr>
          <w:spacing w:val="-4"/>
          <w:w w:val="105"/>
        </w:rPr>
        <w:t>to </w:t>
      </w:r>
      <w:r>
        <w:rPr>
          <w:spacing w:val="-3"/>
          <w:w w:val="105"/>
        </w:rPr>
        <w:t>target </w:t>
      </w:r>
      <w:r>
        <w:rPr>
          <w:w w:val="105"/>
        </w:rPr>
        <w:t>without a  lowering of the official </w:t>
      </w:r>
      <w:r>
        <w:rPr>
          <w:spacing w:val="-4"/>
          <w:w w:val="105"/>
        </w:rPr>
        <w:t>rate </w:t>
      </w:r>
      <w:r>
        <w:rPr>
          <w:w w:val="105"/>
        </w:rPr>
        <w:t>in the near future. The </w:t>
      </w:r>
      <w:r>
        <w:rPr>
          <w:spacing w:val="-3"/>
          <w:w w:val="105"/>
        </w:rPr>
        <w:t>Committee voted by </w:t>
      </w:r>
      <w:r>
        <w:rPr>
          <w:w w:val="105"/>
        </w:rPr>
        <w:t>5 </w:t>
      </w:r>
      <w:r>
        <w:rPr>
          <w:spacing w:val="-4"/>
          <w:w w:val="105"/>
        </w:rPr>
        <w:t>votes to </w:t>
      </w:r>
      <w:r>
        <w:rPr>
          <w:w w:val="105"/>
        </w:rPr>
        <w:t>4 in favour of leaving the </w:t>
      </w:r>
      <w:r>
        <w:rPr>
          <w:spacing w:val="-3"/>
          <w:w w:val="105"/>
        </w:rPr>
        <w:t>Bank’s </w:t>
      </w:r>
      <w:r>
        <w:rPr>
          <w:w w:val="105"/>
        </w:rPr>
        <w:t>repo </w:t>
      </w:r>
      <w:r>
        <w:rPr>
          <w:spacing w:val="-4"/>
          <w:w w:val="105"/>
        </w:rPr>
        <w:t>rate </w:t>
      </w:r>
      <w:r>
        <w:rPr>
          <w:w w:val="105"/>
        </w:rPr>
        <w:t>unchanged at</w:t>
      </w:r>
      <w:r>
        <w:rPr>
          <w:spacing w:val="-5"/>
          <w:w w:val="105"/>
        </w:rPr>
        <w:t> </w:t>
      </w:r>
      <w:r>
        <w:rPr>
          <w:w w:val="105"/>
        </w:rPr>
        <w:t>6%.</w:t>
      </w:r>
    </w:p>
    <w:p>
      <w:pPr>
        <w:pStyle w:val="BodyText"/>
        <w:spacing w:before="3"/>
        <w:rPr>
          <w:sz w:val="23"/>
        </w:rPr>
      </w:pPr>
    </w:p>
    <w:p>
      <w:pPr>
        <w:pStyle w:val="BodyText"/>
        <w:spacing w:line="292" w:lineRule="auto"/>
        <w:ind w:left="5100" w:right="329"/>
      </w:pPr>
      <w:r>
        <w:rPr>
          <w:w w:val="110"/>
        </w:rPr>
        <w:t>At its meeting on 7–8 </w:t>
      </w:r>
      <w:r>
        <w:rPr>
          <w:spacing w:val="-3"/>
          <w:w w:val="110"/>
        </w:rPr>
        <w:t>February, </w:t>
      </w:r>
      <w:r>
        <w:rPr>
          <w:w w:val="110"/>
        </w:rPr>
        <w:t>the </w:t>
      </w:r>
      <w:r>
        <w:rPr>
          <w:spacing w:val="-3"/>
          <w:w w:val="110"/>
        </w:rPr>
        <w:t>Committee voted </w:t>
      </w:r>
      <w:r>
        <w:rPr>
          <w:spacing w:val="-4"/>
          <w:w w:val="110"/>
        </w:rPr>
        <w:t>to </w:t>
      </w:r>
      <w:r>
        <w:rPr>
          <w:w w:val="110"/>
        </w:rPr>
        <w:t>cut the </w:t>
      </w:r>
      <w:r>
        <w:rPr>
          <w:spacing w:val="-3"/>
          <w:w w:val="110"/>
        </w:rPr>
        <w:t>Bank’s </w:t>
      </w:r>
      <w:r>
        <w:rPr>
          <w:w w:val="110"/>
        </w:rPr>
        <w:t>repo </w:t>
      </w:r>
      <w:r>
        <w:rPr>
          <w:spacing w:val="-4"/>
          <w:w w:val="110"/>
        </w:rPr>
        <w:t>rate to </w:t>
      </w:r>
      <w:r>
        <w:rPr>
          <w:spacing w:val="-7"/>
          <w:w w:val="110"/>
        </w:rPr>
        <w:t>5.75%.</w:t>
      </w:r>
    </w:p>
    <w:p>
      <w:pPr>
        <w:spacing w:after="0" w:line="292" w:lineRule="auto"/>
        <w:sectPr>
          <w:headerReference w:type="even" r:id="rId161"/>
          <w:footerReference w:type="even" r:id="rId162"/>
          <w:footerReference w:type="default" r:id="rId163"/>
          <w:pgSz w:w="11900" w:h="16840"/>
          <w:pgMar w:header="601" w:footer="575" w:top="800" w:bottom="760" w:left="640" w:right="640"/>
          <w:pgNumType w:start="52"/>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090688;mso-wrap-distance-left:0;mso-wrap-distance-right:0" type="#_x0000_t202" filled="true" fillcolor="#ebf4f7" stroked="false">
            <v:textbox inset="0,0,0,0">
              <w:txbxContent>
                <w:p>
                  <w:pPr>
                    <w:tabs>
                      <w:tab w:pos="10099" w:val="right" w:leader="none"/>
                    </w:tabs>
                    <w:spacing w:before="226"/>
                    <w:ind w:left="260" w:right="0" w:firstLine="0"/>
                    <w:jc w:val="left"/>
                    <w:rPr>
                      <w:rFonts w:ascii="Trebuchet MS"/>
                      <w:sz w:val="48"/>
                    </w:rPr>
                  </w:pPr>
                  <w:bookmarkStart w:name="Prospects for inflation" w:id="90"/>
                  <w:bookmarkEnd w:id="90"/>
                  <w:r>
                    <w:rPr/>
                  </w:r>
                  <w:bookmarkStart w:name="The inflation projection assumptions" w:id="91"/>
                  <w:bookmarkEnd w:id="91"/>
                  <w:r>
                    <w:rPr/>
                  </w:r>
                  <w:bookmarkStart w:name="_bookmark45" w:id="92"/>
                  <w:bookmarkEnd w:id="92"/>
                  <w:r>
                    <w:rPr/>
                  </w:r>
                  <w:bookmarkStart w:name="_bookmark46" w:id="93"/>
                  <w:bookmarkEnd w:id="93"/>
                  <w:r>
                    <w:rPr/>
                  </w:r>
                  <w:r>
                    <w:rPr>
                      <w:rFonts w:ascii="Trebuchet MS"/>
                      <w:color w:val="89C6DC"/>
                      <w:spacing w:val="-3"/>
                      <w:sz w:val="48"/>
                    </w:rPr>
                    <w:t>Prospects</w:t>
                  </w:r>
                  <w:r>
                    <w:rPr>
                      <w:rFonts w:ascii="Trebuchet MS"/>
                      <w:color w:val="89C6DC"/>
                      <w:spacing w:val="6"/>
                      <w:sz w:val="48"/>
                    </w:rPr>
                    <w:t> </w:t>
                  </w:r>
                  <w:r>
                    <w:rPr>
                      <w:rFonts w:ascii="Trebuchet MS"/>
                      <w:color w:val="89C6DC"/>
                      <w:sz w:val="48"/>
                    </w:rPr>
                    <w:t>for</w:t>
                  </w:r>
                  <w:r>
                    <w:rPr>
                      <w:rFonts w:ascii="Trebuchet MS"/>
                      <w:color w:val="89C6DC"/>
                      <w:spacing w:val="6"/>
                      <w:sz w:val="48"/>
                    </w:rPr>
                    <w:t> </w:t>
                  </w:r>
                  <w:r>
                    <w:rPr>
                      <w:rFonts w:ascii="Trebuchet MS"/>
                      <w:color w:val="89C6DC"/>
                      <w:sz w:val="48"/>
                    </w:rPr>
                    <w:t>inflation</w:t>
                    <w:tab/>
                    <w:t>6</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Heading3"/>
        <w:numPr>
          <w:ilvl w:val="1"/>
          <w:numId w:val="35"/>
        </w:numPr>
        <w:tabs>
          <w:tab w:pos="5579" w:val="left" w:leader="none"/>
          <w:tab w:pos="5580" w:val="left" w:leader="none"/>
          <w:tab w:pos="10459" w:val="left" w:leader="none"/>
        </w:tabs>
        <w:spacing w:line="240" w:lineRule="auto" w:before="252" w:after="0"/>
        <w:ind w:left="5580" w:right="0" w:hanging="600"/>
        <w:jc w:val="left"/>
        <w:rPr>
          <w:color w:val="89C6DC"/>
          <w:u w:val="none"/>
        </w:rPr>
      </w:pPr>
      <w:r>
        <w:rPr>
          <w:smallCaps w:val="0"/>
          <w:color w:val="89C6DC"/>
          <w:w w:val="90"/>
          <w:u w:val="single" w:color="006CB4"/>
        </w:rPr>
        <w:t>The inflation projection</w:t>
      </w:r>
      <w:r>
        <w:rPr>
          <w:smallCaps w:val="0"/>
          <w:color w:val="89C6DC"/>
          <w:spacing w:val="-12"/>
          <w:w w:val="90"/>
          <w:u w:val="single" w:color="006CB4"/>
        </w:rPr>
        <w:t> </w:t>
      </w:r>
      <w:r>
        <w:rPr>
          <w:smallCaps w:val="0"/>
          <w:color w:val="89C6DC"/>
          <w:w w:val="90"/>
          <w:u w:val="single" w:color="006CB4"/>
        </w:rPr>
        <w:t>assumptions</w:t>
      </w:r>
      <w:r>
        <w:rPr>
          <w:smallCaps w:val="0"/>
          <w:color w:val="89C6DC"/>
          <w:u w:val="single" w:color="006CB4"/>
        </w:rPr>
        <w:tab/>
      </w:r>
    </w:p>
    <w:p>
      <w:pPr>
        <w:pStyle w:val="BodyText"/>
        <w:spacing w:before="9"/>
        <w:rPr>
          <w:rFonts w:ascii="Trebuchet MS"/>
          <w:b/>
          <w:sz w:val="26"/>
        </w:rPr>
      </w:pPr>
    </w:p>
    <w:p>
      <w:pPr>
        <w:pStyle w:val="BodyText"/>
        <w:spacing w:line="292" w:lineRule="auto"/>
        <w:ind w:left="5100" w:right="653"/>
      </w:pPr>
      <w:r>
        <w:rPr>
          <w:w w:val="105"/>
        </w:rPr>
        <w:t>The Monetary Policy Committee approved this </w:t>
      </w:r>
      <w:r>
        <w:rPr>
          <w:i/>
          <w:w w:val="105"/>
        </w:rPr>
        <w:t>Report </w:t>
      </w:r>
      <w:r>
        <w:rPr>
          <w:w w:val="105"/>
        </w:rPr>
        <w:t>on 9 February. It provides the Committee’s assessment of</w:t>
      </w:r>
    </w:p>
    <w:p>
      <w:pPr>
        <w:pStyle w:val="BodyText"/>
        <w:spacing w:line="292" w:lineRule="auto"/>
        <w:ind w:left="5100" w:right="145"/>
      </w:pPr>
      <w:r>
        <w:rPr>
          <w:w w:val="110"/>
        </w:rPr>
        <w:t>economic</w:t>
      </w:r>
      <w:r>
        <w:rPr>
          <w:spacing w:val="-24"/>
          <w:w w:val="110"/>
        </w:rPr>
        <w:t> </w:t>
      </w:r>
      <w:r>
        <w:rPr>
          <w:w w:val="110"/>
        </w:rPr>
        <w:t>developments</w:t>
      </w:r>
      <w:r>
        <w:rPr>
          <w:spacing w:val="-23"/>
          <w:w w:val="110"/>
        </w:rPr>
        <w:t> </w:t>
      </w:r>
      <w:r>
        <w:rPr>
          <w:w w:val="110"/>
        </w:rPr>
        <w:t>since</w:t>
      </w:r>
      <w:r>
        <w:rPr>
          <w:spacing w:val="-23"/>
          <w:w w:val="110"/>
        </w:rPr>
        <w:t> </w:t>
      </w:r>
      <w:r>
        <w:rPr>
          <w:w w:val="110"/>
        </w:rPr>
        <w:t>November</w:t>
      </w:r>
      <w:r>
        <w:rPr>
          <w:spacing w:val="-23"/>
          <w:w w:val="110"/>
        </w:rPr>
        <w:t> </w:t>
      </w:r>
      <w:r>
        <w:rPr>
          <w:w w:val="110"/>
        </w:rPr>
        <w:t>and</w:t>
      </w:r>
      <w:r>
        <w:rPr>
          <w:spacing w:val="-23"/>
          <w:w w:val="110"/>
        </w:rPr>
        <w:t> </w:t>
      </w:r>
      <w:r>
        <w:rPr>
          <w:w w:val="110"/>
        </w:rPr>
        <w:t>prospects</w:t>
      </w:r>
      <w:r>
        <w:rPr>
          <w:spacing w:val="-23"/>
          <w:w w:val="110"/>
        </w:rPr>
        <w:t> </w:t>
      </w:r>
      <w:r>
        <w:rPr>
          <w:w w:val="110"/>
        </w:rPr>
        <w:t>for</w:t>
      </w:r>
      <w:r>
        <w:rPr>
          <w:spacing w:val="-23"/>
          <w:w w:val="110"/>
        </w:rPr>
        <w:t> </w:t>
      </w:r>
      <w:r>
        <w:rPr>
          <w:w w:val="110"/>
        </w:rPr>
        <w:t>the medium</w:t>
      </w:r>
      <w:r>
        <w:rPr>
          <w:spacing w:val="-26"/>
          <w:w w:val="110"/>
        </w:rPr>
        <w:t> </w:t>
      </w:r>
      <w:r>
        <w:rPr>
          <w:w w:val="110"/>
        </w:rPr>
        <w:t>term.</w:t>
      </w:r>
      <w:r>
        <w:rPr>
          <w:spacing w:val="4"/>
          <w:w w:val="110"/>
        </w:rPr>
        <w:t> </w:t>
      </w:r>
      <w:r>
        <w:rPr>
          <w:w w:val="110"/>
        </w:rPr>
        <w:t>Projections</w:t>
      </w:r>
      <w:r>
        <w:rPr>
          <w:spacing w:val="-26"/>
          <w:w w:val="110"/>
        </w:rPr>
        <w:t> </w:t>
      </w:r>
      <w:r>
        <w:rPr>
          <w:w w:val="110"/>
        </w:rPr>
        <w:t>of</w:t>
      </w:r>
      <w:r>
        <w:rPr>
          <w:spacing w:val="-26"/>
          <w:w w:val="110"/>
        </w:rPr>
        <w:t> </w:t>
      </w:r>
      <w:r>
        <w:rPr>
          <w:w w:val="110"/>
        </w:rPr>
        <w:t>GDP</w:t>
      </w:r>
      <w:r>
        <w:rPr>
          <w:spacing w:val="-25"/>
          <w:w w:val="110"/>
        </w:rPr>
        <w:t> </w:t>
      </w:r>
      <w:r>
        <w:rPr>
          <w:w w:val="110"/>
        </w:rPr>
        <w:t>growth</w:t>
      </w:r>
      <w:r>
        <w:rPr>
          <w:spacing w:val="-26"/>
          <w:w w:val="110"/>
        </w:rPr>
        <w:t> </w:t>
      </w:r>
      <w:r>
        <w:rPr>
          <w:w w:val="110"/>
        </w:rPr>
        <w:t>and</w:t>
      </w:r>
      <w:r>
        <w:rPr>
          <w:spacing w:val="-26"/>
          <w:w w:val="110"/>
        </w:rPr>
        <w:t> </w:t>
      </w:r>
      <w:r>
        <w:rPr>
          <w:w w:val="110"/>
        </w:rPr>
        <w:t>RPIX</w:t>
      </w:r>
      <w:r>
        <w:rPr>
          <w:spacing w:val="-25"/>
          <w:w w:val="110"/>
        </w:rPr>
        <w:t> </w:t>
      </w:r>
      <w:r>
        <w:rPr>
          <w:w w:val="110"/>
        </w:rPr>
        <w:t>inflation </w:t>
      </w:r>
      <w:r>
        <w:rPr>
          <w:spacing w:val="-3"/>
          <w:w w:val="110"/>
        </w:rPr>
        <w:t>over </w:t>
      </w:r>
      <w:r>
        <w:rPr>
          <w:w w:val="110"/>
        </w:rPr>
        <w:t>the next </w:t>
      </w:r>
      <w:r>
        <w:rPr>
          <w:spacing w:val="-5"/>
          <w:w w:val="110"/>
        </w:rPr>
        <w:t>two </w:t>
      </w:r>
      <w:r>
        <w:rPr>
          <w:spacing w:val="-3"/>
          <w:w w:val="110"/>
        </w:rPr>
        <w:t>years </w:t>
      </w:r>
      <w:r>
        <w:rPr>
          <w:w w:val="110"/>
        </w:rPr>
        <w:t>are </w:t>
      </w:r>
      <w:r>
        <w:rPr>
          <w:spacing w:val="-3"/>
          <w:w w:val="110"/>
        </w:rPr>
        <w:t>presented </w:t>
      </w:r>
      <w:r>
        <w:rPr>
          <w:w w:val="110"/>
        </w:rPr>
        <w:t>below in </w:t>
      </w:r>
      <w:hyperlink w:history="true" w:anchor="_bookmark48">
        <w:r>
          <w:rPr>
            <w:color w:val="FF0000"/>
            <w:w w:val="110"/>
          </w:rPr>
          <w:t>Charts 6.1 </w:t>
        </w:r>
      </w:hyperlink>
      <w:r>
        <w:rPr>
          <w:w w:val="110"/>
        </w:rPr>
        <w:t>and </w:t>
      </w:r>
      <w:hyperlink w:history="true" w:anchor="_bookmark49">
        <w:r>
          <w:rPr>
            <w:color w:val="FF0000"/>
            <w:w w:val="110"/>
          </w:rPr>
          <w:t>6.2</w:t>
        </w:r>
        <w:r>
          <w:rPr>
            <w:w w:val="110"/>
          </w:rPr>
          <w:t>, </w:t>
        </w:r>
      </w:hyperlink>
      <w:r>
        <w:rPr>
          <w:w w:val="110"/>
        </w:rPr>
        <w:t>together with the uncertainties surrounding them. These projections are based on the assumption that the </w:t>
      </w:r>
      <w:r>
        <w:rPr>
          <w:spacing w:val="-3"/>
          <w:w w:val="110"/>
        </w:rPr>
        <w:t>Bank’s </w:t>
      </w:r>
      <w:r>
        <w:rPr>
          <w:w w:val="110"/>
        </w:rPr>
        <w:t>repo </w:t>
      </w:r>
      <w:r>
        <w:rPr>
          <w:spacing w:val="-4"/>
          <w:w w:val="110"/>
        </w:rPr>
        <w:t>rate</w:t>
      </w:r>
      <w:r>
        <w:rPr>
          <w:spacing w:val="-10"/>
          <w:w w:val="110"/>
        </w:rPr>
        <w:t> </w:t>
      </w:r>
      <w:r>
        <w:rPr>
          <w:w w:val="110"/>
        </w:rPr>
        <w:t>remains</w:t>
      </w:r>
      <w:r>
        <w:rPr>
          <w:spacing w:val="-10"/>
          <w:w w:val="110"/>
        </w:rPr>
        <w:t> </w:t>
      </w:r>
      <w:r>
        <w:rPr>
          <w:w w:val="110"/>
        </w:rPr>
        <w:t>unchanged</w:t>
      </w:r>
      <w:r>
        <w:rPr>
          <w:spacing w:val="-10"/>
          <w:w w:val="110"/>
        </w:rPr>
        <w:t> </w:t>
      </w:r>
      <w:r>
        <w:rPr>
          <w:w w:val="110"/>
        </w:rPr>
        <w:t>at</w:t>
      </w:r>
      <w:r>
        <w:rPr>
          <w:spacing w:val="-10"/>
          <w:w w:val="110"/>
        </w:rPr>
        <w:t> </w:t>
      </w:r>
      <w:r>
        <w:rPr>
          <w:spacing w:val="-8"/>
          <w:w w:val="110"/>
        </w:rPr>
        <w:t>5.75%</w:t>
      </w:r>
      <w:r>
        <w:rPr>
          <w:spacing w:val="-10"/>
          <w:w w:val="110"/>
        </w:rPr>
        <w:t> </w:t>
      </w:r>
      <w:r>
        <w:rPr>
          <w:w w:val="110"/>
        </w:rPr>
        <w:t>during</w:t>
      </w:r>
      <w:r>
        <w:rPr>
          <w:spacing w:val="-10"/>
          <w:w w:val="110"/>
        </w:rPr>
        <w:t> </w:t>
      </w:r>
      <w:r>
        <w:rPr>
          <w:w w:val="110"/>
        </w:rPr>
        <w:t>the</w:t>
      </w:r>
      <w:r>
        <w:rPr>
          <w:spacing w:val="-9"/>
          <w:w w:val="110"/>
        </w:rPr>
        <w:t> </w:t>
      </w:r>
      <w:r>
        <w:rPr>
          <w:w w:val="110"/>
        </w:rPr>
        <w:t>next</w:t>
      </w:r>
      <w:r>
        <w:rPr>
          <w:spacing w:val="-10"/>
          <w:w w:val="110"/>
        </w:rPr>
        <w:t> </w:t>
      </w:r>
      <w:r>
        <w:rPr>
          <w:spacing w:val="-5"/>
          <w:w w:val="110"/>
        </w:rPr>
        <w:t>two</w:t>
      </w:r>
      <w:r>
        <w:rPr>
          <w:spacing w:val="-10"/>
          <w:w w:val="110"/>
        </w:rPr>
        <w:t> </w:t>
      </w:r>
      <w:r>
        <w:rPr>
          <w:spacing w:val="-3"/>
          <w:w w:val="110"/>
        </w:rPr>
        <w:t>years.</w:t>
      </w:r>
    </w:p>
    <w:p>
      <w:pPr>
        <w:pStyle w:val="BodyText"/>
        <w:spacing w:line="292" w:lineRule="auto"/>
        <w:ind w:left="5100" w:right="172"/>
      </w:pPr>
      <w:r>
        <w:rPr>
          <w:w w:val="110"/>
        </w:rPr>
        <w:t>Alternative projections conditioned on the assumption that UK official </w:t>
      </w:r>
      <w:r>
        <w:rPr>
          <w:spacing w:val="-3"/>
          <w:w w:val="110"/>
        </w:rPr>
        <w:t>interest </w:t>
      </w:r>
      <w:r>
        <w:rPr>
          <w:spacing w:val="-4"/>
          <w:w w:val="110"/>
        </w:rPr>
        <w:t>rates </w:t>
      </w:r>
      <w:r>
        <w:rPr>
          <w:w w:val="110"/>
        </w:rPr>
        <w:t>follow </w:t>
      </w:r>
      <w:r>
        <w:rPr>
          <w:spacing w:val="-2"/>
          <w:w w:val="110"/>
        </w:rPr>
        <w:t>market </w:t>
      </w:r>
      <w:r>
        <w:rPr>
          <w:spacing w:val="-3"/>
          <w:w w:val="110"/>
        </w:rPr>
        <w:t>interest </w:t>
      </w:r>
      <w:r>
        <w:rPr>
          <w:spacing w:val="-4"/>
          <w:w w:val="110"/>
        </w:rPr>
        <w:t>rate </w:t>
      </w:r>
      <w:r>
        <w:rPr>
          <w:w w:val="110"/>
        </w:rPr>
        <w:t>expectations are shown in </w:t>
      </w:r>
      <w:hyperlink w:history="true" w:anchor="_bookmark51">
        <w:r>
          <w:rPr>
            <w:color w:val="FF0000"/>
            <w:w w:val="110"/>
          </w:rPr>
          <w:t>Charts 6.6 </w:t>
        </w:r>
      </w:hyperlink>
      <w:r>
        <w:rPr>
          <w:w w:val="110"/>
        </w:rPr>
        <w:t>and </w:t>
      </w:r>
      <w:hyperlink w:history="true" w:anchor="_bookmark51">
        <w:r>
          <w:rPr>
            <w:color w:val="FF0000"/>
            <w:spacing w:val="-10"/>
            <w:w w:val="110"/>
          </w:rPr>
          <w:t>6.7</w:t>
        </w:r>
        <w:r>
          <w:rPr>
            <w:spacing w:val="-10"/>
            <w:w w:val="110"/>
          </w:rPr>
          <w:t>.</w:t>
        </w:r>
      </w:hyperlink>
      <w:r>
        <w:rPr>
          <w:spacing w:val="-10"/>
          <w:w w:val="110"/>
        </w:rPr>
        <w:t> </w:t>
      </w:r>
      <w:r>
        <w:rPr>
          <w:w w:val="110"/>
        </w:rPr>
        <w:t>The </w:t>
      </w:r>
      <w:r>
        <w:rPr>
          <w:spacing w:val="-4"/>
          <w:w w:val="110"/>
        </w:rPr>
        <w:t>key </w:t>
      </w:r>
      <w:r>
        <w:rPr>
          <w:w w:val="110"/>
        </w:rPr>
        <w:t>assumptions</w:t>
      </w:r>
      <w:r>
        <w:rPr>
          <w:spacing w:val="-17"/>
          <w:w w:val="110"/>
        </w:rPr>
        <w:t> </w:t>
      </w:r>
      <w:r>
        <w:rPr>
          <w:w w:val="110"/>
        </w:rPr>
        <w:t>on</w:t>
      </w:r>
      <w:r>
        <w:rPr>
          <w:spacing w:val="-16"/>
          <w:w w:val="110"/>
        </w:rPr>
        <w:t> </w:t>
      </w:r>
      <w:r>
        <w:rPr>
          <w:w w:val="110"/>
        </w:rPr>
        <w:t>which</w:t>
      </w:r>
      <w:r>
        <w:rPr>
          <w:spacing w:val="-16"/>
          <w:w w:val="110"/>
        </w:rPr>
        <w:t> </w:t>
      </w:r>
      <w:r>
        <w:rPr>
          <w:w w:val="110"/>
        </w:rPr>
        <w:t>the</w:t>
      </w:r>
      <w:r>
        <w:rPr>
          <w:spacing w:val="-16"/>
          <w:w w:val="110"/>
        </w:rPr>
        <w:t> </w:t>
      </w:r>
      <w:r>
        <w:rPr>
          <w:w w:val="110"/>
        </w:rPr>
        <w:t>projections</w:t>
      </w:r>
      <w:r>
        <w:rPr>
          <w:spacing w:val="-16"/>
          <w:w w:val="110"/>
        </w:rPr>
        <w:t> </w:t>
      </w:r>
      <w:r>
        <w:rPr>
          <w:w w:val="110"/>
        </w:rPr>
        <w:t>are</w:t>
      </w:r>
      <w:r>
        <w:rPr>
          <w:spacing w:val="-16"/>
          <w:w w:val="110"/>
        </w:rPr>
        <w:t> </w:t>
      </w:r>
      <w:r>
        <w:rPr>
          <w:w w:val="110"/>
        </w:rPr>
        <w:t>based</w:t>
      </w:r>
      <w:r>
        <w:rPr>
          <w:spacing w:val="-16"/>
          <w:w w:val="110"/>
        </w:rPr>
        <w:t> </w:t>
      </w:r>
      <w:r>
        <w:rPr>
          <w:w w:val="110"/>
        </w:rPr>
        <w:t>are</w:t>
      </w:r>
      <w:r>
        <w:rPr>
          <w:spacing w:val="-16"/>
          <w:w w:val="110"/>
        </w:rPr>
        <w:t> </w:t>
      </w:r>
      <w:r>
        <w:rPr>
          <w:w w:val="110"/>
        </w:rPr>
        <w:t>described </w:t>
      </w:r>
      <w:r>
        <w:rPr>
          <w:spacing w:val="-4"/>
          <w:w w:val="110"/>
        </w:rPr>
        <w:t>below.</w:t>
      </w:r>
    </w:p>
    <w:p>
      <w:pPr>
        <w:pStyle w:val="BodyText"/>
        <w:spacing w:before="2"/>
      </w:pPr>
    </w:p>
    <w:p>
      <w:pPr>
        <w:pStyle w:val="BodyText"/>
        <w:spacing w:line="292" w:lineRule="auto"/>
        <w:ind w:left="5100" w:right="172"/>
      </w:pPr>
      <w:r>
        <w:rPr>
          <w:w w:val="105"/>
        </w:rPr>
        <w:t>World growth prospects have weakened since the November </w:t>
      </w:r>
      <w:r>
        <w:rPr>
          <w:i/>
          <w:w w:val="105"/>
        </w:rPr>
        <w:t>Report </w:t>
      </w:r>
      <w:r>
        <w:rPr>
          <w:w w:val="105"/>
        </w:rPr>
        <w:t>as the US economy has decelerated sharply. A slowdown from the exceptional rates of output growth in the United States in the first half of 2000 was widely expected and indeed was desirable given signs of growing financial imbalances and strains on capacity. Indicators available three months ago were signalling a moderation in growth. But subsequent developments have revealed a much softer</w:t>
      </w:r>
    </w:p>
    <w:p>
      <w:pPr>
        <w:pStyle w:val="BodyText"/>
        <w:spacing w:line="292" w:lineRule="auto"/>
        <w:ind w:left="5100" w:right="274"/>
      </w:pPr>
      <w:r>
        <w:rPr>
          <w:spacing w:val="-5"/>
          <w:w w:val="110"/>
        </w:rPr>
        <w:t>near-term </w:t>
      </w:r>
      <w:r>
        <w:rPr>
          <w:w w:val="110"/>
        </w:rPr>
        <w:t>outlook. GDP growth in </w:t>
      </w:r>
      <w:r>
        <w:rPr>
          <w:spacing w:val="-4"/>
          <w:w w:val="110"/>
        </w:rPr>
        <w:t>2000 </w:t>
      </w:r>
      <w:r>
        <w:rPr>
          <w:w w:val="110"/>
        </w:rPr>
        <w:t>Q4 </w:t>
      </w:r>
      <w:r>
        <w:rPr>
          <w:spacing w:val="-3"/>
          <w:w w:val="110"/>
        </w:rPr>
        <w:t>slowed </w:t>
      </w:r>
      <w:r>
        <w:rPr>
          <w:spacing w:val="-4"/>
          <w:w w:val="110"/>
        </w:rPr>
        <w:t>to </w:t>
      </w:r>
      <w:r>
        <w:rPr>
          <w:w w:val="110"/>
        </w:rPr>
        <w:t>0.3%, well below expectations three months ago. </w:t>
      </w:r>
      <w:r>
        <w:rPr>
          <w:spacing w:val="-3"/>
          <w:w w:val="110"/>
        </w:rPr>
        <w:t>Equity </w:t>
      </w:r>
      <w:r>
        <w:rPr>
          <w:w w:val="110"/>
        </w:rPr>
        <w:t>prices, particularly of high-technology stocks, fell substantially </w:t>
      </w:r>
      <w:r>
        <w:rPr>
          <w:spacing w:val="-4"/>
          <w:w w:val="110"/>
        </w:rPr>
        <w:t>towards </w:t>
      </w:r>
      <w:r>
        <w:rPr>
          <w:w w:val="110"/>
        </w:rPr>
        <w:t>the end of the </w:t>
      </w:r>
      <w:r>
        <w:rPr>
          <w:spacing w:val="-4"/>
          <w:w w:val="110"/>
        </w:rPr>
        <w:t>year, </w:t>
      </w:r>
      <w:r>
        <w:rPr>
          <w:w w:val="110"/>
        </w:rPr>
        <w:t>and business and consumer confidence declined </w:t>
      </w:r>
      <w:r>
        <w:rPr>
          <w:spacing w:val="-3"/>
          <w:w w:val="110"/>
        </w:rPr>
        <w:t>sharply. </w:t>
      </w:r>
      <w:r>
        <w:rPr>
          <w:w w:val="110"/>
        </w:rPr>
        <w:t>Industrial output has fallen in recent</w:t>
      </w:r>
      <w:r>
        <w:rPr>
          <w:spacing w:val="-17"/>
          <w:w w:val="110"/>
        </w:rPr>
        <w:t> </w:t>
      </w:r>
      <w:r>
        <w:rPr>
          <w:w w:val="110"/>
        </w:rPr>
        <w:t>months</w:t>
      </w:r>
      <w:r>
        <w:rPr>
          <w:spacing w:val="-16"/>
          <w:w w:val="110"/>
        </w:rPr>
        <w:t> </w:t>
      </w:r>
      <w:r>
        <w:rPr>
          <w:w w:val="110"/>
        </w:rPr>
        <w:t>and</w:t>
      </w:r>
      <w:r>
        <w:rPr>
          <w:spacing w:val="-17"/>
          <w:w w:val="110"/>
        </w:rPr>
        <w:t> </w:t>
      </w:r>
      <w:r>
        <w:rPr>
          <w:w w:val="110"/>
        </w:rPr>
        <w:t>there</w:t>
      </w:r>
      <w:r>
        <w:rPr>
          <w:spacing w:val="-16"/>
          <w:w w:val="110"/>
        </w:rPr>
        <w:t> </w:t>
      </w:r>
      <w:r>
        <w:rPr>
          <w:w w:val="110"/>
        </w:rPr>
        <w:t>are</w:t>
      </w:r>
      <w:r>
        <w:rPr>
          <w:spacing w:val="-17"/>
          <w:w w:val="110"/>
        </w:rPr>
        <w:t> </w:t>
      </w:r>
      <w:r>
        <w:rPr>
          <w:w w:val="110"/>
        </w:rPr>
        <w:t>some</w:t>
      </w:r>
      <w:r>
        <w:rPr>
          <w:spacing w:val="-16"/>
          <w:w w:val="110"/>
        </w:rPr>
        <w:t> </w:t>
      </w:r>
      <w:r>
        <w:rPr>
          <w:w w:val="110"/>
        </w:rPr>
        <w:t>signs</w:t>
      </w:r>
      <w:r>
        <w:rPr>
          <w:spacing w:val="-17"/>
          <w:w w:val="110"/>
        </w:rPr>
        <w:t> </w:t>
      </w:r>
      <w:r>
        <w:rPr>
          <w:w w:val="110"/>
        </w:rPr>
        <w:t>of</w:t>
      </w:r>
      <w:r>
        <w:rPr>
          <w:spacing w:val="-16"/>
          <w:w w:val="110"/>
        </w:rPr>
        <w:t> </w:t>
      </w:r>
      <w:r>
        <w:rPr>
          <w:spacing w:val="-3"/>
          <w:w w:val="110"/>
        </w:rPr>
        <w:t>excess</w:t>
      </w:r>
      <w:r>
        <w:rPr>
          <w:spacing w:val="-17"/>
          <w:w w:val="110"/>
        </w:rPr>
        <w:t> </w:t>
      </w:r>
      <w:r>
        <w:rPr>
          <w:spacing w:val="-3"/>
          <w:w w:val="110"/>
        </w:rPr>
        <w:t>inventories, </w:t>
      </w:r>
      <w:r>
        <w:rPr>
          <w:w w:val="110"/>
        </w:rPr>
        <w:t>particularly in the vehicles </w:t>
      </w:r>
      <w:r>
        <w:rPr>
          <w:spacing w:val="-4"/>
          <w:w w:val="110"/>
        </w:rPr>
        <w:t>sector. </w:t>
      </w:r>
      <w:r>
        <w:rPr>
          <w:w w:val="110"/>
        </w:rPr>
        <w:t>The </w:t>
      </w:r>
      <w:r>
        <w:rPr>
          <w:spacing w:val="-3"/>
          <w:w w:val="110"/>
        </w:rPr>
        <w:t>Federal Reserve </w:t>
      </w:r>
      <w:r>
        <w:rPr>
          <w:w w:val="110"/>
        </w:rPr>
        <w:t>responded</w:t>
      </w:r>
      <w:r>
        <w:rPr>
          <w:spacing w:val="-13"/>
          <w:w w:val="110"/>
        </w:rPr>
        <w:t> </w:t>
      </w:r>
      <w:r>
        <w:rPr>
          <w:spacing w:val="-4"/>
          <w:w w:val="110"/>
        </w:rPr>
        <w:t>to</w:t>
      </w:r>
      <w:r>
        <w:rPr>
          <w:spacing w:val="-13"/>
          <w:w w:val="110"/>
        </w:rPr>
        <w:t> </w:t>
      </w:r>
      <w:r>
        <w:rPr>
          <w:w w:val="110"/>
        </w:rPr>
        <w:t>the</w:t>
      </w:r>
      <w:r>
        <w:rPr>
          <w:spacing w:val="-12"/>
          <w:w w:val="110"/>
        </w:rPr>
        <w:t> </w:t>
      </w:r>
      <w:r>
        <w:rPr>
          <w:w w:val="110"/>
        </w:rPr>
        <w:t>fall</w:t>
      </w:r>
      <w:r>
        <w:rPr>
          <w:spacing w:val="-13"/>
          <w:w w:val="110"/>
        </w:rPr>
        <w:t> </w:t>
      </w:r>
      <w:r>
        <w:rPr>
          <w:w w:val="110"/>
        </w:rPr>
        <w:t>in</w:t>
      </w:r>
      <w:r>
        <w:rPr>
          <w:spacing w:val="-12"/>
          <w:w w:val="110"/>
        </w:rPr>
        <w:t> </w:t>
      </w:r>
      <w:r>
        <w:rPr>
          <w:w w:val="110"/>
        </w:rPr>
        <w:t>demand</w:t>
      </w:r>
      <w:r>
        <w:rPr>
          <w:spacing w:val="-13"/>
          <w:w w:val="110"/>
        </w:rPr>
        <w:t> </w:t>
      </w:r>
      <w:r>
        <w:rPr>
          <w:w w:val="110"/>
        </w:rPr>
        <w:t>by</w:t>
      </w:r>
      <w:r>
        <w:rPr>
          <w:spacing w:val="-12"/>
          <w:w w:val="110"/>
        </w:rPr>
        <w:t> </w:t>
      </w:r>
      <w:r>
        <w:rPr>
          <w:w w:val="110"/>
        </w:rPr>
        <w:t>lowering</w:t>
      </w:r>
      <w:r>
        <w:rPr>
          <w:spacing w:val="-13"/>
          <w:w w:val="110"/>
        </w:rPr>
        <w:t> </w:t>
      </w:r>
      <w:r>
        <w:rPr>
          <w:spacing w:val="-3"/>
          <w:w w:val="110"/>
        </w:rPr>
        <w:t>interest</w:t>
      </w:r>
      <w:r>
        <w:rPr>
          <w:spacing w:val="-13"/>
          <w:w w:val="110"/>
        </w:rPr>
        <w:t> </w:t>
      </w:r>
      <w:r>
        <w:rPr>
          <w:spacing w:val="-4"/>
          <w:w w:val="110"/>
        </w:rPr>
        <w:t>rates</w:t>
      </w:r>
      <w:r>
        <w:rPr>
          <w:spacing w:val="-12"/>
          <w:w w:val="110"/>
        </w:rPr>
        <w:t> </w:t>
      </w:r>
      <w:r>
        <w:rPr>
          <w:spacing w:val="-3"/>
          <w:w w:val="110"/>
        </w:rPr>
        <w:t>by </w:t>
      </w:r>
      <w:r>
        <w:rPr>
          <w:spacing w:val="-8"/>
          <w:w w:val="110"/>
        </w:rPr>
        <w:t>50</w:t>
      </w:r>
      <w:r>
        <w:rPr>
          <w:spacing w:val="-7"/>
          <w:w w:val="110"/>
        </w:rPr>
        <w:t> </w:t>
      </w:r>
      <w:r>
        <w:rPr>
          <w:w w:val="110"/>
        </w:rPr>
        <w:t>basis</w:t>
      </w:r>
      <w:r>
        <w:rPr>
          <w:spacing w:val="-7"/>
          <w:w w:val="110"/>
        </w:rPr>
        <w:t> </w:t>
      </w:r>
      <w:r>
        <w:rPr>
          <w:w w:val="110"/>
        </w:rPr>
        <w:t>points</w:t>
      </w:r>
      <w:r>
        <w:rPr>
          <w:spacing w:val="-7"/>
          <w:w w:val="110"/>
        </w:rPr>
        <w:t> </w:t>
      </w:r>
      <w:r>
        <w:rPr>
          <w:w w:val="110"/>
        </w:rPr>
        <w:t>on</w:t>
      </w:r>
      <w:r>
        <w:rPr>
          <w:spacing w:val="-7"/>
          <w:w w:val="110"/>
        </w:rPr>
        <w:t> </w:t>
      </w:r>
      <w:r>
        <w:rPr>
          <w:w w:val="110"/>
        </w:rPr>
        <w:t>3</w:t>
      </w:r>
      <w:r>
        <w:rPr>
          <w:spacing w:val="-7"/>
          <w:w w:val="110"/>
        </w:rPr>
        <w:t> </w:t>
      </w:r>
      <w:r>
        <w:rPr>
          <w:w w:val="110"/>
        </w:rPr>
        <w:t>January</w:t>
      </w:r>
      <w:r>
        <w:rPr>
          <w:spacing w:val="-7"/>
          <w:w w:val="110"/>
        </w:rPr>
        <w:t> </w:t>
      </w:r>
      <w:r>
        <w:rPr>
          <w:w w:val="110"/>
        </w:rPr>
        <w:t>and</w:t>
      </w:r>
      <w:r>
        <w:rPr>
          <w:spacing w:val="-7"/>
          <w:w w:val="110"/>
        </w:rPr>
        <w:t> </w:t>
      </w:r>
      <w:r>
        <w:rPr>
          <w:spacing w:val="-3"/>
          <w:w w:val="110"/>
        </w:rPr>
        <w:t>by</w:t>
      </w:r>
      <w:r>
        <w:rPr>
          <w:spacing w:val="-7"/>
          <w:w w:val="110"/>
        </w:rPr>
        <w:t> </w:t>
      </w:r>
      <w:r>
        <w:rPr>
          <w:w w:val="110"/>
        </w:rPr>
        <w:t>a</w:t>
      </w:r>
      <w:r>
        <w:rPr>
          <w:spacing w:val="-7"/>
          <w:w w:val="110"/>
        </w:rPr>
        <w:t> </w:t>
      </w:r>
      <w:r>
        <w:rPr>
          <w:w w:val="110"/>
        </w:rPr>
        <w:t>further</w:t>
      </w:r>
      <w:r>
        <w:rPr>
          <w:spacing w:val="-7"/>
          <w:w w:val="110"/>
        </w:rPr>
        <w:t> </w:t>
      </w:r>
      <w:r>
        <w:rPr>
          <w:spacing w:val="-8"/>
          <w:w w:val="110"/>
        </w:rPr>
        <w:t>50</w:t>
      </w:r>
      <w:r>
        <w:rPr>
          <w:spacing w:val="-7"/>
          <w:w w:val="110"/>
        </w:rPr>
        <w:t> </w:t>
      </w:r>
      <w:r>
        <w:rPr>
          <w:w w:val="110"/>
        </w:rPr>
        <w:t>basis</w:t>
      </w:r>
      <w:r>
        <w:rPr>
          <w:spacing w:val="-7"/>
          <w:w w:val="110"/>
        </w:rPr>
        <w:t> </w:t>
      </w:r>
      <w:r>
        <w:rPr>
          <w:w w:val="110"/>
        </w:rPr>
        <w:t>points on </w:t>
      </w:r>
      <w:r>
        <w:rPr>
          <w:spacing w:val="-17"/>
          <w:w w:val="110"/>
        </w:rPr>
        <w:t>31</w:t>
      </w:r>
      <w:r>
        <w:rPr>
          <w:spacing w:val="-11"/>
          <w:w w:val="110"/>
        </w:rPr>
        <w:t> </w:t>
      </w:r>
      <w:r>
        <w:rPr>
          <w:spacing w:val="-3"/>
          <w:w w:val="110"/>
        </w:rPr>
        <w:t>January.</w:t>
      </w:r>
    </w:p>
    <w:p>
      <w:pPr>
        <w:pStyle w:val="BodyText"/>
      </w:pPr>
    </w:p>
    <w:p>
      <w:pPr>
        <w:pStyle w:val="BodyText"/>
        <w:spacing w:line="292" w:lineRule="auto"/>
        <w:ind w:left="5100" w:right="296"/>
      </w:pPr>
      <w:r>
        <w:rPr>
          <w:w w:val="105"/>
        </w:rPr>
        <w:t>The abrupt change in conditions followed a number of </w:t>
      </w:r>
      <w:r>
        <w:rPr>
          <w:spacing w:val="-3"/>
          <w:w w:val="105"/>
        </w:rPr>
        <w:t>years </w:t>
      </w:r>
      <w:r>
        <w:rPr>
          <w:w w:val="105"/>
        </w:rPr>
        <w:t>of very strong economic growth in the United </w:t>
      </w:r>
      <w:r>
        <w:rPr>
          <w:spacing w:val="-3"/>
          <w:w w:val="105"/>
        </w:rPr>
        <w:t>States, </w:t>
      </w:r>
      <w:r>
        <w:rPr>
          <w:w w:val="105"/>
        </w:rPr>
        <w:t>which </w:t>
      </w:r>
      <w:r>
        <w:rPr>
          <w:spacing w:val="-3"/>
          <w:w w:val="105"/>
        </w:rPr>
        <w:t>was </w:t>
      </w:r>
      <w:r>
        <w:rPr>
          <w:w w:val="105"/>
        </w:rPr>
        <w:t>underpinned by high </w:t>
      </w:r>
      <w:r>
        <w:rPr>
          <w:spacing w:val="-3"/>
          <w:w w:val="105"/>
        </w:rPr>
        <w:t>levels </w:t>
      </w:r>
      <w:r>
        <w:rPr>
          <w:w w:val="105"/>
        </w:rPr>
        <w:t>of </w:t>
      </w:r>
      <w:r>
        <w:rPr>
          <w:spacing w:val="-3"/>
          <w:w w:val="105"/>
        </w:rPr>
        <w:t>investment </w:t>
      </w:r>
      <w:r>
        <w:rPr>
          <w:w w:val="105"/>
        </w:rPr>
        <w:t>and rapid gains in </w:t>
      </w:r>
      <w:r>
        <w:rPr>
          <w:spacing w:val="-4"/>
          <w:w w:val="105"/>
        </w:rPr>
        <w:t>productivity. </w:t>
      </w:r>
      <w:r>
        <w:rPr>
          <w:spacing w:val="-3"/>
          <w:w w:val="105"/>
        </w:rPr>
        <w:t>Equity </w:t>
      </w:r>
      <w:r>
        <w:rPr>
          <w:w w:val="105"/>
        </w:rPr>
        <w:t>prices increased </w:t>
      </w:r>
      <w:r>
        <w:rPr>
          <w:spacing w:val="-3"/>
          <w:w w:val="105"/>
        </w:rPr>
        <w:t>sharply, </w:t>
      </w:r>
      <w:r>
        <w:rPr>
          <w:w w:val="105"/>
        </w:rPr>
        <w:t>raising personal wealth and thereby supporting rapid growth in consumer spending. </w:t>
      </w:r>
      <w:r>
        <w:rPr>
          <w:spacing w:val="-3"/>
          <w:w w:val="105"/>
        </w:rPr>
        <w:t>Overseas </w:t>
      </w:r>
      <w:r>
        <w:rPr>
          <w:spacing w:val="-4"/>
          <w:w w:val="105"/>
        </w:rPr>
        <w:t>investors </w:t>
      </w:r>
      <w:r>
        <w:rPr>
          <w:spacing w:val="-3"/>
          <w:w w:val="105"/>
        </w:rPr>
        <w:t>were </w:t>
      </w:r>
      <w:r>
        <w:rPr>
          <w:w w:val="105"/>
        </w:rPr>
        <w:t>encouraged </w:t>
      </w:r>
      <w:r>
        <w:rPr>
          <w:spacing w:val="-3"/>
          <w:w w:val="105"/>
        </w:rPr>
        <w:t>by </w:t>
      </w:r>
      <w:r>
        <w:rPr>
          <w:w w:val="105"/>
        </w:rPr>
        <w:t>prospects of high returns in the United </w:t>
      </w:r>
      <w:r>
        <w:rPr>
          <w:spacing w:val="-3"/>
          <w:w w:val="105"/>
        </w:rPr>
        <w:t>States: </w:t>
      </w:r>
      <w:r>
        <w:rPr>
          <w:w w:val="105"/>
        </w:rPr>
        <w:t>large</w:t>
      </w:r>
      <w:r>
        <w:rPr>
          <w:spacing w:val="11"/>
          <w:w w:val="105"/>
        </w:rPr>
        <w:t> </w:t>
      </w:r>
      <w:r>
        <w:rPr>
          <w:w w:val="105"/>
        </w:rPr>
        <w:t>capital</w:t>
      </w:r>
    </w:p>
    <w:p>
      <w:pPr>
        <w:spacing w:after="0" w:line="292" w:lineRule="auto"/>
        <w:sectPr>
          <w:headerReference w:type="even" r:id="rId164"/>
          <w:pgSz w:w="11900" w:h="16840"/>
          <w:pgMar w:header="0" w:footer="575" w:top="800" w:bottom="760" w:left="640" w:right="640"/>
        </w:sectPr>
      </w:pPr>
    </w:p>
    <w:p>
      <w:pPr>
        <w:pStyle w:val="BodyText"/>
      </w:pPr>
    </w:p>
    <w:p>
      <w:pPr>
        <w:pStyle w:val="BodyText"/>
        <w:spacing w:before="9"/>
        <w:rPr>
          <w:sz w:val="15"/>
        </w:rPr>
      </w:pPr>
    </w:p>
    <w:p>
      <w:pPr>
        <w:pStyle w:val="BodyText"/>
        <w:spacing w:line="292" w:lineRule="auto" w:before="64"/>
        <w:ind w:left="5094" w:right="229"/>
      </w:pPr>
      <w:r>
        <w:rPr>
          <w:w w:val="110"/>
        </w:rPr>
        <w:t>inflows put </w:t>
      </w:r>
      <w:r>
        <w:rPr>
          <w:spacing w:val="-3"/>
          <w:w w:val="110"/>
        </w:rPr>
        <w:t>upward pressure </w:t>
      </w:r>
      <w:r>
        <w:rPr>
          <w:w w:val="110"/>
        </w:rPr>
        <w:t>on the dollar and helped </w:t>
      </w:r>
      <w:r>
        <w:rPr>
          <w:spacing w:val="-4"/>
          <w:w w:val="110"/>
        </w:rPr>
        <w:t>to </w:t>
      </w:r>
      <w:r>
        <w:rPr>
          <w:w w:val="110"/>
        </w:rPr>
        <w:t>finance a widening </w:t>
      </w:r>
      <w:r>
        <w:rPr>
          <w:spacing w:val="-3"/>
          <w:w w:val="110"/>
        </w:rPr>
        <w:t>private </w:t>
      </w:r>
      <w:r>
        <w:rPr>
          <w:w w:val="110"/>
        </w:rPr>
        <w:t>sector financial deficit. Although the</w:t>
      </w:r>
      <w:r>
        <w:rPr>
          <w:spacing w:val="-18"/>
          <w:w w:val="110"/>
        </w:rPr>
        <w:t> </w:t>
      </w:r>
      <w:r>
        <w:rPr>
          <w:w w:val="110"/>
        </w:rPr>
        <w:t>rise</w:t>
      </w:r>
      <w:r>
        <w:rPr>
          <w:spacing w:val="-18"/>
          <w:w w:val="110"/>
        </w:rPr>
        <w:t> </w:t>
      </w:r>
      <w:r>
        <w:rPr>
          <w:w w:val="110"/>
        </w:rPr>
        <w:t>in</w:t>
      </w:r>
      <w:r>
        <w:rPr>
          <w:spacing w:val="-19"/>
          <w:w w:val="110"/>
        </w:rPr>
        <w:t> </w:t>
      </w:r>
      <w:r>
        <w:rPr>
          <w:w w:val="110"/>
        </w:rPr>
        <w:t>productivity</w:t>
      </w:r>
      <w:r>
        <w:rPr>
          <w:spacing w:val="-18"/>
          <w:w w:val="110"/>
        </w:rPr>
        <w:t> </w:t>
      </w:r>
      <w:r>
        <w:rPr>
          <w:w w:val="110"/>
        </w:rPr>
        <w:t>growth</w:t>
      </w:r>
      <w:r>
        <w:rPr>
          <w:spacing w:val="-18"/>
          <w:w w:val="110"/>
        </w:rPr>
        <w:t> </w:t>
      </w:r>
      <w:r>
        <w:rPr>
          <w:w w:val="110"/>
        </w:rPr>
        <w:t>provided</w:t>
      </w:r>
      <w:r>
        <w:rPr>
          <w:spacing w:val="-18"/>
          <w:w w:val="110"/>
        </w:rPr>
        <w:t> </w:t>
      </w:r>
      <w:r>
        <w:rPr>
          <w:w w:val="110"/>
        </w:rPr>
        <w:t>a</w:t>
      </w:r>
      <w:r>
        <w:rPr>
          <w:spacing w:val="-18"/>
          <w:w w:val="110"/>
        </w:rPr>
        <w:t> </w:t>
      </w:r>
      <w:r>
        <w:rPr>
          <w:w w:val="110"/>
        </w:rPr>
        <w:t>strong</w:t>
      </w:r>
      <w:r>
        <w:rPr>
          <w:spacing w:val="-18"/>
          <w:w w:val="110"/>
        </w:rPr>
        <w:t> </w:t>
      </w:r>
      <w:r>
        <w:rPr>
          <w:w w:val="110"/>
        </w:rPr>
        <w:t>foundation, there </w:t>
      </w:r>
      <w:r>
        <w:rPr>
          <w:spacing w:val="-3"/>
          <w:w w:val="110"/>
        </w:rPr>
        <w:t>were </w:t>
      </w:r>
      <w:r>
        <w:rPr>
          <w:w w:val="110"/>
        </w:rPr>
        <w:t>clear signs in recent </w:t>
      </w:r>
      <w:r>
        <w:rPr>
          <w:spacing w:val="-3"/>
          <w:w w:val="110"/>
        </w:rPr>
        <w:t>years </w:t>
      </w:r>
      <w:r>
        <w:rPr>
          <w:w w:val="110"/>
        </w:rPr>
        <w:t>that the valuation of equities</w:t>
      </w:r>
      <w:r>
        <w:rPr>
          <w:spacing w:val="-28"/>
          <w:w w:val="110"/>
        </w:rPr>
        <w:t> </w:t>
      </w:r>
      <w:r>
        <w:rPr>
          <w:spacing w:val="-3"/>
          <w:w w:val="110"/>
        </w:rPr>
        <w:t>was</w:t>
      </w:r>
      <w:r>
        <w:rPr>
          <w:spacing w:val="-27"/>
          <w:w w:val="110"/>
        </w:rPr>
        <w:t> </w:t>
      </w:r>
      <w:r>
        <w:rPr>
          <w:w w:val="110"/>
        </w:rPr>
        <w:t>becoming</w:t>
      </w:r>
      <w:r>
        <w:rPr>
          <w:spacing w:val="-28"/>
          <w:w w:val="110"/>
        </w:rPr>
        <w:t> </w:t>
      </w:r>
      <w:r>
        <w:rPr>
          <w:w w:val="110"/>
        </w:rPr>
        <w:t>increasingly</w:t>
      </w:r>
      <w:r>
        <w:rPr>
          <w:spacing w:val="-27"/>
          <w:w w:val="110"/>
        </w:rPr>
        <w:t> </w:t>
      </w:r>
      <w:r>
        <w:rPr>
          <w:w w:val="110"/>
        </w:rPr>
        <w:t>stretched,</w:t>
      </w:r>
      <w:r>
        <w:rPr>
          <w:spacing w:val="-28"/>
          <w:w w:val="110"/>
        </w:rPr>
        <w:t> </w:t>
      </w:r>
      <w:r>
        <w:rPr>
          <w:w w:val="110"/>
        </w:rPr>
        <w:t>particularly</w:t>
      </w:r>
      <w:r>
        <w:rPr>
          <w:spacing w:val="-27"/>
          <w:w w:val="110"/>
        </w:rPr>
        <w:t> </w:t>
      </w:r>
      <w:r>
        <w:rPr>
          <w:w w:val="110"/>
        </w:rPr>
        <w:t>for high-technology stocks, and that internal and </w:t>
      </w:r>
      <w:r>
        <w:rPr>
          <w:spacing w:val="-3"/>
          <w:w w:val="110"/>
        </w:rPr>
        <w:t>external </w:t>
      </w:r>
      <w:r>
        <w:rPr>
          <w:w w:val="110"/>
        </w:rPr>
        <w:t>imbalances</w:t>
      </w:r>
      <w:r>
        <w:rPr>
          <w:spacing w:val="-22"/>
          <w:w w:val="110"/>
        </w:rPr>
        <w:t> </w:t>
      </w:r>
      <w:r>
        <w:rPr>
          <w:w w:val="110"/>
        </w:rPr>
        <w:t>in</w:t>
      </w:r>
      <w:r>
        <w:rPr>
          <w:spacing w:val="-21"/>
          <w:w w:val="110"/>
        </w:rPr>
        <w:t> </w:t>
      </w:r>
      <w:r>
        <w:rPr>
          <w:w w:val="110"/>
        </w:rPr>
        <w:t>the</w:t>
      </w:r>
      <w:r>
        <w:rPr>
          <w:spacing w:val="-22"/>
          <w:w w:val="110"/>
        </w:rPr>
        <w:t> </w:t>
      </w:r>
      <w:r>
        <w:rPr>
          <w:w w:val="110"/>
        </w:rPr>
        <w:t>economy</w:t>
      </w:r>
      <w:r>
        <w:rPr>
          <w:spacing w:val="-21"/>
          <w:w w:val="110"/>
        </w:rPr>
        <w:t> </w:t>
      </w:r>
      <w:r>
        <w:rPr>
          <w:spacing w:val="-3"/>
          <w:w w:val="110"/>
        </w:rPr>
        <w:t>were</w:t>
      </w:r>
      <w:r>
        <w:rPr>
          <w:spacing w:val="-22"/>
          <w:w w:val="110"/>
        </w:rPr>
        <w:t> </w:t>
      </w:r>
      <w:r>
        <w:rPr>
          <w:w w:val="110"/>
        </w:rPr>
        <w:t>rising.</w:t>
      </w:r>
      <w:r>
        <w:rPr>
          <w:spacing w:val="13"/>
          <w:w w:val="110"/>
        </w:rPr>
        <w:t> </w:t>
      </w:r>
      <w:r>
        <w:rPr>
          <w:w w:val="110"/>
        </w:rPr>
        <w:t>The</w:t>
      </w:r>
      <w:r>
        <w:rPr>
          <w:spacing w:val="-22"/>
          <w:w w:val="110"/>
        </w:rPr>
        <w:t> </w:t>
      </w:r>
      <w:r>
        <w:rPr>
          <w:spacing w:val="-3"/>
          <w:w w:val="110"/>
        </w:rPr>
        <w:t>Federal</w:t>
      </w:r>
      <w:r>
        <w:rPr>
          <w:spacing w:val="-21"/>
          <w:w w:val="110"/>
        </w:rPr>
        <w:t> </w:t>
      </w:r>
      <w:r>
        <w:rPr>
          <w:spacing w:val="-3"/>
          <w:w w:val="110"/>
        </w:rPr>
        <w:t>Reserve </w:t>
      </w:r>
      <w:r>
        <w:rPr>
          <w:w w:val="110"/>
        </w:rPr>
        <w:t>responded </w:t>
      </w:r>
      <w:r>
        <w:rPr>
          <w:spacing w:val="-4"/>
          <w:w w:val="110"/>
        </w:rPr>
        <w:t>to </w:t>
      </w:r>
      <w:r>
        <w:rPr>
          <w:w w:val="110"/>
        </w:rPr>
        <w:t>indicators of growing </w:t>
      </w:r>
      <w:r>
        <w:rPr>
          <w:spacing w:val="-3"/>
          <w:w w:val="110"/>
        </w:rPr>
        <w:t>pressure </w:t>
      </w:r>
      <w:r>
        <w:rPr>
          <w:w w:val="110"/>
        </w:rPr>
        <w:t>on supply capacity by raising </w:t>
      </w:r>
      <w:r>
        <w:rPr>
          <w:spacing w:val="-3"/>
          <w:w w:val="110"/>
        </w:rPr>
        <w:t>interest </w:t>
      </w:r>
      <w:r>
        <w:rPr>
          <w:spacing w:val="-4"/>
          <w:w w:val="110"/>
        </w:rPr>
        <w:t>rates </w:t>
      </w:r>
      <w:r>
        <w:rPr>
          <w:w w:val="110"/>
        </w:rPr>
        <w:t>during </w:t>
      </w:r>
      <w:r>
        <w:rPr>
          <w:spacing w:val="-15"/>
          <w:w w:val="110"/>
        </w:rPr>
        <w:t>1999 </w:t>
      </w:r>
      <w:r>
        <w:rPr>
          <w:w w:val="110"/>
        </w:rPr>
        <w:t>and early </w:t>
      </w:r>
      <w:r>
        <w:rPr>
          <w:spacing w:val="-4"/>
          <w:w w:val="110"/>
        </w:rPr>
        <w:t>2000. </w:t>
      </w:r>
      <w:r>
        <w:rPr>
          <w:w w:val="110"/>
        </w:rPr>
        <w:t>Signs</w:t>
      </w:r>
      <w:r>
        <w:rPr>
          <w:spacing w:val="-20"/>
          <w:w w:val="110"/>
        </w:rPr>
        <w:t> </w:t>
      </w:r>
      <w:r>
        <w:rPr>
          <w:w w:val="110"/>
        </w:rPr>
        <w:t>that</w:t>
      </w:r>
      <w:r>
        <w:rPr>
          <w:spacing w:val="-19"/>
          <w:w w:val="110"/>
        </w:rPr>
        <w:t> </w:t>
      </w:r>
      <w:r>
        <w:rPr>
          <w:w w:val="110"/>
        </w:rPr>
        <w:t>prospective</w:t>
      </w:r>
      <w:r>
        <w:rPr>
          <w:spacing w:val="-19"/>
          <w:w w:val="110"/>
        </w:rPr>
        <w:t> </w:t>
      </w:r>
      <w:r>
        <w:rPr>
          <w:spacing w:val="-2"/>
          <w:w w:val="110"/>
        </w:rPr>
        <w:t>growth</w:t>
      </w:r>
      <w:r>
        <w:rPr>
          <w:spacing w:val="-20"/>
          <w:w w:val="110"/>
        </w:rPr>
        <w:t> </w:t>
      </w:r>
      <w:r>
        <w:rPr>
          <w:spacing w:val="-3"/>
          <w:w w:val="110"/>
        </w:rPr>
        <w:t>was</w:t>
      </w:r>
      <w:r>
        <w:rPr>
          <w:spacing w:val="-19"/>
          <w:w w:val="110"/>
        </w:rPr>
        <w:t> </w:t>
      </w:r>
      <w:r>
        <w:rPr>
          <w:w w:val="110"/>
        </w:rPr>
        <w:t>weakening</w:t>
      </w:r>
      <w:r>
        <w:rPr>
          <w:spacing w:val="-19"/>
          <w:w w:val="110"/>
        </w:rPr>
        <w:t> </w:t>
      </w:r>
      <w:r>
        <w:rPr>
          <w:w w:val="110"/>
        </w:rPr>
        <w:t>and</w:t>
      </w:r>
      <w:r>
        <w:rPr>
          <w:spacing w:val="-19"/>
          <w:w w:val="110"/>
        </w:rPr>
        <w:t> </w:t>
      </w:r>
      <w:r>
        <w:rPr>
          <w:w w:val="110"/>
        </w:rPr>
        <w:t>that</w:t>
      </w:r>
      <w:r>
        <w:rPr>
          <w:spacing w:val="-20"/>
          <w:w w:val="110"/>
        </w:rPr>
        <w:t> </w:t>
      </w:r>
      <w:r>
        <w:rPr>
          <w:w w:val="110"/>
        </w:rPr>
        <w:t>profit </w:t>
      </w:r>
      <w:r>
        <w:rPr>
          <w:spacing w:val="-2"/>
          <w:w w:val="110"/>
        </w:rPr>
        <w:t>growth</w:t>
      </w:r>
      <w:r>
        <w:rPr>
          <w:spacing w:val="-20"/>
          <w:w w:val="110"/>
        </w:rPr>
        <w:t> </w:t>
      </w:r>
      <w:r>
        <w:rPr>
          <w:w w:val="110"/>
        </w:rPr>
        <w:t>discounted</w:t>
      </w:r>
      <w:r>
        <w:rPr>
          <w:spacing w:val="-19"/>
          <w:w w:val="110"/>
        </w:rPr>
        <w:t> </w:t>
      </w:r>
      <w:r>
        <w:rPr>
          <w:w w:val="110"/>
        </w:rPr>
        <w:t>in</w:t>
      </w:r>
      <w:r>
        <w:rPr>
          <w:spacing w:val="-19"/>
          <w:w w:val="110"/>
        </w:rPr>
        <w:t> </w:t>
      </w:r>
      <w:r>
        <w:rPr>
          <w:spacing w:val="-3"/>
          <w:w w:val="110"/>
        </w:rPr>
        <w:t>equity</w:t>
      </w:r>
      <w:r>
        <w:rPr>
          <w:spacing w:val="-20"/>
          <w:w w:val="110"/>
        </w:rPr>
        <w:t> </w:t>
      </w:r>
      <w:r>
        <w:rPr>
          <w:w w:val="110"/>
        </w:rPr>
        <w:t>markets</w:t>
      </w:r>
      <w:r>
        <w:rPr>
          <w:spacing w:val="-19"/>
          <w:w w:val="110"/>
        </w:rPr>
        <w:t> </w:t>
      </w:r>
      <w:r>
        <w:rPr>
          <w:w w:val="110"/>
        </w:rPr>
        <w:t>would</w:t>
      </w:r>
      <w:r>
        <w:rPr>
          <w:spacing w:val="-19"/>
          <w:w w:val="110"/>
        </w:rPr>
        <w:t> </w:t>
      </w:r>
      <w:r>
        <w:rPr>
          <w:w w:val="110"/>
        </w:rPr>
        <w:t>be</w:t>
      </w:r>
      <w:r>
        <w:rPr>
          <w:spacing w:val="-20"/>
          <w:w w:val="110"/>
        </w:rPr>
        <w:t> </w:t>
      </w:r>
      <w:r>
        <w:rPr>
          <w:w w:val="110"/>
        </w:rPr>
        <w:t>hard</w:t>
      </w:r>
      <w:r>
        <w:rPr>
          <w:spacing w:val="-19"/>
          <w:w w:val="110"/>
        </w:rPr>
        <w:t> </w:t>
      </w:r>
      <w:r>
        <w:rPr>
          <w:spacing w:val="-4"/>
          <w:w w:val="110"/>
        </w:rPr>
        <w:t>to</w:t>
      </w:r>
      <w:r>
        <w:rPr>
          <w:spacing w:val="-19"/>
          <w:w w:val="110"/>
        </w:rPr>
        <w:t> </w:t>
      </w:r>
      <w:r>
        <w:rPr>
          <w:w w:val="110"/>
        </w:rPr>
        <w:t>achieve </w:t>
      </w:r>
      <w:r>
        <w:rPr>
          <w:spacing w:val="-3"/>
          <w:w w:val="110"/>
        </w:rPr>
        <w:t>may</w:t>
      </w:r>
      <w:r>
        <w:rPr>
          <w:spacing w:val="-15"/>
          <w:w w:val="110"/>
        </w:rPr>
        <w:t> </w:t>
      </w:r>
      <w:r>
        <w:rPr>
          <w:spacing w:val="-3"/>
          <w:w w:val="110"/>
        </w:rPr>
        <w:t>have</w:t>
      </w:r>
      <w:r>
        <w:rPr>
          <w:spacing w:val="-14"/>
          <w:w w:val="110"/>
        </w:rPr>
        <w:t> </w:t>
      </w:r>
      <w:r>
        <w:rPr>
          <w:w w:val="110"/>
        </w:rPr>
        <w:t>led</w:t>
      </w:r>
      <w:r>
        <w:rPr>
          <w:spacing w:val="-14"/>
          <w:w w:val="110"/>
        </w:rPr>
        <w:t> </w:t>
      </w:r>
      <w:r>
        <w:rPr>
          <w:spacing w:val="-4"/>
          <w:w w:val="110"/>
        </w:rPr>
        <w:t>to</w:t>
      </w:r>
      <w:r>
        <w:rPr>
          <w:spacing w:val="-14"/>
          <w:w w:val="110"/>
        </w:rPr>
        <w:t> </w:t>
      </w:r>
      <w:r>
        <w:rPr>
          <w:w w:val="110"/>
        </w:rPr>
        <w:t>a</w:t>
      </w:r>
      <w:r>
        <w:rPr>
          <w:spacing w:val="-15"/>
          <w:w w:val="110"/>
        </w:rPr>
        <w:t> </w:t>
      </w:r>
      <w:r>
        <w:rPr>
          <w:w w:val="110"/>
        </w:rPr>
        <w:t>reappraisal</w:t>
      </w:r>
      <w:r>
        <w:rPr>
          <w:spacing w:val="-14"/>
          <w:w w:val="110"/>
        </w:rPr>
        <w:t> </w:t>
      </w:r>
      <w:r>
        <w:rPr>
          <w:w w:val="110"/>
        </w:rPr>
        <w:t>of</w:t>
      </w:r>
      <w:r>
        <w:rPr>
          <w:spacing w:val="-14"/>
          <w:w w:val="110"/>
        </w:rPr>
        <w:t> </w:t>
      </w:r>
      <w:r>
        <w:rPr>
          <w:w w:val="110"/>
        </w:rPr>
        <w:t>future</w:t>
      </w:r>
      <w:r>
        <w:rPr>
          <w:spacing w:val="-14"/>
          <w:w w:val="110"/>
        </w:rPr>
        <w:t> </w:t>
      </w:r>
      <w:r>
        <w:rPr>
          <w:spacing w:val="-3"/>
          <w:w w:val="110"/>
        </w:rPr>
        <w:t>investment</w:t>
      </w:r>
      <w:r>
        <w:rPr>
          <w:spacing w:val="-14"/>
          <w:w w:val="110"/>
        </w:rPr>
        <w:t> </w:t>
      </w:r>
      <w:r>
        <w:rPr>
          <w:w w:val="110"/>
        </w:rPr>
        <w:t>returns</w:t>
      </w:r>
      <w:r>
        <w:rPr>
          <w:spacing w:val="-15"/>
          <w:w w:val="110"/>
        </w:rPr>
        <w:t> </w:t>
      </w:r>
      <w:r>
        <w:rPr>
          <w:w w:val="110"/>
        </w:rPr>
        <w:t>and an associated tightening of credit conditions. As </w:t>
      </w:r>
      <w:r>
        <w:rPr>
          <w:spacing w:val="-4"/>
          <w:w w:val="110"/>
        </w:rPr>
        <w:t>investor </w:t>
      </w:r>
      <w:r>
        <w:rPr>
          <w:w w:val="110"/>
        </w:rPr>
        <w:t>sentiment changed, </w:t>
      </w:r>
      <w:r>
        <w:rPr>
          <w:spacing w:val="-3"/>
          <w:w w:val="110"/>
        </w:rPr>
        <w:t>equity </w:t>
      </w:r>
      <w:r>
        <w:rPr>
          <w:w w:val="110"/>
        </w:rPr>
        <w:t>markets and the dollar fell back </w:t>
      </w:r>
      <w:r>
        <w:rPr>
          <w:spacing w:val="-4"/>
          <w:w w:val="110"/>
        </w:rPr>
        <w:t>markedly.</w:t>
      </w:r>
    </w:p>
    <w:p>
      <w:pPr>
        <w:pStyle w:val="BodyText"/>
        <w:spacing w:before="3"/>
        <w:rPr>
          <w:sz w:val="25"/>
        </w:rPr>
      </w:pPr>
    </w:p>
    <w:p>
      <w:pPr>
        <w:pStyle w:val="BodyText"/>
        <w:spacing w:line="292" w:lineRule="auto"/>
        <w:ind w:left="5094" w:right="192"/>
      </w:pPr>
      <w:r>
        <w:rPr>
          <w:w w:val="110"/>
        </w:rPr>
        <w:t>The</w:t>
      </w:r>
      <w:r>
        <w:rPr>
          <w:spacing w:val="-20"/>
          <w:w w:val="110"/>
        </w:rPr>
        <w:t> </w:t>
      </w:r>
      <w:r>
        <w:rPr>
          <w:w w:val="110"/>
        </w:rPr>
        <w:t>most</w:t>
      </w:r>
      <w:r>
        <w:rPr>
          <w:spacing w:val="-20"/>
          <w:w w:val="110"/>
        </w:rPr>
        <w:t> </w:t>
      </w:r>
      <w:r>
        <w:rPr>
          <w:w w:val="110"/>
        </w:rPr>
        <w:t>likely</w:t>
      </w:r>
      <w:r>
        <w:rPr>
          <w:spacing w:val="-20"/>
          <w:w w:val="110"/>
        </w:rPr>
        <w:t> </w:t>
      </w:r>
      <w:r>
        <w:rPr>
          <w:w w:val="110"/>
        </w:rPr>
        <w:t>prospect,</w:t>
      </w:r>
      <w:r>
        <w:rPr>
          <w:spacing w:val="-20"/>
          <w:w w:val="110"/>
        </w:rPr>
        <w:t> </w:t>
      </w:r>
      <w:r>
        <w:rPr>
          <w:w w:val="110"/>
        </w:rPr>
        <w:t>in</w:t>
      </w:r>
      <w:r>
        <w:rPr>
          <w:spacing w:val="-20"/>
          <w:w w:val="110"/>
        </w:rPr>
        <w:t> </w:t>
      </w:r>
      <w:r>
        <w:rPr>
          <w:w w:val="110"/>
        </w:rPr>
        <w:t>the</w:t>
      </w:r>
      <w:r>
        <w:rPr>
          <w:spacing w:val="-20"/>
          <w:w w:val="110"/>
        </w:rPr>
        <w:t> </w:t>
      </w:r>
      <w:r>
        <w:rPr>
          <w:w w:val="110"/>
        </w:rPr>
        <w:t>view</w:t>
      </w:r>
      <w:r>
        <w:rPr>
          <w:spacing w:val="-20"/>
          <w:w w:val="110"/>
        </w:rPr>
        <w:t> </w:t>
      </w:r>
      <w:r>
        <w:rPr>
          <w:w w:val="110"/>
        </w:rPr>
        <w:t>of</w:t>
      </w:r>
      <w:r>
        <w:rPr>
          <w:spacing w:val="-20"/>
          <w:w w:val="110"/>
        </w:rPr>
        <w:t> </w:t>
      </w:r>
      <w:r>
        <w:rPr>
          <w:w w:val="110"/>
        </w:rPr>
        <w:t>the</w:t>
      </w:r>
      <w:r>
        <w:rPr>
          <w:spacing w:val="-20"/>
          <w:w w:val="110"/>
        </w:rPr>
        <w:t> </w:t>
      </w:r>
      <w:r>
        <w:rPr>
          <w:spacing w:val="-3"/>
          <w:w w:val="110"/>
        </w:rPr>
        <w:t>Committee,</w:t>
      </w:r>
      <w:r>
        <w:rPr>
          <w:spacing w:val="-20"/>
          <w:w w:val="110"/>
        </w:rPr>
        <w:t> </w:t>
      </w:r>
      <w:r>
        <w:rPr>
          <w:w w:val="110"/>
        </w:rPr>
        <w:t>is</w:t>
      </w:r>
      <w:r>
        <w:rPr>
          <w:spacing w:val="-20"/>
          <w:w w:val="110"/>
        </w:rPr>
        <w:t> </w:t>
      </w:r>
      <w:r>
        <w:rPr>
          <w:w w:val="110"/>
        </w:rPr>
        <w:t>that after a period of barely rising output in the first half of this </w:t>
      </w:r>
      <w:r>
        <w:rPr>
          <w:spacing w:val="-4"/>
          <w:w w:val="110"/>
        </w:rPr>
        <w:t>year,</w:t>
      </w:r>
      <w:r>
        <w:rPr>
          <w:spacing w:val="-28"/>
          <w:w w:val="110"/>
        </w:rPr>
        <w:t> </w:t>
      </w:r>
      <w:r>
        <w:rPr>
          <w:w w:val="110"/>
        </w:rPr>
        <w:t>growth</w:t>
      </w:r>
      <w:r>
        <w:rPr>
          <w:spacing w:val="-27"/>
          <w:w w:val="110"/>
        </w:rPr>
        <w:t> </w:t>
      </w:r>
      <w:r>
        <w:rPr>
          <w:w w:val="110"/>
        </w:rPr>
        <w:t>in</w:t>
      </w:r>
      <w:r>
        <w:rPr>
          <w:spacing w:val="-28"/>
          <w:w w:val="110"/>
        </w:rPr>
        <w:t> </w:t>
      </w:r>
      <w:r>
        <w:rPr>
          <w:w w:val="110"/>
        </w:rPr>
        <w:t>the</w:t>
      </w:r>
      <w:r>
        <w:rPr>
          <w:spacing w:val="-27"/>
          <w:w w:val="110"/>
        </w:rPr>
        <w:t> </w:t>
      </w:r>
      <w:r>
        <w:rPr>
          <w:w w:val="110"/>
        </w:rPr>
        <w:t>US</w:t>
      </w:r>
      <w:r>
        <w:rPr>
          <w:spacing w:val="-27"/>
          <w:w w:val="110"/>
        </w:rPr>
        <w:t> </w:t>
      </w:r>
      <w:r>
        <w:rPr>
          <w:w w:val="110"/>
        </w:rPr>
        <w:t>economy</w:t>
      </w:r>
      <w:r>
        <w:rPr>
          <w:spacing w:val="-28"/>
          <w:w w:val="110"/>
        </w:rPr>
        <w:t> </w:t>
      </w:r>
      <w:r>
        <w:rPr>
          <w:w w:val="110"/>
        </w:rPr>
        <w:t>will</w:t>
      </w:r>
      <w:r>
        <w:rPr>
          <w:spacing w:val="-27"/>
          <w:w w:val="110"/>
        </w:rPr>
        <w:t> </w:t>
      </w:r>
      <w:r>
        <w:rPr>
          <w:w w:val="110"/>
        </w:rPr>
        <w:t>gradually</w:t>
      </w:r>
      <w:r>
        <w:rPr>
          <w:spacing w:val="-27"/>
          <w:w w:val="110"/>
        </w:rPr>
        <w:t> </w:t>
      </w:r>
      <w:r>
        <w:rPr>
          <w:spacing w:val="-4"/>
          <w:w w:val="110"/>
        </w:rPr>
        <w:t>recover.</w:t>
      </w:r>
      <w:r>
        <w:rPr>
          <w:spacing w:val="1"/>
          <w:w w:val="110"/>
        </w:rPr>
        <w:t> </w:t>
      </w:r>
      <w:r>
        <w:rPr>
          <w:w w:val="110"/>
        </w:rPr>
        <w:t>Cuts</w:t>
      </w:r>
      <w:r>
        <w:rPr>
          <w:spacing w:val="-28"/>
          <w:w w:val="110"/>
        </w:rPr>
        <w:t> </w:t>
      </w:r>
      <w:r>
        <w:rPr>
          <w:w w:val="110"/>
        </w:rPr>
        <w:t>in </w:t>
      </w:r>
      <w:r>
        <w:rPr>
          <w:spacing w:val="-3"/>
          <w:w w:val="110"/>
        </w:rPr>
        <w:t>interest</w:t>
      </w:r>
      <w:r>
        <w:rPr>
          <w:spacing w:val="-13"/>
          <w:w w:val="110"/>
        </w:rPr>
        <w:t> </w:t>
      </w:r>
      <w:r>
        <w:rPr>
          <w:spacing w:val="-4"/>
          <w:w w:val="110"/>
        </w:rPr>
        <w:t>rates,</w:t>
      </w:r>
      <w:r>
        <w:rPr>
          <w:spacing w:val="-13"/>
          <w:w w:val="110"/>
        </w:rPr>
        <w:t> </w:t>
      </w:r>
      <w:r>
        <w:rPr>
          <w:w w:val="110"/>
        </w:rPr>
        <w:t>together</w:t>
      </w:r>
      <w:r>
        <w:rPr>
          <w:spacing w:val="-13"/>
          <w:w w:val="110"/>
        </w:rPr>
        <w:t> </w:t>
      </w:r>
      <w:r>
        <w:rPr>
          <w:w w:val="110"/>
        </w:rPr>
        <w:t>with</w:t>
      </w:r>
      <w:r>
        <w:rPr>
          <w:spacing w:val="-13"/>
          <w:w w:val="110"/>
        </w:rPr>
        <w:t> </w:t>
      </w:r>
      <w:r>
        <w:rPr>
          <w:w w:val="110"/>
        </w:rPr>
        <w:t>a</w:t>
      </w:r>
      <w:r>
        <w:rPr>
          <w:spacing w:val="-13"/>
          <w:w w:val="110"/>
        </w:rPr>
        <w:t> </w:t>
      </w:r>
      <w:r>
        <w:rPr>
          <w:spacing w:val="-3"/>
          <w:w w:val="110"/>
        </w:rPr>
        <w:t>weaker</w:t>
      </w:r>
      <w:r>
        <w:rPr>
          <w:spacing w:val="-13"/>
          <w:w w:val="110"/>
        </w:rPr>
        <w:t> </w:t>
      </w:r>
      <w:r>
        <w:rPr>
          <w:w w:val="110"/>
        </w:rPr>
        <w:t>dollar</w:t>
      </w:r>
      <w:r>
        <w:rPr>
          <w:spacing w:val="-13"/>
          <w:w w:val="110"/>
        </w:rPr>
        <w:t> </w:t>
      </w:r>
      <w:r>
        <w:rPr>
          <w:w w:val="110"/>
        </w:rPr>
        <w:t>and</w:t>
      </w:r>
      <w:r>
        <w:rPr>
          <w:spacing w:val="-12"/>
          <w:w w:val="110"/>
        </w:rPr>
        <w:t> </w:t>
      </w:r>
      <w:r>
        <w:rPr>
          <w:w w:val="110"/>
        </w:rPr>
        <w:t>a</w:t>
      </w:r>
      <w:r>
        <w:rPr>
          <w:spacing w:val="-13"/>
          <w:w w:val="110"/>
        </w:rPr>
        <w:t> </w:t>
      </w:r>
      <w:r>
        <w:rPr>
          <w:w w:val="110"/>
        </w:rPr>
        <w:t>prospective fiscal easing, should help </w:t>
      </w:r>
      <w:r>
        <w:rPr>
          <w:spacing w:val="-4"/>
          <w:w w:val="110"/>
        </w:rPr>
        <w:t>to </w:t>
      </w:r>
      <w:r>
        <w:rPr>
          <w:w w:val="110"/>
        </w:rPr>
        <w:t>rebuild confidence. Indeed, in support of this </w:t>
      </w:r>
      <w:r>
        <w:rPr>
          <w:spacing w:val="-5"/>
          <w:w w:val="110"/>
        </w:rPr>
        <w:t>view, </w:t>
      </w:r>
      <w:r>
        <w:rPr>
          <w:w w:val="110"/>
        </w:rPr>
        <w:t>financial markets </w:t>
      </w:r>
      <w:r>
        <w:rPr>
          <w:spacing w:val="-3"/>
          <w:w w:val="110"/>
        </w:rPr>
        <w:t>have recovered </w:t>
      </w:r>
      <w:r>
        <w:rPr>
          <w:w w:val="110"/>
        </w:rPr>
        <w:t>a little in recent weeks following the reductions in </w:t>
      </w:r>
      <w:r>
        <w:rPr>
          <w:spacing w:val="-3"/>
          <w:w w:val="110"/>
        </w:rPr>
        <w:t>interest </w:t>
      </w:r>
      <w:r>
        <w:rPr>
          <w:spacing w:val="-4"/>
          <w:w w:val="110"/>
        </w:rPr>
        <w:t>rates. </w:t>
      </w:r>
      <w:r>
        <w:rPr>
          <w:w w:val="110"/>
        </w:rPr>
        <w:t>As </w:t>
      </w:r>
      <w:r>
        <w:rPr>
          <w:spacing w:val="-3"/>
          <w:w w:val="110"/>
        </w:rPr>
        <w:t>excess</w:t>
      </w:r>
      <w:r>
        <w:rPr>
          <w:spacing w:val="-24"/>
          <w:w w:val="110"/>
        </w:rPr>
        <w:t> </w:t>
      </w:r>
      <w:r>
        <w:rPr>
          <w:w w:val="110"/>
        </w:rPr>
        <w:t>capacity</w:t>
      </w:r>
      <w:r>
        <w:rPr>
          <w:spacing w:val="-23"/>
          <w:w w:val="110"/>
        </w:rPr>
        <w:t> </w:t>
      </w:r>
      <w:r>
        <w:rPr>
          <w:w w:val="110"/>
        </w:rPr>
        <w:t>and</w:t>
      </w:r>
      <w:r>
        <w:rPr>
          <w:spacing w:val="-23"/>
          <w:w w:val="110"/>
        </w:rPr>
        <w:t> </w:t>
      </w:r>
      <w:r>
        <w:rPr>
          <w:w w:val="110"/>
        </w:rPr>
        <w:t>stocks</w:t>
      </w:r>
      <w:r>
        <w:rPr>
          <w:spacing w:val="-23"/>
          <w:w w:val="110"/>
        </w:rPr>
        <w:t> </w:t>
      </w:r>
      <w:r>
        <w:rPr>
          <w:w w:val="110"/>
        </w:rPr>
        <w:t>are</w:t>
      </w:r>
      <w:r>
        <w:rPr>
          <w:spacing w:val="-23"/>
          <w:w w:val="110"/>
        </w:rPr>
        <w:t> </w:t>
      </w:r>
      <w:r>
        <w:rPr>
          <w:spacing w:val="-3"/>
          <w:w w:val="110"/>
        </w:rPr>
        <w:t>worked</w:t>
      </w:r>
      <w:r>
        <w:rPr>
          <w:spacing w:val="-23"/>
          <w:w w:val="110"/>
        </w:rPr>
        <w:t> </w:t>
      </w:r>
      <w:r>
        <w:rPr>
          <w:w w:val="110"/>
        </w:rPr>
        <w:t>off,</w:t>
      </w:r>
      <w:r>
        <w:rPr>
          <w:spacing w:val="-23"/>
          <w:w w:val="110"/>
        </w:rPr>
        <w:t> </w:t>
      </w:r>
      <w:r>
        <w:rPr>
          <w:w w:val="110"/>
        </w:rPr>
        <w:t>and</w:t>
      </w:r>
      <w:r>
        <w:rPr>
          <w:spacing w:val="-24"/>
          <w:w w:val="110"/>
        </w:rPr>
        <w:t> </w:t>
      </w:r>
      <w:r>
        <w:rPr>
          <w:w w:val="110"/>
        </w:rPr>
        <w:t>if</w:t>
      </w:r>
      <w:r>
        <w:rPr>
          <w:spacing w:val="-23"/>
          <w:w w:val="110"/>
        </w:rPr>
        <w:t> </w:t>
      </w:r>
      <w:r>
        <w:rPr>
          <w:w w:val="110"/>
        </w:rPr>
        <w:t>productivity trends continue </w:t>
      </w:r>
      <w:r>
        <w:rPr>
          <w:spacing w:val="-4"/>
          <w:w w:val="110"/>
        </w:rPr>
        <w:t>to </w:t>
      </w:r>
      <w:r>
        <w:rPr>
          <w:w w:val="110"/>
        </w:rPr>
        <w:t>be favourable, a resumption of </w:t>
      </w:r>
      <w:r>
        <w:rPr>
          <w:spacing w:val="-3"/>
          <w:w w:val="110"/>
        </w:rPr>
        <w:t>moderate </w:t>
      </w:r>
      <w:r>
        <w:rPr>
          <w:spacing w:val="-2"/>
          <w:w w:val="110"/>
        </w:rPr>
        <w:t>growth </w:t>
      </w:r>
      <w:r>
        <w:rPr>
          <w:w w:val="110"/>
        </w:rPr>
        <w:t>appears the most likely</w:t>
      </w:r>
      <w:r>
        <w:rPr>
          <w:spacing w:val="-38"/>
          <w:w w:val="110"/>
        </w:rPr>
        <w:t> </w:t>
      </w:r>
      <w:r>
        <w:rPr>
          <w:w w:val="110"/>
        </w:rPr>
        <w:t>outcome.</w:t>
      </w:r>
    </w:p>
    <w:p>
      <w:pPr>
        <w:pStyle w:val="BodyText"/>
        <w:spacing w:before="7"/>
        <w:rPr>
          <w:sz w:val="25"/>
        </w:rPr>
      </w:pPr>
    </w:p>
    <w:p>
      <w:pPr>
        <w:pStyle w:val="BodyText"/>
        <w:spacing w:line="292" w:lineRule="auto"/>
        <w:ind w:left="5094" w:right="458"/>
        <w:jc w:val="both"/>
      </w:pPr>
      <w:r>
        <w:rPr>
          <w:w w:val="110"/>
        </w:rPr>
        <w:t>The</w:t>
      </w:r>
      <w:r>
        <w:rPr>
          <w:spacing w:val="-30"/>
          <w:w w:val="110"/>
        </w:rPr>
        <w:t> </w:t>
      </w:r>
      <w:r>
        <w:rPr>
          <w:w w:val="110"/>
        </w:rPr>
        <w:t>weaker</w:t>
      </w:r>
      <w:r>
        <w:rPr>
          <w:spacing w:val="-29"/>
          <w:w w:val="110"/>
        </w:rPr>
        <w:t> </w:t>
      </w:r>
      <w:r>
        <w:rPr>
          <w:w w:val="110"/>
        </w:rPr>
        <w:t>outlook</w:t>
      </w:r>
      <w:r>
        <w:rPr>
          <w:spacing w:val="-29"/>
          <w:w w:val="110"/>
        </w:rPr>
        <w:t> </w:t>
      </w:r>
      <w:r>
        <w:rPr>
          <w:w w:val="110"/>
        </w:rPr>
        <w:t>for</w:t>
      </w:r>
      <w:r>
        <w:rPr>
          <w:spacing w:val="-29"/>
          <w:w w:val="110"/>
        </w:rPr>
        <w:t> </w:t>
      </w:r>
      <w:r>
        <w:rPr>
          <w:w w:val="110"/>
        </w:rPr>
        <w:t>the</w:t>
      </w:r>
      <w:r>
        <w:rPr>
          <w:spacing w:val="-30"/>
          <w:w w:val="110"/>
        </w:rPr>
        <w:t> </w:t>
      </w:r>
      <w:r>
        <w:rPr>
          <w:w w:val="110"/>
        </w:rPr>
        <w:t>US</w:t>
      </w:r>
      <w:r>
        <w:rPr>
          <w:spacing w:val="-29"/>
          <w:w w:val="110"/>
        </w:rPr>
        <w:t> </w:t>
      </w:r>
      <w:r>
        <w:rPr>
          <w:w w:val="110"/>
        </w:rPr>
        <w:t>economy</w:t>
      </w:r>
      <w:r>
        <w:rPr>
          <w:spacing w:val="-29"/>
          <w:w w:val="110"/>
        </w:rPr>
        <w:t> </w:t>
      </w:r>
      <w:r>
        <w:rPr>
          <w:w w:val="110"/>
        </w:rPr>
        <w:t>will</w:t>
      </w:r>
      <w:r>
        <w:rPr>
          <w:spacing w:val="-30"/>
          <w:w w:val="110"/>
        </w:rPr>
        <w:t> </w:t>
      </w:r>
      <w:r>
        <w:rPr>
          <w:w w:val="110"/>
        </w:rPr>
        <w:t>depress</w:t>
      </w:r>
      <w:r>
        <w:rPr>
          <w:spacing w:val="-29"/>
          <w:w w:val="110"/>
        </w:rPr>
        <w:t> </w:t>
      </w:r>
      <w:r>
        <w:rPr>
          <w:w w:val="110"/>
        </w:rPr>
        <w:t>global demand</w:t>
      </w:r>
      <w:r>
        <w:rPr>
          <w:spacing w:val="-13"/>
          <w:w w:val="110"/>
        </w:rPr>
        <w:t> </w:t>
      </w:r>
      <w:r>
        <w:rPr>
          <w:w w:val="110"/>
        </w:rPr>
        <w:t>and</w:t>
      </w:r>
      <w:r>
        <w:rPr>
          <w:spacing w:val="-13"/>
          <w:w w:val="110"/>
        </w:rPr>
        <w:t> </w:t>
      </w:r>
      <w:r>
        <w:rPr>
          <w:w w:val="110"/>
        </w:rPr>
        <w:t>dampen</w:t>
      </w:r>
      <w:r>
        <w:rPr>
          <w:spacing w:val="-12"/>
          <w:w w:val="110"/>
        </w:rPr>
        <w:t> </w:t>
      </w:r>
      <w:r>
        <w:rPr>
          <w:w w:val="110"/>
        </w:rPr>
        <w:t>growth</w:t>
      </w:r>
      <w:r>
        <w:rPr>
          <w:spacing w:val="-13"/>
          <w:w w:val="110"/>
        </w:rPr>
        <w:t> </w:t>
      </w:r>
      <w:r>
        <w:rPr>
          <w:w w:val="110"/>
        </w:rPr>
        <w:t>prospects</w:t>
      </w:r>
      <w:r>
        <w:rPr>
          <w:spacing w:val="-12"/>
          <w:w w:val="110"/>
        </w:rPr>
        <w:t> </w:t>
      </w:r>
      <w:r>
        <w:rPr>
          <w:w w:val="110"/>
        </w:rPr>
        <w:t>in</w:t>
      </w:r>
      <w:r>
        <w:rPr>
          <w:spacing w:val="-13"/>
          <w:w w:val="110"/>
        </w:rPr>
        <w:t> </w:t>
      </w:r>
      <w:r>
        <w:rPr>
          <w:w w:val="110"/>
        </w:rPr>
        <w:t>other</w:t>
      </w:r>
      <w:r>
        <w:rPr>
          <w:spacing w:val="-12"/>
          <w:w w:val="110"/>
        </w:rPr>
        <w:t> </w:t>
      </w:r>
      <w:r>
        <w:rPr>
          <w:spacing w:val="-3"/>
          <w:w w:val="110"/>
        </w:rPr>
        <w:t>economies. </w:t>
      </w:r>
      <w:r>
        <w:rPr>
          <w:spacing w:val="-4"/>
          <w:w w:val="110"/>
        </w:rPr>
        <w:t>However,</w:t>
      </w:r>
      <w:r>
        <w:rPr>
          <w:spacing w:val="-12"/>
          <w:w w:val="110"/>
        </w:rPr>
        <w:t> </w:t>
      </w:r>
      <w:r>
        <w:rPr>
          <w:w w:val="110"/>
        </w:rPr>
        <w:t>under</w:t>
      </w:r>
      <w:r>
        <w:rPr>
          <w:spacing w:val="-11"/>
          <w:w w:val="110"/>
        </w:rPr>
        <w:t> </w:t>
      </w:r>
      <w:r>
        <w:rPr>
          <w:w w:val="110"/>
        </w:rPr>
        <w:t>the</w:t>
      </w:r>
      <w:r>
        <w:rPr>
          <w:spacing w:val="-11"/>
          <w:w w:val="110"/>
        </w:rPr>
        <w:t> </w:t>
      </w:r>
      <w:r>
        <w:rPr>
          <w:w w:val="110"/>
        </w:rPr>
        <w:t>central</w:t>
      </w:r>
      <w:r>
        <w:rPr>
          <w:spacing w:val="-11"/>
          <w:w w:val="110"/>
        </w:rPr>
        <w:t> </w:t>
      </w:r>
      <w:r>
        <w:rPr>
          <w:w w:val="110"/>
        </w:rPr>
        <w:t>expectation</w:t>
      </w:r>
      <w:r>
        <w:rPr>
          <w:spacing w:val="-11"/>
          <w:w w:val="110"/>
        </w:rPr>
        <w:t> </w:t>
      </w:r>
      <w:r>
        <w:rPr>
          <w:w w:val="110"/>
        </w:rPr>
        <w:t>of</w:t>
      </w:r>
      <w:r>
        <w:rPr>
          <w:spacing w:val="-11"/>
          <w:w w:val="110"/>
        </w:rPr>
        <w:t> </w:t>
      </w:r>
      <w:r>
        <w:rPr>
          <w:w w:val="110"/>
        </w:rPr>
        <w:t>a</w:t>
      </w:r>
      <w:r>
        <w:rPr>
          <w:spacing w:val="-12"/>
          <w:w w:val="110"/>
        </w:rPr>
        <w:t> </w:t>
      </w:r>
      <w:r>
        <w:rPr>
          <w:w w:val="110"/>
        </w:rPr>
        <w:t>rebound</w:t>
      </w:r>
      <w:r>
        <w:rPr>
          <w:spacing w:val="-11"/>
          <w:w w:val="110"/>
        </w:rPr>
        <w:t> </w:t>
      </w:r>
      <w:r>
        <w:rPr>
          <w:w w:val="110"/>
        </w:rPr>
        <w:t>in</w:t>
      </w:r>
    </w:p>
    <w:p>
      <w:pPr>
        <w:pStyle w:val="BodyText"/>
        <w:spacing w:line="292" w:lineRule="auto"/>
        <w:ind w:left="5094" w:right="170"/>
      </w:pPr>
      <w:r>
        <w:rPr>
          <w:w w:val="105"/>
        </w:rPr>
        <w:t>US growth in the second half of this </w:t>
      </w:r>
      <w:r>
        <w:rPr>
          <w:spacing w:val="-4"/>
          <w:w w:val="105"/>
        </w:rPr>
        <w:t>year, </w:t>
      </w:r>
      <w:r>
        <w:rPr>
          <w:w w:val="105"/>
        </w:rPr>
        <w:t>the impact </w:t>
      </w:r>
      <w:r>
        <w:rPr>
          <w:spacing w:val="-3"/>
          <w:w w:val="105"/>
        </w:rPr>
        <w:t>may </w:t>
      </w:r>
      <w:r>
        <w:rPr>
          <w:w w:val="105"/>
        </w:rPr>
        <w:t>be relatively muted. In the euro area, growth has </w:t>
      </w:r>
      <w:r>
        <w:rPr>
          <w:spacing w:val="-3"/>
          <w:w w:val="105"/>
        </w:rPr>
        <w:t>slowed </w:t>
      </w:r>
      <w:r>
        <w:rPr>
          <w:w w:val="105"/>
        </w:rPr>
        <w:t>a little from </w:t>
      </w:r>
      <w:r>
        <w:rPr>
          <w:spacing w:val="-3"/>
          <w:w w:val="105"/>
        </w:rPr>
        <w:t>above </w:t>
      </w:r>
      <w:r>
        <w:rPr>
          <w:w w:val="105"/>
        </w:rPr>
        <w:t>trend </w:t>
      </w:r>
      <w:r>
        <w:rPr>
          <w:spacing w:val="-4"/>
          <w:w w:val="105"/>
        </w:rPr>
        <w:t>rates </w:t>
      </w:r>
      <w:r>
        <w:rPr>
          <w:w w:val="105"/>
        </w:rPr>
        <w:t>and business confidence has </w:t>
      </w:r>
      <w:r>
        <w:rPr>
          <w:spacing w:val="-3"/>
          <w:w w:val="105"/>
        </w:rPr>
        <w:t>weakened </w:t>
      </w:r>
      <w:r>
        <w:rPr>
          <w:w w:val="105"/>
        </w:rPr>
        <w:t>somewhat, but the outlook for consumer spending remains favourable, supported </w:t>
      </w:r>
      <w:r>
        <w:rPr>
          <w:spacing w:val="-3"/>
          <w:w w:val="105"/>
        </w:rPr>
        <w:t>by </w:t>
      </w:r>
      <w:r>
        <w:rPr>
          <w:w w:val="105"/>
        </w:rPr>
        <w:t>employment growth, cuts in </w:t>
      </w:r>
      <w:r>
        <w:rPr>
          <w:spacing w:val="-3"/>
          <w:w w:val="105"/>
        </w:rPr>
        <w:t>taxes </w:t>
      </w:r>
      <w:r>
        <w:rPr>
          <w:w w:val="105"/>
        </w:rPr>
        <w:t>and the recent fall in oil prices. Overall, the euro-area economy appears relatively well placed </w:t>
      </w:r>
      <w:r>
        <w:rPr>
          <w:spacing w:val="-4"/>
          <w:w w:val="105"/>
        </w:rPr>
        <w:t>to </w:t>
      </w:r>
      <w:r>
        <w:rPr>
          <w:w w:val="105"/>
        </w:rPr>
        <w:t>weather the </w:t>
      </w:r>
      <w:r>
        <w:rPr>
          <w:spacing w:val="-3"/>
          <w:w w:val="105"/>
        </w:rPr>
        <w:t>slowdown </w:t>
      </w:r>
      <w:r>
        <w:rPr>
          <w:w w:val="105"/>
        </w:rPr>
        <w:t>in external demand. The Japanese economy is less well positioned, but the fall in the yen </w:t>
      </w:r>
      <w:r>
        <w:rPr>
          <w:spacing w:val="-3"/>
          <w:w w:val="105"/>
        </w:rPr>
        <w:t>exchange </w:t>
      </w:r>
      <w:r>
        <w:rPr>
          <w:spacing w:val="-4"/>
          <w:w w:val="105"/>
        </w:rPr>
        <w:t>rate </w:t>
      </w:r>
      <w:r>
        <w:rPr>
          <w:spacing w:val="-3"/>
          <w:w w:val="105"/>
        </w:rPr>
        <w:t>may </w:t>
      </w:r>
      <w:r>
        <w:rPr>
          <w:w w:val="105"/>
        </w:rPr>
        <w:t>provide some protection. A very muted cyclical recovery supported </w:t>
      </w:r>
      <w:r>
        <w:rPr>
          <w:spacing w:val="-3"/>
          <w:w w:val="105"/>
        </w:rPr>
        <w:t>by </w:t>
      </w:r>
      <w:r>
        <w:rPr>
          <w:w w:val="105"/>
        </w:rPr>
        <w:t>improving </w:t>
      </w:r>
      <w:r>
        <w:rPr>
          <w:spacing w:val="-3"/>
          <w:w w:val="105"/>
        </w:rPr>
        <w:t>corporate profitability </w:t>
      </w:r>
      <w:r>
        <w:rPr>
          <w:w w:val="105"/>
        </w:rPr>
        <w:t>remains the most likely outcome, although risks </w:t>
      </w:r>
      <w:r>
        <w:rPr>
          <w:spacing w:val="-3"/>
          <w:w w:val="105"/>
        </w:rPr>
        <w:t>have </w:t>
      </w:r>
      <w:r>
        <w:rPr>
          <w:w w:val="105"/>
        </w:rPr>
        <w:t>shifted </w:t>
      </w:r>
      <w:r>
        <w:rPr>
          <w:spacing w:val="-4"/>
          <w:w w:val="105"/>
        </w:rPr>
        <w:t>to </w:t>
      </w:r>
      <w:r>
        <w:rPr>
          <w:w w:val="105"/>
        </w:rPr>
        <w:t>the downside. A number of emerging economies depend quite heavily on exports </w:t>
      </w:r>
      <w:r>
        <w:rPr>
          <w:spacing w:val="-4"/>
          <w:w w:val="105"/>
        </w:rPr>
        <w:t>to </w:t>
      </w:r>
      <w:r>
        <w:rPr>
          <w:w w:val="105"/>
        </w:rPr>
        <w:t>the United </w:t>
      </w:r>
      <w:r>
        <w:rPr>
          <w:spacing w:val="-3"/>
          <w:w w:val="105"/>
        </w:rPr>
        <w:t>States </w:t>
      </w:r>
      <w:r>
        <w:rPr>
          <w:w w:val="105"/>
        </w:rPr>
        <w:t>and growth prospects </w:t>
      </w:r>
      <w:r>
        <w:rPr>
          <w:spacing w:val="-3"/>
          <w:w w:val="105"/>
        </w:rPr>
        <w:t>have </w:t>
      </w:r>
      <w:r>
        <w:rPr>
          <w:w w:val="105"/>
        </w:rPr>
        <w:t>consequently weakened. </w:t>
      </w:r>
      <w:r>
        <w:rPr>
          <w:spacing w:val="-4"/>
          <w:w w:val="105"/>
        </w:rPr>
        <w:t>However, </w:t>
      </w:r>
      <w:r>
        <w:rPr>
          <w:w w:val="105"/>
        </w:rPr>
        <w:t>under the assumption that the US downturn is quite </w:t>
      </w:r>
      <w:r>
        <w:rPr>
          <w:spacing w:val="-4"/>
          <w:w w:val="105"/>
        </w:rPr>
        <w:t>shallow, </w:t>
      </w:r>
      <w:r>
        <w:rPr>
          <w:w w:val="105"/>
        </w:rPr>
        <w:t>and providing there is no disturbance </w:t>
      </w:r>
      <w:r>
        <w:rPr>
          <w:spacing w:val="-4"/>
          <w:w w:val="105"/>
        </w:rPr>
        <w:t>to </w:t>
      </w:r>
      <w:r>
        <w:rPr>
          <w:w w:val="105"/>
        </w:rPr>
        <w:t>the flow of capital, the outlook for the emerging economies remains broadly</w:t>
      </w:r>
      <w:r>
        <w:rPr>
          <w:spacing w:val="-8"/>
          <w:w w:val="105"/>
        </w:rPr>
        <w:t> </w:t>
      </w:r>
      <w:r>
        <w:rPr>
          <w:w w:val="105"/>
        </w:rPr>
        <w:t>positive.</w:t>
      </w:r>
    </w:p>
    <w:p>
      <w:pPr>
        <w:pStyle w:val="BodyText"/>
        <w:rPr>
          <w:sz w:val="25"/>
        </w:rPr>
      </w:pPr>
    </w:p>
    <w:p>
      <w:pPr>
        <w:pStyle w:val="BodyText"/>
        <w:spacing w:line="292" w:lineRule="auto" w:before="1"/>
        <w:ind w:left="5094"/>
      </w:pPr>
      <w:r>
        <w:rPr>
          <w:w w:val="110"/>
        </w:rPr>
        <w:t>The</w:t>
      </w:r>
      <w:r>
        <w:rPr>
          <w:spacing w:val="-27"/>
          <w:w w:val="110"/>
        </w:rPr>
        <w:t> </w:t>
      </w:r>
      <w:r>
        <w:rPr>
          <w:w w:val="110"/>
        </w:rPr>
        <w:t>central</w:t>
      </w:r>
      <w:r>
        <w:rPr>
          <w:spacing w:val="-27"/>
          <w:w w:val="110"/>
        </w:rPr>
        <w:t> </w:t>
      </w:r>
      <w:r>
        <w:rPr>
          <w:w w:val="110"/>
        </w:rPr>
        <w:t>projection</w:t>
      </w:r>
      <w:r>
        <w:rPr>
          <w:spacing w:val="-27"/>
          <w:w w:val="110"/>
        </w:rPr>
        <w:t> </w:t>
      </w:r>
      <w:r>
        <w:rPr>
          <w:w w:val="110"/>
        </w:rPr>
        <w:t>for</w:t>
      </w:r>
      <w:r>
        <w:rPr>
          <w:spacing w:val="-27"/>
          <w:w w:val="110"/>
        </w:rPr>
        <w:t> </w:t>
      </w:r>
      <w:r>
        <w:rPr>
          <w:w w:val="110"/>
        </w:rPr>
        <w:t>world</w:t>
      </w:r>
      <w:r>
        <w:rPr>
          <w:spacing w:val="-26"/>
          <w:w w:val="110"/>
        </w:rPr>
        <w:t> </w:t>
      </w:r>
      <w:r>
        <w:rPr>
          <w:w w:val="110"/>
        </w:rPr>
        <w:t>GDP</w:t>
      </w:r>
      <w:r>
        <w:rPr>
          <w:spacing w:val="-27"/>
          <w:w w:val="110"/>
        </w:rPr>
        <w:t> </w:t>
      </w:r>
      <w:r>
        <w:rPr>
          <w:w w:val="110"/>
        </w:rPr>
        <w:t>growth</w:t>
      </w:r>
      <w:r>
        <w:rPr>
          <w:spacing w:val="-27"/>
          <w:w w:val="110"/>
        </w:rPr>
        <w:t> </w:t>
      </w:r>
      <w:r>
        <w:rPr>
          <w:w w:val="110"/>
        </w:rPr>
        <w:t>is</w:t>
      </w:r>
      <w:r>
        <w:rPr>
          <w:spacing w:val="-27"/>
          <w:w w:val="110"/>
        </w:rPr>
        <w:t> </w:t>
      </w:r>
      <w:r>
        <w:rPr>
          <w:w w:val="110"/>
        </w:rPr>
        <w:t>for</w:t>
      </w:r>
      <w:r>
        <w:rPr>
          <w:spacing w:val="-26"/>
          <w:w w:val="110"/>
        </w:rPr>
        <w:t> </w:t>
      </w:r>
      <w:r>
        <w:rPr>
          <w:w w:val="110"/>
        </w:rPr>
        <w:t>a</w:t>
      </w:r>
      <w:r>
        <w:rPr>
          <w:spacing w:val="-27"/>
          <w:w w:val="110"/>
        </w:rPr>
        <w:t> </w:t>
      </w:r>
      <w:r>
        <w:rPr>
          <w:spacing w:val="-3"/>
          <w:w w:val="110"/>
        </w:rPr>
        <w:t>slowdown </w:t>
      </w:r>
      <w:r>
        <w:rPr>
          <w:w w:val="110"/>
        </w:rPr>
        <w:t>from</w:t>
      </w:r>
      <w:r>
        <w:rPr>
          <w:spacing w:val="-11"/>
          <w:w w:val="110"/>
        </w:rPr>
        <w:t> </w:t>
      </w:r>
      <w:r>
        <w:rPr>
          <w:w w:val="110"/>
        </w:rPr>
        <w:t>just</w:t>
      </w:r>
      <w:r>
        <w:rPr>
          <w:spacing w:val="-10"/>
          <w:w w:val="110"/>
        </w:rPr>
        <w:t> </w:t>
      </w:r>
      <w:r>
        <w:rPr>
          <w:w w:val="110"/>
        </w:rPr>
        <w:t>under</w:t>
      </w:r>
      <w:r>
        <w:rPr>
          <w:spacing w:val="-10"/>
          <w:w w:val="110"/>
        </w:rPr>
        <w:t> </w:t>
      </w:r>
      <w:r>
        <w:rPr>
          <w:w w:val="110"/>
        </w:rPr>
        <w:t>5%</w:t>
      </w:r>
      <w:r>
        <w:rPr>
          <w:spacing w:val="-10"/>
          <w:w w:val="110"/>
        </w:rPr>
        <w:t> </w:t>
      </w:r>
      <w:r>
        <w:rPr>
          <w:w w:val="110"/>
        </w:rPr>
        <w:t>in</w:t>
      </w:r>
      <w:r>
        <w:rPr>
          <w:spacing w:val="-10"/>
          <w:w w:val="110"/>
        </w:rPr>
        <w:t> </w:t>
      </w:r>
      <w:r>
        <w:rPr>
          <w:spacing w:val="-3"/>
          <w:w w:val="110"/>
        </w:rPr>
        <w:t>2000—the</w:t>
      </w:r>
      <w:r>
        <w:rPr>
          <w:spacing w:val="-10"/>
          <w:w w:val="110"/>
        </w:rPr>
        <w:t> </w:t>
      </w:r>
      <w:r>
        <w:rPr>
          <w:w w:val="110"/>
        </w:rPr>
        <w:t>strongest</w:t>
      </w:r>
      <w:r>
        <w:rPr>
          <w:spacing w:val="-11"/>
          <w:w w:val="110"/>
        </w:rPr>
        <w:t> </w:t>
      </w:r>
      <w:r>
        <w:rPr>
          <w:spacing w:val="-4"/>
          <w:w w:val="110"/>
        </w:rPr>
        <w:t>rate</w:t>
      </w:r>
      <w:r>
        <w:rPr>
          <w:spacing w:val="-10"/>
          <w:w w:val="110"/>
        </w:rPr>
        <w:t> </w:t>
      </w:r>
      <w:r>
        <w:rPr>
          <w:w w:val="110"/>
        </w:rPr>
        <w:t>for</w:t>
      </w:r>
      <w:r>
        <w:rPr>
          <w:spacing w:val="-10"/>
          <w:w w:val="110"/>
        </w:rPr>
        <w:t> </w:t>
      </w:r>
      <w:r>
        <w:rPr>
          <w:w w:val="110"/>
        </w:rPr>
        <w:t>well</w:t>
      </w:r>
      <w:r>
        <w:rPr>
          <w:spacing w:val="-10"/>
          <w:w w:val="110"/>
        </w:rPr>
        <w:t> </w:t>
      </w:r>
      <w:r>
        <w:rPr>
          <w:spacing w:val="-3"/>
          <w:w w:val="110"/>
        </w:rPr>
        <w:t>over</w:t>
      </w:r>
      <w:r>
        <w:rPr>
          <w:spacing w:val="-10"/>
          <w:w w:val="110"/>
        </w:rPr>
        <w:t> </w:t>
      </w:r>
      <w:r>
        <w:rPr>
          <w:w w:val="110"/>
        </w:rPr>
        <w:t>a</w:t>
      </w:r>
    </w:p>
    <w:p>
      <w:pPr>
        <w:spacing w:after="0" w:line="292" w:lineRule="auto"/>
        <w:sectPr>
          <w:headerReference w:type="even" r:id="rId165"/>
          <w:headerReference w:type="default" r:id="rId166"/>
          <w:footerReference w:type="even" r:id="rId167"/>
          <w:footerReference w:type="default" r:id="rId168"/>
          <w:pgSz w:w="11900" w:h="16840"/>
          <w:pgMar w:header="601" w:footer="575" w:top="800" w:bottom="760" w:left="640" w:right="640"/>
          <w:pgNumType w:start="54"/>
        </w:sectPr>
      </w:pPr>
    </w:p>
    <w:p>
      <w:pPr>
        <w:pStyle w:val="BodyText"/>
      </w:pPr>
    </w:p>
    <w:p>
      <w:pPr>
        <w:pStyle w:val="BodyText"/>
        <w:spacing w:before="6"/>
        <w:rPr>
          <w:sz w:val="19"/>
        </w:rPr>
      </w:pPr>
    </w:p>
    <w:p>
      <w:pPr>
        <w:pStyle w:val="BodyText"/>
        <w:spacing w:line="292" w:lineRule="auto" w:before="1"/>
        <w:ind w:left="5089" w:right="172" w:hanging="1"/>
      </w:pPr>
      <w:r>
        <w:rPr>
          <w:w w:val="110"/>
        </w:rPr>
        <w:t>decade—to around 3</w:t>
      </w:r>
      <w:r>
        <w:rPr>
          <w:w w:val="110"/>
          <w:position w:val="7"/>
          <w:sz w:val="10"/>
        </w:rPr>
        <w:t>1</w:t>
      </w:r>
      <w:r>
        <w:rPr>
          <w:w w:val="110"/>
        </w:rPr>
        <w:t>/</w:t>
      </w:r>
      <w:r>
        <w:rPr>
          <w:w w:val="110"/>
          <w:position w:val="1"/>
          <w:sz w:val="10"/>
        </w:rPr>
        <w:t>2</w:t>
      </w:r>
      <w:r>
        <w:rPr>
          <w:w w:val="110"/>
        </w:rPr>
        <w:t>% in </w:t>
      </w:r>
      <w:r>
        <w:rPr>
          <w:spacing w:val="-9"/>
          <w:w w:val="110"/>
        </w:rPr>
        <w:t>2001, </w:t>
      </w:r>
      <w:r>
        <w:rPr>
          <w:w w:val="110"/>
        </w:rPr>
        <w:t>some half a percentage point </w:t>
      </w:r>
      <w:r>
        <w:rPr>
          <w:spacing w:val="-3"/>
          <w:w w:val="110"/>
        </w:rPr>
        <w:t>lower </w:t>
      </w:r>
      <w:r>
        <w:rPr>
          <w:w w:val="110"/>
        </w:rPr>
        <w:t>than the growth </w:t>
      </w:r>
      <w:r>
        <w:rPr>
          <w:spacing w:val="-4"/>
          <w:w w:val="110"/>
        </w:rPr>
        <w:t>rate </w:t>
      </w:r>
      <w:r>
        <w:rPr>
          <w:spacing w:val="-3"/>
          <w:w w:val="110"/>
        </w:rPr>
        <w:t>projected </w:t>
      </w:r>
      <w:r>
        <w:rPr>
          <w:w w:val="110"/>
        </w:rPr>
        <w:t>in </w:t>
      </w:r>
      <w:r>
        <w:rPr>
          <w:spacing w:val="-3"/>
          <w:w w:val="110"/>
        </w:rPr>
        <w:t>November, </w:t>
      </w:r>
      <w:r>
        <w:rPr>
          <w:w w:val="110"/>
        </w:rPr>
        <w:t>but still </w:t>
      </w:r>
      <w:r>
        <w:rPr>
          <w:spacing w:val="-3"/>
          <w:w w:val="110"/>
        </w:rPr>
        <w:t>above </w:t>
      </w:r>
      <w:r>
        <w:rPr>
          <w:w w:val="110"/>
        </w:rPr>
        <w:t>the </w:t>
      </w:r>
      <w:r>
        <w:rPr>
          <w:spacing w:val="-3"/>
          <w:w w:val="110"/>
        </w:rPr>
        <w:t>average </w:t>
      </w:r>
      <w:r>
        <w:rPr>
          <w:w w:val="110"/>
        </w:rPr>
        <w:t>pace </w:t>
      </w:r>
      <w:r>
        <w:rPr>
          <w:spacing w:val="-3"/>
          <w:w w:val="110"/>
        </w:rPr>
        <w:t>over </w:t>
      </w:r>
      <w:r>
        <w:rPr>
          <w:w w:val="110"/>
        </w:rPr>
        <w:t>the past </w:t>
      </w:r>
      <w:r>
        <w:rPr>
          <w:spacing w:val="-7"/>
          <w:w w:val="110"/>
        </w:rPr>
        <w:t>20 </w:t>
      </w:r>
      <w:r>
        <w:rPr>
          <w:spacing w:val="-3"/>
          <w:w w:val="110"/>
        </w:rPr>
        <w:t>years. </w:t>
      </w:r>
      <w:r>
        <w:rPr>
          <w:w w:val="110"/>
        </w:rPr>
        <w:t>Prospects for UK export markets have weakened correspondingly.</w:t>
      </w:r>
    </w:p>
    <w:p>
      <w:pPr>
        <w:pStyle w:val="BodyText"/>
        <w:spacing w:line="292" w:lineRule="auto"/>
        <w:ind w:left="5089" w:right="239"/>
      </w:pPr>
      <w:r>
        <w:rPr>
          <w:w w:val="110"/>
        </w:rPr>
        <w:t>Growth</w:t>
      </w:r>
      <w:r>
        <w:rPr>
          <w:spacing w:val="-27"/>
          <w:w w:val="110"/>
        </w:rPr>
        <w:t> </w:t>
      </w:r>
      <w:r>
        <w:rPr>
          <w:w w:val="110"/>
        </w:rPr>
        <w:t>in</w:t>
      </w:r>
      <w:r>
        <w:rPr>
          <w:spacing w:val="-27"/>
          <w:w w:val="110"/>
        </w:rPr>
        <w:t> </w:t>
      </w:r>
      <w:r>
        <w:rPr>
          <w:spacing w:val="-4"/>
          <w:w w:val="110"/>
        </w:rPr>
        <w:t>UK-weighted</w:t>
      </w:r>
      <w:r>
        <w:rPr>
          <w:spacing w:val="-26"/>
          <w:w w:val="110"/>
        </w:rPr>
        <w:t> </w:t>
      </w:r>
      <w:r>
        <w:rPr>
          <w:w w:val="110"/>
        </w:rPr>
        <w:t>export</w:t>
      </w:r>
      <w:r>
        <w:rPr>
          <w:spacing w:val="-27"/>
          <w:w w:val="110"/>
        </w:rPr>
        <w:t> </w:t>
      </w:r>
      <w:r>
        <w:rPr>
          <w:w w:val="110"/>
        </w:rPr>
        <w:t>markets</w:t>
      </w:r>
      <w:r>
        <w:rPr>
          <w:spacing w:val="-27"/>
          <w:w w:val="110"/>
        </w:rPr>
        <w:t> </w:t>
      </w:r>
      <w:r>
        <w:rPr>
          <w:w w:val="110"/>
        </w:rPr>
        <w:t>is</w:t>
      </w:r>
      <w:r>
        <w:rPr>
          <w:spacing w:val="-26"/>
          <w:w w:val="110"/>
        </w:rPr>
        <w:t> </w:t>
      </w:r>
      <w:r>
        <w:rPr>
          <w:w w:val="110"/>
        </w:rPr>
        <w:t>most</w:t>
      </w:r>
      <w:r>
        <w:rPr>
          <w:spacing w:val="-27"/>
          <w:w w:val="110"/>
        </w:rPr>
        <w:t> </w:t>
      </w:r>
      <w:r>
        <w:rPr>
          <w:w w:val="110"/>
        </w:rPr>
        <w:t>likely</w:t>
      </w:r>
      <w:r>
        <w:rPr>
          <w:spacing w:val="-26"/>
          <w:w w:val="110"/>
        </w:rPr>
        <w:t> </w:t>
      </w:r>
      <w:r>
        <w:rPr>
          <w:spacing w:val="-4"/>
          <w:w w:val="110"/>
        </w:rPr>
        <w:t>to</w:t>
      </w:r>
      <w:r>
        <w:rPr>
          <w:spacing w:val="-27"/>
          <w:w w:val="110"/>
        </w:rPr>
        <w:t> </w:t>
      </w:r>
      <w:r>
        <w:rPr>
          <w:w w:val="110"/>
        </w:rPr>
        <w:t>slow from around </w:t>
      </w:r>
      <w:r>
        <w:rPr>
          <w:spacing w:val="-5"/>
          <w:w w:val="110"/>
        </w:rPr>
        <w:t>10</w:t>
      </w:r>
      <w:r>
        <w:rPr>
          <w:spacing w:val="-5"/>
          <w:w w:val="110"/>
          <w:position w:val="7"/>
          <w:sz w:val="10"/>
        </w:rPr>
        <w:t>1</w:t>
      </w:r>
      <w:r>
        <w:rPr>
          <w:spacing w:val="-5"/>
          <w:w w:val="110"/>
        </w:rPr>
        <w:t>/</w:t>
      </w:r>
      <w:r>
        <w:rPr>
          <w:spacing w:val="-5"/>
          <w:w w:val="110"/>
          <w:position w:val="1"/>
          <w:sz w:val="10"/>
        </w:rPr>
        <w:t>2</w:t>
      </w:r>
      <w:r>
        <w:rPr>
          <w:spacing w:val="-5"/>
          <w:w w:val="110"/>
        </w:rPr>
        <w:t>% </w:t>
      </w:r>
      <w:r>
        <w:rPr>
          <w:w w:val="110"/>
        </w:rPr>
        <w:t>in </w:t>
      </w:r>
      <w:r>
        <w:rPr>
          <w:spacing w:val="-4"/>
          <w:w w:val="110"/>
        </w:rPr>
        <w:t>2000 to </w:t>
      </w:r>
      <w:r>
        <w:rPr>
          <w:w w:val="110"/>
        </w:rPr>
        <w:t>just under 7% in </w:t>
      </w:r>
      <w:r>
        <w:rPr>
          <w:spacing w:val="-11"/>
          <w:w w:val="110"/>
        </w:rPr>
        <w:t>2001 </w:t>
      </w:r>
      <w:r>
        <w:rPr>
          <w:w w:val="110"/>
        </w:rPr>
        <w:t>and </w:t>
      </w:r>
      <w:r>
        <w:rPr>
          <w:spacing w:val="-4"/>
          <w:w w:val="110"/>
        </w:rPr>
        <w:t>to </w:t>
      </w:r>
      <w:r>
        <w:rPr>
          <w:w w:val="110"/>
        </w:rPr>
        <w:t>6%</w:t>
      </w:r>
      <w:r>
        <w:rPr>
          <w:spacing w:val="-14"/>
          <w:w w:val="110"/>
        </w:rPr>
        <w:t> </w:t>
      </w:r>
      <w:r>
        <w:rPr>
          <w:w w:val="110"/>
        </w:rPr>
        <w:t>in</w:t>
      </w:r>
      <w:r>
        <w:rPr>
          <w:spacing w:val="-14"/>
          <w:w w:val="110"/>
        </w:rPr>
        <w:t> </w:t>
      </w:r>
      <w:r>
        <w:rPr>
          <w:spacing w:val="-5"/>
          <w:w w:val="110"/>
        </w:rPr>
        <w:t>2002—a</w:t>
      </w:r>
      <w:r>
        <w:rPr>
          <w:spacing w:val="-14"/>
          <w:w w:val="110"/>
        </w:rPr>
        <w:t> </w:t>
      </w:r>
      <w:r>
        <w:rPr>
          <w:spacing w:val="-3"/>
          <w:w w:val="110"/>
        </w:rPr>
        <w:t>downward</w:t>
      </w:r>
      <w:r>
        <w:rPr>
          <w:spacing w:val="-13"/>
          <w:w w:val="110"/>
        </w:rPr>
        <w:t> </w:t>
      </w:r>
      <w:r>
        <w:rPr>
          <w:w w:val="110"/>
        </w:rPr>
        <w:t>revision</w:t>
      </w:r>
      <w:r>
        <w:rPr>
          <w:spacing w:val="-14"/>
          <w:w w:val="110"/>
        </w:rPr>
        <w:t> </w:t>
      </w:r>
      <w:r>
        <w:rPr>
          <w:w w:val="110"/>
        </w:rPr>
        <w:t>of</w:t>
      </w:r>
      <w:r>
        <w:rPr>
          <w:spacing w:val="-14"/>
          <w:w w:val="110"/>
        </w:rPr>
        <w:t> </w:t>
      </w:r>
      <w:r>
        <w:rPr>
          <w:w w:val="110"/>
        </w:rPr>
        <w:t>around</w:t>
      </w:r>
      <w:r>
        <w:rPr>
          <w:spacing w:val="-13"/>
          <w:w w:val="110"/>
        </w:rPr>
        <w:t> </w:t>
      </w:r>
      <w:r>
        <w:rPr>
          <w:w w:val="110"/>
        </w:rPr>
        <w:t>one</w:t>
      </w:r>
      <w:r>
        <w:rPr>
          <w:spacing w:val="-14"/>
          <w:w w:val="110"/>
        </w:rPr>
        <w:t> </w:t>
      </w:r>
      <w:r>
        <w:rPr>
          <w:w w:val="110"/>
        </w:rPr>
        <w:t>percentage point this year and three quarters of a percentage point </w:t>
      </w:r>
      <w:r>
        <w:rPr>
          <w:spacing w:val="-3"/>
          <w:w w:val="110"/>
        </w:rPr>
        <w:t>next </w:t>
      </w:r>
      <w:r>
        <w:rPr>
          <w:w w:val="110"/>
        </w:rPr>
        <w:t>year</w:t>
      </w:r>
      <w:r>
        <w:rPr>
          <w:spacing w:val="-19"/>
          <w:w w:val="110"/>
        </w:rPr>
        <w:t> </w:t>
      </w:r>
      <w:r>
        <w:rPr>
          <w:w w:val="110"/>
        </w:rPr>
        <w:t>from</w:t>
      </w:r>
      <w:r>
        <w:rPr>
          <w:spacing w:val="-18"/>
          <w:w w:val="110"/>
        </w:rPr>
        <w:t> </w:t>
      </w:r>
      <w:r>
        <w:rPr>
          <w:w w:val="110"/>
        </w:rPr>
        <w:t>the</w:t>
      </w:r>
      <w:r>
        <w:rPr>
          <w:spacing w:val="-18"/>
          <w:w w:val="110"/>
        </w:rPr>
        <w:t> </w:t>
      </w:r>
      <w:r>
        <w:rPr>
          <w:w w:val="110"/>
        </w:rPr>
        <w:t>central</w:t>
      </w:r>
      <w:r>
        <w:rPr>
          <w:spacing w:val="-18"/>
          <w:w w:val="110"/>
        </w:rPr>
        <w:t> </w:t>
      </w:r>
      <w:r>
        <w:rPr>
          <w:w w:val="110"/>
        </w:rPr>
        <w:t>case</w:t>
      </w:r>
      <w:r>
        <w:rPr>
          <w:spacing w:val="-19"/>
          <w:w w:val="110"/>
        </w:rPr>
        <w:t> </w:t>
      </w:r>
      <w:r>
        <w:rPr>
          <w:w w:val="110"/>
        </w:rPr>
        <w:t>embodied</w:t>
      </w:r>
      <w:r>
        <w:rPr>
          <w:spacing w:val="-18"/>
          <w:w w:val="110"/>
        </w:rPr>
        <w:t> </w:t>
      </w:r>
      <w:r>
        <w:rPr>
          <w:w w:val="110"/>
        </w:rPr>
        <w:t>in</w:t>
      </w:r>
      <w:r>
        <w:rPr>
          <w:spacing w:val="-18"/>
          <w:w w:val="110"/>
        </w:rPr>
        <w:t> </w:t>
      </w:r>
      <w:r>
        <w:rPr>
          <w:w w:val="110"/>
        </w:rPr>
        <w:t>the</w:t>
      </w:r>
      <w:r>
        <w:rPr>
          <w:spacing w:val="-18"/>
          <w:w w:val="110"/>
        </w:rPr>
        <w:t> </w:t>
      </w:r>
      <w:r>
        <w:rPr>
          <w:w w:val="110"/>
        </w:rPr>
        <w:t>November</w:t>
      </w:r>
      <w:r>
        <w:rPr>
          <w:spacing w:val="-19"/>
          <w:w w:val="110"/>
        </w:rPr>
        <w:t> </w:t>
      </w:r>
      <w:r>
        <w:rPr>
          <w:i/>
          <w:w w:val="110"/>
        </w:rPr>
        <w:t>Report</w:t>
      </w:r>
      <w:r>
        <w:rPr>
          <w:w w:val="110"/>
        </w:rPr>
        <w:t>.</w:t>
      </w:r>
    </w:p>
    <w:p>
      <w:pPr>
        <w:pStyle w:val="BodyText"/>
        <w:spacing w:before="7"/>
        <w:rPr>
          <w:sz w:val="25"/>
        </w:rPr>
      </w:pPr>
    </w:p>
    <w:p>
      <w:pPr>
        <w:pStyle w:val="BodyText"/>
        <w:spacing w:line="292" w:lineRule="auto"/>
        <w:ind w:left="5089" w:right="351"/>
        <w:jc w:val="both"/>
      </w:pPr>
      <w:r>
        <w:rPr>
          <w:w w:val="110"/>
        </w:rPr>
        <w:t>The</w:t>
      </w:r>
      <w:r>
        <w:rPr>
          <w:spacing w:val="-22"/>
          <w:w w:val="110"/>
        </w:rPr>
        <w:t> </w:t>
      </w:r>
      <w:r>
        <w:rPr>
          <w:w w:val="110"/>
        </w:rPr>
        <w:t>outlook</w:t>
      </w:r>
      <w:r>
        <w:rPr>
          <w:spacing w:val="-21"/>
          <w:w w:val="110"/>
        </w:rPr>
        <w:t> </w:t>
      </w:r>
      <w:r>
        <w:rPr>
          <w:w w:val="110"/>
        </w:rPr>
        <w:t>for</w:t>
      </w:r>
      <w:r>
        <w:rPr>
          <w:spacing w:val="-21"/>
          <w:w w:val="110"/>
        </w:rPr>
        <w:t> </w:t>
      </w:r>
      <w:r>
        <w:rPr>
          <w:w w:val="110"/>
        </w:rPr>
        <w:t>the</w:t>
      </w:r>
      <w:r>
        <w:rPr>
          <w:spacing w:val="-21"/>
          <w:w w:val="110"/>
        </w:rPr>
        <w:t> </w:t>
      </w:r>
      <w:r>
        <w:rPr>
          <w:w w:val="110"/>
        </w:rPr>
        <w:t>global</w:t>
      </w:r>
      <w:r>
        <w:rPr>
          <w:spacing w:val="-21"/>
          <w:w w:val="110"/>
        </w:rPr>
        <w:t> </w:t>
      </w:r>
      <w:r>
        <w:rPr>
          <w:w w:val="110"/>
        </w:rPr>
        <w:t>economy</w:t>
      </w:r>
      <w:r>
        <w:rPr>
          <w:spacing w:val="-21"/>
          <w:w w:val="110"/>
        </w:rPr>
        <w:t> </w:t>
      </w:r>
      <w:r>
        <w:rPr>
          <w:w w:val="110"/>
        </w:rPr>
        <w:t>is</w:t>
      </w:r>
      <w:r>
        <w:rPr>
          <w:spacing w:val="-21"/>
          <w:w w:val="110"/>
        </w:rPr>
        <w:t> </w:t>
      </w:r>
      <w:r>
        <w:rPr>
          <w:w w:val="110"/>
        </w:rPr>
        <w:t>particularly</w:t>
      </w:r>
      <w:r>
        <w:rPr>
          <w:spacing w:val="-21"/>
          <w:w w:val="110"/>
        </w:rPr>
        <w:t> </w:t>
      </w:r>
      <w:r>
        <w:rPr>
          <w:w w:val="110"/>
        </w:rPr>
        <w:t>uncertain at</w:t>
      </w:r>
      <w:r>
        <w:rPr>
          <w:spacing w:val="-11"/>
          <w:w w:val="110"/>
        </w:rPr>
        <w:t> </w:t>
      </w:r>
      <w:r>
        <w:rPr>
          <w:w w:val="110"/>
        </w:rPr>
        <w:t>present</w:t>
      </w:r>
      <w:r>
        <w:rPr>
          <w:spacing w:val="-11"/>
          <w:w w:val="110"/>
        </w:rPr>
        <w:t> </w:t>
      </w:r>
      <w:r>
        <w:rPr>
          <w:w w:val="110"/>
        </w:rPr>
        <w:t>given</w:t>
      </w:r>
      <w:r>
        <w:rPr>
          <w:spacing w:val="-11"/>
          <w:w w:val="110"/>
        </w:rPr>
        <w:t> </w:t>
      </w:r>
      <w:r>
        <w:rPr>
          <w:w w:val="110"/>
        </w:rPr>
        <w:t>the</w:t>
      </w:r>
      <w:r>
        <w:rPr>
          <w:spacing w:val="-11"/>
          <w:w w:val="110"/>
        </w:rPr>
        <w:t> </w:t>
      </w:r>
      <w:r>
        <w:rPr>
          <w:w w:val="110"/>
        </w:rPr>
        <w:t>major</w:t>
      </w:r>
      <w:r>
        <w:rPr>
          <w:spacing w:val="-11"/>
          <w:w w:val="110"/>
        </w:rPr>
        <w:t> </w:t>
      </w:r>
      <w:r>
        <w:rPr>
          <w:w w:val="110"/>
        </w:rPr>
        <w:t>change</w:t>
      </w:r>
      <w:r>
        <w:rPr>
          <w:spacing w:val="-11"/>
          <w:w w:val="110"/>
        </w:rPr>
        <w:t> </w:t>
      </w:r>
      <w:r>
        <w:rPr>
          <w:w w:val="110"/>
        </w:rPr>
        <w:t>in</w:t>
      </w:r>
      <w:r>
        <w:rPr>
          <w:spacing w:val="-11"/>
          <w:w w:val="110"/>
        </w:rPr>
        <w:t> </w:t>
      </w:r>
      <w:r>
        <w:rPr>
          <w:w w:val="110"/>
        </w:rPr>
        <w:t>US</w:t>
      </w:r>
      <w:r>
        <w:rPr>
          <w:spacing w:val="-10"/>
          <w:w w:val="110"/>
        </w:rPr>
        <w:t> </w:t>
      </w:r>
      <w:r>
        <w:rPr>
          <w:w w:val="110"/>
        </w:rPr>
        <w:t>prospects</w:t>
      </w:r>
      <w:r>
        <w:rPr>
          <w:spacing w:val="-11"/>
          <w:w w:val="110"/>
        </w:rPr>
        <w:t> </w:t>
      </w:r>
      <w:r>
        <w:rPr>
          <w:w w:val="110"/>
        </w:rPr>
        <w:t>in</w:t>
      </w:r>
      <w:r>
        <w:rPr>
          <w:spacing w:val="-11"/>
          <w:w w:val="110"/>
        </w:rPr>
        <w:t> </w:t>
      </w:r>
      <w:r>
        <w:rPr>
          <w:w w:val="110"/>
        </w:rPr>
        <w:t>recent months. The </w:t>
      </w:r>
      <w:r>
        <w:rPr>
          <w:spacing w:val="-3"/>
          <w:w w:val="110"/>
        </w:rPr>
        <w:t>Committee </w:t>
      </w:r>
      <w:r>
        <w:rPr>
          <w:w w:val="110"/>
        </w:rPr>
        <w:t>considers that the risks around the central projection are clearly on the downside.</w:t>
      </w:r>
      <w:r>
        <w:rPr>
          <w:spacing w:val="-16"/>
          <w:w w:val="110"/>
        </w:rPr>
        <w:t> </w:t>
      </w:r>
      <w:r>
        <w:rPr>
          <w:w w:val="110"/>
        </w:rPr>
        <w:t>The</w:t>
      </w:r>
    </w:p>
    <w:p>
      <w:pPr>
        <w:pStyle w:val="BodyText"/>
        <w:spacing w:line="292" w:lineRule="auto"/>
        <w:ind w:left="5089" w:right="174"/>
        <w:jc w:val="both"/>
      </w:pPr>
      <w:r>
        <w:rPr>
          <w:w w:val="110"/>
        </w:rPr>
        <w:t>US</w:t>
      </w:r>
      <w:r>
        <w:rPr>
          <w:spacing w:val="-27"/>
          <w:w w:val="110"/>
        </w:rPr>
        <w:t> </w:t>
      </w:r>
      <w:r>
        <w:rPr>
          <w:w w:val="110"/>
        </w:rPr>
        <w:t>economy</w:t>
      </w:r>
      <w:r>
        <w:rPr>
          <w:spacing w:val="-26"/>
          <w:w w:val="110"/>
        </w:rPr>
        <w:t> </w:t>
      </w:r>
      <w:r>
        <w:rPr>
          <w:w w:val="110"/>
        </w:rPr>
        <w:t>remains</w:t>
      </w:r>
      <w:r>
        <w:rPr>
          <w:spacing w:val="-26"/>
          <w:w w:val="110"/>
        </w:rPr>
        <w:t> </w:t>
      </w:r>
      <w:r>
        <w:rPr>
          <w:w w:val="110"/>
        </w:rPr>
        <w:t>vulnerable</w:t>
      </w:r>
      <w:r>
        <w:rPr>
          <w:spacing w:val="-26"/>
          <w:w w:val="110"/>
        </w:rPr>
        <w:t> </w:t>
      </w:r>
      <w:r>
        <w:rPr>
          <w:spacing w:val="-4"/>
          <w:w w:val="110"/>
        </w:rPr>
        <w:t>to</w:t>
      </w:r>
      <w:r>
        <w:rPr>
          <w:spacing w:val="-26"/>
          <w:w w:val="110"/>
        </w:rPr>
        <w:t> </w:t>
      </w:r>
      <w:r>
        <w:rPr>
          <w:w w:val="110"/>
        </w:rPr>
        <w:t>further</w:t>
      </w:r>
      <w:r>
        <w:rPr>
          <w:spacing w:val="-26"/>
          <w:w w:val="110"/>
        </w:rPr>
        <w:t> </w:t>
      </w:r>
      <w:r>
        <w:rPr>
          <w:spacing w:val="-3"/>
          <w:w w:val="110"/>
        </w:rPr>
        <w:t>adverse</w:t>
      </w:r>
      <w:r>
        <w:rPr>
          <w:spacing w:val="-26"/>
          <w:w w:val="110"/>
        </w:rPr>
        <w:t> </w:t>
      </w:r>
      <w:r>
        <w:rPr>
          <w:w w:val="110"/>
        </w:rPr>
        <w:t>shocks,</w:t>
      </w:r>
      <w:r>
        <w:rPr>
          <w:spacing w:val="-26"/>
          <w:w w:val="110"/>
        </w:rPr>
        <w:t> </w:t>
      </w:r>
      <w:r>
        <w:rPr>
          <w:w w:val="110"/>
        </w:rPr>
        <w:t>and it</w:t>
      </w:r>
      <w:r>
        <w:rPr>
          <w:spacing w:val="-8"/>
          <w:w w:val="110"/>
        </w:rPr>
        <w:t> </w:t>
      </w:r>
      <w:r>
        <w:rPr>
          <w:w w:val="110"/>
        </w:rPr>
        <w:t>is</w:t>
      </w:r>
      <w:r>
        <w:rPr>
          <w:spacing w:val="-8"/>
          <w:w w:val="110"/>
        </w:rPr>
        <w:t> </w:t>
      </w:r>
      <w:r>
        <w:rPr>
          <w:w w:val="110"/>
        </w:rPr>
        <w:t>possible</w:t>
      </w:r>
      <w:r>
        <w:rPr>
          <w:spacing w:val="-8"/>
          <w:w w:val="110"/>
        </w:rPr>
        <w:t> </w:t>
      </w:r>
      <w:r>
        <w:rPr>
          <w:w w:val="110"/>
        </w:rPr>
        <w:t>that</w:t>
      </w:r>
      <w:r>
        <w:rPr>
          <w:spacing w:val="-8"/>
          <w:w w:val="110"/>
        </w:rPr>
        <w:t> </w:t>
      </w:r>
      <w:r>
        <w:rPr>
          <w:w w:val="110"/>
        </w:rPr>
        <w:t>cuts</w:t>
      </w:r>
      <w:r>
        <w:rPr>
          <w:spacing w:val="-7"/>
          <w:w w:val="110"/>
        </w:rPr>
        <w:t> </w:t>
      </w:r>
      <w:r>
        <w:rPr>
          <w:w w:val="110"/>
        </w:rPr>
        <w:t>in</w:t>
      </w:r>
      <w:r>
        <w:rPr>
          <w:spacing w:val="-8"/>
          <w:w w:val="110"/>
        </w:rPr>
        <w:t> </w:t>
      </w:r>
      <w:r>
        <w:rPr>
          <w:spacing w:val="-3"/>
          <w:w w:val="110"/>
        </w:rPr>
        <w:t>interest</w:t>
      </w:r>
      <w:r>
        <w:rPr>
          <w:spacing w:val="-8"/>
          <w:w w:val="110"/>
        </w:rPr>
        <w:t> </w:t>
      </w:r>
      <w:r>
        <w:rPr>
          <w:spacing w:val="-4"/>
          <w:w w:val="110"/>
        </w:rPr>
        <w:t>rates</w:t>
      </w:r>
      <w:r>
        <w:rPr>
          <w:spacing w:val="-8"/>
          <w:w w:val="110"/>
        </w:rPr>
        <w:t> </w:t>
      </w:r>
      <w:r>
        <w:rPr>
          <w:spacing w:val="-3"/>
          <w:w w:val="110"/>
        </w:rPr>
        <w:t>may</w:t>
      </w:r>
      <w:r>
        <w:rPr>
          <w:spacing w:val="-8"/>
          <w:w w:val="110"/>
        </w:rPr>
        <w:t> </w:t>
      </w:r>
      <w:r>
        <w:rPr>
          <w:w w:val="110"/>
        </w:rPr>
        <w:t>be</w:t>
      </w:r>
      <w:r>
        <w:rPr>
          <w:spacing w:val="-7"/>
          <w:w w:val="110"/>
        </w:rPr>
        <w:t> </w:t>
      </w:r>
      <w:r>
        <w:rPr>
          <w:spacing w:val="-3"/>
          <w:w w:val="110"/>
        </w:rPr>
        <w:t>slower</w:t>
      </w:r>
      <w:r>
        <w:rPr>
          <w:spacing w:val="-8"/>
          <w:w w:val="110"/>
        </w:rPr>
        <w:t> </w:t>
      </w:r>
      <w:r>
        <w:rPr>
          <w:spacing w:val="-4"/>
          <w:w w:val="110"/>
        </w:rPr>
        <w:t>to</w:t>
      </w:r>
      <w:r>
        <w:rPr>
          <w:spacing w:val="-8"/>
          <w:w w:val="110"/>
        </w:rPr>
        <w:t> </w:t>
      </w:r>
      <w:r>
        <w:rPr>
          <w:spacing w:val="-3"/>
          <w:w w:val="110"/>
        </w:rPr>
        <w:t>restore </w:t>
      </w:r>
      <w:r>
        <w:rPr>
          <w:w w:val="110"/>
        </w:rPr>
        <w:t>business</w:t>
      </w:r>
      <w:r>
        <w:rPr>
          <w:spacing w:val="-15"/>
          <w:w w:val="110"/>
        </w:rPr>
        <w:t> </w:t>
      </w:r>
      <w:r>
        <w:rPr>
          <w:w w:val="110"/>
        </w:rPr>
        <w:t>and</w:t>
      </w:r>
      <w:r>
        <w:rPr>
          <w:spacing w:val="-14"/>
          <w:w w:val="110"/>
        </w:rPr>
        <w:t> </w:t>
      </w:r>
      <w:r>
        <w:rPr>
          <w:w w:val="110"/>
        </w:rPr>
        <w:t>consumer</w:t>
      </w:r>
      <w:r>
        <w:rPr>
          <w:spacing w:val="-14"/>
          <w:w w:val="110"/>
        </w:rPr>
        <w:t> </w:t>
      </w:r>
      <w:r>
        <w:rPr>
          <w:w w:val="110"/>
        </w:rPr>
        <w:t>confidence</w:t>
      </w:r>
      <w:r>
        <w:rPr>
          <w:spacing w:val="-14"/>
          <w:w w:val="110"/>
        </w:rPr>
        <w:t> </w:t>
      </w:r>
      <w:r>
        <w:rPr>
          <w:w w:val="110"/>
        </w:rPr>
        <w:t>than</w:t>
      </w:r>
      <w:r>
        <w:rPr>
          <w:spacing w:val="-14"/>
          <w:w w:val="110"/>
        </w:rPr>
        <w:t> </w:t>
      </w:r>
      <w:r>
        <w:rPr>
          <w:w w:val="110"/>
        </w:rPr>
        <w:t>currently</w:t>
      </w:r>
      <w:r>
        <w:rPr>
          <w:spacing w:val="-14"/>
          <w:w w:val="110"/>
        </w:rPr>
        <w:t> </w:t>
      </w:r>
      <w:r>
        <w:rPr>
          <w:w w:val="110"/>
        </w:rPr>
        <w:t>assumed.</w:t>
      </w:r>
    </w:p>
    <w:p>
      <w:pPr>
        <w:pStyle w:val="BodyText"/>
        <w:spacing w:line="292" w:lineRule="auto"/>
        <w:ind w:left="5089" w:right="85"/>
      </w:pPr>
      <w:r>
        <w:rPr>
          <w:w w:val="110"/>
        </w:rPr>
        <w:t>Moreover, a weaker outlook for the United States could have more pronounced effects on the prospects for other countries, including the United Kingdom. In addition to the effects of weaker external demand on trade and overseas investment returns, possible renewed falls in US equity prices would be likely to spill over to prices and activity in other financial markets, and a general tightening of global credit conditions could lead to disruptions to domestic and international capital flows. Business and consumer confidence could also suffer a further jolt.</w:t>
      </w:r>
    </w:p>
    <w:p>
      <w:pPr>
        <w:pStyle w:val="BodyText"/>
        <w:spacing w:before="2"/>
        <w:rPr>
          <w:sz w:val="25"/>
        </w:rPr>
      </w:pPr>
    </w:p>
    <w:p>
      <w:pPr>
        <w:pStyle w:val="BodyText"/>
        <w:spacing w:line="292" w:lineRule="auto" w:before="1"/>
        <w:ind w:left="5089" w:right="145"/>
      </w:pPr>
      <w:r>
        <w:rPr>
          <w:w w:val="110"/>
        </w:rPr>
        <w:t>The</w:t>
      </w:r>
      <w:r>
        <w:rPr>
          <w:spacing w:val="-28"/>
          <w:w w:val="110"/>
        </w:rPr>
        <w:t> </w:t>
      </w:r>
      <w:r>
        <w:rPr>
          <w:spacing w:val="-3"/>
          <w:w w:val="110"/>
        </w:rPr>
        <w:t>weaker</w:t>
      </w:r>
      <w:r>
        <w:rPr>
          <w:spacing w:val="-28"/>
          <w:w w:val="110"/>
        </w:rPr>
        <w:t> </w:t>
      </w:r>
      <w:r>
        <w:rPr>
          <w:w w:val="110"/>
        </w:rPr>
        <w:t>outlook</w:t>
      </w:r>
      <w:r>
        <w:rPr>
          <w:spacing w:val="-28"/>
          <w:w w:val="110"/>
        </w:rPr>
        <w:t> </w:t>
      </w:r>
      <w:r>
        <w:rPr>
          <w:w w:val="110"/>
        </w:rPr>
        <w:t>for</w:t>
      </w:r>
      <w:r>
        <w:rPr>
          <w:spacing w:val="-28"/>
          <w:w w:val="110"/>
        </w:rPr>
        <w:t> </w:t>
      </w:r>
      <w:r>
        <w:rPr>
          <w:w w:val="110"/>
        </w:rPr>
        <w:t>global</w:t>
      </w:r>
      <w:r>
        <w:rPr>
          <w:spacing w:val="-27"/>
          <w:w w:val="110"/>
        </w:rPr>
        <w:t> </w:t>
      </w:r>
      <w:r>
        <w:rPr>
          <w:w w:val="110"/>
        </w:rPr>
        <w:t>demand</w:t>
      </w:r>
      <w:r>
        <w:rPr>
          <w:spacing w:val="-28"/>
          <w:w w:val="110"/>
        </w:rPr>
        <w:t> </w:t>
      </w:r>
      <w:r>
        <w:rPr>
          <w:w w:val="110"/>
        </w:rPr>
        <w:t>has</w:t>
      </w:r>
      <w:r>
        <w:rPr>
          <w:spacing w:val="-28"/>
          <w:w w:val="110"/>
        </w:rPr>
        <w:t> </w:t>
      </w:r>
      <w:r>
        <w:rPr>
          <w:spacing w:val="-3"/>
          <w:w w:val="110"/>
        </w:rPr>
        <w:t>lowered</w:t>
      </w:r>
      <w:r>
        <w:rPr>
          <w:spacing w:val="-28"/>
          <w:w w:val="110"/>
        </w:rPr>
        <w:t> </w:t>
      </w:r>
      <w:r>
        <w:rPr>
          <w:w w:val="110"/>
        </w:rPr>
        <w:t>prospective inflationary </w:t>
      </w:r>
      <w:r>
        <w:rPr>
          <w:spacing w:val="-3"/>
          <w:w w:val="110"/>
        </w:rPr>
        <w:t>pressures. </w:t>
      </w:r>
      <w:r>
        <w:rPr>
          <w:w w:val="110"/>
        </w:rPr>
        <w:t>Oil prices </w:t>
      </w:r>
      <w:r>
        <w:rPr>
          <w:spacing w:val="-3"/>
          <w:w w:val="110"/>
        </w:rPr>
        <w:t>have </w:t>
      </w:r>
      <w:r>
        <w:rPr>
          <w:w w:val="110"/>
        </w:rPr>
        <w:t>fallen </w:t>
      </w:r>
      <w:r>
        <w:rPr>
          <w:spacing w:val="-3"/>
          <w:w w:val="110"/>
        </w:rPr>
        <w:t>over </w:t>
      </w:r>
      <w:r>
        <w:rPr>
          <w:w w:val="110"/>
        </w:rPr>
        <w:t>the past three months, </w:t>
      </w:r>
      <w:r>
        <w:rPr>
          <w:spacing w:val="-3"/>
          <w:w w:val="110"/>
        </w:rPr>
        <w:t>reversing </w:t>
      </w:r>
      <w:r>
        <w:rPr>
          <w:w w:val="110"/>
        </w:rPr>
        <w:t>the increases in the </w:t>
      </w:r>
      <w:r>
        <w:rPr>
          <w:spacing w:val="-3"/>
          <w:w w:val="110"/>
        </w:rPr>
        <w:t>late </w:t>
      </w:r>
      <w:r>
        <w:rPr>
          <w:w w:val="110"/>
        </w:rPr>
        <w:t>summer and early</w:t>
      </w:r>
      <w:r>
        <w:rPr>
          <w:spacing w:val="-25"/>
          <w:w w:val="110"/>
        </w:rPr>
        <w:t> </w:t>
      </w:r>
      <w:r>
        <w:rPr>
          <w:w w:val="110"/>
        </w:rPr>
        <w:t>autumn.</w:t>
      </w:r>
      <w:r>
        <w:rPr>
          <w:spacing w:val="6"/>
          <w:w w:val="110"/>
        </w:rPr>
        <w:t> </w:t>
      </w:r>
      <w:r>
        <w:rPr>
          <w:w w:val="110"/>
        </w:rPr>
        <w:t>As</w:t>
      </w:r>
      <w:r>
        <w:rPr>
          <w:spacing w:val="-25"/>
          <w:w w:val="110"/>
        </w:rPr>
        <w:t> </w:t>
      </w:r>
      <w:r>
        <w:rPr>
          <w:w w:val="110"/>
        </w:rPr>
        <w:t>well</w:t>
      </w:r>
      <w:r>
        <w:rPr>
          <w:spacing w:val="-24"/>
          <w:w w:val="110"/>
        </w:rPr>
        <w:t> </w:t>
      </w:r>
      <w:r>
        <w:rPr>
          <w:w w:val="110"/>
        </w:rPr>
        <w:t>as</w:t>
      </w:r>
      <w:r>
        <w:rPr>
          <w:spacing w:val="-25"/>
          <w:w w:val="110"/>
        </w:rPr>
        <w:t> </w:t>
      </w:r>
      <w:r>
        <w:rPr>
          <w:spacing w:val="-3"/>
          <w:w w:val="110"/>
        </w:rPr>
        <w:t>downward</w:t>
      </w:r>
      <w:r>
        <w:rPr>
          <w:spacing w:val="-25"/>
          <w:w w:val="110"/>
        </w:rPr>
        <w:t> </w:t>
      </w:r>
      <w:r>
        <w:rPr>
          <w:w w:val="110"/>
        </w:rPr>
        <w:t>revisions</w:t>
      </w:r>
      <w:r>
        <w:rPr>
          <w:spacing w:val="-25"/>
          <w:w w:val="110"/>
        </w:rPr>
        <w:t> </w:t>
      </w:r>
      <w:r>
        <w:rPr>
          <w:spacing w:val="-4"/>
          <w:w w:val="110"/>
        </w:rPr>
        <w:t>to</w:t>
      </w:r>
      <w:r>
        <w:rPr>
          <w:spacing w:val="-24"/>
          <w:w w:val="110"/>
        </w:rPr>
        <w:t> </w:t>
      </w:r>
      <w:r>
        <w:rPr>
          <w:spacing w:val="-3"/>
          <w:w w:val="110"/>
        </w:rPr>
        <w:t>world</w:t>
      </w:r>
      <w:r>
        <w:rPr>
          <w:spacing w:val="-25"/>
          <w:w w:val="110"/>
        </w:rPr>
        <w:t> </w:t>
      </w:r>
      <w:r>
        <w:rPr>
          <w:spacing w:val="-3"/>
          <w:w w:val="110"/>
        </w:rPr>
        <w:t>growth </w:t>
      </w:r>
      <w:r>
        <w:rPr>
          <w:w w:val="110"/>
        </w:rPr>
        <w:t>prospects, reports of a </w:t>
      </w:r>
      <w:r>
        <w:rPr>
          <w:spacing w:val="-3"/>
          <w:w w:val="110"/>
        </w:rPr>
        <w:t>higher-than-expected </w:t>
      </w:r>
      <w:r>
        <w:rPr>
          <w:w w:val="110"/>
        </w:rPr>
        <w:t>build-up of oil stocks</w:t>
      </w:r>
      <w:r>
        <w:rPr>
          <w:spacing w:val="-17"/>
          <w:w w:val="110"/>
        </w:rPr>
        <w:t> </w:t>
      </w:r>
      <w:r>
        <w:rPr>
          <w:w w:val="110"/>
        </w:rPr>
        <w:t>in</w:t>
      </w:r>
      <w:r>
        <w:rPr>
          <w:spacing w:val="-17"/>
          <w:w w:val="110"/>
        </w:rPr>
        <w:t> </w:t>
      </w:r>
      <w:r>
        <w:rPr>
          <w:w w:val="110"/>
        </w:rPr>
        <w:t>the</w:t>
      </w:r>
      <w:r>
        <w:rPr>
          <w:spacing w:val="-17"/>
          <w:w w:val="110"/>
        </w:rPr>
        <w:t> </w:t>
      </w:r>
      <w:r>
        <w:rPr>
          <w:w w:val="110"/>
        </w:rPr>
        <w:t>OECD</w:t>
      </w:r>
      <w:r>
        <w:rPr>
          <w:spacing w:val="-16"/>
          <w:w w:val="110"/>
        </w:rPr>
        <w:t> </w:t>
      </w:r>
      <w:r>
        <w:rPr>
          <w:w w:val="110"/>
        </w:rPr>
        <w:t>area</w:t>
      </w:r>
      <w:r>
        <w:rPr>
          <w:spacing w:val="-17"/>
          <w:w w:val="110"/>
        </w:rPr>
        <w:t> </w:t>
      </w:r>
      <w:r>
        <w:rPr>
          <w:w w:val="110"/>
        </w:rPr>
        <w:t>in</w:t>
      </w:r>
      <w:r>
        <w:rPr>
          <w:spacing w:val="-17"/>
          <w:w w:val="110"/>
        </w:rPr>
        <w:t> </w:t>
      </w:r>
      <w:r>
        <w:rPr>
          <w:w w:val="110"/>
        </w:rPr>
        <w:t>the</w:t>
      </w:r>
      <w:r>
        <w:rPr>
          <w:spacing w:val="-17"/>
          <w:w w:val="110"/>
        </w:rPr>
        <w:t> </w:t>
      </w:r>
      <w:r>
        <w:rPr>
          <w:w w:val="110"/>
        </w:rPr>
        <w:t>summer</w:t>
      </w:r>
      <w:r>
        <w:rPr>
          <w:spacing w:val="-16"/>
          <w:w w:val="110"/>
        </w:rPr>
        <w:t> </w:t>
      </w:r>
      <w:r>
        <w:rPr>
          <w:w w:val="110"/>
        </w:rPr>
        <w:t>and</w:t>
      </w:r>
      <w:r>
        <w:rPr>
          <w:spacing w:val="-17"/>
          <w:w w:val="110"/>
        </w:rPr>
        <w:t> </w:t>
      </w:r>
      <w:r>
        <w:rPr>
          <w:w w:val="110"/>
        </w:rPr>
        <w:t>early</w:t>
      </w:r>
      <w:r>
        <w:rPr>
          <w:spacing w:val="-17"/>
          <w:w w:val="110"/>
        </w:rPr>
        <w:t> </w:t>
      </w:r>
      <w:r>
        <w:rPr>
          <w:w w:val="110"/>
        </w:rPr>
        <w:t>autumn,</w:t>
      </w:r>
      <w:r>
        <w:rPr>
          <w:spacing w:val="-16"/>
          <w:w w:val="110"/>
        </w:rPr>
        <w:t> </w:t>
      </w:r>
      <w:r>
        <w:rPr>
          <w:w w:val="110"/>
        </w:rPr>
        <w:t>and </w:t>
      </w:r>
      <w:r>
        <w:rPr>
          <w:spacing w:val="-3"/>
          <w:w w:val="110"/>
        </w:rPr>
        <w:t>upward</w:t>
      </w:r>
      <w:r>
        <w:rPr>
          <w:spacing w:val="-20"/>
          <w:w w:val="110"/>
        </w:rPr>
        <w:t> </w:t>
      </w:r>
      <w:r>
        <w:rPr>
          <w:w w:val="110"/>
        </w:rPr>
        <w:t>revisions</w:t>
      </w:r>
      <w:r>
        <w:rPr>
          <w:spacing w:val="-20"/>
          <w:w w:val="110"/>
        </w:rPr>
        <w:t> </w:t>
      </w:r>
      <w:r>
        <w:rPr>
          <w:spacing w:val="-4"/>
          <w:w w:val="110"/>
        </w:rPr>
        <w:t>to</w:t>
      </w:r>
      <w:r>
        <w:rPr>
          <w:spacing w:val="-19"/>
          <w:w w:val="110"/>
        </w:rPr>
        <w:t> </w:t>
      </w:r>
      <w:r>
        <w:rPr>
          <w:w w:val="110"/>
        </w:rPr>
        <w:t>estimates</w:t>
      </w:r>
      <w:r>
        <w:rPr>
          <w:spacing w:val="-20"/>
          <w:w w:val="110"/>
        </w:rPr>
        <w:t> </w:t>
      </w:r>
      <w:r>
        <w:rPr>
          <w:w w:val="110"/>
        </w:rPr>
        <w:t>of</w:t>
      </w:r>
      <w:r>
        <w:rPr>
          <w:spacing w:val="-19"/>
          <w:w w:val="110"/>
        </w:rPr>
        <w:t> </w:t>
      </w:r>
      <w:r>
        <w:rPr>
          <w:w w:val="110"/>
        </w:rPr>
        <w:t>production</w:t>
      </w:r>
      <w:r>
        <w:rPr>
          <w:spacing w:val="-20"/>
          <w:w w:val="110"/>
        </w:rPr>
        <w:t> </w:t>
      </w:r>
      <w:r>
        <w:rPr>
          <w:spacing w:val="-4"/>
          <w:w w:val="110"/>
        </w:rPr>
        <w:t>capacity,</w:t>
      </w:r>
      <w:r>
        <w:rPr>
          <w:spacing w:val="-20"/>
          <w:w w:val="110"/>
        </w:rPr>
        <w:t> </w:t>
      </w:r>
      <w:r>
        <w:rPr>
          <w:w w:val="110"/>
        </w:rPr>
        <w:t>helped</w:t>
      </w:r>
      <w:r>
        <w:rPr>
          <w:spacing w:val="-19"/>
          <w:w w:val="110"/>
        </w:rPr>
        <w:t> </w:t>
      </w:r>
      <w:r>
        <w:rPr>
          <w:spacing w:val="-4"/>
          <w:w w:val="110"/>
        </w:rPr>
        <w:t>to </w:t>
      </w:r>
      <w:r>
        <w:rPr>
          <w:w w:val="110"/>
        </w:rPr>
        <w:t>reduce oil prices </w:t>
      </w:r>
      <w:r>
        <w:rPr>
          <w:spacing w:val="-4"/>
          <w:w w:val="110"/>
        </w:rPr>
        <w:t>towards </w:t>
      </w:r>
      <w:r>
        <w:rPr>
          <w:w w:val="110"/>
        </w:rPr>
        <w:t>the end of last </w:t>
      </w:r>
      <w:r>
        <w:rPr>
          <w:spacing w:val="-4"/>
          <w:w w:val="110"/>
        </w:rPr>
        <w:t>year. </w:t>
      </w:r>
      <w:r>
        <w:rPr>
          <w:w w:val="110"/>
        </w:rPr>
        <w:t>OPEC announced</w:t>
      </w:r>
      <w:r>
        <w:rPr>
          <w:spacing w:val="-14"/>
          <w:w w:val="110"/>
        </w:rPr>
        <w:t> </w:t>
      </w:r>
      <w:r>
        <w:rPr>
          <w:w w:val="110"/>
        </w:rPr>
        <w:t>cuts</w:t>
      </w:r>
      <w:r>
        <w:rPr>
          <w:spacing w:val="-14"/>
          <w:w w:val="110"/>
        </w:rPr>
        <w:t> </w:t>
      </w:r>
      <w:r>
        <w:rPr>
          <w:w w:val="110"/>
        </w:rPr>
        <w:t>in</w:t>
      </w:r>
      <w:r>
        <w:rPr>
          <w:spacing w:val="-14"/>
          <w:w w:val="110"/>
        </w:rPr>
        <w:t> </w:t>
      </w:r>
      <w:r>
        <w:rPr>
          <w:w w:val="110"/>
        </w:rPr>
        <w:t>production</w:t>
      </w:r>
      <w:r>
        <w:rPr>
          <w:spacing w:val="-14"/>
          <w:w w:val="110"/>
        </w:rPr>
        <w:t> </w:t>
      </w:r>
      <w:r>
        <w:rPr>
          <w:w w:val="110"/>
        </w:rPr>
        <w:t>in</w:t>
      </w:r>
      <w:r>
        <w:rPr>
          <w:spacing w:val="-14"/>
          <w:w w:val="110"/>
        </w:rPr>
        <w:t> </w:t>
      </w:r>
      <w:r>
        <w:rPr>
          <w:spacing w:val="-3"/>
          <w:w w:val="110"/>
        </w:rPr>
        <w:t>January,</w:t>
      </w:r>
      <w:r>
        <w:rPr>
          <w:spacing w:val="-13"/>
          <w:w w:val="110"/>
        </w:rPr>
        <w:t> </w:t>
      </w:r>
      <w:r>
        <w:rPr>
          <w:w w:val="110"/>
        </w:rPr>
        <w:t>which</w:t>
      </w:r>
      <w:r>
        <w:rPr>
          <w:spacing w:val="-14"/>
          <w:w w:val="110"/>
        </w:rPr>
        <w:t> </w:t>
      </w:r>
      <w:r>
        <w:rPr>
          <w:w w:val="110"/>
        </w:rPr>
        <w:t>together</w:t>
      </w:r>
      <w:r>
        <w:rPr>
          <w:spacing w:val="-14"/>
          <w:w w:val="110"/>
        </w:rPr>
        <w:t> </w:t>
      </w:r>
      <w:r>
        <w:rPr>
          <w:w w:val="110"/>
        </w:rPr>
        <w:t>with unusually cold weather in the United </w:t>
      </w:r>
      <w:r>
        <w:rPr>
          <w:spacing w:val="-3"/>
          <w:w w:val="110"/>
        </w:rPr>
        <w:t>States </w:t>
      </w:r>
      <w:r>
        <w:rPr>
          <w:w w:val="110"/>
        </w:rPr>
        <w:t>and Europe provided some subsequent support </w:t>
      </w:r>
      <w:r>
        <w:rPr>
          <w:spacing w:val="-4"/>
          <w:w w:val="110"/>
        </w:rPr>
        <w:t>to </w:t>
      </w:r>
      <w:r>
        <w:rPr>
          <w:w w:val="110"/>
        </w:rPr>
        <w:t>the price. Nonetheless, in the fifteen working </w:t>
      </w:r>
      <w:r>
        <w:rPr>
          <w:spacing w:val="-3"/>
          <w:w w:val="110"/>
        </w:rPr>
        <w:t>days </w:t>
      </w:r>
      <w:r>
        <w:rPr>
          <w:spacing w:val="-4"/>
          <w:w w:val="110"/>
        </w:rPr>
        <w:t>to </w:t>
      </w:r>
      <w:r>
        <w:rPr>
          <w:w w:val="110"/>
        </w:rPr>
        <w:t>7 </w:t>
      </w:r>
      <w:r>
        <w:rPr>
          <w:spacing w:val="-3"/>
          <w:w w:val="110"/>
        </w:rPr>
        <w:t>February, </w:t>
      </w:r>
      <w:r>
        <w:rPr>
          <w:w w:val="110"/>
        </w:rPr>
        <w:t>Brent crude </w:t>
      </w:r>
      <w:r>
        <w:rPr>
          <w:spacing w:val="-3"/>
          <w:w w:val="110"/>
        </w:rPr>
        <w:t>was </w:t>
      </w:r>
      <w:r>
        <w:rPr>
          <w:w w:val="110"/>
        </w:rPr>
        <w:t>trading some $3 per barrel below the central expectation in </w:t>
      </w:r>
      <w:r>
        <w:rPr>
          <w:spacing w:val="-3"/>
          <w:w w:val="110"/>
        </w:rPr>
        <w:t>November. </w:t>
      </w:r>
      <w:r>
        <w:rPr>
          <w:w w:val="110"/>
        </w:rPr>
        <w:t>A further fall is incorporated in futures market prices, which the </w:t>
      </w:r>
      <w:r>
        <w:rPr>
          <w:spacing w:val="-3"/>
          <w:w w:val="110"/>
        </w:rPr>
        <w:t>Committee </w:t>
      </w:r>
      <w:r>
        <w:rPr>
          <w:w w:val="110"/>
        </w:rPr>
        <w:t>continues </w:t>
      </w:r>
      <w:r>
        <w:rPr>
          <w:spacing w:val="-4"/>
          <w:w w:val="110"/>
        </w:rPr>
        <w:t>to </w:t>
      </w:r>
      <w:r>
        <w:rPr>
          <w:w w:val="110"/>
        </w:rPr>
        <w:t>assume provide the best guide </w:t>
      </w:r>
      <w:r>
        <w:rPr>
          <w:spacing w:val="-4"/>
          <w:w w:val="110"/>
        </w:rPr>
        <w:t>to </w:t>
      </w:r>
      <w:r>
        <w:rPr>
          <w:w w:val="110"/>
        </w:rPr>
        <w:t>price prospects. </w:t>
      </w:r>
      <w:r>
        <w:rPr>
          <w:spacing w:val="-2"/>
          <w:w w:val="110"/>
        </w:rPr>
        <w:t>Market </w:t>
      </w:r>
      <w:r>
        <w:rPr>
          <w:w w:val="110"/>
        </w:rPr>
        <w:t>participants’ expectations</w:t>
      </w:r>
      <w:r>
        <w:rPr>
          <w:spacing w:val="-15"/>
          <w:w w:val="110"/>
        </w:rPr>
        <w:t> </w:t>
      </w:r>
      <w:r>
        <w:rPr>
          <w:w w:val="110"/>
        </w:rPr>
        <w:t>of</w:t>
      </w:r>
      <w:r>
        <w:rPr>
          <w:spacing w:val="-15"/>
          <w:w w:val="110"/>
        </w:rPr>
        <w:t> </w:t>
      </w:r>
      <w:r>
        <w:rPr>
          <w:w w:val="110"/>
        </w:rPr>
        <w:t>oil</w:t>
      </w:r>
      <w:r>
        <w:rPr>
          <w:spacing w:val="-15"/>
          <w:w w:val="110"/>
        </w:rPr>
        <w:t> </w:t>
      </w:r>
      <w:r>
        <w:rPr>
          <w:w w:val="110"/>
        </w:rPr>
        <w:t>prices</w:t>
      </w:r>
      <w:r>
        <w:rPr>
          <w:spacing w:val="-15"/>
          <w:w w:val="110"/>
        </w:rPr>
        <w:t> </w:t>
      </w:r>
      <w:r>
        <w:rPr>
          <w:w w:val="110"/>
        </w:rPr>
        <w:t>in</w:t>
      </w:r>
      <w:r>
        <w:rPr>
          <w:spacing w:val="-14"/>
          <w:w w:val="110"/>
        </w:rPr>
        <w:t> </w:t>
      </w:r>
      <w:r>
        <w:rPr>
          <w:spacing w:val="-5"/>
          <w:w w:val="110"/>
        </w:rPr>
        <w:t>two</w:t>
      </w:r>
      <w:r>
        <w:rPr>
          <w:spacing w:val="-15"/>
          <w:w w:val="110"/>
        </w:rPr>
        <w:t> </w:t>
      </w:r>
      <w:r>
        <w:rPr>
          <w:spacing w:val="-3"/>
          <w:w w:val="110"/>
        </w:rPr>
        <w:t>years’</w:t>
      </w:r>
      <w:r>
        <w:rPr>
          <w:spacing w:val="-15"/>
          <w:w w:val="110"/>
        </w:rPr>
        <w:t> </w:t>
      </w:r>
      <w:r>
        <w:rPr>
          <w:w w:val="110"/>
        </w:rPr>
        <w:t>time</w:t>
      </w:r>
      <w:r>
        <w:rPr>
          <w:spacing w:val="-15"/>
          <w:w w:val="110"/>
        </w:rPr>
        <w:t> </w:t>
      </w:r>
      <w:r>
        <w:rPr>
          <w:w w:val="110"/>
        </w:rPr>
        <w:t>are</w:t>
      </w:r>
      <w:r>
        <w:rPr>
          <w:spacing w:val="-15"/>
          <w:w w:val="110"/>
        </w:rPr>
        <w:t> </w:t>
      </w:r>
      <w:r>
        <w:rPr>
          <w:w w:val="110"/>
        </w:rPr>
        <w:t>around</w:t>
      </w:r>
      <w:r>
        <w:rPr>
          <w:spacing w:val="-14"/>
          <w:w w:val="110"/>
        </w:rPr>
        <w:t> </w:t>
      </w:r>
      <w:r>
        <w:rPr>
          <w:w w:val="110"/>
        </w:rPr>
        <w:t>$1</w:t>
      </w:r>
      <w:r>
        <w:rPr>
          <w:spacing w:val="-15"/>
          <w:w w:val="110"/>
        </w:rPr>
        <w:t> </w:t>
      </w:r>
      <w:r>
        <w:rPr>
          <w:w w:val="110"/>
        </w:rPr>
        <w:t>per barrel</w:t>
      </w:r>
      <w:r>
        <w:rPr>
          <w:spacing w:val="-20"/>
          <w:w w:val="110"/>
        </w:rPr>
        <w:t> </w:t>
      </w:r>
      <w:r>
        <w:rPr>
          <w:spacing w:val="-3"/>
          <w:w w:val="110"/>
        </w:rPr>
        <w:t>lower</w:t>
      </w:r>
      <w:r>
        <w:rPr>
          <w:spacing w:val="-19"/>
          <w:w w:val="110"/>
        </w:rPr>
        <w:t> </w:t>
      </w:r>
      <w:r>
        <w:rPr>
          <w:w w:val="110"/>
        </w:rPr>
        <w:t>than</w:t>
      </w:r>
      <w:r>
        <w:rPr>
          <w:spacing w:val="-19"/>
          <w:w w:val="110"/>
        </w:rPr>
        <w:t> </w:t>
      </w:r>
      <w:r>
        <w:rPr>
          <w:w w:val="110"/>
        </w:rPr>
        <w:t>assumed</w:t>
      </w:r>
      <w:r>
        <w:rPr>
          <w:spacing w:val="-19"/>
          <w:w w:val="110"/>
        </w:rPr>
        <w:t> </w:t>
      </w:r>
      <w:r>
        <w:rPr>
          <w:w w:val="110"/>
        </w:rPr>
        <w:t>in</w:t>
      </w:r>
      <w:r>
        <w:rPr>
          <w:spacing w:val="-19"/>
          <w:w w:val="110"/>
        </w:rPr>
        <w:t> </w:t>
      </w:r>
      <w:r>
        <w:rPr>
          <w:w w:val="110"/>
        </w:rPr>
        <w:t>the</w:t>
      </w:r>
      <w:r>
        <w:rPr>
          <w:spacing w:val="-19"/>
          <w:w w:val="110"/>
        </w:rPr>
        <w:t> </w:t>
      </w:r>
      <w:r>
        <w:rPr>
          <w:w w:val="110"/>
        </w:rPr>
        <w:t>November</w:t>
      </w:r>
      <w:r>
        <w:rPr>
          <w:spacing w:val="-19"/>
          <w:w w:val="110"/>
        </w:rPr>
        <w:t> </w:t>
      </w:r>
      <w:r>
        <w:rPr>
          <w:i/>
          <w:w w:val="110"/>
        </w:rPr>
        <w:t>Report</w:t>
      </w:r>
      <w:r>
        <w:rPr>
          <w:w w:val="110"/>
        </w:rPr>
        <w:t>.</w:t>
      </w:r>
      <w:r>
        <w:rPr>
          <w:spacing w:val="18"/>
          <w:w w:val="110"/>
        </w:rPr>
        <w:t> </w:t>
      </w:r>
      <w:r>
        <w:rPr>
          <w:w w:val="110"/>
        </w:rPr>
        <w:t>Prospects for</w:t>
      </w:r>
      <w:r>
        <w:rPr>
          <w:spacing w:val="-26"/>
          <w:w w:val="110"/>
        </w:rPr>
        <w:t> </w:t>
      </w:r>
      <w:r>
        <w:rPr>
          <w:w w:val="110"/>
        </w:rPr>
        <w:t>‘hard’</w:t>
      </w:r>
      <w:r>
        <w:rPr>
          <w:spacing w:val="-25"/>
          <w:w w:val="110"/>
        </w:rPr>
        <w:t> </w:t>
      </w:r>
      <w:r>
        <w:rPr>
          <w:w w:val="110"/>
        </w:rPr>
        <w:t>non-oil</w:t>
      </w:r>
      <w:r>
        <w:rPr>
          <w:spacing w:val="-26"/>
          <w:w w:val="110"/>
        </w:rPr>
        <w:t> </w:t>
      </w:r>
      <w:r>
        <w:rPr>
          <w:w w:val="110"/>
        </w:rPr>
        <w:t>commodity</w:t>
      </w:r>
      <w:r>
        <w:rPr>
          <w:spacing w:val="-25"/>
          <w:w w:val="110"/>
        </w:rPr>
        <w:t> </w:t>
      </w:r>
      <w:r>
        <w:rPr>
          <w:w w:val="110"/>
        </w:rPr>
        <w:t>prices,</w:t>
      </w:r>
      <w:r>
        <w:rPr>
          <w:spacing w:val="-25"/>
          <w:w w:val="110"/>
        </w:rPr>
        <w:t> </w:t>
      </w:r>
      <w:r>
        <w:rPr>
          <w:w w:val="110"/>
        </w:rPr>
        <w:t>such</w:t>
      </w:r>
      <w:r>
        <w:rPr>
          <w:spacing w:val="-26"/>
          <w:w w:val="110"/>
        </w:rPr>
        <w:t> </w:t>
      </w:r>
      <w:r>
        <w:rPr>
          <w:w w:val="110"/>
        </w:rPr>
        <w:t>as</w:t>
      </w:r>
      <w:r>
        <w:rPr>
          <w:spacing w:val="-25"/>
          <w:w w:val="110"/>
        </w:rPr>
        <w:t> </w:t>
      </w:r>
      <w:r>
        <w:rPr>
          <w:w w:val="110"/>
        </w:rPr>
        <w:t>metals,</w:t>
      </w:r>
      <w:r>
        <w:rPr>
          <w:spacing w:val="-26"/>
          <w:w w:val="110"/>
        </w:rPr>
        <w:t> </w:t>
      </w:r>
      <w:r>
        <w:rPr>
          <w:spacing w:val="-3"/>
          <w:w w:val="110"/>
        </w:rPr>
        <w:t>have</w:t>
      </w:r>
      <w:r>
        <w:rPr>
          <w:spacing w:val="-25"/>
          <w:w w:val="110"/>
        </w:rPr>
        <w:t> </w:t>
      </w:r>
      <w:r>
        <w:rPr>
          <w:w w:val="110"/>
        </w:rPr>
        <w:t>also weakened </w:t>
      </w:r>
      <w:r>
        <w:rPr>
          <w:spacing w:val="-3"/>
          <w:w w:val="110"/>
        </w:rPr>
        <w:t>over </w:t>
      </w:r>
      <w:r>
        <w:rPr>
          <w:w w:val="110"/>
        </w:rPr>
        <w:t>the past three months, as forecasts of </w:t>
      </w:r>
      <w:r>
        <w:rPr>
          <w:spacing w:val="-3"/>
          <w:w w:val="110"/>
        </w:rPr>
        <w:t>world </w:t>
      </w:r>
      <w:r>
        <w:rPr>
          <w:w w:val="110"/>
        </w:rPr>
        <w:t>industrial</w:t>
      </w:r>
      <w:r>
        <w:rPr>
          <w:spacing w:val="-19"/>
          <w:w w:val="110"/>
        </w:rPr>
        <w:t> </w:t>
      </w:r>
      <w:r>
        <w:rPr>
          <w:w w:val="110"/>
        </w:rPr>
        <w:t>output</w:t>
      </w:r>
      <w:r>
        <w:rPr>
          <w:spacing w:val="-18"/>
          <w:w w:val="110"/>
        </w:rPr>
        <w:t> </w:t>
      </w:r>
      <w:r>
        <w:rPr>
          <w:w w:val="110"/>
        </w:rPr>
        <w:t>growth</w:t>
      </w:r>
      <w:r>
        <w:rPr>
          <w:spacing w:val="-18"/>
          <w:w w:val="110"/>
        </w:rPr>
        <w:t> </w:t>
      </w:r>
      <w:r>
        <w:rPr>
          <w:spacing w:val="-3"/>
          <w:w w:val="110"/>
        </w:rPr>
        <w:t>have</w:t>
      </w:r>
      <w:r>
        <w:rPr>
          <w:spacing w:val="-19"/>
          <w:w w:val="110"/>
        </w:rPr>
        <w:t> </w:t>
      </w:r>
      <w:r>
        <w:rPr>
          <w:w w:val="110"/>
        </w:rPr>
        <w:t>been</w:t>
      </w:r>
      <w:r>
        <w:rPr>
          <w:spacing w:val="-18"/>
          <w:w w:val="110"/>
        </w:rPr>
        <w:t> </w:t>
      </w:r>
      <w:r>
        <w:rPr>
          <w:w w:val="110"/>
        </w:rPr>
        <w:t>revised</w:t>
      </w:r>
      <w:r>
        <w:rPr>
          <w:spacing w:val="-19"/>
          <w:w w:val="110"/>
        </w:rPr>
        <w:t> </w:t>
      </w:r>
      <w:r>
        <w:rPr>
          <w:w w:val="110"/>
        </w:rPr>
        <w:t>down.</w:t>
      </w:r>
      <w:r>
        <w:rPr>
          <w:spacing w:val="20"/>
          <w:w w:val="110"/>
        </w:rPr>
        <w:t> </w:t>
      </w:r>
      <w:r>
        <w:rPr>
          <w:w w:val="110"/>
        </w:rPr>
        <w:t>But</w:t>
      </w:r>
      <w:r>
        <w:rPr>
          <w:spacing w:val="-19"/>
          <w:w w:val="110"/>
        </w:rPr>
        <w:t> </w:t>
      </w:r>
      <w:r>
        <w:rPr>
          <w:w w:val="110"/>
        </w:rPr>
        <w:t>futures markets incorporate a slightly stronger profile for ‘soft’ commodity</w:t>
      </w:r>
      <w:r>
        <w:rPr>
          <w:spacing w:val="-26"/>
          <w:w w:val="110"/>
        </w:rPr>
        <w:t> </w:t>
      </w:r>
      <w:r>
        <w:rPr>
          <w:w w:val="110"/>
        </w:rPr>
        <w:t>prices—principally</w:t>
      </w:r>
      <w:r>
        <w:rPr>
          <w:spacing w:val="-25"/>
          <w:w w:val="110"/>
        </w:rPr>
        <w:t> </w:t>
      </w:r>
      <w:r>
        <w:rPr>
          <w:w w:val="110"/>
        </w:rPr>
        <w:t>foodstuffs—than</w:t>
      </w:r>
      <w:r>
        <w:rPr>
          <w:spacing w:val="-26"/>
          <w:w w:val="110"/>
        </w:rPr>
        <w:t> </w:t>
      </w:r>
      <w:r>
        <w:rPr>
          <w:w w:val="110"/>
        </w:rPr>
        <w:t>projected</w:t>
      </w:r>
      <w:r>
        <w:rPr>
          <w:spacing w:val="-25"/>
          <w:w w:val="110"/>
        </w:rPr>
        <w:t> </w:t>
      </w:r>
      <w:r>
        <w:rPr>
          <w:w w:val="110"/>
        </w:rPr>
        <w:t>in</w:t>
      </w:r>
    </w:p>
    <w:p>
      <w:pPr>
        <w:spacing w:after="0" w:line="292" w:lineRule="auto"/>
        <w:sectPr>
          <w:pgSz w:w="11900" w:h="16840"/>
          <w:pgMar w:header="601" w:footer="575" w:top="800" w:bottom="760" w:left="640" w:right="640"/>
        </w:sectPr>
      </w:pPr>
    </w:p>
    <w:p>
      <w:pPr>
        <w:pStyle w:val="BodyText"/>
      </w:pPr>
    </w:p>
    <w:p>
      <w:pPr>
        <w:pStyle w:val="BodyText"/>
        <w:spacing w:before="6"/>
      </w:pPr>
    </w:p>
    <w:p>
      <w:pPr>
        <w:pStyle w:val="BodyText"/>
        <w:spacing w:line="292" w:lineRule="auto" w:before="1"/>
        <w:ind w:left="5095"/>
      </w:pPr>
      <w:r>
        <w:rPr>
          <w:w w:val="105"/>
        </w:rPr>
        <w:t>November, leaving the outlook for non-oil commodity prices overall little changed.</w:t>
      </w:r>
    </w:p>
    <w:p>
      <w:pPr>
        <w:pStyle w:val="BodyText"/>
        <w:spacing w:before="11"/>
        <w:rPr>
          <w:sz w:val="25"/>
        </w:rPr>
      </w:pPr>
    </w:p>
    <w:p>
      <w:pPr>
        <w:pStyle w:val="BodyText"/>
        <w:spacing w:line="292" w:lineRule="auto"/>
        <w:ind w:left="5095" w:right="192"/>
      </w:pPr>
      <w:r>
        <w:rPr>
          <w:w w:val="105"/>
        </w:rPr>
        <w:t>Producer and consumer price inflation in the major </w:t>
      </w:r>
      <w:r>
        <w:rPr>
          <w:spacing w:val="-3"/>
          <w:w w:val="105"/>
        </w:rPr>
        <w:t>overseas </w:t>
      </w:r>
      <w:r>
        <w:rPr>
          <w:w w:val="105"/>
        </w:rPr>
        <w:t>economies are likely </w:t>
      </w:r>
      <w:r>
        <w:rPr>
          <w:spacing w:val="-4"/>
          <w:w w:val="105"/>
        </w:rPr>
        <w:t>to </w:t>
      </w:r>
      <w:r>
        <w:rPr>
          <w:w w:val="105"/>
        </w:rPr>
        <w:t>be </w:t>
      </w:r>
      <w:r>
        <w:rPr>
          <w:spacing w:val="-3"/>
          <w:w w:val="105"/>
        </w:rPr>
        <w:t>weaker </w:t>
      </w:r>
      <w:r>
        <w:rPr>
          <w:w w:val="105"/>
        </w:rPr>
        <w:t>than anticipated three months ago, reflecting the lower profile for oil prices as well as the reduced pressure of demand. Expectations of the level of future official </w:t>
      </w:r>
      <w:r>
        <w:rPr>
          <w:spacing w:val="-3"/>
          <w:w w:val="105"/>
        </w:rPr>
        <w:t>interest </w:t>
      </w:r>
      <w:r>
        <w:rPr>
          <w:spacing w:val="-4"/>
          <w:w w:val="105"/>
        </w:rPr>
        <w:t>rates </w:t>
      </w:r>
      <w:r>
        <w:rPr>
          <w:spacing w:val="-3"/>
          <w:w w:val="105"/>
        </w:rPr>
        <w:t>have </w:t>
      </w:r>
      <w:r>
        <w:rPr>
          <w:w w:val="105"/>
        </w:rPr>
        <w:t>fallen as a result.  The easing of monetary policy will support future activity and limit the decline in prospective inflation. But prices of globally traded goods </w:t>
      </w:r>
      <w:r>
        <w:rPr>
          <w:spacing w:val="-3"/>
          <w:w w:val="105"/>
        </w:rPr>
        <w:t>over </w:t>
      </w:r>
      <w:r>
        <w:rPr>
          <w:w w:val="105"/>
        </w:rPr>
        <w:t>the next </w:t>
      </w:r>
      <w:r>
        <w:rPr>
          <w:spacing w:val="-5"/>
          <w:w w:val="105"/>
        </w:rPr>
        <w:t>two </w:t>
      </w:r>
      <w:r>
        <w:rPr>
          <w:spacing w:val="-3"/>
          <w:w w:val="105"/>
        </w:rPr>
        <w:t>years </w:t>
      </w:r>
      <w:r>
        <w:rPr>
          <w:w w:val="105"/>
        </w:rPr>
        <w:t>are likely </w:t>
      </w:r>
      <w:r>
        <w:rPr>
          <w:spacing w:val="-4"/>
          <w:w w:val="105"/>
        </w:rPr>
        <w:t>to </w:t>
      </w:r>
      <w:r>
        <w:rPr>
          <w:w w:val="105"/>
        </w:rPr>
        <w:t>be softer than projected in the November</w:t>
      </w:r>
      <w:r>
        <w:rPr>
          <w:spacing w:val="-6"/>
          <w:w w:val="105"/>
        </w:rPr>
        <w:t> </w:t>
      </w:r>
      <w:r>
        <w:rPr>
          <w:i/>
          <w:w w:val="105"/>
        </w:rPr>
        <w:t>Report</w:t>
      </w:r>
      <w:r>
        <w:rPr>
          <w:w w:val="105"/>
        </w:rPr>
        <w:t>.</w:t>
      </w:r>
    </w:p>
    <w:p>
      <w:pPr>
        <w:pStyle w:val="BodyText"/>
        <w:spacing w:before="7"/>
        <w:rPr>
          <w:sz w:val="25"/>
        </w:rPr>
      </w:pPr>
    </w:p>
    <w:p>
      <w:pPr>
        <w:pStyle w:val="BodyText"/>
        <w:spacing w:line="292" w:lineRule="auto"/>
        <w:ind w:left="5095" w:right="343"/>
      </w:pPr>
      <w:r>
        <w:rPr>
          <w:w w:val="110"/>
        </w:rPr>
        <w:t>The sterling effective exchange </w:t>
      </w:r>
      <w:r>
        <w:rPr>
          <w:spacing w:val="-4"/>
          <w:w w:val="110"/>
        </w:rPr>
        <w:t>rate </w:t>
      </w:r>
      <w:r>
        <w:rPr>
          <w:w w:val="110"/>
        </w:rPr>
        <w:t>index (ERI) has depreciated since the November </w:t>
      </w:r>
      <w:r>
        <w:rPr>
          <w:i/>
          <w:w w:val="110"/>
        </w:rPr>
        <w:t>Report</w:t>
      </w:r>
      <w:r>
        <w:rPr>
          <w:w w:val="110"/>
        </w:rPr>
        <w:t>. Foreign exchange markets</w:t>
      </w:r>
      <w:r>
        <w:rPr>
          <w:spacing w:val="-15"/>
          <w:w w:val="110"/>
        </w:rPr>
        <w:t> </w:t>
      </w:r>
      <w:r>
        <w:rPr>
          <w:spacing w:val="-3"/>
          <w:w w:val="110"/>
        </w:rPr>
        <w:t>have</w:t>
      </w:r>
      <w:r>
        <w:rPr>
          <w:spacing w:val="-14"/>
          <w:w w:val="110"/>
        </w:rPr>
        <w:t> </w:t>
      </w:r>
      <w:r>
        <w:rPr>
          <w:w w:val="110"/>
        </w:rPr>
        <w:t>been</w:t>
      </w:r>
      <w:r>
        <w:rPr>
          <w:spacing w:val="-15"/>
          <w:w w:val="110"/>
        </w:rPr>
        <w:t> </w:t>
      </w:r>
      <w:r>
        <w:rPr>
          <w:w w:val="110"/>
        </w:rPr>
        <w:t>volatile</w:t>
      </w:r>
      <w:r>
        <w:rPr>
          <w:spacing w:val="-14"/>
          <w:w w:val="110"/>
        </w:rPr>
        <w:t> </w:t>
      </w:r>
      <w:r>
        <w:rPr>
          <w:spacing w:val="-3"/>
          <w:w w:val="110"/>
        </w:rPr>
        <w:t>over</w:t>
      </w:r>
      <w:r>
        <w:rPr>
          <w:spacing w:val="-14"/>
          <w:w w:val="110"/>
        </w:rPr>
        <w:t> </w:t>
      </w:r>
      <w:r>
        <w:rPr>
          <w:w w:val="110"/>
        </w:rPr>
        <w:t>the</w:t>
      </w:r>
      <w:r>
        <w:rPr>
          <w:spacing w:val="-15"/>
          <w:w w:val="110"/>
        </w:rPr>
        <w:t> </w:t>
      </w:r>
      <w:r>
        <w:rPr>
          <w:w w:val="110"/>
        </w:rPr>
        <w:t>past</w:t>
      </w:r>
      <w:r>
        <w:rPr>
          <w:spacing w:val="-14"/>
          <w:w w:val="110"/>
        </w:rPr>
        <w:t> </w:t>
      </w:r>
      <w:r>
        <w:rPr>
          <w:w w:val="110"/>
        </w:rPr>
        <w:t>three</w:t>
      </w:r>
      <w:r>
        <w:rPr>
          <w:spacing w:val="-14"/>
          <w:w w:val="110"/>
        </w:rPr>
        <w:t> </w:t>
      </w:r>
      <w:r>
        <w:rPr>
          <w:w w:val="110"/>
        </w:rPr>
        <w:t>months</w:t>
      </w:r>
      <w:r>
        <w:rPr>
          <w:spacing w:val="-15"/>
          <w:w w:val="110"/>
        </w:rPr>
        <w:t> </w:t>
      </w:r>
      <w:r>
        <w:rPr>
          <w:w w:val="110"/>
        </w:rPr>
        <w:t>as</w:t>
      </w:r>
      <w:r>
        <w:rPr>
          <w:spacing w:val="-14"/>
          <w:w w:val="110"/>
        </w:rPr>
        <w:t> </w:t>
      </w:r>
      <w:r>
        <w:rPr>
          <w:w w:val="110"/>
        </w:rPr>
        <w:t>the euro</w:t>
      </w:r>
      <w:r>
        <w:rPr>
          <w:spacing w:val="-16"/>
          <w:w w:val="110"/>
        </w:rPr>
        <w:t> </w:t>
      </w:r>
      <w:r>
        <w:rPr>
          <w:w w:val="110"/>
        </w:rPr>
        <w:t>has</w:t>
      </w:r>
      <w:r>
        <w:rPr>
          <w:spacing w:val="-15"/>
          <w:w w:val="110"/>
        </w:rPr>
        <w:t> </w:t>
      </w:r>
      <w:r>
        <w:rPr>
          <w:w w:val="110"/>
        </w:rPr>
        <w:t>risen</w:t>
      </w:r>
      <w:r>
        <w:rPr>
          <w:spacing w:val="-15"/>
          <w:w w:val="110"/>
        </w:rPr>
        <w:t> </w:t>
      </w:r>
      <w:r>
        <w:rPr>
          <w:w w:val="110"/>
        </w:rPr>
        <w:t>markedly</w:t>
      </w:r>
      <w:r>
        <w:rPr>
          <w:spacing w:val="-15"/>
          <w:w w:val="110"/>
        </w:rPr>
        <w:t> </w:t>
      </w:r>
      <w:r>
        <w:rPr>
          <w:w w:val="110"/>
        </w:rPr>
        <w:t>against</w:t>
      </w:r>
      <w:r>
        <w:rPr>
          <w:spacing w:val="-15"/>
          <w:w w:val="110"/>
        </w:rPr>
        <w:t> </w:t>
      </w:r>
      <w:r>
        <w:rPr>
          <w:w w:val="110"/>
        </w:rPr>
        <w:t>the</w:t>
      </w:r>
      <w:r>
        <w:rPr>
          <w:spacing w:val="-15"/>
          <w:w w:val="110"/>
        </w:rPr>
        <w:t> </w:t>
      </w:r>
      <w:r>
        <w:rPr>
          <w:w w:val="110"/>
        </w:rPr>
        <w:t>dollar</w:t>
      </w:r>
      <w:r>
        <w:rPr>
          <w:spacing w:val="-15"/>
          <w:w w:val="110"/>
        </w:rPr>
        <w:t> </w:t>
      </w:r>
      <w:r>
        <w:rPr>
          <w:w w:val="110"/>
        </w:rPr>
        <w:t>and</w:t>
      </w:r>
      <w:r>
        <w:rPr>
          <w:spacing w:val="-15"/>
          <w:w w:val="110"/>
        </w:rPr>
        <w:t> </w:t>
      </w:r>
      <w:r>
        <w:rPr>
          <w:w w:val="110"/>
        </w:rPr>
        <w:t>the</w:t>
      </w:r>
      <w:r>
        <w:rPr>
          <w:spacing w:val="-15"/>
          <w:w w:val="110"/>
        </w:rPr>
        <w:t> </w:t>
      </w:r>
      <w:r>
        <w:rPr>
          <w:w w:val="110"/>
        </w:rPr>
        <w:t>yen.</w:t>
      </w:r>
      <w:r>
        <w:rPr>
          <w:spacing w:val="26"/>
          <w:w w:val="110"/>
        </w:rPr>
        <w:t> </w:t>
      </w:r>
      <w:r>
        <w:rPr>
          <w:w w:val="110"/>
        </w:rPr>
        <w:t>The ERI has fallen as the depreciation against the euro has considerably</w:t>
      </w:r>
      <w:r>
        <w:rPr>
          <w:spacing w:val="-22"/>
          <w:w w:val="110"/>
        </w:rPr>
        <w:t> </w:t>
      </w:r>
      <w:r>
        <w:rPr>
          <w:spacing w:val="-3"/>
          <w:w w:val="110"/>
        </w:rPr>
        <w:t>outweighed</w:t>
      </w:r>
      <w:r>
        <w:rPr>
          <w:spacing w:val="-21"/>
          <w:w w:val="110"/>
        </w:rPr>
        <w:t> </w:t>
      </w:r>
      <w:r>
        <w:rPr>
          <w:w w:val="110"/>
        </w:rPr>
        <w:t>the</w:t>
      </w:r>
      <w:r>
        <w:rPr>
          <w:spacing w:val="-22"/>
          <w:w w:val="110"/>
        </w:rPr>
        <w:t> </w:t>
      </w:r>
      <w:r>
        <w:rPr>
          <w:w w:val="110"/>
        </w:rPr>
        <w:t>appreciation</w:t>
      </w:r>
      <w:r>
        <w:rPr>
          <w:spacing w:val="-21"/>
          <w:w w:val="110"/>
        </w:rPr>
        <w:t> </w:t>
      </w:r>
      <w:r>
        <w:rPr>
          <w:w w:val="110"/>
        </w:rPr>
        <w:t>of</w:t>
      </w:r>
      <w:r>
        <w:rPr>
          <w:spacing w:val="-22"/>
          <w:w w:val="110"/>
        </w:rPr>
        <w:t> </w:t>
      </w:r>
      <w:r>
        <w:rPr>
          <w:w w:val="110"/>
        </w:rPr>
        <w:t>sterling</w:t>
      </w:r>
      <w:r>
        <w:rPr>
          <w:spacing w:val="-21"/>
          <w:w w:val="110"/>
        </w:rPr>
        <w:t> </w:t>
      </w:r>
      <w:r>
        <w:rPr>
          <w:w w:val="110"/>
        </w:rPr>
        <w:t>against the</w:t>
      </w:r>
      <w:r>
        <w:rPr>
          <w:spacing w:val="-7"/>
          <w:w w:val="110"/>
        </w:rPr>
        <w:t> </w:t>
      </w:r>
      <w:r>
        <w:rPr>
          <w:w w:val="110"/>
        </w:rPr>
        <w:t>dollar</w:t>
      </w:r>
      <w:r>
        <w:rPr>
          <w:spacing w:val="-7"/>
          <w:w w:val="110"/>
        </w:rPr>
        <w:t> </w:t>
      </w:r>
      <w:r>
        <w:rPr>
          <w:w w:val="110"/>
        </w:rPr>
        <w:t>and</w:t>
      </w:r>
      <w:r>
        <w:rPr>
          <w:spacing w:val="-7"/>
          <w:w w:val="110"/>
        </w:rPr>
        <w:t> </w:t>
      </w:r>
      <w:r>
        <w:rPr>
          <w:w w:val="110"/>
        </w:rPr>
        <w:t>the</w:t>
      </w:r>
      <w:r>
        <w:rPr>
          <w:spacing w:val="-6"/>
          <w:w w:val="110"/>
        </w:rPr>
        <w:t> </w:t>
      </w:r>
      <w:r>
        <w:rPr>
          <w:w w:val="110"/>
        </w:rPr>
        <w:t>yen</w:t>
      </w:r>
      <w:r>
        <w:rPr>
          <w:spacing w:val="-7"/>
          <w:w w:val="110"/>
        </w:rPr>
        <w:t> </w:t>
      </w:r>
      <w:r>
        <w:rPr>
          <w:w w:val="110"/>
        </w:rPr>
        <w:t>in</w:t>
      </w:r>
      <w:r>
        <w:rPr>
          <w:spacing w:val="-7"/>
          <w:w w:val="110"/>
        </w:rPr>
        <w:t> </w:t>
      </w:r>
      <w:r>
        <w:rPr>
          <w:w w:val="110"/>
        </w:rPr>
        <w:t>trade-adjusted</w:t>
      </w:r>
      <w:r>
        <w:rPr>
          <w:spacing w:val="-7"/>
          <w:w w:val="110"/>
        </w:rPr>
        <w:t> </w:t>
      </w:r>
      <w:r>
        <w:rPr>
          <w:w w:val="110"/>
        </w:rPr>
        <w:t>terms.</w:t>
      </w:r>
    </w:p>
    <w:p>
      <w:pPr>
        <w:pStyle w:val="BodyText"/>
        <w:rPr>
          <w:sz w:val="24"/>
        </w:rPr>
      </w:pPr>
    </w:p>
    <w:p>
      <w:pPr>
        <w:pStyle w:val="BodyText"/>
        <w:spacing w:line="292" w:lineRule="auto"/>
        <w:ind w:left="5095" w:right="225"/>
      </w:pPr>
      <w:r>
        <w:rPr>
          <w:w w:val="110"/>
        </w:rPr>
        <w:t>The ERI </w:t>
      </w:r>
      <w:r>
        <w:rPr>
          <w:spacing w:val="-3"/>
          <w:w w:val="110"/>
        </w:rPr>
        <w:t>averaged </w:t>
      </w:r>
      <w:r>
        <w:rPr>
          <w:spacing w:val="-7"/>
          <w:w w:val="110"/>
        </w:rPr>
        <w:t>104.0 </w:t>
      </w:r>
      <w:r>
        <w:rPr>
          <w:w w:val="110"/>
        </w:rPr>
        <w:t>in the </w:t>
      </w:r>
      <w:r>
        <w:rPr>
          <w:spacing w:val="-19"/>
          <w:w w:val="110"/>
        </w:rPr>
        <w:t>15 </w:t>
      </w:r>
      <w:r>
        <w:rPr>
          <w:w w:val="110"/>
        </w:rPr>
        <w:t>working </w:t>
      </w:r>
      <w:r>
        <w:rPr>
          <w:spacing w:val="-3"/>
          <w:w w:val="110"/>
        </w:rPr>
        <w:t>days </w:t>
      </w:r>
      <w:r>
        <w:rPr>
          <w:w w:val="110"/>
        </w:rPr>
        <w:t>up </w:t>
      </w:r>
      <w:r>
        <w:rPr>
          <w:spacing w:val="-4"/>
          <w:w w:val="110"/>
        </w:rPr>
        <w:t>to </w:t>
      </w:r>
      <w:r>
        <w:rPr>
          <w:w w:val="110"/>
        </w:rPr>
        <w:t>and including 7 </w:t>
      </w:r>
      <w:r>
        <w:rPr>
          <w:spacing w:val="-3"/>
          <w:w w:val="110"/>
        </w:rPr>
        <w:t>February, </w:t>
      </w:r>
      <w:r>
        <w:rPr>
          <w:w w:val="110"/>
        </w:rPr>
        <w:t>consistent with </w:t>
      </w:r>
      <w:r>
        <w:rPr>
          <w:spacing w:val="-3"/>
          <w:w w:val="110"/>
        </w:rPr>
        <w:t>bilateral sterling </w:t>
      </w:r>
      <w:r>
        <w:rPr>
          <w:w w:val="110"/>
        </w:rPr>
        <w:t>exchange </w:t>
      </w:r>
      <w:r>
        <w:rPr>
          <w:spacing w:val="-4"/>
          <w:w w:val="110"/>
        </w:rPr>
        <w:t>rates </w:t>
      </w:r>
      <w:r>
        <w:rPr>
          <w:w w:val="110"/>
        </w:rPr>
        <w:t>of </w:t>
      </w:r>
      <w:r>
        <w:rPr>
          <w:spacing w:val="-4"/>
          <w:w w:val="110"/>
        </w:rPr>
        <w:t>$1.46 </w:t>
      </w:r>
      <w:r>
        <w:rPr>
          <w:w w:val="110"/>
        </w:rPr>
        <w:t>and </w:t>
      </w:r>
      <w:r>
        <w:rPr>
          <w:spacing w:val="-6"/>
          <w:w w:val="110"/>
        </w:rPr>
        <w:t>64 </w:t>
      </w:r>
      <w:r>
        <w:rPr>
          <w:w w:val="110"/>
        </w:rPr>
        <w:t>pence against the euro. This forms</w:t>
      </w:r>
      <w:r>
        <w:rPr>
          <w:spacing w:val="-17"/>
          <w:w w:val="110"/>
        </w:rPr>
        <w:t> </w:t>
      </w:r>
      <w:r>
        <w:rPr>
          <w:w w:val="110"/>
        </w:rPr>
        <w:t>the</w:t>
      </w:r>
      <w:r>
        <w:rPr>
          <w:spacing w:val="-17"/>
          <w:w w:val="110"/>
        </w:rPr>
        <w:t> </w:t>
      </w:r>
      <w:r>
        <w:rPr>
          <w:w w:val="110"/>
        </w:rPr>
        <w:t>starting-point</w:t>
      </w:r>
      <w:r>
        <w:rPr>
          <w:spacing w:val="-17"/>
          <w:w w:val="110"/>
        </w:rPr>
        <w:t> </w:t>
      </w:r>
      <w:r>
        <w:rPr>
          <w:w w:val="110"/>
        </w:rPr>
        <w:t>for</w:t>
      </w:r>
      <w:r>
        <w:rPr>
          <w:spacing w:val="-17"/>
          <w:w w:val="110"/>
        </w:rPr>
        <w:t> </w:t>
      </w:r>
      <w:r>
        <w:rPr>
          <w:w w:val="110"/>
        </w:rPr>
        <w:t>the</w:t>
      </w:r>
      <w:r>
        <w:rPr>
          <w:spacing w:val="-17"/>
          <w:w w:val="110"/>
        </w:rPr>
        <w:t> </w:t>
      </w:r>
      <w:r>
        <w:rPr>
          <w:spacing w:val="-3"/>
          <w:w w:val="110"/>
        </w:rPr>
        <w:t>exchange</w:t>
      </w:r>
      <w:r>
        <w:rPr>
          <w:spacing w:val="-16"/>
          <w:w w:val="110"/>
        </w:rPr>
        <w:t> </w:t>
      </w:r>
      <w:r>
        <w:rPr>
          <w:spacing w:val="-4"/>
          <w:w w:val="110"/>
        </w:rPr>
        <w:t>rate</w:t>
      </w:r>
      <w:r>
        <w:rPr>
          <w:spacing w:val="-17"/>
          <w:w w:val="110"/>
        </w:rPr>
        <w:t> </w:t>
      </w:r>
      <w:r>
        <w:rPr>
          <w:w w:val="110"/>
        </w:rPr>
        <w:t>profile</w:t>
      </w:r>
      <w:r>
        <w:rPr>
          <w:spacing w:val="-17"/>
          <w:w w:val="110"/>
        </w:rPr>
        <w:t> </w:t>
      </w:r>
      <w:r>
        <w:rPr>
          <w:w w:val="110"/>
        </w:rPr>
        <w:t>assumed in the current projection. It is just </w:t>
      </w:r>
      <w:r>
        <w:rPr>
          <w:spacing w:val="-3"/>
          <w:w w:val="110"/>
        </w:rPr>
        <w:t>over </w:t>
      </w:r>
      <w:r>
        <w:rPr>
          <w:w w:val="110"/>
        </w:rPr>
        <w:t>3% below the starting-point of </w:t>
      </w:r>
      <w:r>
        <w:rPr>
          <w:spacing w:val="-16"/>
          <w:w w:val="110"/>
        </w:rPr>
        <w:t>107.5 </w:t>
      </w:r>
      <w:r>
        <w:rPr>
          <w:w w:val="110"/>
        </w:rPr>
        <w:t>in the November </w:t>
      </w:r>
      <w:r>
        <w:rPr>
          <w:i/>
          <w:w w:val="110"/>
        </w:rPr>
        <w:t>Report </w:t>
      </w:r>
      <w:r>
        <w:rPr>
          <w:w w:val="110"/>
        </w:rPr>
        <w:t>and the implied level of </w:t>
      </w:r>
      <w:r>
        <w:rPr>
          <w:spacing w:val="-16"/>
          <w:w w:val="110"/>
        </w:rPr>
        <w:t>107.4 </w:t>
      </w:r>
      <w:r>
        <w:rPr>
          <w:w w:val="110"/>
        </w:rPr>
        <w:t>for February in the November central projection.</w:t>
      </w:r>
      <w:r>
        <w:rPr>
          <w:spacing w:val="28"/>
          <w:w w:val="110"/>
        </w:rPr>
        <w:t> </w:t>
      </w:r>
      <w:r>
        <w:rPr>
          <w:w w:val="110"/>
        </w:rPr>
        <w:t>The</w:t>
      </w:r>
      <w:r>
        <w:rPr>
          <w:spacing w:val="-13"/>
          <w:w w:val="110"/>
        </w:rPr>
        <w:t> </w:t>
      </w:r>
      <w:r>
        <w:rPr>
          <w:w w:val="110"/>
        </w:rPr>
        <w:t>sterling</w:t>
      </w:r>
      <w:r>
        <w:rPr>
          <w:spacing w:val="-14"/>
          <w:w w:val="110"/>
        </w:rPr>
        <w:t> </w:t>
      </w:r>
      <w:r>
        <w:rPr>
          <w:w w:val="110"/>
        </w:rPr>
        <w:t>ERI</w:t>
      </w:r>
      <w:r>
        <w:rPr>
          <w:spacing w:val="-14"/>
          <w:w w:val="110"/>
        </w:rPr>
        <w:t> </w:t>
      </w:r>
      <w:r>
        <w:rPr>
          <w:w w:val="110"/>
        </w:rPr>
        <w:t>is</w:t>
      </w:r>
      <w:r>
        <w:rPr>
          <w:spacing w:val="-13"/>
          <w:w w:val="110"/>
        </w:rPr>
        <w:t> </w:t>
      </w:r>
      <w:r>
        <w:rPr>
          <w:w w:val="110"/>
        </w:rPr>
        <w:t>projected</w:t>
      </w:r>
      <w:r>
        <w:rPr>
          <w:spacing w:val="-14"/>
          <w:w w:val="110"/>
        </w:rPr>
        <w:t> </w:t>
      </w:r>
      <w:r>
        <w:rPr>
          <w:spacing w:val="-4"/>
          <w:w w:val="110"/>
        </w:rPr>
        <w:t>to</w:t>
      </w:r>
      <w:r>
        <w:rPr>
          <w:spacing w:val="-13"/>
          <w:w w:val="110"/>
        </w:rPr>
        <w:t> </w:t>
      </w:r>
      <w:r>
        <w:rPr>
          <w:w w:val="110"/>
        </w:rPr>
        <w:t>decline</w:t>
      </w:r>
      <w:r>
        <w:rPr>
          <w:spacing w:val="-14"/>
          <w:w w:val="110"/>
        </w:rPr>
        <w:t> </w:t>
      </w:r>
      <w:r>
        <w:rPr>
          <w:w w:val="110"/>
        </w:rPr>
        <w:t>a</w:t>
      </w:r>
      <w:r>
        <w:rPr>
          <w:spacing w:val="-13"/>
          <w:w w:val="110"/>
        </w:rPr>
        <w:t> </w:t>
      </w:r>
      <w:r>
        <w:rPr>
          <w:w w:val="110"/>
        </w:rPr>
        <w:t>little</w:t>
      </w:r>
      <w:r>
        <w:rPr>
          <w:spacing w:val="-14"/>
          <w:w w:val="110"/>
        </w:rPr>
        <w:t> </w:t>
      </w:r>
      <w:r>
        <w:rPr>
          <w:spacing w:val="-4"/>
          <w:w w:val="110"/>
        </w:rPr>
        <w:t>to</w:t>
      </w:r>
    </w:p>
    <w:p>
      <w:pPr>
        <w:pStyle w:val="BodyText"/>
        <w:spacing w:line="225" w:lineRule="exact"/>
        <w:ind w:left="5095"/>
      </w:pPr>
      <w:r>
        <w:rPr>
          <w:w w:val="115"/>
        </w:rPr>
        <w:t>102.9 by 2003 Q1.</w:t>
      </w:r>
    </w:p>
    <w:p>
      <w:pPr>
        <w:pStyle w:val="BodyText"/>
      </w:pPr>
    </w:p>
    <w:p>
      <w:pPr>
        <w:pStyle w:val="BodyText"/>
        <w:spacing w:line="292" w:lineRule="auto" w:before="120"/>
        <w:ind w:left="5095" w:right="140"/>
      </w:pPr>
      <w:r>
        <w:rPr>
          <w:spacing w:val="-3"/>
          <w:w w:val="110"/>
        </w:rPr>
        <w:t>Equity </w:t>
      </w:r>
      <w:r>
        <w:rPr>
          <w:w w:val="110"/>
        </w:rPr>
        <w:t>prices </w:t>
      </w:r>
      <w:r>
        <w:rPr>
          <w:spacing w:val="-3"/>
          <w:w w:val="110"/>
        </w:rPr>
        <w:t>have </w:t>
      </w:r>
      <w:r>
        <w:rPr>
          <w:w w:val="110"/>
        </w:rPr>
        <w:t>an important influence on the cost of capital and on the valuation of household wealth. Prices fell sharply</w:t>
      </w:r>
      <w:r>
        <w:rPr>
          <w:spacing w:val="-16"/>
          <w:w w:val="110"/>
        </w:rPr>
        <w:t> </w:t>
      </w:r>
      <w:r>
        <w:rPr>
          <w:w w:val="110"/>
        </w:rPr>
        <w:t>around</w:t>
      </w:r>
      <w:r>
        <w:rPr>
          <w:spacing w:val="-15"/>
          <w:w w:val="110"/>
        </w:rPr>
        <w:t> </w:t>
      </w:r>
      <w:r>
        <w:rPr>
          <w:w w:val="110"/>
        </w:rPr>
        <w:t>the</w:t>
      </w:r>
      <w:r>
        <w:rPr>
          <w:spacing w:val="-15"/>
          <w:w w:val="110"/>
        </w:rPr>
        <w:t> </w:t>
      </w:r>
      <w:r>
        <w:rPr>
          <w:w w:val="110"/>
        </w:rPr>
        <w:t>turn</w:t>
      </w:r>
      <w:r>
        <w:rPr>
          <w:spacing w:val="-16"/>
          <w:w w:val="110"/>
        </w:rPr>
        <w:t> </w:t>
      </w:r>
      <w:r>
        <w:rPr>
          <w:w w:val="110"/>
        </w:rPr>
        <w:t>of</w:t>
      </w:r>
      <w:r>
        <w:rPr>
          <w:spacing w:val="-15"/>
          <w:w w:val="110"/>
        </w:rPr>
        <w:t> </w:t>
      </w:r>
      <w:r>
        <w:rPr>
          <w:w w:val="110"/>
        </w:rPr>
        <w:t>the</w:t>
      </w:r>
      <w:r>
        <w:rPr>
          <w:spacing w:val="-15"/>
          <w:w w:val="110"/>
        </w:rPr>
        <w:t> </w:t>
      </w:r>
      <w:r>
        <w:rPr>
          <w:w w:val="110"/>
        </w:rPr>
        <w:t>year</w:t>
      </w:r>
      <w:r>
        <w:rPr>
          <w:spacing w:val="-15"/>
          <w:w w:val="110"/>
        </w:rPr>
        <w:t> </w:t>
      </w:r>
      <w:r>
        <w:rPr>
          <w:w w:val="110"/>
        </w:rPr>
        <w:t>in</w:t>
      </w:r>
      <w:r>
        <w:rPr>
          <w:spacing w:val="-16"/>
          <w:w w:val="110"/>
        </w:rPr>
        <w:t> </w:t>
      </w:r>
      <w:r>
        <w:rPr>
          <w:w w:val="110"/>
        </w:rPr>
        <w:t>all</w:t>
      </w:r>
      <w:r>
        <w:rPr>
          <w:spacing w:val="-15"/>
          <w:w w:val="110"/>
        </w:rPr>
        <w:t> </w:t>
      </w:r>
      <w:r>
        <w:rPr>
          <w:w w:val="110"/>
        </w:rPr>
        <w:t>major</w:t>
      </w:r>
      <w:r>
        <w:rPr>
          <w:spacing w:val="-15"/>
          <w:w w:val="110"/>
        </w:rPr>
        <w:t> </w:t>
      </w:r>
      <w:r>
        <w:rPr>
          <w:spacing w:val="-3"/>
          <w:w w:val="110"/>
        </w:rPr>
        <w:t>equity</w:t>
      </w:r>
      <w:r>
        <w:rPr>
          <w:spacing w:val="-15"/>
          <w:w w:val="110"/>
        </w:rPr>
        <w:t> </w:t>
      </w:r>
      <w:r>
        <w:rPr>
          <w:w w:val="110"/>
        </w:rPr>
        <w:t>markets, including in the United Kingdom, with a particularly pronounced</w:t>
      </w:r>
      <w:r>
        <w:rPr>
          <w:spacing w:val="-11"/>
          <w:w w:val="110"/>
        </w:rPr>
        <w:t> </w:t>
      </w:r>
      <w:r>
        <w:rPr>
          <w:w w:val="110"/>
        </w:rPr>
        <w:t>drop</w:t>
      </w:r>
      <w:r>
        <w:rPr>
          <w:spacing w:val="-11"/>
          <w:w w:val="110"/>
        </w:rPr>
        <w:t> </w:t>
      </w:r>
      <w:r>
        <w:rPr>
          <w:w w:val="110"/>
        </w:rPr>
        <w:t>in</w:t>
      </w:r>
      <w:r>
        <w:rPr>
          <w:spacing w:val="-10"/>
          <w:w w:val="110"/>
        </w:rPr>
        <w:t> </w:t>
      </w:r>
      <w:r>
        <w:rPr>
          <w:w w:val="110"/>
        </w:rPr>
        <w:t>the</w:t>
      </w:r>
      <w:r>
        <w:rPr>
          <w:spacing w:val="-11"/>
          <w:w w:val="110"/>
        </w:rPr>
        <w:t> </w:t>
      </w:r>
      <w:r>
        <w:rPr>
          <w:w w:val="110"/>
        </w:rPr>
        <w:t>value</w:t>
      </w:r>
      <w:r>
        <w:rPr>
          <w:spacing w:val="-10"/>
          <w:w w:val="110"/>
        </w:rPr>
        <w:t> </w:t>
      </w:r>
      <w:r>
        <w:rPr>
          <w:w w:val="110"/>
        </w:rPr>
        <w:t>of</w:t>
      </w:r>
      <w:r>
        <w:rPr>
          <w:spacing w:val="-11"/>
          <w:w w:val="110"/>
        </w:rPr>
        <w:t> </w:t>
      </w:r>
      <w:r>
        <w:rPr>
          <w:w w:val="110"/>
        </w:rPr>
        <w:t>high-technology</w:t>
      </w:r>
      <w:r>
        <w:rPr>
          <w:spacing w:val="-11"/>
          <w:w w:val="110"/>
        </w:rPr>
        <w:t> </w:t>
      </w:r>
      <w:r>
        <w:rPr>
          <w:w w:val="110"/>
        </w:rPr>
        <w:t>stocks.</w:t>
      </w:r>
    </w:p>
    <w:p>
      <w:pPr>
        <w:pStyle w:val="BodyText"/>
        <w:spacing w:line="292" w:lineRule="auto"/>
        <w:ind w:left="5095" w:right="140"/>
      </w:pPr>
      <w:r>
        <w:rPr>
          <w:w w:val="110"/>
        </w:rPr>
        <w:t>Equities have </w:t>
      </w:r>
      <w:r>
        <w:rPr>
          <w:spacing w:val="-3"/>
          <w:w w:val="110"/>
        </w:rPr>
        <w:t>recovered </w:t>
      </w:r>
      <w:r>
        <w:rPr>
          <w:w w:val="110"/>
        </w:rPr>
        <w:t>some ground in recent weeks following</w:t>
      </w:r>
      <w:r>
        <w:rPr>
          <w:spacing w:val="-25"/>
          <w:w w:val="110"/>
        </w:rPr>
        <w:t> </w:t>
      </w:r>
      <w:r>
        <w:rPr>
          <w:w w:val="110"/>
        </w:rPr>
        <w:t>the</w:t>
      </w:r>
      <w:r>
        <w:rPr>
          <w:spacing w:val="-25"/>
          <w:w w:val="110"/>
        </w:rPr>
        <w:t> </w:t>
      </w:r>
      <w:r>
        <w:rPr>
          <w:w w:val="110"/>
        </w:rPr>
        <w:t>cuts</w:t>
      </w:r>
      <w:r>
        <w:rPr>
          <w:spacing w:val="-25"/>
          <w:w w:val="110"/>
        </w:rPr>
        <w:t> </w:t>
      </w:r>
      <w:r>
        <w:rPr>
          <w:w w:val="110"/>
        </w:rPr>
        <w:t>in</w:t>
      </w:r>
      <w:r>
        <w:rPr>
          <w:spacing w:val="-25"/>
          <w:w w:val="110"/>
        </w:rPr>
        <w:t> </w:t>
      </w:r>
      <w:r>
        <w:rPr>
          <w:w w:val="110"/>
        </w:rPr>
        <w:t>US</w:t>
      </w:r>
      <w:r>
        <w:rPr>
          <w:spacing w:val="-25"/>
          <w:w w:val="110"/>
        </w:rPr>
        <w:t> </w:t>
      </w:r>
      <w:r>
        <w:rPr>
          <w:spacing w:val="-3"/>
          <w:w w:val="110"/>
        </w:rPr>
        <w:t>interest</w:t>
      </w:r>
      <w:r>
        <w:rPr>
          <w:spacing w:val="-25"/>
          <w:w w:val="110"/>
        </w:rPr>
        <w:t> </w:t>
      </w:r>
      <w:r>
        <w:rPr>
          <w:spacing w:val="-4"/>
          <w:w w:val="110"/>
        </w:rPr>
        <w:t>rates.</w:t>
      </w:r>
      <w:r>
        <w:rPr>
          <w:spacing w:val="5"/>
          <w:w w:val="110"/>
        </w:rPr>
        <w:t> </w:t>
      </w:r>
      <w:r>
        <w:rPr>
          <w:w w:val="110"/>
        </w:rPr>
        <w:t>But</w:t>
      </w:r>
      <w:r>
        <w:rPr>
          <w:spacing w:val="-24"/>
          <w:w w:val="110"/>
        </w:rPr>
        <w:t> </w:t>
      </w:r>
      <w:r>
        <w:rPr>
          <w:w w:val="110"/>
        </w:rPr>
        <w:t>the</w:t>
      </w:r>
      <w:r>
        <w:rPr>
          <w:spacing w:val="-25"/>
          <w:w w:val="110"/>
        </w:rPr>
        <w:t> </w:t>
      </w:r>
      <w:r>
        <w:rPr>
          <w:w w:val="110"/>
        </w:rPr>
        <w:t>FTSE</w:t>
      </w:r>
      <w:r>
        <w:rPr>
          <w:spacing w:val="-25"/>
          <w:w w:val="110"/>
        </w:rPr>
        <w:t> </w:t>
      </w:r>
      <w:r>
        <w:rPr>
          <w:w w:val="110"/>
        </w:rPr>
        <w:t>All-Share index</w:t>
      </w:r>
      <w:r>
        <w:rPr>
          <w:spacing w:val="-22"/>
          <w:w w:val="110"/>
        </w:rPr>
        <w:t> </w:t>
      </w:r>
      <w:r>
        <w:rPr>
          <w:w w:val="110"/>
        </w:rPr>
        <w:t>in</w:t>
      </w:r>
      <w:r>
        <w:rPr>
          <w:spacing w:val="-22"/>
          <w:w w:val="110"/>
        </w:rPr>
        <w:t> </w:t>
      </w:r>
      <w:r>
        <w:rPr>
          <w:w w:val="110"/>
        </w:rPr>
        <w:t>the</w:t>
      </w:r>
      <w:r>
        <w:rPr>
          <w:spacing w:val="-21"/>
          <w:w w:val="110"/>
        </w:rPr>
        <w:t> </w:t>
      </w:r>
      <w:r>
        <w:rPr>
          <w:spacing w:val="-19"/>
          <w:w w:val="110"/>
        </w:rPr>
        <w:t>15</w:t>
      </w:r>
      <w:r>
        <w:rPr>
          <w:spacing w:val="-22"/>
          <w:w w:val="110"/>
        </w:rPr>
        <w:t> </w:t>
      </w:r>
      <w:r>
        <w:rPr>
          <w:w w:val="110"/>
        </w:rPr>
        <w:t>working</w:t>
      </w:r>
      <w:r>
        <w:rPr>
          <w:spacing w:val="-21"/>
          <w:w w:val="110"/>
        </w:rPr>
        <w:t> </w:t>
      </w:r>
      <w:r>
        <w:rPr>
          <w:spacing w:val="-3"/>
          <w:w w:val="110"/>
        </w:rPr>
        <w:t>days</w:t>
      </w:r>
      <w:r>
        <w:rPr>
          <w:spacing w:val="-22"/>
          <w:w w:val="110"/>
        </w:rPr>
        <w:t> </w:t>
      </w:r>
      <w:r>
        <w:rPr>
          <w:spacing w:val="-4"/>
          <w:w w:val="110"/>
        </w:rPr>
        <w:t>to</w:t>
      </w:r>
      <w:r>
        <w:rPr>
          <w:spacing w:val="-21"/>
          <w:w w:val="110"/>
        </w:rPr>
        <w:t> </w:t>
      </w:r>
      <w:r>
        <w:rPr>
          <w:w w:val="110"/>
        </w:rPr>
        <w:t>7</w:t>
      </w:r>
      <w:r>
        <w:rPr>
          <w:spacing w:val="-22"/>
          <w:w w:val="110"/>
        </w:rPr>
        <w:t> </w:t>
      </w:r>
      <w:r>
        <w:rPr>
          <w:w w:val="110"/>
        </w:rPr>
        <w:t>February</w:t>
      </w:r>
      <w:r>
        <w:rPr>
          <w:spacing w:val="-21"/>
          <w:w w:val="110"/>
        </w:rPr>
        <w:t> </w:t>
      </w:r>
      <w:r>
        <w:rPr>
          <w:spacing w:val="-3"/>
          <w:w w:val="110"/>
        </w:rPr>
        <w:t>was</w:t>
      </w:r>
      <w:r>
        <w:rPr>
          <w:spacing w:val="-22"/>
          <w:w w:val="110"/>
        </w:rPr>
        <w:t> </w:t>
      </w:r>
      <w:r>
        <w:rPr>
          <w:w w:val="110"/>
        </w:rPr>
        <w:t>some</w:t>
      </w:r>
      <w:r>
        <w:rPr>
          <w:spacing w:val="-21"/>
          <w:w w:val="110"/>
        </w:rPr>
        <w:t> </w:t>
      </w:r>
      <w:r>
        <w:rPr>
          <w:w w:val="110"/>
        </w:rPr>
        <w:t>3%</w:t>
      </w:r>
      <w:r>
        <w:rPr>
          <w:spacing w:val="-22"/>
          <w:w w:val="110"/>
        </w:rPr>
        <w:t> </w:t>
      </w:r>
      <w:r>
        <w:rPr>
          <w:w w:val="110"/>
        </w:rPr>
        <w:t>below the central path projected in the November </w:t>
      </w:r>
      <w:r>
        <w:rPr>
          <w:i/>
          <w:w w:val="110"/>
        </w:rPr>
        <w:t>Report</w:t>
      </w:r>
      <w:r>
        <w:rPr>
          <w:w w:val="110"/>
        </w:rPr>
        <w:t>. The </w:t>
      </w:r>
      <w:r>
        <w:rPr>
          <w:spacing w:val="-3"/>
          <w:w w:val="110"/>
        </w:rPr>
        <w:t>Committee </w:t>
      </w:r>
      <w:r>
        <w:rPr>
          <w:w w:val="110"/>
        </w:rPr>
        <w:t>has retained the assumption in the central projection that </w:t>
      </w:r>
      <w:r>
        <w:rPr>
          <w:spacing w:val="-3"/>
          <w:w w:val="110"/>
        </w:rPr>
        <w:t>equity </w:t>
      </w:r>
      <w:r>
        <w:rPr>
          <w:w w:val="110"/>
        </w:rPr>
        <w:t>wealth increases from the current </w:t>
      </w:r>
      <w:r>
        <w:rPr>
          <w:spacing w:val="-3"/>
          <w:w w:val="110"/>
        </w:rPr>
        <w:t>level </w:t>
      </w:r>
      <w:r>
        <w:rPr>
          <w:w w:val="110"/>
        </w:rPr>
        <w:t>in</w:t>
      </w:r>
      <w:r>
        <w:rPr>
          <w:spacing w:val="-26"/>
          <w:w w:val="110"/>
        </w:rPr>
        <w:t> </w:t>
      </w:r>
      <w:r>
        <w:rPr>
          <w:w w:val="110"/>
        </w:rPr>
        <w:t>line</w:t>
      </w:r>
      <w:r>
        <w:rPr>
          <w:spacing w:val="-25"/>
          <w:w w:val="110"/>
        </w:rPr>
        <w:t> </w:t>
      </w:r>
      <w:r>
        <w:rPr>
          <w:w w:val="110"/>
        </w:rPr>
        <w:t>with</w:t>
      </w:r>
      <w:r>
        <w:rPr>
          <w:spacing w:val="-25"/>
          <w:w w:val="110"/>
        </w:rPr>
        <w:t> </w:t>
      </w:r>
      <w:r>
        <w:rPr>
          <w:w w:val="110"/>
        </w:rPr>
        <w:t>nominal</w:t>
      </w:r>
      <w:r>
        <w:rPr>
          <w:spacing w:val="-25"/>
          <w:w w:val="110"/>
        </w:rPr>
        <w:t> </w:t>
      </w:r>
      <w:r>
        <w:rPr>
          <w:spacing w:val="-9"/>
          <w:w w:val="110"/>
        </w:rPr>
        <w:t>GDP.</w:t>
      </w:r>
      <w:r>
        <w:rPr>
          <w:spacing w:val="5"/>
          <w:w w:val="110"/>
        </w:rPr>
        <w:t> </w:t>
      </w:r>
      <w:r>
        <w:rPr>
          <w:w w:val="110"/>
        </w:rPr>
        <w:t>The</w:t>
      </w:r>
      <w:r>
        <w:rPr>
          <w:spacing w:val="-25"/>
          <w:w w:val="110"/>
        </w:rPr>
        <w:t> </w:t>
      </w:r>
      <w:r>
        <w:rPr>
          <w:w w:val="110"/>
        </w:rPr>
        <w:t>profile</w:t>
      </w:r>
      <w:r>
        <w:rPr>
          <w:spacing w:val="-25"/>
          <w:w w:val="110"/>
        </w:rPr>
        <w:t> </w:t>
      </w:r>
      <w:r>
        <w:rPr>
          <w:w w:val="110"/>
        </w:rPr>
        <w:t>for</w:t>
      </w:r>
      <w:r>
        <w:rPr>
          <w:spacing w:val="-25"/>
          <w:w w:val="110"/>
        </w:rPr>
        <w:t> </w:t>
      </w:r>
      <w:r>
        <w:rPr>
          <w:w w:val="110"/>
        </w:rPr>
        <w:t>financial</w:t>
      </w:r>
      <w:r>
        <w:rPr>
          <w:spacing w:val="-25"/>
          <w:w w:val="110"/>
        </w:rPr>
        <w:t> </w:t>
      </w:r>
      <w:r>
        <w:rPr>
          <w:w w:val="110"/>
        </w:rPr>
        <w:t>wealth</w:t>
      </w:r>
      <w:r>
        <w:rPr>
          <w:spacing w:val="-25"/>
          <w:w w:val="110"/>
        </w:rPr>
        <w:t> </w:t>
      </w:r>
      <w:r>
        <w:rPr>
          <w:spacing w:val="-3"/>
          <w:w w:val="110"/>
        </w:rPr>
        <w:t>over </w:t>
      </w:r>
      <w:r>
        <w:rPr>
          <w:w w:val="110"/>
        </w:rPr>
        <w:t>the</w:t>
      </w:r>
      <w:r>
        <w:rPr>
          <w:spacing w:val="-16"/>
          <w:w w:val="110"/>
        </w:rPr>
        <w:t> </w:t>
      </w:r>
      <w:r>
        <w:rPr>
          <w:w w:val="110"/>
        </w:rPr>
        <w:t>forecast</w:t>
      </w:r>
      <w:r>
        <w:rPr>
          <w:spacing w:val="-16"/>
          <w:w w:val="110"/>
        </w:rPr>
        <w:t> </w:t>
      </w:r>
      <w:r>
        <w:rPr>
          <w:w w:val="110"/>
        </w:rPr>
        <w:t>period</w:t>
      </w:r>
      <w:r>
        <w:rPr>
          <w:spacing w:val="-15"/>
          <w:w w:val="110"/>
        </w:rPr>
        <w:t> </w:t>
      </w:r>
      <w:r>
        <w:rPr>
          <w:w w:val="110"/>
        </w:rPr>
        <w:t>is</w:t>
      </w:r>
      <w:r>
        <w:rPr>
          <w:spacing w:val="-16"/>
          <w:w w:val="110"/>
        </w:rPr>
        <w:t> </w:t>
      </w:r>
      <w:r>
        <w:rPr>
          <w:spacing w:val="-3"/>
          <w:w w:val="110"/>
        </w:rPr>
        <w:t>weaker</w:t>
      </w:r>
      <w:r>
        <w:rPr>
          <w:spacing w:val="-16"/>
          <w:w w:val="110"/>
        </w:rPr>
        <w:t> </w:t>
      </w:r>
      <w:r>
        <w:rPr>
          <w:w w:val="110"/>
        </w:rPr>
        <w:t>than</w:t>
      </w:r>
      <w:r>
        <w:rPr>
          <w:spacing w:val="-15"/>
          <w:w w:val="110"/>
        </w:rPr>
        <w:t> </w:t>
      </w:r>
      <w:r>
        <w:rPr>
          <w:w w:val="110"/>
        </w:rPr>
        <w:t>in</w:t>
      </w:r>
      <w:r>
        <w:rPr>
          <w:spacing w:val="-16"/>
          <w:w w:val="110"/>
        </w:rPr>
        <w:t> </w:t>
      </w:r>
      <w:r>
        <w:rPr>
          <w:spacing w:val="-3"/>
          <w:w w:val="110"/>
        </w:rPr>
        <w:t>November,</w:t>
      </w:r>
      <w:r>
        <w:rPr>
          <w:spacing w:val="-16"/>
          <w:w w:val="110"/>
        </w:rPr>
        <w:t> </w:t>
      </w:r>
      <w:r>
        <w:rPr>
          <w:w w:val="110"/>
        </w:rPr>
        <w:t>reflecting</w:t>
      </w:r>
      <w:r>
        <w:rPr>
          <w:spacing w:val="-15"/>
          <w:w w:val="110"/>
        </w:rPr>
        <w:t> </w:t>
      </w:r>
      <w:r>
        <w:rPr>
          <w:w w:val="110"/>
        </w:rPr>
        <w:t>the </w:t>
      </w:r>
      <w:r>
        <w:rPr>
          <w:spacing w:val="-3"/>
          <w:w w:val="110"/>
        </w:rPr>
        <w:t>lower</w:t>
      </w:r>
      <w:r>
        <w:rPr>
          <w:spacing w:val="-6"/>
          <w:w w:val="110"/>
        </w:rPr>
        <w:t> </w:t>
      </w:r>
      <w:r>
        <w:rPr>
          <w:w w:val="110"/>
        </w:rPr>
        <w:t>starting-point.</w:t>
      </w:r>
    </w:p>
    <w:p>
      <w:pPr>
        <w:pStyle w:val="BodyText"/>
        <w:spacing w:before="8"/>
        <w:rPr>
          <w:sz w:val="23"/>
        </w:rPr>
      </w:pPr>
    </w:p>
    <w:p>
      <w:pPr>
        <w:pStyle w:val="BodyText"/>
        <w:spacing w:line="292" w:lineRule="auto"/>
        <w:ind w:left="5095" w:right="234"/>
      </w:pPr>
      <w:r>
        <w:rPr>
          <w:w w:val="105"/>
        </w:rPr>
        <w:t>Forward-looking indicators of activity in the housing market </w:t>
      </w:r>
      <w:r>
        <w:rPr>
          <w:spacing w:val="-3"/>
          <w:w w:val="105"/>
        </w:rPr>
        <w:t>have </w:t>
      </w:r>
      <w:r>
        <w:rPr>
          <w:w w:val="105"/>
        </w:rPr>
        <w:t>strengthened a little in recent months after softening through much of last </w:t>
      </w:r>
      <w:r>
        <w:rPr>
          <w:spacing w:val="-4"/>
          <w:w w:val="105"/>
        </w:rPr>
        <w:t>year.  </w:t>
      </w:r>
      <w:r>
        <w:rPr>
          <w:w w:val="105"/>
        </w:rPr>
        <w:t>Alternative indicators of house price inflation </w:t>
      </w:r>
      <w:r>
        <w:rPr>
          <w:spacing w:val="-3"/>
          <w:w w:val="105"/>
        </w:rPr>
        <w:t>have </w:t>
      </w:r>
      <w:r>
        <w:rPr>
          <w:w w:val="105"/>
        </w:rPr>
        <w:t>pointed in different directions in recent months, illustrating the uncertainties in assessing trends.</w:t>
      </w:r>
      <w:r>
        <w:rPr>
          <w:spacing w:val="26"/>
          <w:w w:val="105"/>
        </w:rPr>
        <w:t> </w:t>
      </w:r>
      <w:r>
        <w:rPr>
          <w:w w:val="105"/>
        </w:rPr>
        <w:t>But,</w:t>
      </w:r>
    </w:p>
    <w:p>
      <w:pPr>
        <w:spacing w:after="0" w:line="292" w:lineRule="auto"/>
        <w:sectPr>
          <w:pgSz w:w="11900" w:h="16840"/>
          <w:pgMar w:header="601" w:footer="575" w:top="800" w:bottom="760" w:left="640" w:right="640"/>
        </w:sectPr>
      </w:pPr>
    </w:p>
    <w:p>
      <w:pPr>
        <w:pStyle w:val="BodyText"/>
      </w:pPr>
    </w:p>
    <w:p>
      <w:pPr>
        <w:pStyle w:val="BodyText"/>
        <w:spacing w:before="6"/>
      </w:pPr>
    </w:p>
    <w:p>
      <w:pPr>
        <w:pStyle w:val="BodyText"/>
        <w:spacing w:line="292" w:lineRule="auto" w:before="1"/>
        <w:ind w:left="5111"/>
      </w:pPr>
      <w:bookmarkStart w:name="The output and inflation projections" w:id="94"/>
      <w:bookmarkEnd w:id="94"/>
      <w:r>
        <w:rPr/>
      </w:r>
      <w:bookmarkStart w:name="_bookmark47" w:id="95"/>
      <w:bookmarkEnd w:id="95"/>
      <w:r>
        <w:rPr/>
      </w:r>
      <w:r>
        <w:rPr>
          <w:w w:val="110"/>
        </w:rPr>
        <w:t>taking all the evidence together, there seems </w:t>
      </w:r>
      <w:r>
        <w:rPr>
          <w:spacing w:val="-4"/>
          <w:w w:val="110"/>
        </w:rPr>
        <w:t>to </w:t>
      </w:r>
      <w:r>
        <w:rPr>
          <w:w w:val="110"/>
        </w:rPr>
        <w:t>be relatively little</w:t>
      </w:r>
      <w:r>
        <w:rPr>
          <w:spacing w:val="-21"/>
          <w:w w:val="110"/>
        </w:rPr>
        <w:t> </w:t>
      </w:r>
      <w:r>
        <w:rPr>
          <w:w w:val="110"/>
        </w:rPr>
        <w:t>change</w:t>
      </w:r>
      <w:r>
        <w:rPr>
          <w:spacing w:val="-20"/>
          <w:w w:val="110"/>
        </w:rPr>
        <w:t> </w:t>
      </w:r>
      <w:r>
        <w:rPr>
          <w:spacing w:val="-4"/>
          <w:w w:val="110"/>
        </w:rPr>
        <w:t>to</w:t>
      </w:r>
      <w:r>
        <w:rPr>
          <w:spacing w:val="-20"/>
          <w:w w:val="110"/>
        </w:rPr>
        <w:t> </w:t>
      </w:r>
      <w:r>
        <w:rPr>
          <w:w w:val="110"/>
        </w:rPr>
        <w:t>housing</w:t>
      </w:r>
      <w:r>
        <w:rPr>
          <w:spacing w:val="-20"/>
          <w:w w:val="110"/>
        </w:rPr>
        <w:t> </w:t>
      </w:r>
      <w:r>
        <w:rPr>
          <w:spacing w:val="-2"/>
          <w:w w:val="110"/>
        </w:rPr>
        <w:t>market</w:t>
      </w:r>
      <w:r>
        <w:rPr>
          <w:spacing w:val="-21"/>
          <w:w w:val="110"/>
        </w:rPr>
        <w:t> </w:t>
      </w:r>
      <w:r>
        <w:rPr>
          <w:w w:val="110"/>
        </w:rPr>
        <w:t>prospects.</w:t>
      </w:r>
      <w:r>
        <w:rPr>
          <w:spacing w:val="16"/>
          <w:w w:val="110"/>
        </w:rPr>
        <w:t> </w:t>
      </w:r>
      <w:r>
        <w:rPr>
          <w:w w:val="110"/>
        </w:rPr>
        <w:t>As</w:t>
      </w:r>
      <w:r>
        <w:rPr>
          <w:spacing w:val="-21"/>
          <w:w w:val="110"/>
        </w:rPr>
        <w:t> </w:t>
      </w:r>
      <w:r>
        <w:rPr>
          <w:w w:val="110"/>
        </w:rPr>
        <w:t>in</w:t>
      </w:r>
      <w:r>
        <w:rPr>
          <w:spacing w:val="-20"/>
          <w:w w:val="110"/>
        </w:rPr>
        <w:t> </w:t>
      </w:r>
      <w:r>
        <w:rPr>
          <w:w w:val="110"/>
        </w:rPr>
        <w:t>the</w:t>
      </w:r>
      <w:r>
        <w:rPr>
          <w:spacing w:val="-20"/>
          <w:w w:val="110"/>
        </w:rPr>
        <w:t> </w:t>
      </w:r>
      <w:r>
        <w:rPr>
          <w:w w:val="110"/>
        </w:rPr>
        <w:t>November projection, house prices are likely </w:t>
      </w:r>
      <w:r>
        <w:rPr>
          <w:spacing w:val="-4"/>
          <w:w w:val="110"/>
        </w:rPr>
        <w:t>to </w:t>
      </w:r>
      <w:r>
        <w:rPr>
          <w:w w:val="110"/>
        </w:rPr>
        <w:t>rise a little </w:t>
      </w:r>
      <w:r>
        <w:rPr>
          <w:spacing w:val="-3"/>
          <w:w w:val="110"/>
        </w:rPr>
        <w:t>faster </w:t>
      </w:r>
      <w:r>
        <w:rPr>
          <w:w w:val="110"/>
        </w:rPr>
        <w:t>than earnings </w:t>
      </w:r>
      <w:r>
        <w:rPr>
          <w:spacing w:val="-3"/>
          <w:w w:val="110"/>
        </w:rPr>
        <w:t>over </w:t>
      </w:r>
      <w:r>
        <w:rPr>
          <w:w w:val="110"/>
        </w:rPr>
        <w:t>the next </w:t>
      </w:r>
      <w:r>
        <w:rPr>
          <w:spacing w:val="-5"/>
          <w:w w:val="110"/>
        </w:rPr>
        <w:t>two</w:t>
      </w:r>
      <w:r>
        <w:rPr>
          <w:spacing w:val="-30"/>
          <w:w w:val="110"/>
        </w:rPr>
        <w:t> </w:t>
      </w:r>
      <w:r>
        <w:rPr>
          <w:spacing w:val="-3"/>
          <w:w w:val="110"/>
        </w:rPr>
        <w:t>years.</w:t>
      </w:r>
    </w:p>
    <w:p>
      <w:pPr>
        <w:pStyle w:val="BodyText"/>
        <w:spacing w:before="10"/>
        <w:rPr>
          <w:sz w:val="25"/>
        </w:rPr>
      </w:pPr>
    </w:p>
    <w:p>
      <w:pPr>
        <w:pStyle w:val="BodyText"/>
        <w:spacing w:line="292" w:lineRule="auto"/>
        <w:ind w:left="5111" w:right="172"/>
      </w:pPr>
      <w:r>
        <w:rPr>
          <w:w w:val="110"/>
        </w:rPr>
        <w:t>There</w:t>
      </w:r>
      <w:r>
        <w:rPr>
          <w:spacing w:val="-16"/>
          <w:w w:val="110"/>
        </w:rPr>
        <w:t> </w:t>
      </w:r>
      <w:r>
        <w:rPr>
          <w:w w:val="110"/>
        </w:rPr>
        <w:t>has</w:t>
      </w:r>
      <w:r>
        <w:rPr>
          <w:spacing w:val="-16"/>
          <w:w w:val="110"/>
        </w:rPr>
        <w:t> </w:t>
      </w:r>
      <w:r>
        <w:rPr>
          <w:w w:val="110"/>
        </w:rPr>
        <w:t>been</w:t>
      </w:r>
      <w:r>
        <w:rPr>
          <w:spacing w:val="-16"/>
          <w:w w:val="110"/>
        </w:rPr>
        <w:t> </w:t>
      </w:r>
      <w:r>
        <w:rPr>
          <w:w w:val="110"/>
        </w:rPr>
        <w:t>no</w:t>
      </w:r>
      <w:r>
        <w:rPr>
          <w:spacing w:val="-16"/>
          <w:w w:val="110"/>
        </w:rPr>
        <w:t> </w:t>
      </w:r>
      <w:r>
        <w:rPr>
          <w:w w:val="110"/>
        </w:rPr>
        <w:t>change</w:t>
      </w:r>
      <w:r>
        <w:rPr>
          <w:spacing w:val="-16"/>
          <w:w w:val="110"/>
        </w:rPr>
        <w:t> </w:t>
      </w:r>
      <w:r>
        <w:rPr>
          <w:spacing w:val="-4"/>
          <w:w w:val="110"/>
        </w:rPr>
        <w:t>to</w:t>
      </w:r>
      <w:r>
        <w:rPr>
          <w:spacing w:val="-16"/>
          <w:w w:val="110"/>
        </w:rPr>
        <w:t> </w:t>
      </w:r>
      <w:r>
        <w:rPr>
          <w:w w:val="110"/>
        </w:rPr>
        <w:t>the</w:t>
      </w:r>
      <w:r>
        <w:rPr>
          <w:spacing w:val="-16"/>
          <w:w w:val="110"/>
        </w:rPr>
        <w:t> </w:t>
      </w:r>
      <w:r>
        <w:rPr>
          <w:w w:val="110"/>
        </w:rPr>
        <w:t>assumptions</w:t>
      </w:r>
      <w:r>
        <w:rPr>
          <w:spacing w:val="-16"/>
          <w:w w:val="110"/>
        </w:rPr>
        <w:t> </w:t>
      </w:r>
      <w:r>
        <w:rPr>
          <w:w w:val="110"/>
        </w:rPr>
        <w:t>on</w:t>
      </w:r>
      <w:r>
        <w:rPr>
          <w:spacing w:val="-16"/>
          <w:w w:val="110"/>
        </w:rPr>
        <w:t> </w:t>
      </w:r>
      <w:r>
        <w:rPr>
          <w:w w:val="110"/>
        </w:rPr>
        <w:t>fiscal</w:t>
      </w:r>
      <w:r>
        <w:rPr>
          <w:spacing w:val="-16"/>
          <w:w w:val="110"/>
        </w:rPr>
        <w:t> </w:t>
      </w:r>
      <w:r>
        <w:rPr>
          <w:w w:val="110"/>
        </w:rPr>
        <w:t>policy in the current </w:t>
      </w:r>
      <w:r>
        <w:rPr>
          <w:i/>
          <w:w w:val="110"/>
        </w:rPr>
        <w:t>Report</w:t>
      </w:r>
      <w:r>
        <w:rPr>
          <w:w w:val="110"/>
        </w:rPr>
        <w:t>. The </w:t>
      </w:r>
      <w:r>
        <w:rPr>
          <w:spacing w:val="-3"/>
          <w:w w:val="110"/>
        </w:rPr>
        <w:t>Committee </w:t>
      </w:r>
      <w:r>
        <w:rPr>
          <w:w w:val="110"/>
        </w:rPr>
        <w:t>continues </w:t>
      </w:r>
      <w:r>
        <w:rPr>
          <w:spacing w:val="-4"/>
          <w:w w:val="110"/>
        </w:rPr>
        <w:t>to </w:t>
      </w:r>
      <w:r>
        <w:rPr>
          <w:w w:val="110"/>
        </w:rPr>
        <w:t>base the central projection for the volume of public spending on the </w:t>
      </w:r>
      <w:r>
        <w:rPr>
          <w:spacing w:val="-3"/>
          <w:w w:val="110"/>
        </w:rPr>
        <w:t>Government’s</w:t>
      </w:r>
      <w:r>
        <w:rPr>
          <w:spacing w:val="-25"/>
          <w:w w:val="110"/>
        </w:rPr>
        <w:t> </w:t>
      </w:r>
      <w:r>
        <w:rPr>
          <w:w w:val="110"/>
        </w:rPr>
        <w:t>published</w:t>
      </w:r>
      <w:r>
        <w:rPr>
          <w:spacing w:val="-25"/>
          <w:w w:val="110"/>
        </w:rPr>
        <w:t> </w:t>
      </w:r>
      <w:r>
        <w:rPr>
          <w:w w:val="110"/>
        </w:rPr>
        <w:t>cash</w:t>
      </w:r>
      <w:r>
        <w:rPr>
          <w:spacing w:val="-24"/>
          <w:w w:val="110"/>
        </w:rPr>
        <w:t> </w:t>
      </w:r>
      <w:r>
        <w:rPr>
          <w:w w:val="110"/>
        </w:rPr>
        <w:t>plans,</w:t>
      </w:r>
      <w:r>
        <w:rPr>
          <w:spacing w:val="-25"/>
          <w:w w:val="110"/>
        </w:rPr>
        <w:t> </w:t>
      </w:r>
      <w:r>
        <w:rPr>
          <w:w w:val="110"/>
        </w:rPr>
        <w:t>as</w:t>
      </w:r>
      <w:r>
        <w:rPr>
          <w:spacing w:val="-24"/>
          <w:w w:val="110"/>
        </w:rPr>
        <w:t> </w:t>
      </w:r>
      <w:r>
        <w:rPr>
          <w:w w:val="110"/>
        </w:rPr>
        <w:t>outlined</w:t>
      </w:r>
      <w:r>
        <w:rPr>
          <w:spacing w:val="-25"/>
          <w:w w:val="110"/>
        </w:rPr>
        <w:t> </w:t>
      </w:r>
      <w:r>
        <w:rPr>
          <w:w w:val="110"/>
        </w:rPr>
        <w:t>most</w:t>
      </w:r>
      <w:r>
        <w:rPr>
          <w:spacing w:val="-24"/>
          <w:w w:val="110"/>
        </w:rPr>
        <w:t> </w:t>
      </w:r>
      <w:r>
        <w:rPr>
          <w:w w:val="110"/>
        </w:rPr>
        <w:t>recently in</w:t>
      </w:r>
      <w:r>
        <w:rPr>
          <w:spacing w:val="-28"/>
          <w:w w:val="110"/>
        </w:rPr>
        <w:t> </w:t>
      </w:r>
      <w:r>
        <w:rPr>
          <w:w w:val="110"/>
        </w:rPr>
        <w:t>the</w:t>
      </w:r>
      <w:r>
        <w:rPr>
          <w:spacing w:val="-27"/>
          <w:w w:val="110"/>
        </w:rPr>
        <w:t> </w:t>
      </w:r>
      <w:r>
        <w:rPr>
          <w:w w:val="110"/>
        </w:rPr>
        <w:t>November</w:t>
      </w:r>
      <w:r>
        <w:rPr>
          <w:spacing w:val="-28"/>
          <w:w w:val="110"/>
        </w:rPr>
        <w:t> </w:t>
      </w:r>
      <w:r>
        <w:rPr>
          <w:spacing w:val="-4"/>
          <w:w w:val="110"/>
        </w:rPr>
        <w:t>2000</w:t>
      </w:r>
      <w:r>
        <w:rPr>
          <w:spacing w:val="-27"/>
          <w:w w:val="110"/>
        </w:rPr>
        <w:t> </w:t>
      </w:r>
      <w:r>
        <w:rPr>
          <w:w w:val="110"/>
        </w:rPr>
        <w:t>Pre-Budget</w:t>
      </w:r>
      <w:r>
        <w:rPr>
          <w:spacing w:val="-27"/>
          <w:w w:val="110"/>
        </w:rPr>
        <w:t> </w:t>
      </w:r>
      <w:r>
        <w:rPr>
          <w:w w:val="110"/>
        </w:rPr>
        <w:t>Report</w:t>
      </w:r>
      <w:r>
        <w:rPr>
          <w:spacing w:val="-28"/>
          <w:w w:val="110"/>
        </w:rPr>
        <w:t> </w:t>
      </w:r>
      <w:r>
        <w:rPr>
          <w:w w:val="110"/>
        </w:rPr>
        <w:t>(PBR),</w:t>
      </w:r>
      <w:r>
        <w:rPr>
          <w:spacing w:val="-27"/>
          <w:w w:val="110"/>
        </w:rPr>
        <w:t> </w:t>
      </w:r>
      <w:r>
        <w:rPr>
          <w:w w:val="110"/>
        </w:rPr>
        <w:t>modified</w:t>
      </w:r>
      <w:r>
        <w:rPr>
          <w:spacing w:val="-27"/>
          <w:w w:val="110"/>
        </w:rPr>
        <w:t> </w:t>
      </w:r>
      <w:r>
        <w:rPr>
          <w:spacing w:val="-3"/>
          <w:w w:val="110"/>
        </w:rPr>
        <w:t>by </w:t>
      </w:r>
      <w:r>
        <w:rPr>
          <w:w w:val="110"/>
        </w:rPr>
        <w:t>the</w:t>
      </w:r>
      <w:r>
        <w:rPr>
          <w:spacing w:val="-16"/>
          <w:w w:val="110"/>
        </w:rPr>
        <w:t> </w:t>
      </w:r>
      <w:r>
        <w:rPr>
          <w:spacing w:val="-4"/>
          <w:w w:val="110"/>
        </w:rPr>
        <w:t>Committee’s</w:t>
      </w:r>
      <w:r>
        <w:rPr>
          <w:spacing w:val="-15"/>
          <w:w w:val="110"/>
        </w:rPr>
        <w:t> </w:t>
      </w:r>
      <w:r>
        <w:rPr>
          <w:w w:val="110"/>
        </w:rPr>
        <w:t>assessment</w:t>
      </w:r>
      <w:r>
        <w:rPr>
          <w:spacing w:val="-16"/>
          <w:w w:val="110"/>
        </w:rPr>
        <w:t> </w:t>
      </w:r>
      <w:r>
        <w:rPr>
          <w:w w:val="110"/>
        </w:rPr>
        <w:t>of</w:t>
      </w:r>
      <w:r>
        <w:rPr>
          <w:spacing w:val="-15"/>
          <w:w w:val="110"/>
        </w:rPr>
        <w:t> </w:t>
      </w:r>
      <w:r>
        <w:rPr>
          <w:w w:val="110"/>
        </w:rPr>
        <w:t>the</w:t>
      </w:r>
      <w:r>
        <w:rPr>
          <w:spacing w:val="-15"/>
          <w:w w:val="110"/>
        </w:rPr>
        <w:t> </w:t>
      </w:r>
      <w:r>
        <w:rPr>
          <w:w w:val="110"/>
        </w:rPr>
        <w:t>prospects</w:t>
      </w:r>
      <w:r>
        <w:rPr>
          <w:spacing w:val="-16"/>
          <w:w w:val="110"/>
        </w:rPr>
        <w:t> </w:t>
      </w:r>
      <w:r>
        <w:rPr>
          <w:w w:val="110"/>
        </w:rPr>
        <w:t>for</w:t>
      </w:r>
      <w:r>
        <w:rPr>
          <w:spacing w:val="-15"/>
          <w:w w:val="110"/>
        </w:rPr>
        <w:t> </w:t>
      </w:r>
      <w:r>
        <w:rPr>
          <w:w w:val="110"/>
        </w:rPr>
        <w:t>inflation.</w:t>
      </w:r>
    </w:p>
    <w:p>
      <w:pPr>
        <w:pStyle w:val="BodyText"/>
        <w:spacing w:line="292" w:lineRule="auto"/>
        <w:ind w:left="5111" w:right="140"/>
      </w:pPr>
      <w:r>
        <w:rPr>
          <w:spacing w:val="-3"/>
          <w:w w:val="110"/>
        </w:rPr>
        <w:t>Revenue </w:t>
      </w:r>
      <w:r>
        <w:rPr>
          <w:w w:val="110"/>
        </w:rPr>
        <w:t>assumptions are based on HM </w:t>
      </w:r>
      <w:r>
        <w:rPr>
          <w:spacing w:val="-5"/>
          <w:w w:val="110"/>
        </w:rPr>
        <w:t>Treasury’s </w:t>
      </w:r>
      <w:r>
        <w:rPr>
          <w:spacing w:val="-3"/>
          <w:w w:val="110"/>
        </w:rPr>
        <w:t>latest </w:t>
      </w:r>
      <w:r>
        <w:rPr>
          <w:w w:val="110"/>
        </w:rPr>
        <w:t>published</w:t>
      </w:r>
      <w:r>
        <w:rPr>
          <w:spacing w:val="-21"/>
          <w:w w:val="110"/>
        </w:rPr>
        <w:t> </w:t>
      </w:r>
      <w:r>
        <w:rPr>
          <w:w w:val="110"/>
        </w:rPr>
        <w:t>estimates</w:t>
      </w:r>
      <w:r>
        <w:rPr>
          <w:spacing w:val="-20"/>
          <w:w w:val="110"/>
        </w:rPr>
        <w:t> </w:t>
      </w:r>
      <w:r>
        <w:rPr>
          <w:w w:val="110"/>
        </w:rPr>
        <w:t>of</w:t>
      </w:r>
      <w:r>
        <w:rPr>
          <w:spacing w:val="-20"/>
          <w:w w:val="110"/>
        </w:rPr>
        <w:t> </w:t>
      </w:r>
      <w:r>
        <w:rPr>
          <w:spacing w:val="-3"/>
          <w:w w:val="110"/>
        </w:rPr>
        <w:t>average</w:t>
      </w:r>
      <w:r>
        <w:rPr>
          <w:spacing w:val="-20"/>
          <w:w w:val="110"/>
        </w:rPr>
        <w:t> </w:t>
      </w:r>
      <w:r>
        <w:rPr>
          <w:w w:val="110"/>
        </w:rPr>
        <w:t>tax</w:t>
      </w:r>
      <w:r>
        <w:rPr>
          <w:spacing w:val="-20"/>
          <w:w w:val="110"/>
        </w:rPr>
        <w:t> </w:t>
      </w:r>
      <w:r>
        <w:rPr>
          <w:spacing w:val="-4"/>
          <w:w w:val="110"/>
        </w:rPr>
        <w:t>rates</w:t>
      </w:r>
      <w:r>
        <w:rPr>
          <w:spacing w:val="-20"/>
          <w:w w:val="110"/>
        </w:rPr>
        <w:t> </w:t>
      </w:r>
      <w:r>
        <w:rPr>
          <w:w w:val="110"/>
        </w:rPr>
        <w:t>in</w:t>
      </w:r>
      <w:r>
        <w:rPr>
          <w:spacing w:val="-20"/>
          <w:w w:val="110"/>
        </w:rPr>
        <w:t> </w:t>
      </w:r>
      <w:r>
        <w:rPr>
          <w:w w:val="110"/>
        </w:rPr>
        <w:t>the</w:t>
      </w:r>
      <w:r>
        <w:rPr>
          <w:spacing w:val="-20"/>
          <w:w w:val="110"/>
        </w:rPr>
        <w:t> </w:t>
      </w:r>
      <w:r>
        <w:rPr>
          <w:w w:val="110"/>
        </w:rPr>
        <w:t>PBR,</w:t>
      </w:r>
      <w:r>
        <w:rPr>
          <w:spacing w:val="-20"/>
          <w:w w:val="110"/>
        </w:rPr>
        <w:t> </w:t>
      </w:r>
      <w:r>
        <w:rPr>
          <w:w w:val="110"/>
        </w:rPr>
        <w:t>which</w:t>
      </w:r>
      <w:r>
        <w:rPr>
          <w:spacing w:val="-20"/>
          <w:w w:val="110"/>
        </w:rPr>
        <w:t> </w:t>
      </w:r>
      <w:r>
        <w:rPr>
          <w:w w:val="110"/>
        </w:rPr>
        <w:t>are then applied </w:t>
      </w:r>
      <w:r>
        <w:rPr>
          <w:spacing w:val="-4"/>
          <w:w w:val="110"/>
        </w:rPr>
        <w:t>to </w:t>
      </w:r>
      <w:r>
        <w:rPr>
          <w:w w:val="110"/>
        </w:rPr>
        <w:t>the </w:t>
      </w:r>
      <w:r>
        <w:rPr>
          <w:spacing w:val="-3"/>
          <w:w w:val="110"/>
        </w:rPr>
        <w:t>Committee’s </w:t>
      </w:r>
      <w:r>
        <w:rPr>
          <w:w w:val="110"/>
        </w:rPr>
        <w:t>economic projections. The </w:t>
      </w:r>
      <w:r>
        <w:rPr>
          <w:spacing w:val="-3"/>
          <w:w w:val="110"/>
        </w:rPr>
        <w:t>Committee</w:t>
      </w:r>
      <w:r>
        <w:rPr>
          <w:spacing w:val="-26"/>
          <w:w w:val="110"/>
        </w:rPr>
        <w:t> </w:t>
      </w:r>
      <w:r>
        <w:rPr>
          <w:w w:val="110"/>
        </w:rPr>
        <w:t>will</w:t>
      </w:r>
      <w:r>
        <w:rPr>
          <w:spacing w:val="-26"/>
          <w:w w:val="110"/>
        </w:rPr>
        <w:t> </w:t>
      </w:r>
      <w:r>
        <w:rPr>
          <w:w w:val="110"/>
        </w:rPr>
        <w:t>revisit</w:t>
      </w:r>
      <w:r>
        <w:rPr>
          <w:spacing w:val="-26"/>
          <w:w w:val="110"/>
        </w:rPr>
        <w:t> </w:t>
      </w:r>
      <w:r>
        <w:rPr>
          <w:w w:val="110"/>
        </w:rPr>
        <w:t>the</w:t>
      </w:r>
      <w:r>
        <w:rPr>
          <w:spacing w:val="-26"/>
          <w:w w:val="110"/>
        </w:rPr>
        <w:t> </w:t>
      </w:r>
      <w:r>
        <w:rPr>
          <w:w w:val="110"/>
        </w:rPr>
        <w:t>fiscal</w:t>
      </w:r>
      <w:r>
        <w:rPr>
          <w:spacing w:val="-26"/>
          <w:w w:val="110"/>
        </w:rPr>
        <w:t> </w:t>
      </w:r>
      <w:r>
        <w:rPr>
          <w:w w:val="110"/>
        </w:rPr>
        <w:t>policy</w:t>
      </w:r>
      <w:r>
        <w:rPr>
          <w:spacing w:val="-26"/>
          <w:w w:val="110"/>
        </w:rPr>
        <w:t> </w:t>
      </w:r>
      <w:r>
        <w:rPr>
          <w:w w:val="110"/>
        </w:rPr>
        <w:t>assumptions</w:t>
      </w:r>
      <w:r>
        <w:rPr>
          <w:spacing w:val="-26"/>
          <w:w w:val="110"/>
        </w:rPr>
        <w:t> </w:t>
      </w:r>
      <w:r>
        <w:rPr>
          <w:w w:val="110"/>
        </w:rPr>
        <w:t>in</w:t>
      </w:r>
      <w:r>
        <w:rPr>
          <w:spacing w:val="-25"/>
          <w:w w:val="110"/>
        </w:rPr>
        <w:t> </w:t>
      </w:r>
      <w:r>
        <w:rPr>
          <w:w w:val="110"/>
        </w:rPr>
        <w:t>the</w:t>
      </w:r>
      <w:r>
        <w:rPr>
          <w:spacing w:val="-26"/>
          <w:w w:val="110"/>
        </w:rPr>
        <w:t> </w:t>
      </w:r>
      <w:r>
        <w:rPr>
          <w:w w:val="110"/>
        </w:rPr>
        <w:t>light of the forthcoming</w:t>
      </w:r>
      <w:r>
        <w:rPr>
          <w:spacing w:val="-18"/>
          <w:w w:val="110"/>
        </w:rPr>
        <w:t> </w:t>
      </w:r>
      <w:r>
        <w:rPr>
          <w:w w:val="110"/>
        </w:rPr>
        <w:t>Budget.</w:t>
      </w:r>
    </w:p>
    <w:p>
      <w:pPr>
        <w:pStyle w:val="BodyText"/>
        <w:spacing w:before="2"/>
        <w:rPr>
          <w:sz w:val="17"/>
        </w:rPr>
      </w:pPr>
    </w:p>
    <w:p>
      <w:pPr>
        <w:pStyle w:val="Heading3"/>
        <w:numPr>
          <w:ilvl w:val="1"/>
          <w:numId w:val="35"/>
        </w:numPr>
        <w:tabs>
          <w:tab w:pos="5591" w:val="left" w:leader="none"/>
          <w:tab w:pos="5592" w:val="left" w:leader="none"/>
          <w:tab w:pos="10488" w:val="left" w:leader="none"/>
        </w:tabs>
        <w:spacing w:line="240" w:lineRule="auto" w:before="0" w:after="0"/>
        <w:ind w:left="5591" w:right="0" w:hanging="601"/>
        <w:jc w:val="left"/>
        <w:rPr>
          <w:color w:val="89C6DC"/>
          <w:u w:val="none"/>
        </w:rPr>
      </w:pPr>
      <w:r>
        <w:rPr>
          <w:smallCaps w:val="0"/>
          <w:color w:val="89C6DC"/>
          <w:w w:val="90"/>
          <w:u w:val="single" w:color="006CB4"/>
        </w:rPr>
        <w:t>The output and inflation</w:t>
      </w:r>
      <w:r>
        <w:rPr>
          <w:smallCaps w:val="0"/>
          <w:color w:val="89C6DC"/>
          <w:spacing w:val="-40"/>
          <w:w w:val="90"/>
          <w:u w:val="single" w:color="006CB4"/>
        </w:rPr>
        <w:t> </w:t>
      </w:r>
      <w:r>
        <w:rPr>
          <w:smallCaps w:val="0"/>
          <w:color w:val="89C6DC"/>
          <w:w w:val="90"/>
          <w:u w:val="single" w:color="006CB4"/>
        </w:rPr>
        <w:t>projections</w:t>
      </w:r>
      <w:r>
        <w:rPr>
          <w:smallCaps w:val="0"/>
          <w:color w:val="89C6DC"/>
          <w:u w:val="single" w:color="006CB4"/>
        </w:rPr>
        <w:tab/>
      </w:r>
    </w:p>
    <w:p>
      <w:pPr>
        <w:pStyle w:val="BodyText"/>
        <w:spacing w:before="9"/>
        <w:rPr>
          <w:rFonts w:ascii="Trebuchet MS"/>
          <w:b/>
          <w:sz w:val="26"/>
        </w:rPr>
      </w:pPr>
    </w:p>
    <w:p>
      <w:pPr>
        <w:pStyle w:val="BodyText"/>
        <w:spacing w:line="292" w:lineRule="auto"/>
        <w:ind w:left="5111" w:right="167"/>
      </w:pPr>
      <w:r>
        <w:rPr>
          <w:w w:val="110"/>
        </w:rPr>
        <w:t>GDP growth </w:t>
      </w:r>
      <w:r>
        <w:rPr>
          <w:spacing w:val="-3"/>
          <w:w w:val="110"/>
        </w:rPr>
        <w:t>slowed </w:t>
      </w:r>
      <w:r>
        <w:rPr>
          <w:spacing w:val="-4"/>
          <w:w w:val="110"/>
        </w:rPr>
        <w:t>to </w:t>
      </w:r>
      <w:r>
        <w:rPr>
          <w:w w:val="110"/>
        </w:rPr>
        <w:t>0.3% in the fourth </w:t>
      </w:r>
      <w:r>
        <w:rPr>
          <w:spacing w:val="-3"/>
          <w:w w:val="110"/>
        </w:rPr>
        <w:t>quarter, </w:t>
      </w:r>
      <w:r>
        <w:rPr>
          <w:w w:val="110"/>
        </w:rPr>
        <w:t>according </w:t>
      </w:r>
      <w:r>
        <w:rPr>
          <w:spacing w:val="-4"/>
          <w:w w:val="110"/>
        </w:rPr>
        <w:t>to </w:t>
      </w:r>
      <w:r>
        <w:rPr>
          <w:w w:val="110"/>
        </w:rPr>
        <w:t>the ONS preliminary release. The estimate </w:t>
      </w:r>
      <w:r>
        <w:rPr>
          <w:spacing w:val="-3"/>
          <w:w w:val="110"/>
        </w:rPr>
        <w:t>was lower </w:t>
      </w:r>
      <w:r>
        <w:rPr>
          <w:w w:val="110"/>
        </w:rPr>
        <w:t>than projected in the November </w:t>
      </w:r>
      <w:r>
        <w:rPr>
          <w:i/>
          <w:w w:val="110"/>
        </w:rPr>
        <w:t>Report</w:t>
      </w:r>
      <w:r>
        <w:rPr>
          <w:w w:val="110"/>
        </w:rPr>
        <w:t>, and </w:t>
      </w:r>
      <w:r>
        <w:rPr>
          <w:spacing w:val="-3"/>
          <w:w w:val="110"/>
        </w:rPr>
        <w:t>was </w:t>
      </w:r>
      <w:r>
        <w:rPr>
          <w:w w:val="110"/>
        </w:rPr>
        <w:t>also below updated</w:t>
      </w:r>
      <w:r>
        <w:rPr>
          <w:spacing w:val="-23"/>
          <w:w w:val="110"/>
        </w:rPr>
        <w:t> </w:t>
      </w:r>
      <w:r>
        <w:rPr>
          <w:w w:val="110"/>
        </w:rPr>
        <w:t>estimates</w:t>
      </w:r>
      <w:r>
        <w:rPr>
          <w:spacing w:val="-23"/>
          <w:w w:val="110"/>
        </w:rPr>
        <w:t> </w:t>
      </w:r>
      <w:r>
        <w:rPr>
          <w:w w:val="110"/>
        </w:rPr>
        <w:t>incorporating</w:t>
      </w:r>
      <w:r>
        <w:rPr>
          <w:spacing w:val="-23"/>
          <w:w w:val="110"/>
        </w:rPr>
        <w:t> </w:t>
      </w:r>
      <w:r>
        <w:rPr>
          <w:w w:val="110"/>
        </w:rPr>
        <w:t>subsequent</w:t>
      </w:r>
      <w:r>
        <w:rPr>
          <w:spacing w:val="-22"/>
          <w:w w:val="110"/>
        </w:rPr>
        <w:t> </w:t>
      </w:r>
      <w:r>
        <w:rPr>
          <w:w w:val="110"/>
        </w:rPr>
        <w:t>information</w:t>
      </w:r>
      <w:r>
        <w:rPr>
          <w:spacing w:val="-23"/>
          <w:w w:val="110"/>
        </w:rPr>
        <w:t> </w:t>
      </w:r>
      <w:r>
        <w:rPr>
          <w:w w:val="110"/>
        </w:rPr>
        <w:t>from surveys. Although temporary factors account for a good part of the surprise, the release suggests that underlying output growth</w:t>
      </w:r>
      <w:r>
        <w:rPr>
          <w:spacing w:val="-19"/>
          <w:w w:val="110"/>
        </w:rPr>
        <w:t> </w:t>
      </w:r>
      <w:r>
        <w:rPr>
          <w:w w:val="110"/>
        </w:rPr>
        <w:t>is</w:t>
      </w:r>
      <w:r>
        <w:rPr>
          <w:spacing w:val="-19"/>
          <w:w w:val="110"/>
        </w:rPr>
        <w:t> </w:t>
      </w:r>
      <w:r>
        <w:rPr>
          <w:w w:val="110"/>
        </w:rPr>
        <w:t>a</w:t>
      </w:r>
      <w:r>
        <w:rPr>
          <w:spacing w:val="-19"/>
          <w:w w:val="110"/>
        </w:rPr>
        <w:t> </w:t>
      </w:r>
      <w:r>
        <w:rPr>
          <w:w w:val="110"/>
        </w:rPr>
        <w:t>little</w:t>
      </w:r>
      <w:r>
        <w:rPr>
          <w:spacing w:val="-19"/>
          <w:w w:val="110"/>
        </w:rPr>
        <w:t> </w:t>
      </w:r>
      <w:r>
        <w:rPr>
          <w:w w:val="110"/>
        </w:rPr>
        <w:t>softer</w:t>
      </w:r>
      <w:r>
        <w:rPr>
          <w:spacing w:val="-18"/>
          <w:w w:val="110"/>
        </w:rPr>
        <w:t> </w:t>
      </w:r>
      <w:r>
        <w:rPr>
          <w:w w:val="110"/>
        </w:rPr>
        <w:t>than</w:t>
      </w:r>
      <w:r>
        <w:rPr>
          <w:spacing w:val="-19"/>
          <w:w w:val="110"/>
        </w:rPr>
        <w:t> </w:t>
      </w:r>
      <w:r>
        <w:rPr>
          <w:spacing w:val="-3"/>
          <w:w w:val="110"/>
        </w:rPr>
        <w:t>expected</w:t>
      </w:r>
      <w:r>
        <w:rPr>
          <w:spacing w:val="-19"/>
          <w:w w:val="110"/>
        </w:rPr>
        <w:t> </w:t>
      </w:r>
      <w:r>
        <w:rPr>
          <w:w w:val="110"/>
        </w:rPr>
        <w:t>three</w:t>
      </w:r>
      <w:r>
        <w:rPr>
          <w:spacing w:val="-19"/>
          <w:w w:val="110"/>
        </w:rPr>
        <w:t> </w:t>
      </w:r>
      <w:r>
        <w:rPr>
          <w:w w:val="110"/>
        </w:rPr>
        <w:t>months</w:t>
      </w:r>
      <w:r>
        <w:rPr>
          <w:spacing w:val="-19"/>
          <w:w w:val="110"/>
        </w:rPr>
        <w:t> </w:t>
      </w:r>
      <w:r>
        <w:rPr>
          <w:w w:val="110"/>
        </w:rPr>
        <w:t>ago.</w:t>
      </w:r>
      <w:r>
        <w:rPr>
          <w:spacing w:val="19"/>
          <w:w w:val="110"/>
        </w:rPr>
        <w:t> </w:t>
      </w:r>
      <w:r>
        <w:rPr>
          <w:w w:val="110"/>
        </w:rPr>
        <w:t>RPIX inflation</w:t>
      </w:r>
      <w:r>
        <w:rPr>
          <w:spacing w:val="-21"/>
          <w:w w:val="110"/>
        </w:rPr>
        <w:t> </w:t>
      </w:r>
      <w:r>
        <w:rPr>
          <w:spacing w:val="-3"/>
          <w:w w:val="110"/>
        </w:rPr>
        <w:t>was</w:t>
      </w:r>
      <w:r>
        <w:rPr>
          <w:spacing w:val="-20"/>
          <w:w w:val="110"/>
        </w:rPr>
        <w:t> </w:t>
      </w:r>
      <w:r>
        <w:rPr>
          <w:w w:val="110"/>
        </w:rPr>
        <w:t>2.0%</w:t>
      </w:r>
      <w:r>
        <w:rPr>
          <w:spacing w:val="-21"/>
          <w:w w:val="110"/>
        </w:rPr>
        <w:t> </w:t>
      </w:r>
      <w:r>
        <w:rPr>
          <w:w w:val="110"/>
        </w:rPr>
        <w:t>in</w:t>
      </w:r>
      <w:r>
        <w:rPr>
          <w:spacing w:val="-20"/>
          <w:w w:val="110"/>
        </w:rPr>
        <w:t> </w:t>
      </w:r>
      <w:r>
        <w:rPr>
          <w:spacing w:val="-2"/>
          <w:w w:val="110"/>
        </w:rPr>
        <w:t>December,</w:t>
      </w:r>
      <w:r>
        <w:rPr>
          <w:spacing w:val="-20"/>
          <w:w w:val="110"/>
        </w:rPr>
        <w:t> </w:t>
      </w:r>
      <w:r>
        <w:rPr>
          <w:w w:val="110"/>
        </w:rPr>
        <w:t>and</w:t>
      </w:r>
      <w:r>
        <w:rPr>
          <w:spacing w:val="-21"/>
          <w:w w:val="110"/>
        </w:rPr>
        <w:t> </w:t>
      </w:r>
      <w:r>
        <w:rPr>
          <w:w w:val="110"/>
        </w:rPr>
        <w:t>so</w:t>
      </w:r>
      <w:r>
        <w:rPr>
          <w:spacing w:val="-20"/>
          <w:w w:val="110"/>
        </w:rPr>
        <w:t> </w:t>
      </w:r>
      <w:r>
        <w:rPr>
          <w:w w:val="110"/>
        </w:rPr>
        <w:t>remains</w:t>
      </w:r>
      <w:r>
        <w:rPr>
          <w:spacing w:val="-21"/>
          <w:w w:val="110"/>
        </w:rPr>
        <w:t> </w:t>
      </w:r>
      <w:r>
        <w:rPr>
          <w:w w:val="110"/>
        </w:rPr>
        <w:t>below</w:t>
      </w:r>
      <w:r>
        <w:rPr>
          <w:spacing w:val="-20"/>
          <w:w w:val="110"/>
        </w:rPr>
        <w:t> </w:t>
      </w:r>
      <w:r>
        <w:rPr>
          <w:spacing w:val="-3"/>
          <w:w w:val="110"/>
        </w:rPr>
        <w:t>target. </w:t>
      </w:r>
      <w:r>
        <w:rPr>
          <w:w w:val="110"/>
        </w:rPr>
        <w:t>Recent outturns have been lower than projected. The </w:t>
      </w:r>
      <w:r>
        <w:rPr>
          <w:spacing w:val="-3"/>
          <w:w w:val="110"/>
        </w:rPr>
        <w:t>Committee reviewed </w:t>
      </w:r>
      <w:r>
        <w:rPr>
          <w:w w:val="110"/>
        </w:rPr>
        <w:t>the prospects for output and inflation against this</w:t>
      </w:r>
      <w:r>
        <w:rPr>
          <w:spacing w:val="-12"/>
          <w:w w:val="110"/>
        </w:rPr>
        <w:t> </w:t>
      </w:r>
      <w:r>
        <w:rPr>
          <w:w w:val="110"/>
        </w:rPr>
        <w:t>background.</w:t>
      </w:r>
    </w:p>
    <w:p>
      <w:pPr>
        <w:pStyle w:val="BodyText"/>
        <w:spacing w:before="6"/>
        <w:rPr>
          <w:sz w:val="25"/>
        </w:rPr>
      </w:pPr>
    </w:p>
    <w:p>
      <w:pPr>
        <w:pStyle w:val="BodyText"/>
        <w:spacing w:line="292" w:lineRule="auto"/>
        <w:ind w:left="5111" w:right="50"/>
      </w:pPr>
      <w:r>
        <w:rPr>
          <w:w w:val="110"/>
        </w:rPr>
        <w:t>Recent data on demand and output are quite hard to interpret. The latest full National Accounts release, combining information on both demand and output, was published in December. In that release, GDP growth in the third quarter was 0.7%, in line with the preliminary estimate published in advance of the November </w:t>
      </w:r>
      <w:r>
        <w:rPr>
          <w:i/>
          <w:w w:val="110"/>
        </w:rPr>
        <w:t>Report</w:t>
      </w:r>
      <w:r>
        <w:rPr>
          <w:w w:val="110"/>
        </w:rPr>
        <w:t>. The level of output was revised up a little over the past two years and updated estimates of the components of demand were provided.</w:t>
      </w:r>
    </w:p>
    <w:p>
      <w:pPr>
        <w:pStyle w:val="BodyText"/>
        <w:spacing w:line="292" w:lineRule="auto"/>
        <w:ind w:left="5111" w:right="172"/>
      </w:pPr>
      <w:r>
        <w:rPr>
          <w:spacing w:val="-3"/>
          <w:w w:val="110"/>
        </w:rPr>
        <w:t>Improved</w:t>
      </w:r>
      <w:r>
        <w:rPr>
          <w:spacing w:val="-16"/>
          <w:w w:val="110"/>
        </w:rPr>
        <w:t> </w:t>
      </w:r>
      <w:r>
        <w:rPr>
          <w:w w:val="110"/>
        </w:rPr>
        <w:t>data</w:t>
      </w:r>
      <w:r>
        <w:rPr>
          <w:spacing w:val="-15"/>
          <w:w w:val="110"/>
        </w:rPr>
        <w:t> </w:t>
      </w:r>
      <w:r>
        <w:rPr>
          <w:w w:val="110"/>
        </w:rPr>
        <w:t>led</w:t>
      </w:r>
      <w:r>
        <w:rPr>
          <w:spacing w:val="-15"/>
          <w:w w:val="110"/>
        </w:rPr>
        <w:t> </w:t>
      </w:r>
      <w:r>
        <w:rPr>
          <w:spacing w:val="-4"/>
          <w:w w:val="110"/>
        </w:rPr>
        <w:t>to</w:t>
      </w:r>
      <w:r>
        <w:rPr>
          <w:spacing w:val="-16"/>
          <w:w w:val="110"/>
        </w:rPr>
        <w:t> </w:t>
      </w:r>
      <w:r>
        <w:rPr>
          <w:w w:val="110"/>
        </w:rPr>
        <w:t>a</w:t>
      </w:r>
      <w:r>
        <w:rPr>
          <w:spacing w:val="-15"/>
          <w:w w:val="110"/>
        </w:rPr>
        <w:t> </w:t>
      </w:r>
      <w:r>
        <w:rPr>
          <w:spacing w:val="-2"/>
          <w:w w:val="110"/>
        </w:rPr>
        <w:t>marked</w:t>
      </w:r>
      <w:r>
        <w:rPr>
          <w:spacing w:val="-15"/>
          <w:w w:val="110"/>
        </w:rPr>
        <w:t> </w:t>
      </w:r>
      <w:r>
        <w:rPr>
          <w:spacing w:val="-3"/>
          <w:w w:val="110"/>
        </w:rPr>
        <w:t>upward</w:t>
      </w:r>
      <w:r>
        <w:rPr>
          <w:spacing w:val="-15"/>
          <w:w w:val="110"/>
        </w:rPr>
        <w:t> </w:t>
      </w:r>
      <w:r>
        <w:rPr>
          <w:w w:val="110"/>
        </w:rPr>
        <w:t>revision</w:t>
      </w:r>
      <w:r>
        <w:rPr>
          <w:spacing w:val="-16"/>
          <w:w w:val="110"/>
        </w:rPr>
        <w:t> </w:t>
      </w:r>
      <w:r>
        <w:rPr>
          <w:spacing w:val="-4"/>
          <w:w w:val="110"/>
        </w:rPr>
        <w:t>to</w:t>
      </w:r>
      <w:r>
        <w:rPr>
          <w:spacing w:val="-15"/>
          <w:w w:val="110"/>
        </w:rPr>
        <w:t> </w:t>
      </w:r>
      <w:r>
        <w:rPr>
          <w:w w:val="110"/>
        </w:rPr>
        <w:t>the</w:t>
      </w:r>
      <w:r>
        <w:rPr>
          <w:spacing w:val="-15"/>
          <w:w w:val="110"/>
        </w:rPr>
        <w:t> </w:t>
      </w:r>
      <w:r>
        <w:rPr>
          <w:spacing w:val="-3"/>
          <w:w w:val="110"/>
        </w:rPr>
        <w:t>level</w:t>
      </w:r>
      <w:r>
        <w:rPr>
          <w:spacing w:val="-15"/>
          <w:w w:val="110"/>
        </w:rPr>
        <w:t> </w:t>
      </w:r>
      <w:r>
        <w:rPr>
          <w:w w:val="110"/>
        </w:rPr>
        <w:t>of public</w:t>
      </w:r>
      <w:r>
        <w:rPr>
          <w:spacing w:val="-18"/>
          <w:w w:val="110"/>
        </w:rPr>
        <w:t> </w:t>
      </w:r>
      <w:r>
        <w:rPr>
          <w:w w:val="110"/>
        </w:rPr>
        <w:t>sector</w:t>
      </w:r>
      <w:r>
        <w:rPr>
          <w:spacing w:val="-18"/>
          <w:w w:val="110"/>
        </w:rPr>
        <w:t> </w:t>
      </w:r>
      <w:r>
        <w:rPr>
          <w:w w:val="110"/>
        </w:rPr>
        <w:t>demand.</w:t>
      </w:r>
      <w:r>
        <w:rPr>
          <w:spacing w:val="20"/>
          <w:w w:val="110"/>
        </w:rPr>
        <w:t> </w:t>
      </w:r>
      <w:r>
        <w:rPr>
          <w:w w:val="110"/>
        </w:rPr>
        <w:t>There</w:t>
      </w:r>
      <w:r>
        <w:rPr>
          <w:spacing w:val="-18"/>
          <w:w w:val="110"/>
        </w:rPr>
        <w:t> </w:t>
      </w:r>
      <w:r>
        <w:rPr>
          <w:spacing w:val="-3"/>
          <w:w w:val="110"/>
        </w:rPr>
        <w:t>was</w:t>
      </w:r>
      <w:r>
        <w:rPr>
          <w:spacing w:val="-18"/>
          <w:w w:val="110"/>
        </w:rPr>
        <w:t> </w:t>
      </w:r>
      <w:r>
        <w:rPr>
          <w:w w:val="110"/>
        </w:rPr>
        <w:t>little</w:t>
      </w:r>
      <w:r>
        <w:rPr>
          <w:spacing w:val="-18"/>
          <w:w w:val="110"/>
        </w:rPr>
        <w:t> </w:t>
      </w:r>
      <w:r>
        <w:rPr>
          <w:w w:val="110"/>
        </w:rPr>
        <w:t>change</w:t>
      </w:r>
      <w:r>
        <w:rPr>
          <w:spacing w:val="-18"/>
          <w:w w:val="110"/>
        </w:rPr>
        <w:t> </w:t>
      </w:r>
      <w:r>
        <w:rPr>
          <w:spacing w:val="-4"/>
          <w:w w:val="110"/>
        </w:rPr>
        <w:t>to</w:t>
      </w:r>
      <w:r>
        <w:rPr>
          <w:spacing w:val="-18"/>
          <w:w w:val="110"/>
        </w:rPr>
        <w:t> </w:t>
      </w:r>
      <w:r>
        <w:rPr>
          <w:w w:val="110"/>
        </w:rPr>
        <w:t>estimates</w:t>
      </w:r>
      <w:r>
        <w:rPr>
          <w:spacing w:val="-18"/>
          <w:w w:val="110"/>
        </w:rPr>
        <w:t> </w:t>
      </w:r>
      <w:r>
        <w:rPr>
          <w:w w:val="110"/>
        </w:rPr>
        <w:t>of aggregate </w:t>
      </w:r>
      <w:r>
        <w:rPr>
          <w:spacing w:val="-3"/>
          <w:w w:val="110"/>
        </w:rPr>
        <w:t>private </w:t>
      </w:r>
      <w:r>
        <w:rPr>
          <w:w w:val="110"/>
        </w:rPr>
        <w:t>final demand, although within the </w:t>
      </w:r>
      <w:r>
        <w:rPr>
          <w:spacing w:val="-3"/>
          <w:w w:val="110"/>
        </w:rPr>
        <w:t>overall total, </w:t>
      </w:r>
      <w:r>
        <w:rPr>
          <w:w w:val="110"/>
        </w:rPr>
        <w:t>consumer spending </w:t>
      </w:r>
      <w:r>
        <w:rPr>
          <w:spacing w:val="-3"/>
          <w:w w:val="110"/>
        </w:rPr>
        <w:t>was </w:t>
      </w:r>
      <w:r>
        <w:rPr>
          <w:w w:val="110"/>
        </w:rPr>
        <w:t>revised up while business </w:t>
      </w:r>
      <w:r>
        <w:rPr>
          <w:spacing w:val="-3"/>
          <w:w w:val="110"/>
        </w:rPr>
        <w:t>investment was </w:t>
      </w:r>
      <w:r>
        <w:rPr>
          <w:w w:val="110"/>
        </w:rPr>
        <w:t>revised down. These revisions amplify the tendency in recent quarters for consumer spending outturns </w:t>
      </w:r>
      <w:r>
        <w:rPr>
          <w:spacing w:val="-4"/>
          <w:w w:val="110"/>
        </w:rPr>
        <w:t>to</w:t>
      </w:r>
      <w:r>
        <w:rPr>
          <w:spacing w:val="-16"/>
          <w:w w:val="110"/>
        </w:rPr>
        <w:t> </w:t>
      </w:r>
      <w:r>
        <w:rPr>
          <w:w w:val="110"/>
        </w:rPr>
        <w:t>lie</w:t>
      </w:r>
      <w:r>
        <w:rPr>
          <w:spacing w:val="-15"/>
          <w:w w:val="110"/>
        </w:rPr>
        <w:t> </w:t>
      </w:r>
      <w:r>
        <w:rPr>
          <w:spacing w:val="-3"/>
          <w:w w:val="110"/>
        </w:rPr>
        <w:t>above</w:t>
      </w:r>
      <w:r>
        <w:rPr>
          <w:spacing w:val="-15"/>
          <w:w w:val="110"/>
        </w:rPr>
        <w:t> </w:t>
      </w:r>
      <w:r>
        <w:rPr>
          <w:w w:val="110"/>
        </w:rPr>
        <w:t>expectations</w:t>
      </w:r>
      <w:r>
        <w:rPr>
          <w:spacing w:val="-15"/>
          <w:w w:val="110"/>
        </w:rPr>
        <w:t> </w:t>
      </w:r>
      <w:r>
        <w:rPr>
          <w:w w:val="110"/>
        </w:rPr>
        <w:t>and</w:t>
      </w:r>
      <w:r>
        <w:rPr>
          <w:spacing w:val="-15"/>
          <w:w w:val="110"/>
        </w:rPr>
        <w:t> </w:t>
      </w:r>
      <w:r>
        <w:rPr>
          <w:w w:val="110"/>
        </w:rPr>
        <w:t>for</w:t>
      </w:r>
      <w:r>
        <w:rPr>
          <w:spacing w:val="-15"/>
          <w:w w:val="110"/>
        </w:rPr>
        <w:t> </w:t>
      </w:r>
      <w:r>
        <w:rPr>
          <w:w w:val="110"/>
        </w:rPr>
        <w:t>business</w:t>
      </w:r>
      <w:r>
        <w:rPr>
          <w:spacing w:val="-15"/>
          <w:w w:val="110"/>
        </w:rPr>
        <w:t> </w:t>
      </w:r>
      <w:r>
        <w:rPr>
          <w:spacing w:val="-3"/>
          <w:w w:val="110"/>
        </w:rPr>
        <w:t>investment</w:t>
      </w:r>
      <w:r>
        <w:rPr>
          <w:spacing w:val="-15"/>
          <w:w w:val="110"/>
        </w:rPr>
        <w:t> </w:t>
      </w:r>
      <w:r>
        <w:rPr>
          <w:w w:val="110"/>
        </w:rPr>
        <w:t>outturns </w:t>
      </w:r>
      <w:r>
        <w:rPr>
          <w:spacing w:val="-4"/>
          <w:w w:val="110"/>
        </w:rPr>
        <w:t>to </w:t>
      </w:r>
      <w:r>
        <w:rPr>
          <w:w w:val="110"/>
        </w:rPr>
        <w:t>fall short of projected</w:t>
      </w:r>
      <w:r>
        <w:rPr>
          <w:spacing w:val="-30"/>
          <w:w w:val="110"/>
        </w:rPr>
        <w:t> </w:t>
      </w:r>
      <w:r>
        <w:rPr>
          <w:w w:val="110"/>
        </w:rPr>
        <w:t>levels.</w:t>
      </w:r>
    </w:p>
    <w:p>
      <w:pPr>
        <w:pStyle w:val="BodyText"/>
        <w:spacing w:before="3"/>
        <w:rPr>
          <w:sz w:val="25"/>
        </w:rPr>
      </w:pPr>
    </w:p>
    <w:p>
      <w:pPr>
        <w:pStyle w:val="BodyText"/>
        <w:spacing w:line="292" w:lineRule="auto" w:before="1"/>
        <w:ind w:left="5111" w:right="158" w:hanging="1"/>
      </w:pPr>
      <w:r>
        <w:rPr>
          <w:w w:val="110"/>
        </w:rPr>
        <w:t>Recent </w:t>
      </w:r>
      <w:r>
        <w:rPr>
          <w:i/>
          <w:w w:val="110"/>
        </w:rPr>
        <w:t>Reports </w:t>
      </w:r>
      <w:r>
        <w:rPr>
          <w:spacing w:val="-3"/>
          <w:w w:val="110"/>
        </w:rPr>
        <w:t>have </w:t>
      </w:r>
      <w:r>
        <w:rPr>
          <w:w w:val="110"/>
        </w:rPr>
        <w:t>emphasised that a </w:t>
      </w:r>
      <w:r>
        <w:rPr>
          <w:spacing w:val="-2"/>
          <w:w w:val="110"/>
        </w:rPr>
        <w:t>marked </w:t>
      </w:r>
      <w:r>
        <w:rPr>
          <w:spacing w:val="-3"/>
          <w:w w:val="110"/>
        </w:rPr>
        <w:t>slowdown </w:t>
      </w:r>
      <w:r>
        <w:rPr>
          <w:w w:val="110"/>
        </w:rPr>
        <w:t>in the pace of </w:t>
      </w:r>
      <w:r>
        <w:rPr>
          <w:spacing w:val="-3"/>
          <w:w w:val="110"/>
        </w:rPr>
        <w:t>private </w:t>
      </w:r>
      <w:r>
        <w:rPr>
          <w:w w:val="110"/>
        </w:rPr>
        <w:t>final demand growth will be necessary </w:t>
      </w:r>
      <w:r>
        <w:rPr>
          <w:spacing w:val="-4"/>
          <w:w w:val="110"/>
        </w:rPr>
        <w:t>to </w:t>
      </w:r>
      <w:r>
        <w:rPr>
          <w:w w:val="110"/>
        </w:rPr>
        <w:t>provide</w:t>
      </w:r>
      <w:r>
        <w:rPr>
          <w:spacing w:val="-13"/>
          <w:w w:val="110"/>
        </w:rPr>
        <w:t> </w:t>
      </w:r>
      <w:r>
        <w:rPr>
          <w:w w:val="110"/>
        </w:rPr>
        <w:t>room</w:t>
      </w:r>
      <w:r>
        <w:rPr>
          <w:spacing w:val="-12"/>
          <w:w w:val="110"/>
        </w:rPr>
        <w:t> </w:t>
      </w:r>
      <w:r>
        <w:rPr>
          <w:w w:val="110"/>
        </w:rPr>
        <w:t>for</w:t>
      </w:r>
      <w:r>
        <w:rPr>
          <w:spacing w:val="-12"/>
          <w:w w:val="110"/>
        </w:rPr>
        <w:t> </w:t>
      </w:r>
      <w:r>
        <w:rPr>
          <w:w w:val="110"/>
        </w:rPr>
        <w:t>the</w:t>
      </w:r>
      <w:r>
        <w:rPr>
          <w:spacing w:val="-12"/>
          <w:w w:val="110"/>
        </w:rPr>
        <w:t> </w:t>
      </w:r>
      <w:r>
        <w:rPr>
          <w:w w:val="110"/>
        </w:rPr>
        <w:t>transfer</w:t>
      </w:r>
      <w:r>
        <w:rPr>
          <w:spacing w:val="-13"/>
          <w:w w:val="110"/>
        </w:rPr>
        <w:t> </w:t>
      </w:r>
      <w:r>
        <w:rPr>
          <w:w w:val="110"/>
        </w:rPr>
        <w:t>of</w:t>
      </w:r>
      <w:r>
        <w:rPr>
          <w:spacing w:val="-12"/>
          <w:w w:val="110"/>
        </w:rPr>
        <w:t> </w:t>
      </w:r>
      <w:r>
        <w:rPr>
          <w:w w:val="110"/>
        </w:rPr>
        <w:t>resources</w:t>
      </w:r>
      <w:r>
        <w:rPr>
          <w:spacing w:val="-12"/>
          <w:w w:val="110"/>
        </w:rPr>
        <w:t> </w:t>
      </w:r>
      <w:r>
        <w:rPr>
          <w:spacing w:val="-4"/>
          <w:w w:val="110"/>
        </w:rPr>
        <w:t>to</w:t>
      </w:r>
      <w:r>
        <w:rPr>
          <w:spacing w:val="-12"/>
          <w:w w:val="110"/>
        </w:rPr>
        <w:t> </w:t>
      </w:r>
      <w:r>
        <w:rPr>
          <w:w w:val="110"/>
        </w:rPr>
        <w:t>meet</w:t>
      </w:r>
      <w:r>
        <w:rPr>
          <w:spacing w:val="-12"/>
          <w:w w:val="110"/>
        </w:rPr>
        <w:t> </w:t>
      </w:r>
      <w:r>
        <w:rPr>
          <w:w w:val="110"/>
        </w:rPr>
        <w:t>the</w:t>
      </w:r>
      <w:r>
        <w:rPr>
          <w:spacing w:val="-13"/>
          <w:w w:val="110"/>
        </w:rPr>
        <w:t> </w:t>
      </w:r>
      <w:r>
        <w:rPr>
          <w:w w:val="110"/>
        </w:rPr>
        <w:t>planned</w:t>
      </w:r>
    </w:p>
    <w:p>
      <w:pPr>
        <w:spacing w:after="0" w:line="292" w:lineRule="auto"/>
        <w:sectPr>
          <w:pgSz w:w="11900" w:h="16840"/>
          <w:pgMar w:header="601" w:footer="575" w:top="800" w:bottom="760" w:left="640" w:right="640"/>
        </w:sectPr>
      </w:pPr>
    </w:p>
    <w:p>
      <w:pPr>
        <w:pStyle w:val="BodyText"/>
      </w:pPr>
    </w:p>
    <w:p>
      <w:pPr>
        <w:pStyle w:val="BodyText"/>
        <w:spacing w:before="6"/>
      </w:pPr>
    </w:p>
    <w:p>
      <w:pPr>
        <w:pStyle w:val="BodyText"/>
        <w:spacing w:line="292" w:lineRule="auto" w:before="1"/>
        <w:ind w:left="5095" w:right="172"/>
      </w:pPr>
      <w:r>
        <w:rPr>
          <w:w w:val="110"/>
        </w:rPr>
        <w:t>increase</w:t>
      </w:r>
      <w:r>
        <w:rPr>
          <w:spacing w:val="-19"/>
          <w:w w:val="110"/>
        </w:rPr>
        <w:t> </w:t>
      </w:r>
      <w:r>
        <w:rPr>
          <w:w w:val="110"/>
        </w:rPr>
        <w:t>in</w:t>
      </w:r>
      <w:r>
        <w:rPr>
          <w:spacing w:val="-18"/>
          <w:w w:val="110"/>
        </w:rPr>
        <w:t> </w:t>
      </w:r>
      <w:r>
        <w:rPr>
          <w:w w:val="110"/>
        </w:rPr>
        <w:t>public</w:t>
      </w:r>
      <w:r>
        <w:rPr>
          <w:spacing w:val="-18"/>
          <w:w w:val="110"/>
        </w:rPr>
        <w:t> </w:t>
      </w:r>
      <w:r>
        <w:rPr>
          <w:w w:val="110"/>
        </w:rPr>
        <w:t>spending,</w:t>
      </w:r>
      <w:r>
        <w:rPr>
          <w:spacing w:val="-18"/>
          <w:w w:val="110"/>
        </w:rPr>
        <w:t> </w:t>
      </w:r>
      <w:r>
        <w:rPr>
          <w:w w:val="110"/>
        </w:rPr>
        <w:t>without</w:t>
      </w:r>
      <w:r>
        <w:rPr>
          <w:spacing w:val="-18"/>
          <w:w w:val="110"/>
        </w:rPr>
        <w:t> </w:t>
      </w:r>
      <w:r>
        <w:rPr>
          <w:w w:val="110"/>
        </w:rPr>
        <w:t>exerting</w:t>
      </w:r>
      <w:r>
        <w:rPr>
          <w:spacing w:val="-18"/>
          <w:w w:val="110"/>
        </w:rPr>
        <w:t> </w:t>
      </w:r>
      <w:r>
        <w:rPr>
          <w:spacing w:val="-3"/>
          <w:w w:val="110"/>
        </w:rPr>
        <w:t>excess</w:t>
      </w:r>
      <w:r>
        <w:rPr>
          <w:spacing w:val="-18"/>
          <w:w w:val="110"/>
        </w:rPr>
        <w:t> </w:t>
      </w:r>
      <w:r>
        <w:rPr>
          <w:spacing w:val="-3"/>
          <w:w w:val="110"/>
        </w:rPr>
        <w:t>pressure </w:t>
      </w:r>
      <w:r>
        <w:rPr>
          <w:w w:val="110"/>
        </w:rPr>
        <w:t>on </w:t>
      </w:r>
      <w:r>
        <w:rPr>
          <w:spacing w:val="-3"/>
          <w:w w:val="110"/>
        </w:rPr>
        <w:t>overall </w:t>
      </w:r>
      <w:r>
        <w:rPr>
          <w:w w:val="110"/>
        </w:rPr>
        <w:t>supply capacity in the </w:t>
      </w:r>
      <w:r>
        <w:rPr>
          <w:spacing w:val="-3"/>
          <w:w w:val="110"/>
        </w:rPr>
        <w:t>economy. </w:t>
      </w:r>
      <w:r>
        <w:rPr>
          <w:w w:val="110"/>
        </w:rPr>
        <w:t>Interpreting the recent</w:t>
      </w:r>
      <w:r>
        <w:rPr>
          <w:spacing w:val="-16"/>
          <w:w w:val="110"/>
        </w:rPr>
        <w:t> </w:t>
      </w:r>
      <w:r>
        <w:rPr>
          <w:w w:val="110"/>
        </w:rPr>
        <w:t>trend</w:t>
      </w:r>
      <w:r>
        <w:rPr>
          <w:spacing w:val="-16"/>
          <w:w w:val="110"/>
        </w:rPr>
        <w:t> </w:t>
      </w:r>
      <w:r>
        <w:rPr>
          <w:w w:val="110"/>
        </w:rPr>
        <w:t>in</w:t>
      </w:r>
      <w:r>
        <w:rPr>
          <w:spacing w:val="-16"/>
          <w:w w:val="110"/>
        </w:rPr>
        <w:t> </w:t>
      </w:r>
      <w:r>
        <w:rPr>
          <w:spacing w:val="-3"/>
          <w:w w:val="110"/>
        </w:rPr>
        <w:t>private</w:t>
      </w:r>
      <w:r>
        <w:rPr>
          <w:spacing w:val="-16"/>
          <w:w w:val="110"/>
        </w:rPr>
        <w:t> </w:t>
      </w:r>
      <w:r>
        <w:rPr>
          <w:w w:val="110"/>
        </w:rPr>
        <w:t>final</w:t>
      </w:r>
      <w:r>
        <w:rPr>
          <w:spacing w:val="-16"/>
          <w:w w:val="110"/>
        </w:rPr>
        <w:t> </w:t>
      </w:r>
      <w:r>
        <w:rPr>
          <w:w w:val="110"/>
        </w:rPr>
        <w:t>demand</w:t>
      </w:r>
      <w:r>
        <w:rPr>
          <w:spacing w:val="-16"/>
          <w:w w:val="110"/>
        </w:rPr>
        <w:t> </w:t>
      </w:r>
      <w:r>
        <w:rPr>
          <w:w w:val="110"/>
        </w:rPr>
        <w:t>is</w:t>
      </w:r>
      <w:r>
        <w:rPr>
          <w:spacing w:val="-16"/>
          <w:w w:val="110"/>
        </w:rPr>
        <w:t> </w:t>
      </w:r>
      <w:r>
        <w:rPr>
          <w:w w:val="110"/>
        </w:rPr>
        <w:t>hampered</w:t>
      </w:r>
      <w:r>
        <w:rPr>
          <w:spacing w:val="-16"/>
          <w:w w:val="110"/>
        </w:rPr>
        <w:t> </w:t>
      </w:r>
      <w:r>
        <w:rPr>
          <w:spacing w:val="-3"/>
          <w:w w:val="110"/>
        </w:rPr>
        <w:t>by</w:t>
      </w:r>
      <w:r>
        <w:rPr>
          <w:spacing w:val="-15"/>
          <w:w w:val="110"/>
        </w:rPr>
        <w:t> </w:t>
      </w:r>
      <w:r>
        <w:rPr>
          <w:w w:val="110"/>
        </w:rPr>
        <w:t>offsetting movements in the consumer spending and </w:t>
      </w:r>
      <w:r>
        <w:rPr>
          <w:spacing w:val="-3"/>
          <w:w w:val="110"/>
        </w:rPr>
        <w:t>investment </w:t>
      </w:r>
      <w:r>
        <w:rPr>
          <w:w w:val="110"/>
        </w:rPr>
        <w:t>components relative </w:t>
      </w:r>
      <w:r>
        <w:rPr>
          <w:spacing w:val="-4"/>
          <w:w w:val="110"/>
        </w:rPr>
        <w:t>to</w:t>
      </w:r>
      <w:r>
        <w:rPr>
          <w:spacing w:val="-21"/>
          <w:w w:val="110"/>
        </w:rPr>
        <w:t> </w:t>
      </w:r>
      <w:r>
        <w:rPr>
          <w:w w:val="110"/>
        </w:rPr>
        <w:t>expectations.</w:t>
      </w:r>
    </w:p>
    <w:p>
      <w:pPr>
        <w:pStyle w:val="BodyText"/>
        <w:spacing w:before="9"/>
        <w:rPr>
          <w:sz w:val="25"/>
        </w:rPr>
      </w:pPr>
    </w:p>
    <w:p>
      <w:pPr>
        <w:pStyle w:val="BodyText"/>
        <w:spacing w:line="292" w:lineRule="auto"/>
        <w:ind w:left="5095" w:right="198"/>
      </w:pPr>
      <w:r>
        <w:rPr>
          <w:w w:val="110"/>
        </w:rPr>
        <w:t>Data on the components of demand are not yet available for the fourth quarter </w:t>
      </w:r>
      <w:r>
        <w:rPr>
          <w:spacing w:val="-4"/>
          <w:w w:val="110"/>
        </w:rPr>
        <w:t>to </w:t>
      </w:r>
      <w:r>
        <w:rPr>
          <w:w w:val="110"/>
        </w:rPr>
        <w:t>match the preliminary </w:t>
      </w:r>
      <w:r>
        <w:rPr>
          <w:spacing w:val="-3"/>
          <w:w w:val="110"/>
        </w:rPr>
        <w:t>output-based </w:t>
      </w:r>
      <w:r>
        <w:rPr>
          <w:w w:val="110"/>
        </w:rPr>
        <w:t>GDP estimate. So it is </w:t>
      </w:r>
      <w:r>
        <w:rPr>
          <w:spacing w:val="-3"/>
          <w:w w:val="110"/>
        </w:rPr>
        <w:t>too </w:t>
      </w:r>
      <w:r>
        <w:rPr>
          <w:w w:val="110"/>
        </w:rPr>
        <w:t>early </w:t>
      </w:r>
      <w:r>
        <w:rPr>
          <w:spacing w:val="-4"/>
          <w:w w:val="110"/>
        </w:rPr>
        <w:t>to </w:t>
      </w:r>
      <w:r>
        <w:rPr>
          <w:spacing w:val="-3"/>
          <w:w w:val="110"/>
        </w:rPr>
        <w:t>draw </w:t>
      </w:r>
      <w:r>
        <w:rPr>
          <w:w w:val="110"/>
        </w:rPr>
        <w:t>firm conclusions on whether the </w:t>
      </w:r>
      <w:r>
        <w:rPr>
          <w:spacing w:val="-4"/>
          <w:w w:val="110"/>
        </w:rPr>
        <w:t>weaker-than-expected </w:t>
      </w:r>
      <w:r>
        <w:rPr>
          <w:w w:val="110"/>
        </w:rPr>
        <w:t>outturn signals a softer </w:t>
      </w:r>
      <w:r>
        <w:rPr>
          <w:spacing w:val="-3"/>
          <w:w w:val="110"/>
        </w:rPr>
        <w:t>tone </w:t>
      </w:r>
      <w:r>
        <w:rPr>
          <w:w w:val="110"/>
        </w:rPr>
        <w:t>for either </w:t>
      </w:r>
      <w:r>
        <w:rPr>
          <w:spacing w:val="-3"/>
          <w:w w:val="110"/>
        </w:rPr>
        <w:t>private </w:t>
      </w:r>
      <w:r>
        <w:rPr>
          <w:w w:val="110"/>
        </w:rPr>
        <w:t>or public final demand, or whether the </w:t>
      </w:r>
      <w:r>
        <w:rPr>
          <w:spacing w:val="-3"/>
          <w:w w:val="110"/>
        </w:rPr>
        <w:t>slowdown </w:t>
      </w:r>
      <w:r>
        <w:rPr>
          <w:w w:val="110"/>
        </w:rPr>
        <w:t>in growth reflects a run-down of </w:t>
      </w:r>
      <w:r>
        <w:rPr>
          <w:spacing w:val="-3"/>
          <w:w w:val="110"/>
        </w:rPr>
        <w:t>inventories. </w:t>
      </w:r>
      <w:r>
        <w:rPr>
          <w:w w:val="110"/>
        </w:rPr>
        <w:t>As monthly trade figures are consistent with a</w:t>
      </w:r>
    </w:p>
    <w:p>
      <w:pPr>
        <w:pStyle w:val="BodyText"/>
        <w:spacing w:line="226" w:lineRule="exact"/>
        <w:ind w:left="5095"/>
      </w:pPr>
      <w:r>
        <w:rPr>
          <w:w w:val="115"/>
        </w:rPr>
        <w:t>stronger-than-expected net trade contribution to</w:t>
      </w:r>
    </w:p>
    <w:p>
      <w:pPr>
        <w:pStyle w:val="BodyText"/>
        <w:spacing w:line="292" w:lineRule="auto" w:before="50"/>
        <w:ind w:left="5095" w:right="171"/>
      </w:pPr>
      <w:r>
        <w:rPr>
          <w:w w:val="110"/>
        </w:rPr>
        <w:t>fourth-quarter output growth, they compound the difficulties of interpretation. More </w:t>
      </w:r>
      <w:r>
        <w:rPr>
          <w:spacing w:val="-4"/>
          <w:w w:val="110"/>
        </w:rPr>
        <w:t>broadly, </w:t>
      </w:r>
      <w:r>
        <w:rPr>
          <w:w w:val="110"/>
        </w:rPr>
        <w:t>it is difficult </w:t>
      </w:r>
      <w:r>
        <w:rPr>
          <w:spacing w:val="-4"/>
          <w:w w:val="110"/>
        </w:rPr>
        <w:t>to </w:t>
      </w:r>
      <w:r>
        <w:rPr>
          <w:w w:val="110"/>
        </w:rPr>
        <w:t>gauge how much weight should be placed on the preliminary estimate. The </w:t>
      </w:r>
      <w:r>
        <w:rPr>
          <w:spacing w:val="-3"/>
          <w:w w:val="110"/>
        </w:rPr>
        <w:t>slowdown </w:t>
      </w:r>
      <w:r>
        <w:rPr>
          <w:w w:val="110"/>
        </w:rPr>
        <w:t>in </w:t>
      </w:r>
      <w:r>
        <w:rPr>
          <w:spacing w:val="-2"/>
          <w:w w:val="110"/>
        </w:rPr>
        <w:t>growth </w:t>
      </w:r>
      <w:r>
        <w:rPr>
          <w:spacing w:val="-3"/>
          <w:w w:val="110"/>
        </w:rPr>
        <w:t>was </w:t>
      </w:r>
      <w:r>
        <w:rPr>
          <w:w w:val="110"/>
        </w:rPr>
        <w:t>partly accounted for </w:t>
      </w:r>
      <w:r>
        <w:rPr>
          <w:spacing w:val="-3"/>
          <w:w w:val="110"/>
        </w:rPr>
        <w:t>by </w:t>
      </w:r>
      <w:r>
        <w:rPr>
          <w:w w:val="110"/>
        </w:rPr>
        <w:t>a sharp decline in mineral and oil extraction and </w:t>
      </w:r>
      <w:r>
        <w:rPr>
          <w:spacing w:val="-3"/>
          <w:w w:val="110"/>
        </w:rPr>
        <w:t>by </w:t>
      </w:r>
      <w:r>
        <w:rPr>
          <w:w w:val="110"/>
        </w:rPr>
        <w:t>a reduction in energy output—both of which are likely </w:t>
      </w:r>
      <w:r>
        <w:rPr>
          <w:spacing w:val="-4"/>
          <w:w w:val="110"/>
        </w:rPr>
        <w:t>to </w:t>
      </w:r>
      <w:r>
        <w:rPr>
          <w:w w:val="110"/>
        </w:rPr>
        <w:t>be erratic influences. </w:t>
      </w:r>
      <w:r>
        <w:rPr>
          <w:spacing w:val="-4"/>
          <w:w w:val="110"/>
        </w:rPr>
        <w:t>Moreover, </w:t>
      </w:r>
      <w:r>
        <w:rPr>
          <w:w w:val="110"/>
        </w:rPr>
        <w:t>it is possible that </w:t>
      </w:r>
      <w:r>
        <w:rPr>
          <w:spacing w:val="-3"/>
          <w:w w:val="110"/>
        </w:rPr>
        <w:t>overall </w:t>
      </w:r>
      <w:r>
        <w:rPr>
          <w:w w:val="110"/>
        </w:rPr>
        <w:t>activity </w:t>
      </w:r>
      <w:r>
        <w:rPr>
          <w:spacing w:val="-3"/>
          <w:w w:val="110"/>
        </w:rPr>
        <w:t>was </w:t>
      </w:r>
      <w:r>
        <w:rPr>
          <w:w w:val="110"/>
        </w:rPr>
        <w:t>depressed</w:t>
      </w:r>
      <w:r>
        <w:rPr>
          <w:spacing w:val="-26"/>
          <w:w w:val="110"/>
        </w:rPr>
        <w:t> </w:t>
      </w:r>
      <w:r>
        <w:rPr>
          <w:spacing w:val="-3"/>
          <w:w w:val="110"/>
        </w:rPr>
        <w:t>temporarily</w:t>
      </w:r>
      <w:r>
        <w:rPr>
          <w:spacing w:val="-25"/>
          <w:w w:val="110"/>
        </w:rPr>
        <w:t> </w:t>
      </w:r>
      <w:r>
        <w:rPr>
          <w:w w:val="110"/>
        </w:rPr>
        <w:t>by</w:t>
      </w:r>
      <w:r>
        <w:rPr>
          <w:spacing w:val="-25"/>
          <w:w w:val="110"/>
        </w:rPr>
        <w:t> </w:t>
      </w:r>
      <w:r>
        <w:rPr>
          <w:w w:val="110"/>
        </w:rPr>
        <w:t>the</w:t>
      </w:r>
      <w:r>
        <w:rPr>
          <w:spacing w:val="-25"/>
          <w:w w:val="110"/>
        </w:rPr>
        <w:t> </w:t>
      </w:r>
      <w:r>
        <w:rPr>
          <w:w w:val="110"/>
        </w:rPr>
        <w:t>exceptionally</w:t>
      </w:r>
      <w:r>
        <w:rPr>
          <w:spacing w:val="-25"/>
          <w:w w:val="110"/>
        </w:rPr>
        <w:t> </w:t>
      </w:r>
      <w:r>
        <w:rPr>
          <w:w w:val="110"/>
        </w:rPr>
        <w:t>wet</w:t>
      </w:r>
      <w:r>
        <w:rPr>
          <w:spacing w:val="-25"/>
          <w:w w:val="110"/>
        </w:rPr>
        <w:t> </w:t>
      </w:r>
      <w:r>
        <w:rPr>
          <w:w w:val="110"/>
        </w:rPr>
        <w:t>weather</w:t>
      </w:r>
      <w:r>
        <w:rPr>
          <w:spacing w:val="-25"/>
          <w:w w:val="110"/>
        </w:rPr>
        <w:t> </w:t>
      </w:r>
      <w:r>
        <w:rPr>
          <w:w w:val="110"/>
        </w:rPr>
        <w:t>and</w:t>
      </w:r>
      <w:r>
        <w:rPr>
          <w:spacing w:val="-25"/>
          <w:w w:val="110"/>
        </w:rPr>
        <w:t> </w:t>
      </w:r>
      <w:r>
        <w:rPr>
          <w:w w:val="110"/>
        </w:rPr>
        <w:t>by the disruptions </w:t>
      </w:r>
      <w:r>
        <w:rPr>
          <w:spacing w:val="-4"/>
          <w:w w:val="110"/>
        </w:rPr>
        <w:t>to </w:t>
      </w:r>
      <w:r>
        <w:rPr>
          <w:w w:val="110"/>
        </w:rPr>
        <w:t>the </w:t>
      </w:r>
      <w:r>
        <w:rPr>
          <w:spacing w:val="-3"/>
          <w:w w:val="110"/>
        </w:rPr>
        <w:t>rail network. </w:t>
      </w:r>
      <w:r>
        <w:rPr>
          <w:w w:val="110"/>
        </w:rPr>
        <w:t>Reflecting these </w:t>
      </w:r>
      <w:r>
        <w:rPr>
          <w:spacing w:val="-3"/>
          <w:w w:val="110"/>
        </w:rPr>
        <w:t>factors, </w:t>
      </w:r>
      <w:r>
        <w:rPr>
          <w:w w:val="110"/>
        </w:rPr>
        <w:t>the underlying trend in output appears rather stronger than indicated</w:t>
      </w:r>
      <w:r>
        <w:rPr>
          <w:spacing w:val="-20"/>
          <w:w w:val="110"/>
        </w:rPr>
        <w:t> </w:t>
      </w:r>
      <w:r>
        <w:rPr>
          <w:spacing w:val="-3"/>
          <w:w w:val="110"/>
        </w:rPr>
        <w:t>by</w:t>
      </w:r>
      <w:r>
        <w:rPr>
          <w:spacing w:val="-19"/>
          <w:w w:val="110"/>
        </w:rPr>
        <w:t> </w:t>
      </w:r>
      <w:r>
        <w:rPr>
          <w:w w:val="110"/>
        </w:rPr>
        <w:t>the</w:t>
      </w:r>
      <w:r>
        <w:rPr>
          <w:spacing w:val="-19"/>
          <w:w w:val="110"/>
        </w:rPr>
        <w:t> </w:t>
      </w:r>
      <w:r>
        <w:rPr>
          <w:w w:val="110"/>
        </w:rPr>
        <w:t>preliminary</w:t>
      </w:r>
      <w:r>
        <w:rPr>
          <w:spacing w:val="-19"/>
          <w:w w:val="110"/>
        </w:rPr>
        <w:t> </w:t>
      </w:r>
      <w:r>
        <w:rPr>
          <w:w w:val="110"/>
        </w:rPr>
        <w:t>estimate,</w:t>
      </w:r>
      <w:r>
        <w:rPr>
          <w:spacing w:val="-19"/>
          <w:w w:val="110"/>
        </w:rPr>
        <w:t> </w:t>
      </w:r>
      <w:r>
        <w:rPr>
          <w:w w:val="110"/>
        </w:rPr>
        <w:t>and</w:t>
      </w:r>
      <w:r>
        <w:rPr>
          <w:spacing w:val="-19"/>
          <w:w w:val="110"/>
        </w:rPr>
        <w:t> </w:t>
      </w:r>
      <w:r>
        <w:rPr>
          <w:w w:val="110"/>
        </w:rPr>
        <w:t>some</w:t>
      </w:r>
      <w:r>
        <w:rPr>
          <w:spacing w:val="-19"/>
          <w:w w:val="110"/>
        </w:rPr>
        <w:t> </w:t>
      </w:r>
      <w:r>
        <w:rPr>
          <w:w w:val="110"/>
        </w:rPr>
        <w:t>bounce-back in early </w:t>
      </w:r>
      <w:r>
        <w:rPr>
          <w:spacing w:val="-11"/>
          <w:w w:val="110"/>
        </w:rPr>
        <w:t>2001 </w:t>
      </w:r>
      <w:r>
        <w:rPr>
          <w:w w:val="110"/>
        </w:rPr>
        <w:t>appears</w:t>
      </w:r>
      <w:r>
        <w:rPr>
          <w:spacing w:val="-13"/>
          <w:w w:val="110"/>
        </w:rPr>
        <w:t> </w:t>
      </w:r>
      <w:r>
        <w:rPr>
          <w:spacing w:val="-4"/>
          <w:w w:val="110"/>
        </w:rPr>
        <w:t>likely.</w:t>
      </w:r>
    </w:p>
    <w:p>
      <w:pPr>
        <w:pStyle w:val="BodyText"/>
        <w:spacing w:before="6"/>
        <w:rPr>
          <w:sz w:val="25"/>
        </w:rPr>
      </w:pPr>
    </w:p>
    <w:p>
      <w:pPr>
        <w:pStyle w:val="BodyText"/>
        <w:spacing w:line="292" w:lineRule="auto"/>
        <w:ind w:left="5095" w:right="183"/>
      </w:pPr>
      <w:r>
        <w:rPr>
          <w:w w:val="110"/>
        </w:rPr>
        <w:t>As noted above, consumer spending continues to exceed expectations. Household expenditure rose by 1% in the third quarter and was more than 4% up on a year earlier. More recent indicators suggest continued strength. Retail sales volumes rose strongly in the fourth quarter and new car registrations increased sharply following implementation of the recommendations of the Competition Commission.</w:t>
      </w:r>
    </w:p>
    <w:p>
      <w:pPr>
        <w:pStyle w:val="BodyText"/>
        <w:spacing w:line="292" w:lineRule="auto"/>
        <w:ind w:left="5095" w:right="330"/>
      </w:pPr>
      <w:r>
        <w:rPr>
          <w:w w:val="110"/>
        </w:rPr>
        <w:t>Household credit growth remains brisk. And consumer confidence</w:t>
      </w:r>
      <w:r>
        <w:rPr>
          <w:spacing w:val="-12"/>
          <w:w w:val="110"/>
        </w:rPr>
        <w:t> </w:t>
      </w:r>
      <w:r>
        <w:rPr>
          <w:w w:val="110"/>
        </w:rPr>
        <w:t>has</w:t>
      </w:r>
      <w:r>
        <w:rPr>
          <w:spacing w:val="-12"/>
          <w:w w:val="110"/>
        </w:rPr>
        <w:t> </w:t>
      </w:r>
      <w:r>
        <w:rPr>
          <w:w w:val="110"/>
        </w:rPr>
        <w:t>risen</w:t>
      </w:r>
      <w:r>
        <w:rPr>
          <w:spacing w:val="-12"/>
          <w:w w:val="110"/>
        </w:rPr>
        <w:t> </w:t>
      </w:r>
      <w:r>
        <w:rPr>
          <w:w w:val="110"/>
        </w:rPr>
        <w:t>in</w:t>
      </w:r>
      <w:r>
        <w:rPr>
          <w:spacing w:val="-12"/>
          <w:w w:val="110"/>
        </w:rPr>
        <w:t> </w:t>
      </w:r>
      <w:r>
        <w:rPr>
          <w:w w:val="110"/>
        </w:rPr>
        <w:t>recent</w:t>
      </w:r>
      <w:r>
        <w:rPr>
          <w:spacing w:val="-12"/>
          <w:w w:val="110"/>
        </w:rPr>
        <w:t> </w:t>
      </w:r>
      <w:r>
        <w:rPr>
          <w:w w:val="110"/>
        </w:rPr>
        <w:t>months,</w:t>
      </w:r>
      <w:r>
        <w:rPr>
          <w:spacing w:val="-12"/>
          <w:w w:val="110"/>
        </w:rPr>
        <w:t> </w:t>
      </w:r>
      <w:r>
        <w:rPr>
          <w:w w:val="110"/>
        </w:rPr>
        <w:t>according</w:t>
      </w:r>
      <w:r>
        <w:rPr>
          <w:spacing w:val="-12"/>
          <w:w w:val="110"/>
        </w:rPr>
        <w:t> </w:t>
      </w:r>
      <w:r>
        <w:rPr>
          <w:spacing w:val="-4"/>
          <w:w w:val="110"/>
        </w:rPr>
        <w:t>to</w:t>
      </w:r>
      <w:r>
        <w:rPr>
          <w:spacing w:val="-12"/>
          <w:w w:val="110"/>
        </w:rPr>
        <w:t> </w:t>
      </w:r>
      <w:r>
        <w:rPr>
          <w:w w:val="110"/>
        </w:rPr>
        <w:t>the</w:t>
      </w:r>
      <w:r>
        <w:rPr>
          <w:spacing w:val="-12"/>
          <w:w w:val="110"/>
        </w:rPr>
        <w:t> </w:t>
      </w:r>
      <w:r>
        <w:rPr>
          <w:w w:val="110"/>
        </w:rPr>
        <w:t>GfK </w:t>
      </w:r>
      <w:r>
        <w:rPr>
          <w:spacing w:val="-5"/>
          <w:w w:val="110"/>
        </w:rPr>
        <w:t>survey.</w:t>
      </w:r>
      <w:r>
        <w:rPr>
          <w:spacing w:val="16"/>
          <w:w w:val="110"/>
        </w:rPr>
        <w:t> </w:t>
      </w:r>
      <w:r>
        <w:rPr>
          <w:w w:val="110"/>
        </w:rPr>
        <w:t>Although</w:t>
      </w:r>
      <w:r>
        <w:rPr>
          <w:spacing w:val="-20"/>
          <w:w w:val="110"/>
        </w:rPr>
        <w:t> </w:t>
      </w:r>
      <w:r>
        <w:rPr>
          <w:w w:val="110"/>
        </w:rPr>
        <w:t>it</w:t>
      </w:r>
      <w:r>
        <w:rPr>
          <w:spacing w:val="-19"/>
          <w:w w:val="110"/>
        </w:rPr>
        <w:t> </w:t>
      </w:r>
      <w:r>
        <w:rPr>
          <w:w w:val="110"/>
        </w:rPr>
        <w:t>is</w:t>
      </w:r>
      <w:r>
        <w:rPr>
          <w:spacing w:val="-20"/>
          <w:w w:val="110"/>
        </w:rPr>
        <w:t> </w:t>
      </w:r>
      <w:r>
        <w:rPr>
          <w:w w:val="110"/>
        </w:rPr>
        <w:t>possible</w:t>
      </w:r>
      <w:r>
        <w:rPr>
          <w:spacing w:val="-19"/>
          <w:w w:val="110"/>
        </w:rPr>
        <w:t> </w:t>
      </w:r>
      <w:r>
        <w:rPr>
          <w:w w:val="110"/>
        </w:rPr>
        <w:t>that</w:t>
      </w:r>
      <w:r>
        <w:rPr>
          <w:spacing w:val="-20"/>
          <w:w w:val="110"/>
        </w:rPr>
        <w:t> </w:t>
      </w:r>
      <w:r>
        <w:rPr>
          <w:w w:val="110"/>
        </w:rPr>
        <w:t>spending</w:t>
      </w:r>
      <w:r>
        <w:rPr>
          <w:spacing w:val="-20"/>
          <w:w w:val="110"/>
        </w:rPr>
        <w:t> </w:t>
      </w:r>
      <w:r>
        <w:rPr>
          <w:w w:val="110"/>
        </w:rPr>
        <w:t>on</w:t>
      </w:r>
      <w:r>
        <w:rPr>
          <w:spacing w:val="-19"/>
          <w:w w:val="110"/>
        </w:rPr>
        <w:t> </w:t>
      </w:r>
      <w:r>
        <w:rPr>
          <w:w w:val="110"/>
        </w:rPr>
        <w:t>services</w:t>
      </w:r>
      <w:r>
        <w:rPr>
          <w:spacing w:val="-20"/>
          <w:w w:val="110"/>
        </w:rPr>
        <w:t> </w:t>
      </w:r>
      <w:r>
        <w:rPr>
          <w:w w:val="110"/>
        </w:rPr>
        <w:t>has been affected </w:t>
      </w:r>
      <w:r>
        <w:rPr>
          <w:spacing w:val="-3"/>
          <w:w w:val="110"/>
        </w:rPr>
        <w:t>by travel </w:t>
      </w:r>
      <w:r>
        <w:rPr>
          <w:w w:val="110"/>
        </w:rPr>
        <w:t>and weather disruptions, the underlying</w:t>
      </w:r>
      <w:r>
        <w:rPr>
          <w:spacing w:val="-16"/>
          <w:w w:val="110"/>
        </w:rPr>
        <w:t> </w:t>
      </w:r>
      <w:r>
        <w:rPr>
          <w:w w:val="110"/>
        </w:rPr>
        <w:t>picture</w:t>
      </w:r>
      <w:r>
        <w:rPr>
          <w:spacing w:val="-16"/>
          <w:w w:val="110"/>
        </w:rPr>
        <w:t> </w:t>
      </w:r>
      <w:r>
        <w:rPr>
          <w:w w:val="110"/>
        </w:rPr>
        <w:t>for</w:t>
      </w:r>
      <w:r>
        <w:rPr>
          <w:spacing w:val="-16"/>
          <w:w w:val="110"/>
        </w:rPr>
        <w:t> </w:t>
      </w:r>
      <w:r>
        <w:rPr>
          <w:w w:val="110"/>
        </w:rPr>
        <w:t>consumer</w:t>
      </w:r>
      <w:r>
        <w:rPr>
          <w:spacing w:val="-17"/>
          <w:w w:val="110"/>
        </w:rPr>
        <w:t> </w:t>
      </w:r>
      <w:r>
        <w:rPr>
          <w:w w:val="110"/>
        </w:rPr>
        <w:t>spending</w:t>
      </w:r>
      <w:r>
        <w:rPr>
          <w:spacing w:val="-16"/>
          <w:w w:val="110"/>
        </w:rPr>
        <w:t> </w:t>
      </w:r>
      <w:r>
        <w:rPr>
          <w:w w:val="110"/>
        </w:rPr>
        <w:t>remains</w:t>
      </w:r>
      <w:r>
        <w:rPr>
          <w:spacing w:val="-16"/>
          <w:w w:val="110"/>
        </w:rPr>
        <w:t> </w:t>
      </w:r>
      <w:r>
        <w:rPr>
          <w:w w:val="110"/>
        </w:rPr>
        <w:t>robust.</w:t>
      </w:r>
    </w:p>
    <w:p>
      <w:pPr>
        <w:pStyle w:val="BodyText"/>
        <w:spacing w:before="5"/>
        <w:rPr>
          <w:sz w:val="25"/>
        </w:rPr>
      </w:pPr>
    </w:p>
    <w:p>
      <w:pPr>
        <w:pStyle w:val="BodyText"/>
        <w:spacing w:line="292" w:lineRule="auto" w:before="1"/>
        <w:ind w:left="5095" w:right="146"/>
      </w:pPr>
      <w:r>
        <w:rPr>
          <w:w w:val="110"/>
        </w:rPr>
        <w:t>Consumer spending growth in recent quarters has been </w:t>
      </w:r>
      <w:r>
        <w:rPr>
          <w:spacing w:val="-3"/>
          <w:w w:val="110"/>
        </w:rPr>
        <w:t>faster </w:t>
      </w:r>
      <w:r>
        <w:rPr>
          <w:w w:val="110"/>
        </w:rPr>
        <w:t>than indicated </w:t>
      </w:r>
      <w:r>
        <w:rPr>
          <w:spacing w:val="-3"/>
          <w:w w:val="110"/>
        </w:rPr>
        <w:t>by </w:t>
      </w:r>
      <w:r>
        <w:rPr>
          <w:w w:val="110"/>
        </w:rPr>
        <w:t>its </w:t>
      </w:r>
      <w:r>
        <w:rPr>
          <w:spacing w:val="-3"/>
          <w:w w:val="110"/>
        </w:rPr>
        <w:t>average </w:t>
      </w:r>
      <w:r>
        <w:rPr>
          <w:w w:val="110"/>
        </w:rPr>
        <w:t>historical relationship with such variables as household income, wealth, official </w:t>
      </w:r>
      <w:r>
        <w:rPr>
          <w:spacing w:val="-3"/>
          <w:w w:val="110"/>
        </w:rPr>
        <w:t>interest </w:t>
      </w:r>
      <w:r>
        <w:rPr>
          <w:spacing w:val="-4"/>
          <w:w w:val="110"/>
        </w:rPr>
        <w:t>rates </w:t>
      </w:r>
      <w:r>
        <w:rPr>
          <w:w w:val="110"/>
        </w:rPr>
        <w:t>and consumer confidence. A number of factors </w:t>
      </w:r>
      <w:r>
        <w:rPr>
          <w:spacing w:val="-3"/>
          <w:w w:val="110"/>
        </w:rPr>
        <w:t>may </w:t>
      </w:r>
      <w:r>
        <w:rPr>
          <w:w w:val="110"/>
        </w:rPr>
        <w:t>account for this. For example, financial innovation and an increase in competition </w:t>
      </w:r>
      <w:r>
        <w:rPr>
          <w:spacing w:val="-3"/>
          <w:w w:val="110"/>
        </w:rPr>
        <w:t>have </w:t>
      </w:r>
      <w:r>
        <w:rPr>
          <w:w w:val="110"/>
        </w:rPr>
        <w:t>increased the </w:t>
      </w:r>
      <w:r>
        <w:rPr>
          <w:spacing w:val="-3"/>
          <w:w w:val="110"/>
        </w:rPr>
        <w:t>availability </w:t>
      </w:r>
      <w:r>
        <w:rPr>
          <w:w w:val="110"/>
        </w:rPr>
        <w:t>of both secured and unsecured credit, and reduced the cost of borrowing relative </w:t>
      </w:r>
      <w:r>
        <w:rPr>
          <w:spacing w:val="-4"/>
          <w:w w:val="110"/>
        </w:rPr>
        <w:t>to </w:t>
      </w:r>
      <w:r>
        <w:rPr>
          <w:w w:val="110"/>
        </w:rPr>
        <w:t>official </w:t>
      </w:r>
      <w:r>
        <w:rPr>
          <w:spacing w:val="-3"/>
          <w:w w:val="110"/>
        </w:rPr>
        <w:t>interest </w:t>
      </w:r>
      <w:r>
        <w:rPr>
          <w:spacing w:val="-4"/>
          <w:w w:val="110"/>
        </w:rPr>
        <w:t>rates. </w:t>
      </w:r>
      <w:r>
        <w:rPr>
          <w:w w:val="110"/>
        </w:rPr>
        <w:t>That </w:t>
      </w:r>
      <w:r>
        <w:rPr>
          <w:spacing w:val="-3"/>
          <w:w w:val="110"/>
        </w:rPr>
        <w:t>may have </w:t>
      </w:r>
      <w:r>
        <w:rPr>
          <w:w w:val="110"/>
        </w:rPr>
        <w:t>enabled households </w:t>
      </w:r>
      <w:r>
        <w:rPr>
          <w:spacing w:val="-4"/>
          <w:w w:val="110"/>
        </w:rPr>
        <w:t>to </w:t>
      </w:r>
      <w:r>
        <w:rPr>
          <w:w w:val="110"/>
        </w:rPr>
        <w:t>smooth consumption and </w:t>
      </w:r>
      <w:r>
        <w:rPr>
          <w:spacing w:val="-4"/>
          <w:w w:val="110"/>
        </w:rPr>
        <w:t>to </w:t>
      </w:r>
      <w:r>
        <w:rPr>
          <w:w w:val="110"/>
        </w:rPr>
        <w:t>unlock gains from increased wealth more effectively than in the past. It is also possible that high </w:t>
      </w:r>
      <w:r>
        <w:rPr>
          <w:spacing w:val="-4"/>
          <w:w w:val="110"/>
        </w:rPr>
        <w:t>rates </w:t>
      </w:r>
      <w:r>
        <w:rPr>
          <w:w w:val="110"/>
        </w:rPr>
        <w:t>of employment combined with</w:t>
      </w:r>
    </w:p>
    <w:p>
      <w:pPr>
        <w:spacing w:after="0" w:line="292" w:lineRule="auto"/>
        <w:sectPr>
          <w:pgSz w:w="11900" w:h="16840"/>
          <w:pgMar w:header="601" w:footer="575" w:top="800" w:bottom="760" w:left="640" w:right="640"/>
        </w:sectPr>
      </w:pPr>
    </w:p>
    <w:p>
      <w:pPr>
        <w:pStyle w:val="BodyText"/>
      </w:pPr>
    </w:p>
    <w:p>
      <w:pPr>
        <w:pStyle w:val="BodyText"/>
        <w:spacing w:before="6"/>
      </w:pPr>
    </w:p>
    <w:p>
      <w:pPr>
        <w:pStyle w:val="BodyText"/>
        <w:spacing w:line="292" w:lineRule="auto" w:before="1"/>
        <w:ind w:left="5111" w:right="51"/>
      </w:pPr>
      <w:r>
        <w:rPr>
          <w:w w:val="110"/>
        </w:rPr>
        <w:t>perceptions of </w:t>
      </w:r>
      <w:r>
        <w:rPr>
          <w:spacing w:val="-3"/>
          <w:w w:val="110"/>
        </w:rPr>
        <w:t>greater </w:t>
      </w:r>
      <w:r>
        <w:rPr>
          <w:w w:val="110"/>
        </w:rPr>
        <w:t>economic </w:t>
      </w:r>
      <w:r>
        <w:rPr>
          <w:spacing w:val="-3"/>
          <w:w w:val="110"/>
        </w:rPr>
        <w:t>stability </w:t>
      </w:r>
      <w:r>
        <w:rPr>
          <w:w w:val="110"/>
        </w:rPr>
        <w:t>are leading </w:t>
      </w:r>
      <w:r>
        <w:rPr>
          <w:spacing w:val="-4"/>
          <w:w w:val="110"/>
        </w:rPr>
        <w:t>to </w:t>
      </w:r>
      <w:r>
        <w:rPr>
          <w:w w:val="110"/>
        </w:rPr>
        <w:t>a more pronounced reduction in precautionary saving </w:t>
      </w:r>
      <w:r>
        <w:rPr>
          <w:spacing w:val="-4"/>
          <w:w w:val="110"/>
        </w:rPr>
        <w:t>rates </w:t>
      </w:r>
      <w:r>
        <w:rPr>
          <w:w w:val="110"/>
        </w:rPr>
        <w:t>than implied </w:t>
      </w:r>
      <w:r>
        <w:rPr>
          <w:spacing w:val="-3"/>
          <w:w w:val="110"/>
        </w:rPr>
        <w:t>by average </w:t>
      </w:r>
      <w:r>
        <w:rPr>
          <w:w w:val="110"/>
        </w:rPr>
        <w:t>relationships in the past.</w:t>
      </w:r>
    </w:p>
    <w:p>
      <w:pPr>
        <w:pStyle w:val="BodyText"/>
        <w:spacing w:before="8"/>
      </w:pPr>
    </w:p>
    <w:p>
      <w:pPr>
        <w:pStyle w:val="BodyText"/>
        <w:spacing w:line="292" w:lineRule="auto"/>
        <w:ind w:left="5111" w:right="172"/>
      </w:pPr>
      <w:r>
        <w:rPr>
          <w:w w:val="110"/>
        </w:rPr>
        <w:t>The </w:t>
      </w:r>
      <w:r>
        <w:rPr>
          <w:spacing w:val="-3"/>
          <w:w w:val="110"/>
        </w:rPr>
        <w:t>Committee </w:t>
      </w:r>
      <w:r>
        <w:rPr>
          <w:w w:val="110"/>
        </w:rPr>
        <w:t>continues </w:t>
      </w:r>
      <w:r>
        <w:rPr>
          <w:spacing w:val="-4"/>
          <w:w w:val="110"/>
        </w:rPr>
        <w:t>to </w:t>
      </w:r>
      <w:r>
        <w:rPr>
          <w:w w:val="110"/>
        </w:rPr>
        <w:t>expect a </w:t>
      </w:r>
      <w:r>
        <w:rPr>
          <w:spacing w:val="-3"/>
          <w:w w:val="110"/>
        </w:rPr>
        <w:t>slowdown </w:t>
      </w:r>
      <w:r>
        <w:rPr>
          <w:w w:val="110"/>
        </w:rPr>
        <w:t>in consumer spending in the coming quarters. The impetus from earlier gains</w:t>
      </w:r>
      <w:r>
        <w:rPr>
          <w:spacing w:val="-22"/>
          <w:w w:val="110"/>
        </w:rPr>
        <w:t> </w:t>
      </w:r>
      <w:r>
        <w:rPr>
          <w:w w:val="110"/>
        </w:rPr>
        <w:t>in</w:t>
      </w:r>
      <w:r>
        <w:rPr>
          <w:spacing w:val="-21"/>
          <w:w w:val="110"/>
        </w:rPr>
        <w:t> </w:t>
      </w:r>
      <w:r>
        <w:rPr>
          <w:w w:val="110"/>
        </w:rPr>
        <w:t>wealth</w:t>
      </w:r>
      <w:r>
        <w:rPr>
          <w:spacing w:val="-22"/>
          <w:w w:val="110"/>
        </w:rPr>
        <w:t> </w:t>
      </w:r>
      <w:r>
        <w:rPr>
          <w:w w:val="110"/>
        </w:rPr>
        <w:t>is</w:t>
      </w:r>
      <w:r>
        <w:rPr>
          <w:spacing w:val="-21"/>
          <w:w w:val="110"/>
        </w:rPr>
        <w:t> </w:t>
      </w:r>
      <w:r>
        <w:rPr>
          <w:w w:val="110"/>
        </w:rPr>
        <w:t>gradually</w:t>
      </w:r>
      <w:r>
        <w:rPr>
          <w:spacing w:val="-22"/>
          <w:w w:val="110"/>
        </w:rPr>
        <w:t> </w:t>
      </w:r>
      <w:r>
        <w:rPr>
          <w:w w:val="110"/>
        </w:rPr>
        <w:t>fading</w:t>
      </w:r>
      <w:r>
        <w:rPr>
          <w:spacing w:val="-21"/>
          <w:w w:val="110"/>
        </w:rPr>
        <w:t> </w:t>
      </w:r>
      <w:r>
        <w:rPr>
          <w:w w:val="110"/>
        </w:rPr>
        <w:t>and</w:t>
      </w:r>
      <w:r>
        <w:rPr>
          <w:spacing w:val="-21"/>
          <w:w w:val="110"/>
        </w:rPr>
        <w:t> </w:t>
      </w:r>
      <w:r>
        <w:rPr>
          <w:w w:val="110"/>
        </w:rPr>
        <w:t>real</w:t>
      </w:r>
      <w:r>
        <w:rPr>
          <w:spacing w:val="-22"/>
          <w:w w:val="110"/>
        </w:rPr>
        <w:t> </w:t>
      </w:r>
      <w:r>
        <w:rPr>
          <w:w w:val="110"/>
        </w:rPr>
        <w:t>household</w:t>
      </w:r>
      <w:r>
        <w:rPr>
          <w:spacing w:val="-21"/>
          <w:w w:val="110"/>
        </w:rPr>
        <w:t> </w:t>
      </w:r>
      <w:r>
        <w:rPr>
          <w:w w:val="110"/>
        </w:rPr>
        <w:t>income growth is slowing as employment </w:t>
      </w:r>
      <w:r>
        <w:rPr>
          <w:spacing w:val="-4"/>
          <w:w w:val="110"/>
        </w:rPr>
        <w:t>rates </w:t>
      </w:r>
      <w:r>
        <w:rPr>
          <w:spacing w:val="-3"/>
          <w:w w:val="110"/>
        </w:rPr>
        <w:t>level </w:t>
      </w:r>
      <w:r>
        <w:rPr>
          <w:w w:val="110"/>
        </w:rPr>
        <w:t>off. The central projection is that consumer spending growth slows steadily through </w:t>
      </w:r>
      <w:r>
        <w:rPr>
          <w:spacing w:val="-11"/>
          <w:w w:val="110"/>
        </w:rPr>
        <w:t>2001 </w:t>
      </w:r>
      <w:r>
        <w:rPr>
          <w:spacing w:val="-4"/>
          <w:w w:val="110"/>
        </w:rPr>
        <w:t>to </w:t>
      </w:r>
      <w:r>
        <w:rPr>
          <w:w w:val="110"/>
        </w:rPr>
        <w:t>around trend as the household saving </w:t>
      </w:r>
      <w:r>
        <w:rPr>
          <w:spacing w:val="-3"/>
          <w:w w:val="110"/>
        </w:rPr>
        <w:t>ratio </w:t>
      </w:r>
      <w:r>
        <w:rPr>
          <w:w w:val="110"/>
        </w:rPr>
        <w:t>rises a little from low levels. The broad </w:t>
      </w:r>
      <w:r>
        <w:rPr>
          <w:spacing w:val="-3"/>
          <w:w w:val="110"/>
        </w:rPr>
        <w:t>pattern </w:t>
      </w:r>
      <w:r>
        <w:rPr>
          <w:w w:val="110"/>
        </w:rPr>
        <w:t>is similar </w:t>
      </w:r>
      <w:r>
        <w:rPr>
          <w:spacing w:val="-4"/>
          <w:w w:val="110"/>
        </w:rPr>
        <w:t>to </w:t>
      </w:r>
      <w:r>
        <w:rPr>
          <w:w w:val="110"/>
        </w:rPr>
        <w:t>that</w:t>
      </w:r>
      <w:r>
        <w:rPr>
          <w:spacing w:val="-17"/>
          <w:w w:val="110"/>
        </w:rPr>
        <w:t> </w:t>
      </w:r>
      <w:r>
        <w:rPr>
          <w:w w:val="110"/>
        </w:rPr>
        <w:t>in</w:t>
      </w:r>
      <w:r>
        <w:rPr>
          <w:spacing w:val="-17"/>
          <w:w w:val="110"/>
        </w:rPr>
        <w:t> </w:t>
      </w:r>
      <w:r>
        <w:rPr>
          <w:w w:val="110"/>
        </w:rPr>
        <w:t>November</w:t>
      </w:r>
      <w:r>
        <w:rPr>
          <w:spacing w:val="-16"/>
          <w:w w:val="110"/>
        </w:rPr>
        <w:t> </w:t>
      </w:r>
      <w:r>
        <w:rPr>
          <w:w w:val="110"/>
        </w:rPr>
        <w:t>although,</w:t>
      </w:r>
      <w:r>
        <w:rPr>
          <w:spacing w:val="-17"/>
          <w:w w:val="110"/>
        </w:rPr>
        <w:t> </w:t>
      </w:r>
      <w:r>
        <w:rPr>
          <w:w w:val="110"/>
        </w:rPr>
        <w:t>reflecting</w:t>
      </w:r>
      <w:r>
        <w:rPr>
          <w:spacing w:val="-17"/>
          <w:w w:val="110"/>
        </w:rPr>
        <w:t> </w:t>
      </w:r>
      <w:r>
        <w:rPr>
          <w:w w:val="110"/>
        </w:rPr>
        <w:t>the</w:t>
      </w:r>
      <w:r>
        <w:rPr>
          <w:spacing w:val="-16"/>
          <w:w w:val="110"/>
        </w:rPr>
        <w:t> </w:t>
      </w:r>
      <w:r>
        <w:rPr>
          <w:w w:val="110"/>
        </w:rPr>
        <w:t>judgment</w:t>
      </w:r>
      <w:r>
        <w:rPr>
          <w:spacing w:val="-17"/>
          <w:w w:val="110"/>
        </w:rPr>
        <w:t> </w:t>
      </w:r>
      <w:r>
        <w:rPr>
          <w:w w:val="110"/>
        </w:rPr>
        <w:t>that</w:t>
      </w:r>
      <w:r>
        <w:rPr>
          <w:spacing w:val="-17"/>
          <w:w w:val="110"/>
        </w:rPr>
        <w:t> </w:t>
      </w:r>
      <w:r>
        <w:rPr>
          <w:w w:val="110"/>
        </w:rPr>
        <w:t>some of the recent unexpected strength </w:t>
      </w:r>
      <w:r>
        <w:rPr>
          <w:spacing w:val="-3"/>
          <w:w w:val="110"/>
        </w:rPr>
        <w:t>may </w:t>
      </w:r>
      <w:r>
        <w:rPr>
          <w:w w:val="110"/>
        </w:rPr>
        <w:t>persist, the profile for consumer</w:t>
      </w:r>
      <w:r>
        <w:rPr>
          <w:spacing w:val="-11"/>
          <w:w w:val="110"/>
        </w:rPr>
        <w:t> </w:t>
      </w:r>
      <w:r>
        <w:rPr>
          <w:w w:val="110"/>
        </w:rPr>
        <w:t>spending</w:t>
      </w:r>
      <w:r>
        <w:rPr>
          <w:spacing w:val="-10"/>
          <w:w w:val="110"/>
        </w:rPr>
        <w:t> </w:t>
      </w:r>
      <w:r>
        <w:rPr>
          <w:w w:val="110"/>
        </w:rPr>
        <w:t>is</w:t>
      </w:r>
      <w:r>
        <w:rPr>
          <w:spacing w:val="-10"/>
          <w:w w:val="110"/>
        </w:rPr>
        <w:t> </w:t>
      </w:r>
      <w:r>
        <w:rPr>
          <w:w w:val="110"/>
        </w:rPr>
        <w:t>higher</w:t>
      </w:r>
      <w:r>
        <w:rPr>
          <w:spacing w:val="-10"/>
          <w:w w:val="110"/>
        </w:rPr>
        <w:t> </w:t>
      </w:r>
      <w:r>
        <w:rPr>
          <w:w w:val="110"/>
        </w:rPr>
        <w:t>than</w:t>
      </w:r>
      <w:r>
        <w:rPr>
          <w:spacing w:val="-10"/>
          <w:w w:val="110"/>
        </w:rPr>
        <w:t> </w:t>
      </w:r>
      <w:r>
        <w:rPr>
          <w:w w:val="110"/>
        </w:rPr>
        <w:t>in</w:t>
      </w:r>
      <w:r>
        <w:rPr>
          <w:spacing w:val="-10"/>
          <w:w w:val="110"/>
        </w:rPr>
        <w:t> </w:t>
      </w:r>
      <w:r>
        <w:rPr>
          <w:w w:val="110"/>
        </w:rPr>
        <w:t>the</w:t>
      </w:r>
      <w:r>
        <w:rPr>
          <w:spacing w:val="-11"/>
          <w:w w:val="110"/>
        </w:rPr>
        <w:t> </w:t>
      </w:r>
      <w:r>
        <w:rPr>
          <w:w w:val="110"/>
        </w:rPr>
        <w:t>previous</w:t>
      </w:r>
      <w:r>
        <w:rPr>
          <w:spacing w:val="-10"/>
          <w:w w:val="110"/>
        </w:rPr>
        <w:t> </w:t>
      </w:r>
      <w:r>
        <w:rPr>
          <w:i/>
          <w:w w:val="110"/>
        </w:rPr>
        <w:t>Report</w:t>
      </w:r>
      <w:r>
        <w:rPr>
          <w:w w:val="110"/>
        </w:rPr>
        <w:t>.</w:t>
      </w:r>
    </w:p>
    <w:p>
      <w:pPr>
        <w:pStyle w:val="BodyText"/>
        <w:spacing w:line="292" w:lineRule="auto"/>
        <w:ind w:left="5111"/>
      </w:pPr>
      <w:r>
        <w:rPr>
          <w:w w:val="110"/>
        </w:rPr>
        <w:t>Risks</w:t>
      </w:r>
      <w:r>
        <w:rPr>
          <w:spacing w:val="-18"/>
          <w:w w:val="110"/>
        </w:rPr>
        <w:t> </w:t>
      </w:r>
      <w:r>
        <w:rPr>
          <w:spacing w:val="-4"/>
          <w:w w:val="110"/>
        </w:rPr>
        <w:t>to</w:t>
      </w:r>
      <w:r>
        <w:rPr>
          <w:spacing w:val="-18"/>
          <w:w w:val="110"/>
        </w:rPr>
        <w:t> </w:t>
      </w:r>
      <w:r>
        <w:rPr>
          <w:w w:val="110"/>
        </w:rPr>
        <w:t>the</w:t>
      </w:r>
      <w:r>
        <w:rPr>
          <w:spacing w:val="-18"/>
          <w:w w:val="110"/>
        </w:rPr>
        <w:t> </w:t>
      </w:r>
      <w:r>
        <w:rPr>
          <w:w w:val="110"/>
        </w:rPr>
        <w:t>spending</w:t>
      </w:r>
      <w:r>
        <w:rPr>
          <w:spacing w:val="-17"/>
          <w:w w:val="110"/>
        </w:rPr>
        <w:t> </w:t>
      </w:r>
      <w:r>
        <w:rPr>
          <w:w w:val="110"/>
        </w:rPr>
        <w:t>outlook</w:t>
      </w:r>
      <w:r>
        <w:rPr>
          <w:spacing w:val="-18"/>
          <w:w w:val="110"/>
        </w:rPr>
        <w:t> </w:t>
      </w:r>
      <w:r>
        <w:rPr>
          <w:w w:val="110"/>
        </w:rPr>
        <w:t>are</w:t>
      </w:r>
      <w:r>
        <w:rPr>
          <w:spacing w:val="-18"/>
          <w:w w:val="110"/>
        </w:rPr>
        <w:t> </w:t>
      </w:r>
      <w:r>
        <w:rPr>
          <w:spacing w:val="-3"/>
          <w:w w:val="110"/>
        </w:rPr>
        <w:t>weighted</w:t>
      </w:r>
      <w:r>
        <w:rPr>
          <w:spacing w:val="-17"/>
          <w:w w:val="110"/>
        </w:rPr>
        <w:t> </w:t>
      </w:r>
      <w:r>
        <w:rPr>
          <w:spacing w:val="-4"/>
          <w:w w:val="110"/>
        </w:rPr>
        <w:t>to</w:t>
      </w:r>
      <w:r>
        <w:rPr>
          <w:spacing w:val="-18"/>
          <w:w w:val="110"/>
        </w:rPr>
        <w:t> </w:t>
      </w:r>
      <w:r>
        <w:rPr>
          <w:w w:val="110"/>
        </w:rPr>
        <w:t>the</w:t>
      </w:r>
      <w:r>
        <w:rPr>
          <w:spacing w:val="-18"/>
          <w:w w:val="110"/>
        </w:rPr>
        <w:t> </w:t>
      </w:r>
      <w:r>
        <w:rPr>
          <w:w w:val="110"/>
        </w:rPr>
        <w:t>downside,</w:t>
      </w:r>
      <w:r>
        <w:rPr>
          <w:spacing w:val="-18"/>
          <w:w w:val="110"/>
        </w:rPr>
        <w:t> </w:t>
      </w:r>
      <w:r>
        <w:rPr>
          <w:w w:val="110"/>
        </w:rPr>
        <w:t>as households</w:t>
      </w:r>
      <w:r>
        <w:rPr>
          <w:spacing w:val="-21"/>
          <w:w w:val="110"/>
        </w:rPr>
        <w:t> </w:t>
      </w:r>
      <w:r>
        <w:rPr>
          <w:spacing w:val="-3"/>
          <w:w w:val="110"/>
        </w:rPr>
        <w:t>may</w:t>
      </w:r>
      <w:r>
        <w:rPr>
          <w:spacing w:val="-20"/>
          <w:w w:val="110"/>
        </w:rPr>
        <w:t> </w:t>
      </w:r>
      <w:r>
        <w:rPr>
          <w:w w:val="110"/>
        </w:rPr>
        <w:t>choose</w:t>
      </w:r>
      <w:r>
        <w:rPr>
          <w:spacing w:val="-21"/>
          <w:w w:val="110"/>
        </w:rPr>
        <w:t> </w:t>
      </w:r>
      <w:r>
        <w:rPr>
          <w:spacing w:val="-4"/>
          <w:w w:val="110"/>
        </w:rPr>
        <w:t>to</w:t>
      </w:r>
      <w:r>
        <w:rPr>
          <w:spacing w:val="-20"/>
          <w:w w:val="110"/>
        </w:rPr>
        <w:t> </w:t>
      </w:r>
      <w:r>
        <w:rPr>
          <w:w w:val="110"/>
        </w:rPr>
        <w:t>rebuild</w:t>
      </w:r>
      <w:r>
        <w:rPr>
          <w:spacing w:val="-20"/>
          <w:w w:val="110"/>
        </w:rPr>
        <w:t> </w:t>
      </w:r>
      <w:r>
        <w:rPr>
          <w:w w:val="110"/>
        </w:rPr>
        <w:t>their</w:t>
      </w:r>
      <w:r>
        <w:rPr>
          <w:spacing w:val="-21"/>
          <w:w w:val="110"/>
        </w:rPr>
        <w:t> </w:t>
      </w:r>
      <w:r>
        <w:rPr>
          <w:w w:val="110"/>
        </w:rPr>
        <w:t>savings</w:t>
      </w:r>
      <w:r>
        <w:rPr>
          <w:spacing w:val="-20"/>
          <w:w w:val="110"/>
        </w:rPr>
        <w:t> </w:t>
      </w:r>
      <w:r>
        <w:rPr>
          <w:w w:val="110"/>
        </w:rPr>
        <w:t>more</w:t>
      </w:r>
      <w:r>
        <w:rPr>
          <w:spacing w:val="-20"/>
          <w:w w:val="110"/>
        </w:rPr>
        <w:t> </w:t>
      </w:r>
      <w:r>
        <w:rPr>
          <w:spacing w:val="-3"/>
          <w:w w:val="110"/>
        </w:rPr>
        <w:t>quickly.</w:t>
      </w:r>
    </w:p>
    <w:p>
      <w:pPr>
        <w:pStyle w:val="BodyText"/>
        <w:rPr>
          <w:sz w:val="22"/>
        </w:rPr>
      </w:pPr>
    </w:p>
    <w:p>
      <w:pPr>
        <w:pStyle w:val="BodyText"/>
        <w:ind w:left="5111"/>
      </w:pPr>
      <w:r>
        <w:rPr>
          <w:w w:val="105"/>
        </w:rPr>
        <w:t>Whole-economy fixed investment declined by 0.5% in</w:t>
      </w:r>
    </w:p>
    <w:p>
      <w:pPr>
        <w:pStyle w:val="BodyText"/>
        <w:spacing w:line="292" w:lineRule="auto" w:before="50"/>
        <w:ind w:left="5111" w:right="193"/>
      </w:pPr>
      <w:r>
        <w:rPr>
          <w:spacing w:val="-4"/>
          <w:w w:val="110"/>
        </w:rPr>
        <w:t>2000 </w:t>
      </w:r>
      <w:r>
        <w:rPr>
          <w:w w:val="110"/>
        </w:rPr>
        <w:t>Q3, a much </w:t>
      </w:r>
      <w:r>
        <w:rPr>
          <w:spacing w:val="-3"/>
          <w:w w:val="110"/>
        </w:rPr>
        <w:t>weaker </w:t>
      </w:r>
      <w:r>
        <w:rPr>
          <w:w w:val="110"/>
        </w:rPr>
        <w:t>outturn than </w:t>
      </w:r>
      <w:r>
        <w:rPr>
          <w:spacing w:val="-3"/>
          <w:w w:val="110"/>
        </w:rPr>
        <w:t>expected </w:t>
      </w:r>
      <w:r>
        <w:rPr>
          <w:w w:val="110"/>
        </w:rPr>
        <w:t>three months ago.</w:t>
      </w:r>
      <w:r>
        <w:rPr>
          <w:spacing w:val="16"/>
          <w:w w:val="110"/>
        </w:rPr>
        <w:t> </w:t>
      </w:r>
      <w:r>
        <w:rPr>
          <w:w w:val="110"/>
        </w:rPr>
        <w:t>Business</w:t>
      </w:r>
      <w:r>
        <w:rPr>
          <w:spacing w:val="-20"/>
          <w:w w:val="110"/>
        </w:rPr>
        <w:t> </w:t>
      </w:r>
      <w:r>
        <w:rPr>
          <w:w w:val="110"/>
        </w:rPr>
        <w:t>investment—some</w:t>
      </w:r>
      <w:r>
        <w:rPr>
          <w:spacing w:val="-20"/>
          <w:w w:val="110"/>
        </w:rPr>
        <w:t> </w:t>
      </w:r>
      <w:r>
        <w:rPr>
          <w:w w:val="110"/>
        </w:rPr>
        <w:t>three</w:t>
      </w:r>
      <w:r>
        <w:rPr>
          <w:spacing w:val="-20"/>
          <w:w w:val="110"/>
        </w:rPr>
        <w:t> </w:t>
      </w:r>
      <w:r>
        <w:rPr>
          <w:w w:val="110"/>
        </w:rPr>
        <w:t>quarters</w:t>
      </w:r>
      <w:r>
        <w:rPr>
          <w:spacing w:val="-20"/>
          <w:w w:val="110"/>
        </w:rPr>
        <w:t> </w:t>
      </w:r>
      <w:r>
        <w:rPr>
          <w:w w:val="110"/>
        </w:rPr>
        <w:t>of</w:t>
      </w:r>
      <w:r>
        <w:rPr>
          <w:spacing w:val="-20"/>
          <w:w w:val="110"/>
        </w:rPr>
        <w:t> </w:t>
      </w:r>
      <w:r>
        <w:rPr>
          <w:w w:val="110"/>
        </w:rPr>
        <w:t>the</w:t>
      </w:r>
      <w:r>
        <w:rPr>
          <w:spacing w:val="-19"/>
          <w:w w:val="110"/>
        </w:rPr>
        <w:t> </w:t>
      </w:r>
      <w:r>
        <w:rPr>
          <w:spacing w:val="-3"/>
          <w:w w:val="110"/>
        </w:rPr>
        <w:t>total— </w:t>
      </w:r>
      <w:r>
        <w:rPr>
          <w:w w:val="110"/>
        </w:rPr>
        <w:t>fell</w:t>
      </w:r>
      <w:r>
        <w:rPr>
          <w:spacing w:val="-18"/>
          <w:w w:val="110"/>
        </w:rPr>
        <w:t> </w:t>
      </w:r>
      <w:r>
        <w:rPr>
          <w:w w:val="110"/>
        </w:rPr>
        <w:t>slightly</w:t>
      </w:r>
      <w:r>
        <w:rPr>
          <w:spacing w:val="-18"/>
          <w:w w:val="110"/>
        </w:rPr>
        <w:t> </w:t>
      </w:r>
      <w:r>
        <w:rPr>
          <w:w w:val="110"/>
        </w:rPr>
        <w:t>and</w:t>
      </w:r>
      <w:r>
        <w:rPr>
          <w:spacing w:val="-17"/>
          <w:w w:val="110"/>
        </w:rPr>
        <w:t> </w:t>
      </w:r>
      <w:r>
        <w:rPr>
          <w:spacing w:val="-3"/>
          <w:w w:val="110"/>
        </w:rPr>
        <w:t>was</w:t>
      </w:r>
      <w:r>
        <w:rPr>
          <w:spacing w:val="-18"/>
          <w:w w:val="110"/>
        </w:rPr>
        <w:t> </w:t>
      </w:r>
      <w:r>
        <w:rPr>
          <w:w w:val="110"/>
        </w:rPr>
        <w:t>little</w:t>
      </w:r>
      <w:r>
        <w:rPr>
          <w:spacing w:val="-17"/>
          <w:w w:val="110"/>
        </w:rPr>
        <w:t> </w:t>
      </w:r>
      <w:r>
        <w:rPr>
          <w:w w:val="110"/>
        </w:rPr>
        <w:t>changed</w:t>
      </w:r>
      <w:r>
        <w:rPr>
          <w:spacing w:val="-18"/>
          <w:w w:val="110"/>
        </w:rPr>
        <w:t> </w:t>
      </w:r>
      <w:r>
        <w:rPr>
          <w:w w:val="110"/>
        </w:rPr>
        <w:t>from</w:t>
      </w:r>
      <w:r>
        <w:rPr>
          <w:spacing w:val="-17"/>
          <w:w w:val="110"/>
        </w:rPr>
        <w:t> </w:t>
      </w:r>
      <w:r>
        <w:rPr>
          <w:w w:val="110"/>
        </w:rPr>
        <w:t>the</w:t>
      </w:r>
      <w:r>
        <w:rPr>
          <w:spacing w:val="-18"/>
          <w:w w:val="110"/>
        </w:rPr>
        <w:t> </w:t>
      </w:r>
      <w:r>
        <w:rPr>
          <w:spacing w:val="-3"/>
          <w:w w:val="110"/>
        </w:rPr>
        <w:t>level</w:t>
      </w:r>
      <w:r>
        <w:rPr>
          <w:spacing w:val="-18"/>
          <w:w w:val="110"/>
        </w:rPr>
        <w:t> </w:t>
      </w:r>
      <w:r>
        <w:rPr>
          <w:w w:val="110"/>
        </w:rPr>
        <w:t>at</w:t>
      </w:r>
      <w:r>
        <w:rPr>
          <w:spacing w:val="-17"/>
          <w:w w:val="110"/>
        </w:rPr>
        <w:t> </w:t>
      </w:r>
      <w:r>
        <w:rPr>
          <w:w w:val="110"/>
        </w:rPr>
        <w:t>the</w:t>
      </w:r>
      <w:r>
        <w:rPr>
          <w:spacing w:val="-18"/>
          <w:w w:val="110"/>
        </w:rPr>
        <w:t> </w:t>
      </w:r>
      <w:r>
        <w:rPr>
          <w:w w:val="110"/>
        </w:rPr>
        <w:t>end</w:t>
      </w:r>
      <w:r>
        <w:rPr>
          <w:spacing w:val="-17"/>
          <w:w w:val="110"/>
        </w:rPr>
        <w:t> </w:t>
      </w:r>
      <w:r>
        <w:rPr>
          <w:w w:val="110"/>
        </w:rPr>
        <w:t>of </w:t>
      </w:r>
      <w:r>
        <w:rPr>
          <w:spacing w:val="-12"/>
          <w:w w:val="110"/>
        </w:rPr>
        <w:t>1999. </w:t>
      </w:r>
      <w:r>
        <w:rPr>
          <w:w w:val="110"/>
        </w:rPr>
        <w:t>Although the volume of business capital spending remains relatively high in relation </w:t>
      </w:r>
      <w:r>
        <w:rPr>
          <w:spacing w:val="-4"/>
          <w:w w:val="110"/>
        </w:rPr>
        <w:t>to </w:t>
      </w:r>
      <w:r>
        <w:rPr>
          <w:w w:val="110"/>
        </w:rPr>
        <w:t>output and the capital stock,</w:t>
      </w:r>
      <w:r>
        <w:rPr>
          <w:spacing w:val="-21"/>
          <w:w w:val="110"/>
        </w:rPr>
        <w:t> </w:t>
      </w:r>
      <w:r>
        <w:rPr>
          <w:w w:val="110"/>
        </w:rPr>
        <w:t>a</w:t>
      </w:r>
      <w:r>
        <w:rPr>
          <w:spacing w:val="-20"/>
          <w:w w:val="110"/>
        </w:rPr>
        <w:t> </w:t>
      </w:r>
      <w:r>
        <w:rPr>
          <w:w w:val="110"/>
        </w:rPr>
        <w:t>more</w:t>
      </w:r>
      <w:r>
        <w:rPr>
          <w:spacing w:val="-20"/>
          <w:w w:val="110"/>
        </w:rPr>
        <w:t> </w:t>
      </w:r>
      <w:r>
        <w:rPr>
          <w:w w:val="110"/>
        </w:rPr>
        <w:t>buoyant</w:t>
      </w:r>
      <w:r>
        <w:rPr>
          <w:spacing w:val="-20"/>
          <w:w w:val="110"/>
        </w:rPr>
        <w:t> </w:t>
      </w:r>
      <w:r>
        <w:rPr>
          <w:w w:val="110"/>
        </w:rPr>
        <w:t>picture</w:t>
      </w:r>
      <w:r>
        <w:rPr>
          <w:spacing w:val="-20"/>
          <w:w w:val="110"/>
        </w:rPr>
        <w:t> </w:t>
      </w:r>
      <w:r>
        <w:rPr>
          <w:w w:val="110"/>
        </w:rPr>
        <w:t>for</w:t>
      </w:r>
      <w:r>
        <w:rPr>
          <w:spacing w:val="-20"/>
          <w:w w:val="110"/>
        </w:rPr>
        <w:t> </w:t>
      </w:r>
      <w:r>
        <w:rPr>
          <w:w w:val="110"/>
        </w:rPr>
        <w:t>investment</w:t>
      </w:r>
      <w:r>
        <w:rPr>
          <w:spacing w:val="-20"/>
          <w:w w:val="110"/>
        </w:rPr>
        <w:t> </w:t>
      </w:r>
      <w:r>
        <w:rPr>
          <w:spacing w:val="-3"/>
          <w:w w:val="110"/>
        </w:rPr>
        <w:t>was</w:t>
      </w:r>
      <w:r>
        <w:rPr>
          <w:spacing w:val="-20"/>
          <w:w w:val="110"/>
        </w:rPr>
        <w:t> </w:t>
      </w:r>
      <w:r>
        <w:rPr>
          <w:w w:val="110"/>
        </w:rPr>
        <w:t>expected</w:t>
      </w:r>
      <w:r>
        <w:rPr>
          <w:spacing w:val="-20"/>
          <w:w w:val="110"/>
        </w:rPr>
        <w:t> </w:t>
      </w:r>
      <w:r>
        <w:rPr>
          <w:w w:val="110"/>
        </w:rPr>
        <w:t>on the basis of information from </w:t>
      </w:r>
      <w:r>
        <w:rPr>
          <w:spacing w:val="-3"/>
          <w:w w:val="110"/>
        </w:rPr>
        <w:t>surveys </w:t>
      </w:r>
      <w:r>
        <w:rPr>
          <w:w w:val="110"/>
        </w:rPr>
        <w:t>and econometric relationships.</w:t>
      </w:r>
      <w:r>
        <w:rPr>
          <w:spacing w:val="14"/>
          <w:w w:val="110"/>
        </w:rPr>
        <w:t> </w:t>
      </w:r>
      <w:r>
        <w:rPr>
          <w:w w:val="110"/>
        </w:rPr>
        <w:t>Indeed,</w:t>
      </w:r>
      <w:r>
        <w:rPr>
          <w:spacing w:val="-21"/>
          <w:w w:val="110"/>
        </w:rPr>
        <w:t> </w:t>
      </w:r>
      <w:r>
        <w:rPr>
          <w:w w:val="110"/>
        </w:rPr>
        <w:t>successive</w:t>
      </w:r>
      <w:r>
        <w:rPr>
          <w:spacing w:val="-20"/>
          <w:w w:val="110"/>
        </w:rPr>
        <w:t> </w:t>
      </w:r>
      <w:r>
        <w:rPr>
          <w:w w:val="110"/>
        </w:rPr>
        <w:t>outturns</w:t>
      </w:r>
      <w:r>
        <w:rPr>
          <w:spacing w:val="-21"/>
          <w:w w:val="110"/>
        </w:rPr>
        <w:t> </w:t>
      </w:r>
      <w:r>
        <w:rPr>
          <w:spacing w:val="-3"/>
          <w:w w:val="110"/>
        </w:rPr>
        <w:t>have</w:t>
      </w:r>
      <w:r>
        <w:rPr>
          <w:spacing w:val="-20"/>
          <w:w w:val="110"/>
        </w:rPr>
        <w:t> </w:t>
      </w:r>
      <w:r>
        <w:rPr>
          <w:w w:val="110"/>
        </w:rPr>
        <w:t>failed</w:t>
      </w:r>
      <w:r>
        <w:rPr>
          <w:spacing w:val="-21"/>
          <w:w w:val="110"/>
        </w:rPr>
        <w:t> </w:t>
      </w:r>
      <w:r>
        <w:rPr>
          <w:spacing w:val="-4"/>
          <w:w w:val="110"/>
        </w:rPr>
        <w:t>to</w:t>
      </w:r>
      <w:r>
        <w:rPr>
          <w:spacing w:val="-21"/>
          <w:w w:val="110"/>
        </w:rPr>
        <w:t> </w:t>
      </w:r>
      <w:r>
        <w:rPr>
          <w:w w:val="110"/>
        </w:rPr>
        <w:t>meet the </w:t>
      </w:r>
      <w:r>
        <w:rPr>
          <w:spacing w:val="-3"/>
          <w:w w:val="110"/>
        </w:rPr>
        <w:t>levels projected </w:t>
      </w:r>
      <w:r>
        <w:rPr>
          <w:w w:val="110"/>
        </w:rPr>
        <w:t>three months earlier in each of the past three </w:t>
      </w:r>
      <w:r>
        <w:rPr>
          <w:i/>
          <w:w w:val="110"/>
        </w:rPr>
        <w:t>Inflation Reports</w:t>
      </w:r>
      <w:r>
        <w:rPr>
          <w:w w:val="110"/>
        </w:rPr>
        <w:t>. </w:t>
      </w:r>
      <w:r>
        <w:rPr>
          <w:spacing w:val="-3"/>
          <w:w w:val="110"/>
        </w:rPr>
        <w:t>Moreover, </w:t>
      </w:r>
      <w:r>
        <w:rPr>
          <w:w w:val="110"/>
        </w:rPr>
        <w:t>the level of business </w:t>
      </w:r>
      <w:r>
        <w:rPr>
          <w:spacing w:val="-3"/>
          <w:w w:val="110"/>
        </w:rPr>
        <w:t>investment over </w:t>
      </w:r>
      <w:r>
        <w:rPr>
          <w:w w:val="110"/>
        </w:rPr>
        <w:t>the previous </w:t>
      </w:r>
      <w:r>
        <w:rPr>
          <w:spacing w:val="-17"/>
          <w:w w:val="110"/>
        </w:rPr>
        <w:t>18 </w:t>
      </w:r>
      <w:r>
        <w:rPr>
          <w:w w:val="110"/>
        </w:rPr>
        <w:t>months </w:t>
      </w:r>
      <w:r>
        <w:rPr>
          <w:spacing w:val="-3"/>
          <w:w w:val="110"/>
        </w:rPr>
        <w:t>was </w:t>
      </w:r>
      <w:r>
        <w:rPr>
          <w:w w:val="110"/>
        </w:rPr>
        <w:t>revised down in the December </w:t>
      </w:r>
      <w:r>
        <w:rPr>
          <w:spacing w:val="-4"/>
          <w:w w:val="110"/>
        </w:rPr>
        <w:t>2000 </w:t>
      </w:r>
      <w:r>
        <w:rPr>
          <w:w w:val="110"/>
        </w:rPr>
        <w:t>National Accounts</w:t>
      </w:r>
      <w:r>
        <w:rPr>
          <w:spacing w:val="-35"/>
          <w:w w:val="110"/>
        </w:rPr>
        <w:t> </w:t>
      </w:r>
      <w:r>
        <w:rPr>
          <w:w w:val="110"/>
        </w:rPr>
        <w:t>release.</w:t>
      </w:r>
    </w:p>
    <w:p>
      <w:pPr>
        <w:pStyle w:val="BodyText"/>
        <w:spacing w:before="3"/>
      </w:pPr>
    </w:p>
    <w:p>
      <w:pPr>
        <w:pStyle w:val="BodyText"/>
        <w:spacing w:line="292" w:lineRule="auto"/>
        <w:ind w:left="5111" w:right="148"/>
      </w:pPr>
      <w:r>
        <w:rPr>
          <w:w w:val="110"/>
        </w:rPr>
        <w:t>Does</w:t>
      </w:r>
      <w:r>
        <w:rPr>
          <w:spacing w:val="-20"/>
          <w:w w:val="110"/>
        </w:rPr>
        <w:t> </w:t>
      </w:r>
      <w:r>
        <w:rPr>
          <w:w w:val="110"/>
        </w:rPr>
        <w:t>the</w:t>
      </w:r>
      <w:r>
        <w:rPr>
          <w:spacing w:val="-19"/>
          <w:w w:val="110"/>
        </w:rPr>
        <w:t> </w:t>
      </w:r>
      <w:r>
        <w:rPr>
          <w:spacing w:val="-4"/>
          <w:w w:val="110"/>
        </w:rPr>
        <w:t>weaker-than-expected</w:t>
      </w:r>
      <w:r>
        <w:rPr>
          <w:spacing w:val="-19"/>
          <w:w w:val="110"/>
        </w:rPr>
        <w:t> </w:t>
      </w:r>
      <w:r>
        <w:rPr>
          <w:spacing w:val="-3"/>
          <w:w w:val="110"/>
        </w:rPr>
        <w:t>level</w:t>
      </w:r>
      <w:r>
        <w:rPr>
          <w:spacing w:val="-19"/>
          <w:w w:val="110"/>
        </w:rPr>
        <w:t> </w:t>
      </w:r>
      <w:r>
        <w:rPr>
          <w:w w:val="110"/>
        </w:rPr>
        <w:t>of</w:t>
      </w:r>
      <w:r>
        <w:rPr>
          <w:spacing w:val="-19"/>
          <w:w w:val="110"/>
        </w:rPr>
        <w:t> </w:t>
      </w:r>
      <w:r>
        <w:rPr>
          <w:w w:val="110"/>
        </w:rPr>
        <w:t>business</w:t>
      </w:r>
      <w:r>
        <w:rPr>
          <w:spacing w:val="-19"/>
          <w:w w:val="110"/>
        </w:rPr>
        <w:t> </w:t>
      </w:r>
      <w:r>
        <w:rPr>
          <w:spacing w:val="-3"/>
          <w:w w:val="110"/>
        </w:rPr>
        <w:t>investment</w:t>
      </w:r>
      <w:r>
        <w:rPr>
          <w:spacing w:val="-19"/>
          <w:w w:val="110"/>
        </w:rPr>
        <w:t> </w:t>
      </w:r>
      <w:r>
        <w:rPr>
          <w:w w:val="110"/>
        </w:rPr>
        <w:t>in recent quarters reflect </w:t>
      </w:r>
      <w:r>
        <w:rPr>
          <w:spacing w:val="-3"/>
          <w:w w:val="110"/>
        </w:rPr>
        <w:t>temporary factors </w:t>
      </w:r>
      <w:r>
        <w:rPr>
          <w:w w:val="110"/>
        </w:rPr>
        <w:t>that </w:t>
      </w:r>
      <w:r>
        <w:rPr>
          <w:spacing w:val="-3"/>
          <w:w w:val="110"/>
        </w:rPr>
        <w:t>may </w:t>
      </w:r>
      <w:r>
        <w:rPr>
          <w:w w:val="110"/>
        </w:rPr>
        <w:t>affect the timing of capital spending, or does it indicate a more fundamental change in </w:t>
      </w:r>
      <w:r>
        <w:rPr>
          <w:spacing w:val="-3"/>
          <w:w w:val="110"/>
        </w:rPr>
        <w:t>investment </w:t>
      </w:r>
      <w:r>
        <w:rPr>
          <w:w w:val="110"/>
        </w:rPr>
        <w:t>prospects? Companies undertake investment </w:t>
      </w:r>
      <w:r>
        <w:rPr>
          <w:spacing w:val="-4"/>
          <w:w w:val="110"/>
        </w:rPr>
        <w:t>to </w:t>
      </w:r>
      <w:r>
        <w:rPr>
          <w:w w:val="110"/>
        </w:rPr>
        <w:t>bridge the gap </w:t>
      </w:r>
      <w:r>
        <w:rPr>
          <w:spacing w:val="-3"/>
          <w:w w:val="110"/>
        </w:rPr>
        <w:t>between </w:t>
      </w:r>
      <w:r>
        <w:rPr>
          <w:w w:val="110"/>
        </w:rPr>
        <w:t>the level of the desired capital stock and their current stock. As the capital stock is large in relation </w:t>
      </w:r>
      <w:r>
        <w:rPr>
          <w:spacing w:val="-4"/>
          <w:w w:val="110"/>
        </w:rPr>
        <w:t>to </w:t>
      </w:r>
      <w:r>
        <w:rPr>
          <w:w w:val="110"/>
        </w:rPr>
        <w:t>the current </w:t>
      </w:r>
      <w:r>
        <w:rPr>
          <w:spacing w:val="-3"/>
          <w:w w:val="110"/>
        </w:rPr>
        <w:t>level </w:t>
      </w:r>
      <w:r>
        <w:rPr>
          <w:w w:val="110"/>
        </w:rPr>
        <w:t>of investment,</w:t>
      </w:r>
      <w:r>
        <w:rPr>
          <w:spacing w:val="-24"/>
          <w:w w:val="110"/>
        </w:rPr>
        <w:t> </w:t>
      </w:r>
      <w:r>
        <w:rPr>
          <w:w w:val="110"/>
        </w:rPr>
        <w:t>a</w:t>
      </w:r>
      <w:r>
        <w:rPr>
          <w:spacing w:val="-23"/>
          <w:w w:val="110"/>
        </w:rPr>
        <w:t> </w:t>
      </w:r>
      <w:r>
        <w:rPr>
          <w:w w:val="110"/>
        </w:rPr>
        <w:t>relatively</w:t>
      </w:r>
      <w:r>
        <w:rPr>
          <w:spacing w:val="-23"/>
          <w:w w:val="110"/>
        </w:rPr>
        <w:t> </w:t>
      </w:r>
      <w:r>
        <w:rPr>
          <w:w w:val="110"/>
        </w:rPr>
        <w:t>small</w:t>
      </w:r>
      <w:r>
        <w:rPr>
          <w:spacing w:val="-24"/>
          <w:w w:val="110"/>
        </w:rPr>
        <w:t> </w:t>
      </w:r>
      <w:r>
        <w:rPr>
          <w:w w:val="110"/>
        </w:rPr>
        <w:t>change</w:t>
      </w:r>
      <w:r>
        <w:rPr>
          <w:spacing w:val="-23"/>
          <w:w w:val="110"/>
        </w:rPr>
        <w:t> </w:t>
      </w:r>
      <w:r>
        <w:rPr>
          <w:w w:val="110"/>
        </w:rPr>
        <w:t>in</w:t>
      </w:r>
      <w:r>
        <w:rPr>
          <w:spacing w:val="-23"/>
          <w:w w:val="110"/>
        </w:rPr>
        <w:t> </w:t>
      </w:r>
      <w:r>
        <w:rPr>
          <w:w w:val="110"/>
        </w:rPr>
        <w:t>the</w:t>
      </w:r>
      <w:r>
        <w:rPr>
          <w:spacing w:val="-24"/>
          <w:w w:val="110"/>
        </w:rPr>
        <w:t> </w:t>
      </w:r>
      <w:r>
        <w:rPr>
          <w:spacing w:val="-3"/>
          <w:w w:val="110"/>
        </w:rPr>
        <w:t>level</w:t>
      </w:r>
      <w:r>
        <w:rPr>
          <w:spacing w:val="-23"/>
          <w:w w:val="110"/>
        </w:rPr>
        <w:t> </w:t>
      </w:r>
      <w:r>
        <w:rPr>
          <w:w w:val="110"/>
        </w:rPr>
        <w:t>of</w:t>
      </w:r>
      <w:r>
        <w:rPr>
          <w:spacing w:val="-23"/>
          <w:w w:val="110"/>
        </w:rPr>
        <w:t> </w:t>
      </w:r>
      <w:r>
        <w:rPr>
          <w:w w:val="110"/>
        </w:rPr>
        <w:t>the</w:t>
      </w:r>
      <w:r>
        <w:rPr>
          <w:spacing w:val="-24"/>
          <w:w w:val="110"/>
        </w:rPr>
        <w:t> </w:t>
      </w:r>
      <w:r>
        <w:rPr>
          <w:w w:val="110"/>
        </w:rPr>
        <w:t>desired capital stock </w:t>
      </w:r>
      <w:r>
        <w:rPr>
          <w:spacing w:val="-3"/>
          <w:w w:val="110"/>
        </w:rPr>
        <w:t>may </w:t>
      </w:r>
      <w:r>
        <w:rPr>
          <w:w w:val="110"/>
        </w:rPr>
        <w:t>lead </w:t>
      </w:r>
      <w:r>
        <w:rPr>
          <w:spacing w:val="-4"/>
          <w:w w:val="110"/>
        </w:rPr>
        <w:t>to </w:t>
      </w:r>
      <w:r>
        <w:rPr>
          <w:w w:val="110"/>
        </w:rPr>
        <w:t>a large change in </w:t>
      </w:r>
      <w:r>
        <w:rPr>
          <w:spacing w:val="-3"/>
          <w:w w:val="110"/>
        </w:rPr>
        <w:t>investment </w:t>
      </w:r>
      <w:r>
        <w:rPr>
          <w:w w:val="110"/>
        </w:rPr>
        <w:t>plans. But the </w:t>
      </w:r>
      <w:r>
        <w:rPr>
          <w:spacing w:val="-3"/>
          <w:w w:val="110"/>
        </w:rPr>
        <w:t>level </w:t>
      </w:r>
      <w:r>
        <w:rPr>
          <w:w w:val="110"/>
        </w:rPr>
        <w:t>of the desired capital stock cannot be observed. </w:t>
      </w:r>
      <w:r>
        <w:rPr>
          <w:spacing w:val="-3"/>
          <w:w w:val="110"/>
        </w:rPr>
        <w:t>Consequently,</w:t>
      </w:r>
      <w:r>
        <w:rPr>
          <w:spacing w:val="-15"/>
          <w:w w:val="110"/>
        </w:rPr>
        <w:t> </w:t>
      </w:r>
      <w:r>
        <w:rPr>
          <w:spacing w:val="-3"/>
          <w:w w:val="110"/>
        </w:rPr>
        <w:t>any</w:t>
      </w:r>
      <w:r>
        <w:rPr>
          <w:spacing w:val="-14"/>
          <w:w w:val="110"/>
        </w:rPr>
        <w:t> </w:t>
      </w:r>
      <w:r>
        <w:rPr>
          <w:w w:val="110"/>
        </w:rPr>
        <w:t>estimates</w:t>
      </w:r>
      <w:r>
        <w:rPr>
          <w:spacing w:val="-15"/>
          <w:w w:val="110"/>
        </w:rPr>
        <w:t> </w:t>
      </w:r>
      <w:r>
        <w:rPr>
          <w:w w:val="110"/>
        </w:rPr>
        <w:t>of</w:t>
      </w:r>
      <w:r>
        <w:rPr>
          <w:spacing w:val="-14"/>
          <w:w w:val="110"/>
        </w:rPr>
        <w:t> </w:t>
      </w:r>
      <w:r>
        <w:rPr>
          <w:w w:val="110"/>
        </w:rPr>
        <w:t>the</w:t>
      </w:r>
      <w:r>
        <w:rPr>
          <w:spacing w:val="-14"/>
          <w:w w:val="110"/>
        </w:rPr>
        <w:t> </w:t>
      </w:r>
      <w:r>
        <w:rPr>
          <w:w w:val="110"/>
        </w:rPr>
        <w:t>gap</w:t>
      </w:r>
      <w:r>
        <w:rPr>
          <w:spacing w:val="-15"/>
          <w:w w:val="110"/>
        </w:rPr>
        <w:t> </w:t>
      </w:r>
      <w:r>
        <w:rPr>
          <w:spacing w:val="-3"/>
          <w:w w:val="110"/>
        </w:rPr>
        <w:t>between</w:t>
      </w:r>
      <w:r>
        <w:rPr>
          <w:spacing w:val="-14"/>
          <w:w w:val="110"/>
        </w:rPr>
        <w:t> </w:t>
      </w:r>
      <w:r>
        <w:rPr>
          <w:w w:val="110"/>
        </w:rPr>
        <w:t>the</w:t>
      </w:r>
      <w:r>
        <w:rPr>
          <w:spacing w:val="-14"/>
          <w:w w:val="110"/>
        </w:rPr>
        <w:t> </w:t>
      </w:r>
      <w:r>
        <w:rPr>
          <w:w w:val="110"/>
        </w:rPr>
        <w:t>actual</w:t>
      </w:r>
      <w:r>
        <w:rPr>
          <w:spacing w:val="-15"/>
          <w:w w:val="110"/>
        </w:rPr>
        <w:t> </w:t>
      </w:r>
      <w:r>
        <w:rPr>
          <w:w w:val="110"/>
        </w:rPr>
        <w:t>and desired</w:t>
      </w:r>
      <w:r>
        <w:rPr>
          <w:spacing w:val="-15"/>
          <w:w w:val="110"/>
        </w:rPr>
        <w:t> </w:t>
      </w:r>
      <w:r>
        <w:rPr>
          <w:w w:val="110"/>
        </w:rPr>
        <w:t>capital</w:t>
      </w:r>
      <w:r>
        <w:rPr>
          <w:spacing w:val="-15"/>
          <w:w w:val="110"/>
        </w:rPr>
        <w:t> </w:t>
      </w:r>
      <w:r>
        <w:rPr>
          <w:w w:val="110"/>
        </w:rPr>
        <w:t>stock</w:t>
      </w:r>
      <w:r>
        <w:rPr>
          <w:spacing w:val="-15"/>
          <w:w w:val="110"/>
        </w:rPr>
        <w:t> </w:t>
      </w:r>
      <w:r>
        <w:rPr>
          <w:w w:val="110"/>
        </w:rPr>
        <w:t>can</w:t>
      </w:r>
      <w:r>
        <w:rPr>
          <w:spacing w:val="-15"/>
          <w:w w:val="110"/>
        </w:rPr>
        <w:t> </w:t>
      </w:r>
      <w:r>
        <w:rPr>
          <w:w w:val="110"/>
        </w:rPr>
        <w:t>be</w:t>
      </w:r>
      <w:r>
        <w:rPr>
          <w:spacing w:val="-15"/>
          <w:w w:val="110"/>
        </w:rPr>
        <w:t> </w:t>
      </w:r>
      <w:r>
        <w:rPr>
          <w:w w:val="110"/>
        </w:rPr>
        <w:t>based</w:t>
      </w:r>
      <w:r>
        <w:rPr>
          <w:spacing w:val="-15"/>
          <w:w w:val="110"/>
        </w:rPr>
        <w:t> </w:t>
      </w:r>
      <w:r>
        <w:rPr>
          <w:w w:val="110"/>
        </w:rPr>
        <w:t>only</w:t>
      </w:r>
      <w:r>
        <w:rPr>
          <w:spacing w:val="-14"/>
          <w:w w:val="110"/>
        </w:rPr>
        <w:t> </w:t>
      </w:r>
      <w:r>
        <w:rPr>
          <w:w w:val="110"/>
        </w:rPr>
        <w:t>on</w:t>
      </w:r>
      <w:r>
        <w:rPr>
          <w:spacing w:val="-15"/>
          <w:w w:val="110"/>
        </w:rPr>
        <w:t> </w:t>
      </w:r>
      <w:r>
        <w:rPr>
          <w:w w:val="110"/>
        </w:rPr>
        <w:t>uncertain</w:t>
      </w:r>
      <w:r>
        <w:rPr>
          <w:spacing w:val="-15"/>
          <w:w w:val="110"/>
        </w:rPr>
        <w:t> </w:t>
      </w:r>
      <w:r>
        <w:rPr>
          <w:w w:val="110"/>
        </w:rPr>
        <w:t>evidence from </w:t>
      </w:r>
      <w:r>
        <w:rPr>
          <w:spacing w:val="-3"/>
          <w:w w:val="110"/>
        </w:rPr>
        <w:t>surveys </w:t>
      </w:r>
      <w:r>
        <w:rPr>
          <w:w w:val="110"/>
        </w:rPr>
        <w:t>and indirect </w:t>
      </w:r>
      <w:r>
        <w:rPr>
          <w:spacing w:val="-3"/>
          <w:w w:val="110"/>
        </w:rPr>
        <w:t>proxies </w:t>
      </w:r>
      <w:r>
        <w:rPr>
          <w:w w:val="110"/>
        </w:rPr>
        <w:t>based on </w:t>
      </w:r>
      <w:r>
        <w:rPr>
          <w:spacing w:val="-3"/>
          <w:w w:val="110"/>
        </w:rPr>
        <w:t>average </w:t>
      </w:r>
      <w:r>
        <w:rPr>
          <w:w w:val="110"/>
        </w:rPr>
        <w:t>empirical relationships </w:t>
      </w:r>
      <w:r>
        <w:rPr>
          <w:spacing w:val="-3"/>
          <w:w w:val="110"/>
        </w:rPr>
        <w:t>between investment </w:t>
      </w:r>
      <w:r>
        <w:rPr>
          <w:w w:val="110"/>
        </w:rPr>
        <w:t>and </w:t>
      </w:r>
      <w:r>
        <w:rPr>
          <w:spacing w:val="-3"/>
          <w:w w:val="110"/>
        </w:rPr>
        <w:t>factors </w:t>
      </w:r>
      <w:r>
        <w:rPr>
          <w:w w:val="110"/>
        </w:rPr>
        <w:t>that </w:t>
      </w:r>
      <w:r>
        <w:rPr>
          <w:spacing w:val="-3"/>
          <w:w w:val="110"/>
        </w:rPr>
        <w:t>may </w:t>
      </w:r>
      <w:r>
        <w:rPr>
          <w:w w:val="110"/>
        </w:rPr>
        <w:t>potentially influence the desired capital stock. Such </w:t>
      </w:r>
      <w:r>
        <w:rPr>
          <w:spacing w:val="-3"/>
          <w:w w:val="110"/>
        </w:rPr>
        <w:t>proxies </w:t>
      </w:r>
      <w:r>
        <w:rPr>
          <w:w w:val="110"/>
        </w:rPr>
        <w:t>are unlikely </w:t>
      </w:r>
      <w:r>
        <w:rPr>
          <w:spacing w:val="-4"/>
          <w:w w:val="110"/>
        </w:rPr>
        <w:t>to </w:t>
      </w:r>
      <w:r>
        <w:rPr>
          <w:w w:val="110"/>
        </w:rPr>
        <w:t>be very accurate and, </w:t>
      </w:r>
      <w:r>
        <w:rPr>
          <w:spacing w:val="-3"/>
          <w:w w:val="110"/>
        </w:rPr>
        <w:t>moreover, </w:t>
      </w:r>
      <w:r>
        <w:rPr>
          <w:w w:val="110"/>
        </w:rPr>
        <w:t>the timing of investment</w:t>
      </w:r>
      <w:r>
        <w:rPr>
          <w:spacing w:val="-21"/>
          <w:w w:val="110"/>
        </w:rPr>
        <w:t> </w:t>
      </w:r>
      <w:r>
        <w:rPr>
          <w:w w:val="110"/>
        </w:rPr>
        <w:t>itself</w:t>
      </w:r>
      <w:r>
        <w:rPr>
          <w:spacing w:val="-20"/>
          <w:w w:val="110"/>
        </w:rPr>
        <w:t> </w:t>
      </w:r>
      <w:r>
        <w:rPr>
          <w:w w:val="110"/>
        </w:rPr>
        <w:t>is</w:t>
      </w:r>
      <w:r>
        <w:rPr>
          <w:spacing w:val="-20"/>
          <w:w w:val="110"/>
        </w:rPr>
        <w:t> </w:t>
      </w:r>
      <w:r>
        <w:rPr>
          <w:w w:val="110"/>
        </w:rPr>
        <w:t>likely</w:t>
      </w:r>
      <w:r>
        <w:rPr>
          <w:spacing w:val="-20"/>
          <w:w w:val="110"/>
        </w:rPr>
        <w:t> </w:t>
      </w:r>
      <w:r>
        <w:rPr>
          <w:spacing w:val="-4"/>
          <w:w w:val="110"/>
        </w:rPr>
        <w:t>to</w:t>
      </w:r>
      <w:r>
        <w:rPr>
          <w:spacing w:val="-20"/>
          <w:w w:val="110"/>
        </w:rPr>
        <w:t> </w:t>
      </w:r>
      <w:r>
        <w:rPr>
          <w:w w:val="110"/>
        </w:rPr>
        <w:t>be</w:t>
      </w:r>
      <w:r>
        <w:rPr>
          <w:spacing w:val="-20"/>
          <w:w w:val="110"/>
        </w:rPr>
        <w:t> </w:t>
      </w:r>
      <w:r>
        <w:rPr>
          <w:w w:val="110"/>
        </w:rPr>
        <w:t>affected</w:t>
      </w:r>
      <w:r>
        <w:rPr>
          <w:spacing w:val="-20"/>
          <w:w w:val="110"/>
        </w:rPr>
        <w:t> </w:t>
      </w:r>
      <w:r>
        <w:rPr>
          <w:spacing w:val="-3"/>
          <w:w w:val="110"/>
        </w:rPr>
        <w:t>by</w:t>
      </w:r>
      <w:r>
        <w:rPr>
          <w:spacing w:val="-21"/>
          <w:w w:val="110"/>
        </w:rPr>
        <w:t> </w:t>
      </w:r>
      <w:r>
        <w:rPr>
          <w:w w:val="110"/>
        </w:rPr>
        <w:t>a</w:t>
      </w:r>
      <w:r>
        <w:rPr>
          <w:spacing w:val="-20"/>
          <w:w w:val="110"/>
        </w:rPr>
        <w:t> </w:t>
      </w:r>
      <w:r>
        <w:rPr>
          <w:w w:val="110"/>
        </w:rPr>
        <w:t>range</w:t>
      </w:r>
      <w:r>
        <w:rPr>
          <w:spacing w:val="-20"/>
          <w:w w:val="110"/>
        </w:rPr>
        <w:t> </w:t>
      </w:r>
      <w:r>
        <w:rPr>
          <w:w w:val="110"/>
        </w:rPr>
        <w:t>of</w:t>
      </w:r>
      <w:r>
        <w:rPr>
          <w:spacing w:val="-20"/>
          <w:w w:val="110"/>
        </w:rPr>
        <w:t> </w:t>
      </w:r>
      <w:r>
        <w:rPr>
          <w:w w:val="110"/>
        </w:rPr>
        <w:t>elements such</w:t>
      </w:r>
      <w:r>
        <w:rPr>
          <w:spacing w:val="-22"/>
          <w:w w:val="110"/>
        </w:rPr>
        <w:t> </w:t>
      </w:r>
      <w:r>
        <w:rPr>
          <w:w w:val="110"/>
        </w:rPr>
        <w:t>as</w:t>
      </w:r>
      <w:r>
        <w:rPr>
          <w:spacing w:val="-22"/>
          <w:w w:val="110"/>
        </w:rPr>
        <w:t> </w:t>
      </w:r>
      <w:r>
        <w:rPr>
          <w:w w:val="110"/>
        </w:rPr>
        <w:t>the</w:t>
      </w:r>
      <w:r>
        <w:rPr>
          <w:spacing w:val="-21"/>
          <w:w w:val="110"/>
        </w:rPr>
        <w:t> </w:t>
      </w:r>
      <w:r>
        <w:rPr>
          <w:spacing w:val="-3"/>
          <w:w w:val="110"/>
        </w:rPr>
        <w:t>availability</w:t>
      </w:r>
      <w:r>
        <w:rPr>
          <w:spacing w:val="-22"/>
          <w:w w:val="110"/>
        </w:rPr>
        <w:t> </w:t>
      </w:r>
      <w:r>
        <w:rPr>
          <w:w w:val="110"/>
        </w:rPr>
        <w:t>of</w:t>
      </w:r>
      <w:r>
        <w:rPr>
          <w:spacing w:val="-22"/>
          <w:w w:val="110"/>
        </w:rPr>
        <w:t> </w:t>
      </w:r>
      <w:r>
        <w:rPr>
          <w:w w:val="110"/>
        </w:rPr>
        <w:t>finance</w:t>
      </w:r>
      <w:r>
        <w:rPr>
          <w:spacing w:val="-21"/>
          <w:w w:val="110"/>
        </w:rPr>
        <w:t> </w:t>
      </w:r>
      <w:r>
        <w:rPr>
          <w:w w:val="110"/>
        </w:rPr>
        <w:t>or</w:t>
      </w:r>
      <w:r>
        <w:rPr>
          <w:spacing w:val="-22"/>
          <w:w w:val="110"/>
        </w:rPr>
        <w:t> </w:t>
      </w:r>
      <w:r>
        <w:rPr>
          <w:w w:val="110"/>
        </w:rPr>
        <w:t>capital</w:t>
      </w:r>
      <w:r>
        <w:rPr>
          <w:spacing w:val="-22"/>
          <w:w w:val="110"/>
        </w:rPr>
        <w:t> </w:t>
      </w:r>
      <w:r>
        <w:rPr>
          <w:w w:val="110"/>
        </w:rPr>
        <w:t>goods</w:t>
      </w:r>
      <w:r>
        <w:rPr>
          <w:spacing w:val="-21"/>
          <w:w w:val="110"/>
        </w:rPr>
        <w:t> </w:t>
      </w:r>
      <w:r>
        <w:rPr>
          <w:w w:val="110"/>
        </w:rPr>
        <w:t>themselves, and the degree of confidence in economic prospects. Higher </w:t>
      </w:r>
      <w:r>
        <w:rPr>
          <w:spacing w:val="-3"/>
          <w:w w:val="110"/>
        </w:rPr>
        <w:t>levels </w:t>
      </w:r>
      <w:r>
        <w:rPr>
          <w:w w:val="110"/>
        </w:rPr>
        <w:t>of uncertainty about the future are likely </w:t>
      </w:r>
      <w:r>
        <w:rPr>
          <w:spacing w:val="-4"/>
          <w:w w:val="110"/>
        </w:rPr>
        <w:t>to </w:t>
      </w:r>
      <w:r>
        <w:rPr>
          <w:w w:val="110"/>
        </w:rPr>
        <w:t>lead </w:t>
      </w:r>
      <w:r>
        <w:rPr>
          <w:spacing w:val="-4"/>
          <w:w w:val="110"/>
        </w:rPr>
        <w:t>to </w:t>
      </w:r>
      <w:r>
        <w:rPr>
          <w:spacing w:val="-3"/>
          <w:w w:val="110"/>
        </w:rPr>
        <w:t>delays </w:t>
      </w:r>
      <w:r>
        <w:rPr>
          <w:w w:val="110"/>
        </w:rPr>
        <w:t>in </w:t>
      </w:r>
      <w:r>
        <w:rPr>
          <w:spacing w:val="-3"/>
          <w:w w:val="110"/>
        </w:rPr>
        <w:t>investment</w:t>
      </w:r>
      <w:r>
        <w:rPr>
          <w:spacing w:val="-16"/>
          <w:w w:val="110"/>
        </w:rPr>
        <w:t> </w:t>
      </w:r>
      <w:r>
        <w:rPr>
          <w:w w:val="110"/>
        </w:rPr>
        <w:t>spending.</w:t>
      </w:r>
    </w:p>
    <w:p>
      <w:pPr>
        <w:spacing w:after="0" w:line="292" w:lineRule="auto"/>
        <w:sectPr>
          <w:pgSz w:w="11900" w:h="16840"/>
          <w:pgMar w:header="601" w:footer="575" w:top="800" w:bottom="760" w:left="640" w:right="640"/>
        </w:sectPr>
      </w:pPr>
    </w:p>
    <w:p>
      <w:pPr>
        <w:pStyle w:val="BodyText"/>
      </w:pPr>
    </w:p>
    <w:p>
      <w:pPr>
        <w:pStyle w:val="BodyText"/>
        <w:spacing w:before="6"/>
      </w:pPr>
    </w:p>
    <w:p>
      <w:pPr>
        <w:pStyle w:val="BodyText"/>
        <w:spacing w:line="292" w:lineRule="auto" w:before="1"/>
        <w:ind w:left="5095" w:right="162"/>
      </w:pPr>
      <w:r>
        <w:rPr>
          <w:spacing w:val="-3"/>
          <w:w w:val="110"/>
        </w:rPr>
        <w:t>Reviewing </w:t>
      </w:r>
      <w:r>
        <w:rPr>
          <w:w w:val="110"/>
        </w:rPr>
        <w:t>the evidence, the </w:t>
      </w:r>
      <w:r>
        <w:rPr>
          <w:spacing w:val="-3"/>
          <w:w w:val="110"/>
        </w:rPr>
        <w:t>Committee </w:t>
      </w:r>
      <w:r>
        <w:rPr>
          <w:w w:val="110"/>
        </w:rPr>
        <w:t>decided </w:t>
      </w:r>
      <w:r>
        <w:rPr>
          <w:spacing w:val="-4"/>
          <w:w w:val="110"/>
        </w:rPr>
        <w:t>to </w:t>
      </w:r>
      <w:r>
        <w:rPr>
          <w:w w:val="110"/>
        </w:rPr>
        <w:t>assign some weight </w:t>
      </w:r>
      <w:r>
        <w:rPr>
          <w:spacing w:val="-4"/>
          <w:w w:val="110"/>
        </w:rPr>
        <w:t>to </w:t>
      </w:r>
      <w:r>
        <w:rPr>
          <w:w w:val="110"/>
        </w:rPr>
        <w:t>both </w:t>
      </w:r>
      <w:r>
        <w:rPr>
          <w:spacing w:val="-3"/>
          <w:w w:val="110"/>
        </w:rPr>
        <w:t>temporary </w:t>
      </w:r>
      <w:r>
        <w:rPr>
          <w:w w:val="110"/>
        </w:rPr>
        <w:t>and more lasting </w:t>
      </w:r>
      <w:r>
        <w:rPr>
          <w:spacing w:val="-3"/>
          <w:w w:val="110"/>
        </w:rPr>
        <w:t>factors. </w:t>
      </w:r>
      <w:r>
        <w:rPr>
          <w:w w:val="110"/>
        </w:rPr>
        <w:t>Companies </w:t>
      </w:r>
      <w:r>
        <w:rPr>
          <w:spacing w:val="-3"/>
          <w:w w:val="110"/>
        </w:rPr>
        <w:t>may have </w:t>
      </w:r>
      <w:r>
        <w:rPr>
          <w:w w:val="110"/>
        </w:rPr>
        <w:t>brought forward more </w:t>
      </w:r>
      <w:r>
        <w:rPr>
          <w:spacing w:val="-3"/>
          <w:w w:val="110"/>
        </w:rPr>
        <w:t>investment </w:t>
      </w:r>
      <w:r>
        <w:rPr>
          <w:w w:val="110"/>
        </w:rPr>
        <w:t>in advance of the millennium </w:t>
      </w:r>
      <w:r>
        <w:rPr>
          <w:spacing w:val="-3"/>
          <w:w w:val="110"/>
        </w:rPr>
        <w:t>date </w:t>
      </w:r>
      <w:r>
        <w:rPr>
          <w:w w:val="110"/>
        </w:rPr>
        <w:t>change than previously thought.</w:t>
      </w:r>
      <w:r>
        <w:rPr>
          <w:spacing w:val="11"/>
          <w:w w:val="110"/>
        </w:rPr>
        <w:t> </w:t>
      </w:r>
      <w:r>
        <w:rPr>
          <w:w w:val="110"/>
        </w:rPr>
        <w:t>Also,</w:t>
      </w:r>
      <w:r>
        <w:rPr>
          <w:spacing w:val="-22"/>
          <w:w w:val="110"/>
        </w:rPr>
        <w:t> </w:t>
      </w:r>
      <w:r>
        <w:rPr>
          <w:spacing w:val="-3"/>
          <w:w w:val="110"/>
        </w:rPr>
        <w:t>investment</w:t>
      </w:r>
      <w:r>
        <w:rPr>
          <w:spacing w:val="-22"/>
          <w:w w:val="110"/>
        </w:rPr>
        <w:t> </w:t>
      </w:r>
      <w:r>
        <w:rPr>
          <w:spacing w:val="-3"/>
          <w:w w:val="110"/>
        </w:rPr>
        <w:t>may</w:t>
      </w:r>
      <w:r>
        <w:rPr>
          <w:spacing w:val="-22"/>
          <w:w w:val="110"/>
        </w:rPr>
        <w:t> </w:t>
      </w:r>
      <w:r>
        <w:rPr>
          <w:spacing w:val="-3"/>
          <w:w w:val="110"/>
        </w:rPr>
        <w:t>have</w:t>
      </w:r>
      <w:r>
        <w:rPr>
          <w:spacing w:val="-22"/>
          <w:w w:val="110"/>
        </w:rPr>
        <w:t> </w:t>
      </w:r>
      <w:r>
        <w:rPr>
          <w:w w:val="110"/>
        </w:rPr>
        <w:t>been</w:t>
      </w:r>
      <w:r>
        <w:rPr>
          <w:spacing w:val="-22"/>
          <w:w w:val="110"/>
        </w:rPr>
        <w:t> </w:t>
      </w:r>
      <w:r>
        <w:rPr>
          <w:spacing w:val="-3"/>
          <w:w w:val="110"/>
        </w:rPr>
        <w:t>delayed</w:t>
      </w:r>
      <w:r>
        <w:rPr>
          <w:spacing w:val="-22"/>
          <w:w w:val="110"/>
        </w:rPr>
        <w:t> </w:t>
      </w:r>
      <w:r>
        <w:rPr>
          <w:spacing w:val="-3"/>
          <w:w w:val="110"/>
        </w:rPr>
        <w:t>by</w:t>
      </w:r>
      <w:r>
        <w:rPr>
          <w:spacing w:val="-22"/>
          <w:w w:val="110"/>
        </w:rPr>
        <w:t> </w:t>
      </w:r>
      <w:r>
        <w:rPr>
          <w:w w:val="110"/>
        </w:rPr>
        <w:t>shortages of skilled labour and </w:t>
      </w:r>
      <w:r>
        <w:rPr>
          <w:spacing w:val="-3"/>
          <w:w w:val="110"/>
        </w:rPr>
        <w:t>by adverse </w:t>
      </w:r>
      <w:r>
        <w:rPr>
          <w:w w:val="110"/>
        </w:rPr>
        <w:t>weather conditions affecting the construction sector in particular. Cash flow </w:t>
      </w:r>
      <w:r>
        <w:rPr>
          <w:spacing w:val="-3"/>
          <w:w w:val="110"/>
        </w:rPr>
        <w:t>may have </w:t>
      </w:r>
      <w:r>
        <w:rPr>
          <w:w w:val="110"/>
        </w:rPr>
        <w:t>been</w:t>
      </w:r>
      <w:r>
        <w:rPr>
          <w:spacing w:val="-22"/>
          <w:w w:val="110"/>
        </w:rPr>
        <w:t> </w:t>
      </w:r>
      <w:r>
        <w:rPr>
          <w:w w:val="110"/>
        </w:rPr>
        <w:t>affected</w:t>
      </w:r>
      <w:r>
        <w:rPr>
          <w:spacing w:val="-21"/>
          <w:w w:val="110"/>
        </w:rPr>
        <w:t> </w:t>
      </w:r>
      <w:r>
        <w:rPr>
          <w:spacing w:val="-3"/>
          <w:w w:val="110"/>
        </w:rPr>
        <w:t>temporarily</w:t>
      </w:r>
      <w:r>
        <w:rPr>
          <w:spacing w:val="-22"/>
          <w:w w:val="110"/>
        </w:rPr>
        <w:t> </w:t>
      </w:r>
      <w:r>
        <w:rPr>
          <w:w w:val="110"/>
        </w:rPr>
        <w:t>by</w:t>
      </w:r>
      <w:r>
        <w:rPr>
          <w:spacing w:val="-21"/>
          <w:w w:val="110"/>
        </w:rPr>
        <w:t> </w:t>
      </w:r>
      <w:r>
        <w:rPr>
          <w:spacing w:val="-3"/>
          <w:w w:val="110"/>
        </w:rPr>
        <w:t>mergers</w:t>
      </w:r>
      <w:r>
        <w:rPr>
          <w:spacing w:val="-21"/>
          <w:w w:val="110"/>
        </w:rPr>
        <w:t> </w:t>
      </w:r>
      <w:r>
        <w:rPr>
          <w:w w:val="110"/>
        </w:rPr>
        <w:t>and</w:t>
      </w:r>
      <w:r>
        <w:rPr>
          <w:spacing w:val="-22"/>
          <w:w w:val="110"/>
        </w:rPr>
        <w:t> </w:t>
      </w:r>
      <w:r>
        <w:rPr>
          <w:w w:val="110"/>
        </w:rPr>
        <w:t>acquisitions</w:t>
      </w:r>
      <w:r>
        <w:rPr>
          <w:spacing w:val="-21"/>
          <w:w w:val="110"/>
        </w:rPr>
        <w:t> </w:t>
      </w:r>
      <w:r>
        <w:rPr>
          <w:w w:val="110"/>
        </w:rPr>
        <w:t>activity and by the financing of third-generation mobile telecommunication licences. </w:t>
      </w:r>
      <w:r>
        <w:rPr>
          <w:spacing w:val="-3"/>
          <w:w w:val="110"/>
        </w:rPr>
        <w:t>Investment </w:t>
      </w:r>
      <w:r>
        <w:rPr>
          <w:w w:val="110"/>
        </w:rPr>
        <w:t>intentions in the service</w:t>
      </w:r>
      <w:r>
        <w:rPr>
          <w:spacing w:val="-19"/>
          <w:w w:val="110"/>
        </w:rPr>
        <w:t> </w:t>
      </w:r>
      <w:r>
        <w:rPr>
          <w:w w:val="110"/>
        </w:rPr>
        <w:t>sector—some</w:t>
      </w:r>
      <w:r>
        <w:rPr>
          <w:spacing w:val="-18"/>
          <w:w w:val="110"/>
        </w:rPr>
        <w:t> </w:t>
      </w:r>
      <w:r>
        <w:rPr>
          <w:w w:val="110"/>
        </w:rPr>
        <w:t>three</w:t>
      </w:r>
      <w:r>
        <w:rPr>
          <w:spacing w:val="-19"/>
          <w:w w:val="110"/>
        </w:rPr>
        <w:t> </w:t>
      </w:r>
      <w:r>
        <w:rPr>
          <w:w w:val="110"/>
        </w:rPr>
        <w:t>quarters</w:t>
      </w:r>
      <w:r>
        <w:rPr>
          <w:spacing w:val="-18"/>
          <w:w w:val="110"/>
        </w:rPr>
        <w:t> </w:t>
      </w:r>
      <w:r>
        <w:rPr>
          <w:w w:val="110"/>
        </w:rPr>
        <w:t>of</w:t>
      </w:r>
      <w:r>
        <w:rPr>
          <w:spacing w:val="-18"/>
          <w:w w:val="110"/>
        </w:rPr>
        <w:t> </w:t>
      </w:r>
      <w:r>
        <w:rPr>
          <w:w w:val="110"/>
        </w:rPr>
        <w:t>business</w:t>
      </w:r>
      <w:r>
        <w:rPr>
          <w:spacing w:val="-19"/>
          <w:w w:val="110"/>
        </w:rPr>
        <w:t> </w:t>
      </w:r>
      <w:r>
        <w:rPr>
          <w:spacing w:val="-3"/>
          <w:w w:val="110"/>
        </w:rPr>
        <w:t>investment— </w:t>
      </w:r>
      <w:r>
        <w:rPr>
          <w:w w:val="110"/>
        </w:rPr>
        <w:t>remain at high levels, and support some upturn in capital spending on the basis of the past relationship </w:t>
      </w:r>
      <w:r>
        <w:rPr>
          <w:spacing w:val="-3"/>
          <w:w w:val="110"/>
        </w:rPr>
        <w:t>between </w:t>
      </w:r>
      <w:r>
        <w:rPr>
          <w:w w:val="110"/>
        </w:rPr>
        <w:t>the </w:t>
      </w:r>
      <w:r>
        <w:rPr>
          <w:spacing w:val="-3"/>
          <w:w w:val="110"/>
        </w:rPr>
        <w:t>surveys </w:t>
      </w:r>
      <w:r>
        <w:rPr>
          <w:w w:val="110"/>
        </w:rPr>
        <w:t>and actual spending. On the other hand, the persistence of the </w:t>
      </w:r>
      <w:r>
        <w:rPr>
          <w:spacing w:val="-4"/>
          <w:w w:val="110"/>
        </w:rPr>
        <w:t>weaker-than-expected </w:t>
      </w:r>
      <w:r>
        <w:rPr>
          <w:spacing w:val="-3"/>
          <w:w w:val="110"/>
        </w:rPr>
        <w:t>investment </w:t>
      </w:r>
      <w:r>
        <w:rPr>
          <w:w w:val="110"/>
        </w:rPr>
        <w:t>outturns provides some evidence that the gap </w:t>
      </w:r>
      <w:r>
        <w:rPr>
          <w:spacing w:val="-3"/>
          <w:w w:val="110"/>
        </w:rPr>
        <w:t>between </w:t>
      </w:r>
      <w:r>
        <w:rPr>
          <w:w w:val="110"/>
        </w:rPr>
        <w:t>the actual and desired</w:t>
      </w:r>
      <w:r>
        <w:rPr>
          <w:spacing w:val="-20"/>
          <w:w w:val="110"/>
        </w:rPr>
        <w:t> </w:t>
      </w:r>
      <w:r>
        <w:rPr>
          <w:w w:val="110"/>
        </w:rPr>
        <w:t>capital</w:t>
      </w:r>
      <w:r>
        <w:rPr>
          <w:spacing w:val="-20"/>
          <w:w w:val="110"/>
        </w:rPr>
        <w:t> </w:t>
      </w:r>
      <w:r>
        <w:rPr>
          <w:w w:val="110"/>
        </w:rPr>
        <w:t>stock</w:t>
      </w:r>
      <w:r>
        <w:rPr>
          <w:spacing w:val="-19"/>
          <w:w w:val="110"/>
        </w:rPr>
        <w:t> </w:t>
      </w:r>
      <w:r>
        <w:rPr>
          <w:spacing w:val="-3"/>
          <w:w w:val="110"/>
        </w:rPr>
        <w:t>may</w:t>
      </w:r>
      <w:r>
        <w:rPr>
          <w:spacing w:val="-20"/>
          <w:w w:val="110"/>
        </w:rPr>
        <w:t> </w:t>
      </w:r>
      <w:r>
        <w:rPr>
          <w:w w:val="110"/>
        </w:rPr>
        <w:t>be</w:t>
      </w:r>
      <w:r>
        <w:rPr>
          <w:spacing w:val="-19"/>
          <w:w w:val="110"/>
        </w:rPr>
        <w:t> </w:t>
      </w:r>
      <w:r>
        <w:rPr>
          <w:w w:val="110"/>
        </w:rPr>
        <w:t>less</w:t>
      </w:r>
      <w:r>
        <w:rPr>
          <w:spacing w:val="-20"/>
          <w:w w:val="110"/>
        </w:rPr>
        <w:t> </w:t>
      </w:r>
      <w:r>
        <w:rPr>
          <w:w w:val="110"/>
        </w:rPr>
        <w:t>than</w:t>
      </w:r>
      <w:r>
        <w:rPr>
          <w:spacing w:val="-19"/>
          <w:w w:val="110"/>
        </w:rPr>
        <w:t> </w:t>
      </w:r>
      <w:r>
        <w:rPr>
          <w:w w:val="110"/>
        </w:rPr>
        <w:t>previously</w:t>
      </w:r>
      <w:r>
        <w:rPr>
          <w:spacing w:val="-20"/>
          <w:w w:val="110"/>
        </w:rPr>
        <w:t> </w:t>
      </w:r>
      <w:r>
        <w:rPr>
          <w:w w:val="110"/>
        </w:rPr>
        <w:t>anticipated. </w:t>
      </w:r>
      <w:r>
        <w:rPr>
          <w:spacing w:val="-4"/>
          <w:w w:val="110"/>
        </w:rPr>
        <w:t>Moreover, </w:t>
      </w:r>
      <w:r>
        <w:rPr>
          <w:w w:val="110"/>
        </w:rPr>
        <w:t>the </w:t>
      </w:r>
      <w:r>
        <w:rPr>
          <w:spacing w:val="-5"/>
          <w:w w:val="110"/>
        </w:rPr>
        <w:t>near-term </w:t>
      </w:r>
      <w:r>
        <w:rPr>
          <w:w w:val="110"/>
        </w:rPr>
        <w:t>international outlook has </w:t>
      </w:r>
      <w:r>
        <w:rPr>
          <w:spacing w:val="-3"/>
          <w:w w:val="110"/>
        </w:rPr>
        <w:t>weakened </w:t>
      </w:r>
      <w:r>
        <w:rPr>
          <w:w w:val="110"/>
        </w:rPr>
        <w:t>and equity prices have fallen. The central projection for business </w:t>
      </w:r>
      <w:r>
        <w:rPr>
          <w:spacing w:val="-3"/>
          <w:w w:val="110"/>
        </w:rPr>
        <w:t>investment </w:t>
      </w:r>
      <w:r>
        <w:rPr>
          <w:w w:val="110"/>
        </w:rPr>
        <w:t>has been </w:t>
      </w:r>
      <w:r>
        <w:rPr>
          <w:spacing w:val="-3"/>
          <w:w w:val="110"/>
        </w:rPr>
        <w:t>lowered </w:t>
      </w:r>
      <w:r>
        <w:rPr>
          <w:w w:val="110"/>
        </w:rPr>
        <w:t>since the November </w:t>
      </w:r>
      <w:r>
        <w:rPr>
          <w:i/>
          <w:w w:val="110"/>
        </w:rPr>
        <w:t>Report</w:t>
      </w:r>
      <w:r>
        <w:rPr>
          <w:w w:val="110"/>
        </w:rPr>
        <w:t>. The </w:t>
      </w:r>
      <w:r>
        <w:rPr>
          <w:spacing w:val="-3"/>
          <w:w w:val="110"/>
        </w:rPr>
        <w:t>Committee </w:t>
      </w:r>
      <w:r>
        <w:rPr>
          <w:w w:val="110"/>
        </w:rPr>
        <w:t>judges that business </w:t>
      </w:r>
      <w:r>
        <w:rPr>
          <w:spacing w:val="-3"/>
          <w:w w:val="110"/>
        </w:rPr>
        <w:t>investment </w:t>
      </w:r>
      <w:r>
        <w:rPr>
          <w:spacing w:val="-2"/>
          <w:w w:val="110"/>
        </w:rPr>
        <w:t>growth</w:t>
      </w:r>
      <w:r>
        <w:rPr>
          <w:spacing w:val="-24"/>
          <w:w w:val="110"/>
        </w:rPr>
        <w:t> </w:t>
      </w:r>
      <w:r>
        <w:rPr>
          <w:w w:val="110"/>
        </w:rPr>
        <w:t>is</w:t>
      </w:r>
      <w:r>
        <w:rPr>
          <w:spacing w:val="-23"/>
          <w:w w:val="110"/>
        </w:rPr>
        <w:t> </w:t>
      </w:r>
      <w:r>
        <w:rPr>
          <w:w w:val="110"/>
        </w:rPr>
        <w:t>likely</w:t>
      </w:r>
      <w:r>
        <w:rPr>
          <w:spacing w:val="-23"/>
          <w:w w:val="110"/>
        </w:rPr>
        <w:t> </w:t>
      </w:r>
      <w:r>
        <w:rPr>
          <w:spacing w:val="-4"/>
          <w:w w:val="110"/>
        </w:rPr>
        <w:t>to</w:t>
      </w:r>
      <w:r>
        <w:rPr>
          <w:spacing w:val="-23"/>
          <w:w w:val="110"/>
        </w:rPr>
        <w:t> </w:t>
      </w:r>
      <w:r>
        <w:rPr>
          <w:w w:val="110"/>
        </w:rPr>
        <w:t>remain</w:t>
      </w:r>
      <w:r>
        <w:rPr>
          <w:spacing w:val="-23"/>
          <w:w w:val="110"/>
        </w:rPr>
        <w:t> </w:t>
      </w:r>
      <w:r>
        <w:rPr>
          <w:w w:val="110"/>
        </w:rPr>
        <w:t>relatively</w:t>
      </w:r>
      <w:r>
        <w:rPr>
          <w:spacing w:val="-23"/>
          <w:w w:val="110"/>
        </w:rPr>
        <w:t> </w:t>
      </w:r>
      <w:r>
        <w:rPr>
          <w:w w:val="110"/>
        </w:rPr>
        <w:t>subdued</w:t>
      </w:r>
      <w:r>
        <w:rPr>
          <w:spacing w:val="-23"/>
          <w:w w:val="110"/>
        </w:rPr>
        <w:t> </w:t>
      </w:r>
      <w:r>
        <w:rPr>
          <w:w w:val="110"/>
        </w:rPr>
        <w:t>this</w:t>
      </w:r>
      <w:r>
        <w:rPr>
          <w:spacing w:val="-23"/>
          <w:w w:val="110"/>
        </w:rPr>
        <w:t> </w:t>
      </w:r>
      <w:r>
        <w:rPr>
          <w:w w:val="110"/>
        </w:rPr>
        <w:t>year</w:t>
      </w:r>
      <w:r>
        <w:rPr>
          <w:spacing w:val="-23"/>
          <w:w w:val="110"/>
        </w:rPr>
        <w:t> </w:t>
      </w:r>
      <w:r>
        <w:rPr>
          <w:w w:val="110"/>
        </w:rPr>
        <w:t>as</w:t>
      </w:r>
      <w:r>
        <w:rPr>
          <w:spacing w:val="-23"/>
          <w:w w:val="110"/>
        </w:rPr>
        <w:t> </w:t>
      </w:r>
      <w:r>
        <w:rPr>
          <w:w w:val="110"/>
        </w:rPr>
        <w:t>firms delay capital spending, but that it </w:t>
      </w:r>
      <w:r>
        <w:rPr>
          <w:spacing w:val="-3"/>
          <w:w w:val="110"/>
        </w:rPr>
        <w:t>may </w:t>
      </w:r>
      <w:r>
        <w:rPr>
          <w:w w:val="110"/>
        </w:rPr>
        <w:t>then </w:t>
      </w:r>
      <w:r>
        <w:rPr>
          <w:spacing w:val="-3"/>
          <w:w w:val="110"/>
        </w:rPr>
        <w:t>recover </w:t>
      </w:r>
      <w:r>
        <w:rPr>
          <w:w w:val="110"/>
        </w:rPr>
        <w:t>as international</w:t>
      </w:r>
      <w:r>
        <w:rPr>
          <w:spacing w:val="-9"/>
          <w:w w:val="110"/>
        </w:rPr>
        <w:t> </w:t>
      </w:r>
      <w:r>
        <w:rPr>
          <w:w w:val="110"/>
        </w:rPr>
        <w:t>prospects</w:t>
      </w:r>
      <w:r>
        <w:rPr>
          <w:spacing w:val="-9"/>
          <w:w w:val="110"/>
        </w:rPr>
        <w:t> </w:t>
      </w:r>
      <w:r>
        <w:rPr>
          <w:spacing w:val="-3"/>
          <w:w w:val="110"/>
        </w:rPr>
        <w:t>improve</w:t>
      </w:r>
      <w:r>
        <w:rPr>
          <w:spacing w:val="-9"/>
          <w:w w:val="110"/>
        </w:rPr>
        <w:t> </w:t>
      </w:r>
      <w:r>
        <w:rPr>
          <w:w w:val="110"/>
        </w:rPr>
        <w:t>and</w:t>
      </w:r>
      <w:r>
        <w:rPr>
          <w:spacing w:val="-8"/>
          <w:w w:val="110"/>
        </w:rPr>
        <w:t> </w:t>
      </w:r>
      <w:r>
        <w:rPr>
          <w:w w:val="110"/>
        </w:rPr>
        <w:t>as</w:t>
      </w:r>
      <w:r>
        <w:rPr>
          <w:spacing w:val="-9"/>
          <w:w w:val="110"/>
        </w:rPr>
        <w:t> </w:t>
      </w:r>
      <w:r>
        <w:rPr>
          <w:w w:val="110"/>
        </w:rPr>
        <w:t>the</w:t>
      </w:r>
      <w:r>
        <w:rPr>
          <w:spacing w:val="-9"/>
          <w:w w:val="110"/>
        </w:rPr>
        <w:t> </w:t>
      </w:r>
      <w:r>
        <w:rPr>
          <w:w w:val="110"/>
        </w:rPr>
        <w:t>outlook</w:t>
      </w:r>
      <w:r>
        <w:rPr>
          <w:spacing w:val="-9"/>
          <w:w w:val="110"/>
        </w:rPr>
        <w:t> </w:t>
      </w:r>
      <w:r>
        <w:rPr>
          <w:w w:val="110"/>
        </w:rPr>
        <w:t>for</w:t>
      </w:r>
    </w:p>
    <w:p>
      <w:pPr>
        <w:pStyle w:val="BodyText"/>
        <w:spacing w:line="216" w:lineRule="exact"/>
        <w:ind w:left="5095"/>
      </w:pPr>
      <w:r>
        <w:rPr>
          <w:w w:val="105"/>
        </w:rPr>
        <w:t>UK </w:t>
      </w:r>
      <w:r>
        <w:rPr>
          <w:spacing w:val="-2"/>
          <w:w w:val="105"/>
        </w:rPr>
        <w:t>growth </w:t>
      </w:r>
      <w:r>
        <w:rPr>
          <w:w w:val="105"/>
        </w:rPr>
        <w:t>strengthens.  Whole-economy </w:t>
      </w:r>
      <w:r>
        <w:rPr>
          <w:spacing w:val="-3"/>
          <w:w w:val="105"/>
        </w:rPr>
        <w:t>investment</w:t>
      </w:r>
      <w:r>
        <w:rPr>
          <w:spacing w:val="8"/>
          <w:w w:val="105"/>
        </w:rPr>
        <w:t> </w:t>
      </w:r>
      <w:r>
        <w:rPr>
          <w:w w:val="105"/>
        </w:rPr>
        <w:t>is</w:t>
      </w:r>
    </w:p>
    <w:p>
      <w:pPr>
        <w:pStyle w:val="BodyText"/>
        <w:spacing w:line="292" w:lineRule="auto" w:before="50"/>
        <w:ind w:left="5095" w:right="296"/>
      </w:pPr>
      <w:r>
        <w:rPr>
          <w:spacing w:val="-3"/>
          <w:w w:val="110"/>
        </w:rPr>
        <w:t>expected </w:t>
      </w:r>
      <w:r>
        <w:rPr>
          <w:spacing w:val="-4"/>
          <w:w w:val="110"/>
        </w:rPr>
        <w:t>to </w:t>
      </w:r>
      <w:r>
        <w:rPr>
          <w:w w:val="110"/>
        </w:rPr>
        <w:t>rise more strongly than business </w:t>
      </w:r>
      <w:r>
        <w:rPr>
          <w:spacing w:val="-3"/>
          <w:w w:val="110"/>
        </w:rPr>
        <w:t>investment, </w:t>
      </w:r>
      <w:r>
        <w:rPr>
          <w:spacing w:val="-2"/>
          <w:w w:val="110"/>
        </w:rPr>
        <w:t>bolstered</w:t>
      </w:r>
      <w:r>
        <w:rPr>
          <w:spacing w:val="-16"/>
          <w:w w:val="110"/>
        </w:rPr>
        <w:t> </w:t>
      </w:r>
      <w:r>
        <w:rPr>
          <w:spacing w:val="-3"/>
          <w:w w:val="110"/>
        </w:rPr>
        <w:t>by</w:t>
      </w:r>
      <w:r>
        <w:rPr>
          <w:spacing w:val="-16"/>
          <w:w w:val="110"/>
        </w:rPr>
        <w:t> </w:t>
      </w:r>
      <w:r>
        <w:rPr>
          <w:w w:val="110"/>
        </w:rPr>
        <w:t>rapid</w:t>
      </w:r>
      <w:r>
        <w:rPr>
          <w:spacing w:val="-16"/>
          <w:w w:val="110"/>
        </w:rPr>
        <w:t> </w:t>
      </w:r>
      <w:r>
        <w:rPr>
          <w:w w:val="110"/>
        </w:rPr>
        <w:t>growth</w:t>
      </w:r>
      <w:r>
        <w:rPr>
          <w:spacing w:val="-16"/>
          <w:w w:val="110"/>
        </w:rPr>
        <w:t> </w:t>
      </w:r>
      <w:r>
        <w:rPr>
          <w:w w:val="110"/>
        </w:rPr>
        <w:t>in</w:t>
      </w:r>
      <w:r>
        <w:rPr>
          <w:spacing w:val="-16"/>
          <w:w w:val="110"/>
        </w:rPr>
        <w:t> </w:t>
      </w:r>
      <w:r>
        <w:rPr>
          <w:w w:val="110"/>
        </w:rPr>
        <w:t>public</w:t>
      </w:r>
      <w:r>
        <w:rPr>
          <w:spacing w:val="-16"/>
          <w:w w:val="110"/>
        </w:rPr>
        <w:t> </w:t>
      </w:r>
      <w:r>
        <w:rPr>
          <w:w w:val="110"/>
        </w:rPr>
        <w:t>sector</w:t>
      </w:r>
      <w:r>
        <w:rPr>
          <w:spacing w:val="-16"/>
          <w:w w:val="110"/>
        </w:rPr>
        <w:t> </w:t>
      </w:r>
      <w:r>
        <w:rPr>
          <w:w w:val="110"/>
        </w:rPr>
        <w:t>capital</w:t>
      </w:r>
      <w:r>
        <w:rPr>
          <w:spacing w:val="-16"/>
          <w:w w:val="110"/>
        </w:rPr>
        <w:t> </w:t>
      </w:r>
      <w:r>
        <w:rPr>
          <w:w w:val="110"/>
        </w:rPr>
        <w:t>spending. Given the uncertain environment and the possibility that recent</w:t>
      </w:r>
      <w:r>
        <w:rPr>
          <w:spacing w:val="-24"/>
          <w:w w:val="110"/>
        </w:rPr>
        <w:t> </w:t>
      </w:r>
      <w:r>
        <w:rPr>
          <w:w w:val="110"/>
        </w:rPr>
        <w:t>outturns</w:t>
      </w:r>
      <w:r>
        <w:rPr>
          <w:spacing w:val="-23"/>
          <w:w w:val="110"/>
        </w:rPr>
        <w:t> </w:t>
      </w:r>
      <w:r>
        <w:rPr>
          <w:w w:val="110"/>
        </w:rPr>
        <w:t>could</w:t>
      </w:r>
      <w:r>
        <w:rPr>
          <w:spacing w:val="-24"/>
          <w:w w:val="110"/>
        </w:rPr>
        <w:t> </w:t>
      </w:r>
      <w:r>
        <w:rPr>
          <w:w w:val="110"/>
        </w:rPr>
        <w:t>reflect</w:t>
      </w:r>
      <w:r>
        <w:rPr>
          <w:spacing w:val="-23"/>
          <w:w w:val="110"/>
        </w:rPr>
        <w:t> </w:t>
      </w:r>
      <w:r>
        <w:rPr>
          <w:w w:val="110"/>
        </w:rPr>
        <w:t>more</w:t>
      </w:r>
      <w:r>
        <w:rPr>
          <w:spacing w:val="-23"/>
          <w:w w:val="110"/>
        </w:rPr>
        <w:t> </w:t>
      </w:r>
      <w:r>
        <w:rPr>
          <w:w w:val="110"/>
        </w:rPr>
        <w:t>persistent</w:t>
      </w:r>
      <w:r>
        <w:rPr>
          <w:spacing w:val="-24"/>
          <w:w w:val="110"/>
        </w:rPr>
        <w:t> </w:t>
      </w:r>
      <w:r>
        <w:rPr>
          <w:w w:val="110"/>
        </w:rPr>
        <w:t>weakness,</w:t>
      </w:r>
      <w:r>
        <w:rPr>
          <w:spacing w:val="-23"/>
          <w:w w:val="110"/>
        </w:rPr>
        <w:t> </w:t>
      </w:r>
      <w:r>
        <w:rPr>
          <w:w w:val="110"/>
        </w:rPr>
        <w:t>risks </w:t>
      </w:r>
      <w:r>
        <w:rPr>
          <w:spacing w:val="-4"/>
          <w:w w:val="110"/>
        </w:rPr>
        <w:t>to</w:t>
      </w:r>
      <w:r>
        <w:rPr>
          <w:spacing w:val="-10"/>
          <w:w w:val="110"/>
        </w:rPr>
        <w:t> </w:t>
      </w:r>
      <w:r>
        <w:rPr>
          <w:w w:val="110"/>
        </w:rPr>
        <w:t>the</w:t>
      </w:r>
      <w:r>
        <w:rPr>
          <w:spacing w:val="-9"/>
          <w:w w:val="110"/>
        </w:rPr>
        <w:t> </w:t>
      </w:r>
      <w:r>
        <w:rPr>
          <w:spacing w:val="-3"/>
          <w:w w:val="110"/>
        </w:rPr>
        <w:t>investment</w:t>
      </w:r>
      <w:r>
        <w:rPr>
          <w:spacing w:val="-10"/>
          <w:w w:val="110"/>
        </w:rPr>
        <w:t> </w:t>
      </w:r>
      <w:r>
        <w:rPr>
          <w:w w:val="110"/>
        </w:rPr>
        <w:t>outlook</w:t>
      </w:r>
      <w:r>
        <w:rPr>
          <w:spacing w:val="-9"/>
          <w:w w:val="110"/>
        </w:rPr>
        <w:t> </w:t>
      </w:r>
      <w:r>
        <w:rPr>
          <w:w w:val="110"/>
        </w:rPr>
        <w:t>are</w:t>
      </w:r>
      <w:r>
        <w:rPr>
          <w:spacing w:val="-9"/>
          <w:w w:val="110"/>
        </w:rPr>
        <w:t> </w:t>
      </w:r>
      <w:r>
        <w:rPr>
          <w:spacing w:val="-3"/>
          <w:w w:val="110"/>
        </w:rPr>
        <w:t>weighted</w:t>
      </w:r>
      <w:r>
        <w:rPr>
          <w:spacing w:val="-10"/>
          <w:w w:val="110"/>
        </w:rPr>
        <w:t> </w:t>
      </w:r>
      <w:r>
        <w:rPr>
          <w:spacing w:val="-4"/>
          <w:w w:val="110"/>
        </w:rPr>
        <w:t>to</w:t>
      </w:r>
      <w:r>
        <w:rPr>
          <w:spacing w:val="-9"/>
          <w:w w:val="110"/>
        </w:rPr>
        <w:t> </w:t>
      </w:r>
      <w:r>
        <w:rPr>
          <w:w w:val="110"/>
        </w:rPr>
        <w:t>the</w:t>
      </w:r>
      <w:r>
        <w:rPr>
          <w:spacing w:val="-10"/>
          <w:w w:val="110"/>
        </w:rPr>
        <w:t> </w:t>
      </w:r>
      <w:r>
        <w:rPr>
          <w:w w:val="110"/>
        </w:rPr>
        <w:t>downside.</w:t>
      </w:r>
    </w:p>
    <w:p>
      <w:pPr>
        <w:pStyle w:val="BodyText"/>
        <w:spacing w:before="9"/>
        <w:rPr>
          <w:sz w:val="25"/>
        </w:rPr>
      </w:pPr>
    </w:p>
    <w:p>
      <w:pPr>
        <w:pStyle w:val="BodyText"/>
        <w:spacing w:line="292" w:lineRule="auto"/>
        <w:ind w:left="5095" w:right="160"/>
      </w:pPr>
      <w:r>
        <w:rPr>
          <w:spacing w:val="-3"/>
          <w:w w:val="110"/>
        </w:rPr>
        <w:t>Inventories </w:t>
      </w:r>
      <w:r>
        <w:rPr>
          <w:w w:val="110"/>
        </w:rPr>
        <w:t>are held </w:t>
      </w:r>
      <w:r>
        <w:rPr>
          <w:spacing w:val="-3"/>
          <w:w w:val="110"/>
        </w:rPr>
        <w:t>by </w:t>
      </w:r>
      <w:r>
        <w:rPr>
          <w:w w:val="110"/>
        </w:rPr>
        <w:t>companies </w:t>
      </w:r>
      <w:r>
        <w:rPr>
          <w:spacing w:val="-4"/>
          <w:w w:val="110"/>
        </w:rPr>
        <w:t>to </w:t>
      </w:r>
      <w:r>
        <w:rPr>
          <w:w w:val="110"/>
        </w:rPr>
        <w:t>smooth production schedules, </w:t>
      </w:r>
      <w:r>
        <w:rPr>
          <w:spacing w:val="-3"/>
          <w:w w:val="110"/>
        </w:rPr>
        <w:t>by </w:t>
      </w:r>
      <w:r>
        <w:rPr>
          <w:w w:val="110"/>
        </w:rPr>
        <w:t>providing a cushion </w:t>
      </w:r>
      <w:r>
        <w:rPr>
          <w:spacing w:val="-4"/>
          <w:w w:val="110"/>
        </w:rPr>
        <w:t>to </w:t>
      </w:r>
      <w:r>
        <w:rPr>
          <w:w w:val="110"/>
        </w:rPr>
        <w:t>absorb sudden changes in</w:t>
      </w:r>
      <w:r>
        <w:rPr>
          <w:spacing w:val="-10"/>
          <w:w w:val="110"/>
        </w:rPr>
        <w:t> </w:t>
      </w:r>
      <w:r>
        <w:rPr>
          <w:w w:val="110"/>
        </w:rPr>
        <w:t>demand</w:t>
      </w:r>
      <w:r>
        <w:rPr>
          <w:spacing w:val="-10"/>
          <w:w w:val="110"/>
        </w:rPr>
        <w:t> </w:t>
      </w:r>
      <w:r>
        <w:rPr>
          <w:w w:val="110"/>
        </w:rPr>
        <w:t>for</w:t>
      </w:r>
      <w:r>
        <w:rPr>
          <w:spacing w:val="-10"/>
          <w:w w:val="110"/>
        </w:rPr>
        <w:t> </w:t>
      </w:r>
      <w:r>
        <w:rPr>
          <w:w w:val="110"/>
        </w:rPr>
        <w:t>their</w:t>
      </w:r>
      <w:r>
        <w:rPr>
          <w:spacing w:val="-10"/>
          <w:w w:val="110"/>
        </w:rPr>
        <w:t> </w:t>
      </w:r>
      <w:r>
        <w:rPr>
          <w:w w:val="110"/>
        </w:rPr>
        <w:t>output</w:t>
      </w:r>
      <w:r>
        <w:rPr>
          <w:spacing w:val="-9"/>
          <w:w w:val="110"/>
        </w:rPr>
        <w:t> </w:t>
      </w:r>
      <w:r>
        <w:rPr>
          <w:w w:val="110"/>
        </w:rPr>
        <w:t>or</w:t>
      </w:r>
      <w:r>
        <w:rPr>
          <w:spacing w:val="-10"/>
          <w:w w:val="110"/>
        </w:rPr>
        <w:t> </w:t>
      </w:r>
      <w:r>
        <w:rPr>
          <w:w w:val="110"/>
        </w:rPr>
        <w:t>disruptions</w:t>
      </w:r>
      <w:r>
        <w:rPr>
          <w:spacing w:val="-10"/>
          <w:w w:val="110"/>
        </w:rPr>
        <w:t> </w:t>
      </w:r>
      <w:r>
        <w:rPr>
          <w:spacing w:val="-4"/>
          <w:w w:val="110"/>
        </w:rPr>
        <w:t>to</w:t>
      </w:r>
      <w:r>
        <w:rPr>
          <w:spacing w:val="-10"/>
          <w:w w:val="110"/>
        </w:rPr>
        <w:t> </w:t>
      </w:r>
      <w:r>
        <w:rPr>
          <w:w w:val="110"/>
        </w:rPr>
        <w:t>the</w:t>
      </w:r>
      <w:r>
        <w:rPr>
          <w:spacing w:val="-10"/>
          <w:w w:val="110"/>
        </w:rPr>
        <w:t> </w:t>
      </w:r>
      <w:r>
        <w:rPr>
          <w:w w:val="110"/>
        </w:rPr>
        <w:t>supply</w:t>
      </w:r>
      <w:r>
        <w:rPr>
          <w:spacing w:val="-9"/>
          <w:w w:val="110"/>
        </w:rPr>
        <w:t> </w:t>
      </w:r>
      <w:r>
        <w:rPr>
          <w:w w:val="110"/>
        </w:rPr>
        <w:t>of</w:t>
      </w:r>
      <w:r>
        <w:rPr>
          <w:spacing w:val="-10"/>
          <w:w w:val="110"/>
        </w:rPr>
        <w:t> </w:t>
      </w:r>
      <w:r>
        <w:rPr>
          <w:spacing w:val="-4"/>
          <w:w w:val="110"/>
        </w:rPr>
        <w:t>raw </w:t>
      </w:r>
      <w:r>
        <w:rPr>
          <w:w w:val="110"/>
        </w:rPr>
        <w:t>materials. Stocks rose in the first three quarters of </w:t>
      </w:r>
      <w:r>
        <w:rPr>
          <w:spacing w:val="-4"/>
          <w:w w:val="110"/>
        </w:rPr>
        <w:t>2000, </w:t>
      </w:r>
      <w:r>
        <w:rPr>
          <w:w w:val="110"/>
        </w:rPr>
        <w:t>although there </w:t>
      </w:r>
      <w:r>
        <w:rPr>
          <w:spacing w:val="-3"/>
          <w:w w:val="110"/>
        </w:rPr>
        <w:t>were </w:t>
      </w:r>
      <w:r>
        <w:rPr>
          <w:w w:val="110"/>
        </w:rPr>
        <w:t>few signs of a major overhang at the aggregate</w:t>
      </w:r>
      <w:r>
        <w:rPr>
          <w:spacing w:val="-26"/>
          <w:w w:val="110"/>
        </w:rPr>
        <w:t> </w:t>
      </w:r>
      <w:r>
        <w:rPr>
          <w:spacing w:val="-3"/>
          <w:w w:val="110"/>
        </w:rPr>
        <w:t>level</w:t>
      </w:r>
      <w:r>
        <w:rPr>
          <w:spacing w:val="-25"/>
          <w:w w:val="110"/>
        </w:rPr>
        <w:t> </w:t>
      </w:r>
      <w:r>
        <w:rPr>
          <w:w w:val="110"/>
        </w:rPr>
        <w:t>given</w:t>
      </w:r>
      <w:r>
        <w:rPr>
          <w:spacing w:val="-25"/>
          <w:w w:val="110"/>
        </w:rPr>
        <w:t> </w:t>
      </w:r>
      <w:r>
        <w:rPr>
          <w:w w:val="110"/>
        </w:rPr>
        <w:t>available</w:t>
      </w:r>
      <w:r>
        <w:rPr>
          <w:spacing w:val="-25"/>
          <w:w w:val="110"/>
        </w:rPr>
        <w:t> </w:t>
      </w:r>
      <w:r>
        <w:rPr>
          <w:w w:val="110"/>
        </w:rPr>
        <w:t>information</w:t>
      </w:r>
      <w:r>
        <w:rPr>
          <w:spacing w:val="-25"/>
          <w:w w:val="110"/>
        </w:rPr>
        <w:t> </w:t>
      </w:r>
      <w:r>
        <w:rPr>
          <w:w w:val="110"/>
        </w:rPr>
        <w:t>from</w:t>
      </w:r>
      <w:r>
        <w:rPr>
          <w:spacing w:val="-25"/>
          <w:w w:val="110"/>
        </w:rPr>
        <w:t> </w:t>
      </w:r>
      <w:r>
        <w:rPr>
          <w:spacing w:val="-3"/>
          <w:w w:val="110"/>
        </w:rPr>
        <w:t>surveys</w:t>
      </w:r>
      <w:r>
        <w:rPr>
          <w:spacing w:val="-25"/>
          <w:w w:val="110"/>
        </w:rPr>
        <w:t> </w:t>
      </w:r>
      <w:r>
        <w:rPr>
          <w:w w:val="110"/>
        </w:rPr>
        <w:t>and </w:t>
      </w:r>
      <w:r>
        <w:rPr>
          <w:spacing w:val="-3"/>
          <w:w w:val="110"/>
        </w:rPr>
        <w:t>long-run</w:t>
      </w:r>
      <w:r>
        <w:rPr>
          <w:spacing w:val="-30"/>
          <w:w w:val="110"/>
        </w:rPr>
        <w:t> </w:t>
      </w:r>
      <w:r>
        <w:rPr>
          <w:w w:val="110"/>
        </w:rPr>
        <w:t>trends.</w:t>
      </w:r>
      <w:r>
        <w:rPr>
          <w:spacing w:val="-3"/>
          <w:w w:val="110"/>
        </w:rPr>
        <w:t> </w:t>
      </w:r>
      <w:r>
        <w:rPr>
          <w:spacing w:val="-4"/>
          <w:w w:val="110"/>
        </w:rPr>
        <w:t>However,</w:t>
      </w:r>
      <w:r>
        <w:rPr>
          <w:spacing w:val="-29"/>
          <w:w w:val="110"/>
        </w:rPr>
        <w:t> </w:t>
      </w:r>
      <w:r>
        <w:rPr>
          <w:w w:val="110"/>
        </w:rPr>
        <w:t>given</w:t>
      </w:r>
      <w:r>
        <w:rPr>
          <w:spacing w:val="-30"/>
          <w:w w:val="110"/>
        </w:rPr>
        <w:t> </w:t>
      </w:r>
      <w:r>
        <w:rPr>
          <w:w w:val="110"/>
        </w:rPr>
        <w:t>the</w:t>
      </w:r>
      <w:r>
        <w:rPr>
          <w:spacing w:val="-29"/>
          <w:w w:val="110"/>
        </w:rPr>
        <w:t> </w:t>
      </w:r>
      <w:r>
        <w:rPr>
          <w:w w:val="110"/>
        </w:rPr>
        <w:t>weak</w:t>
      </w:r>
      <w:r>
        <w:rPr>
          <w:spacing w:val="-30"/>
          <w:w w:val="110"/>
        </w:rPr>
        <w:t> </w:t>
      </w:r>
      <w:r>
        <w:rPr>
          <w:w w:val="110"/>
        </w:rPr>
        <w:t>preliminary</w:t>
      </w:r>
      <w:r>
        <w:rPr>
          <w:spacing w:val="-29"/>
          <w:w w:val="110"/>
        </w:rPr>
        <w:t> </w:t>
      </w:r>
      <w:r>
        <w:rPr>
          <w:w w:val="110"/>
        </w:rPr>
        <w:t>estimate for output growth and the </w:t>
      </w:r>
      <w:r>
        <w:rPr>
          <w:spacing w:val="-3"/>
          <w:w w:val="110"/>
        </w:rPr>
        <w:t>tentative </w:t>
      </w:r>
      <w:r>
        <w:rPr>
          <w:w w:val="110"/>
        </w:rPr>
        <w:t>evidence on the other demand components, it is possible that there </w:t>
      </w:r>
      <w:r>
        <w:rPr>
          <w:spacing w:val="-3"/>
          <w:w w:val="110"/>
        </w:rPr>
        <w:t>was </w:t>
      </w:r>
      <w:r>
        <w:rPr>
          <w:w w:val="110"/>
        </w:rPr>
        <w:t>a run-down of </w:t>
      </w:r>
      <w:r>
        <w:rPr>
          <w:spacing w:val="-3"/>
          <w:w w:val="110"/>
        </w:rPr>
        <w:t>inventories </w:t>
      </w:r>
      <w:r>
        <w:rPr>
          <w:w w:val="110"/>
        </w:rPr>
        <w:t>in the fourth </w:t>
      </w:r>
      <w:r>
        <w:rPr>
          <w:spacing w:val="-3"/>
          <w:w w:val="110"/>
        </w:rPr>
        <w:t>quarter. </w:t>
      </w:r>
      <w:r>
        <w:rPr>
          <w:w w:val="110"/>
        </w:rPr>
        <w:t>In particular, it is likely that the surge in new car registrations </w:t>
      </w:r>
      <w:r>
        <w:rPr>
          <w:spacing w:val="-3"/>
          <w:w w:val="110"/>
        </w:rPr>
        <w:t>was </w:t>
      </w:r>
      <w:r>
        <w:rPr>
          <w:w w:val="110"/>
        </w:rPr>
        <w:t>at least partly met </w:t>
      </w:r>
      <w:r>
        <w:rPr>
          <w:spacing w:val="-3"/>
          <w:w w:val="110"/>
        </w:rPr>
        <w:t>by</w:t>
      </w:r>
      <w:r>
        <w:rPr>
          <w:spacing w:val="-17"/>
          <w:w w:val="110"/>
        </w:rPr>
        <w:t> </w:t>
      </w:r>
      <w:r>
        <w:rPr>
          <w:w w:val="110"/>
        </w:rPr>
        <w:t>drawing</w:t>
      </w:r>
      <w:r>
        <w:rPr>
          <w:spacing w:val="-17"/>
          <w:w w:val="110"/>
        </w:rPr>
        <w:t> </w:t>
      </w:r>
      <w:r>
        <w:rPr>
          <w:w w:val="110"/>
        </w:rPr>
        <w:t>on</w:t>
      </w:r>
      <w:r>
        <w:rPr>
          <w:spacing w:val="-17"/>
          <w:w w:val="110"/>
        </w:rPr>
        <w:t> </w:t>
      </w:r>
      <w:r>
        <w:rPr>
          <w:w w:val="110"/>
        </w:rPr>
        <w:t>stocks.</w:t>
      </w:r>
      <w:r>
        <w:rPr>
          <w:spacing w:val="21"/>
          <w:w w:val="110"/>
        </w:rPr>
        <w:t> </w:t>
      </w:r>
      <w:r>
        <w:rPr>
          <w:w w:val="110"/>
        </w:rPr>
        <w:t>The</w:t>
      </w:r>
      <w:r>
        <w:rPr>
          <w:spacing w:val="-17"/>
          <w:w w:val="110"/>
        </w:rPr>
        <w:t> </w:t>
      </w:r>
      <w:r>
        <w:rPr>
          <w:w w:val="110"/>
        </w:rPr>
        <w:t>Committee</w:t>
      </w:r>
      <w:r>
        <w:rPr>
          <w:spacing w:val="-17"/>
          <w:w w:val="110"/>
        </w:rPr>
        <w:t> </w:t>
      </w:r>
      <w:r>
        <w:rPr>
          <w:w w:val="110"/>
        </w:rPr>
        <w:t>has</w:t>
      </w:r>
      <w:r>
        <w:rPr>
          <w:spacing w:val="-17"/>
          <w:w w:val="110"/>
        </w:rPr>
        <w:t> </w:t>
      </w:r>
      <w:r>
        <w:rPr>
          <w:w w:val="110"/>
        </w:rPr>
        <w:t>made</w:t>
      </w:r>
      <w:r>
        <w:rPr>
          <w:spacing w:val="-17"/>
          <w:w w:val="110"/>
        </w:rPr>
        <w:t> </w:t>
      </w:r>
      <w:r>
        <w:rPr>
          <w:w w:val="110"/>
        </w:rPr>
        <w:t>no</w:t>
      </w:r>
      <w:r>
        <w:rPr>
          <w:spacing w:val="-17"/>
          <w:w w:val="110"/>
        </w:rPr>
        <w:t> </w:t>
      </w:r>
      <w:r>
        <w:rPr>
          <w:w w:val="110"/>
        </w:rPr>
        <w:t>change</w:t>
      </w:r>
      <w:r>
        <w:rPr>
          <w:spacing w:val="-17"/>
          <w:w w:val="110"/>
        </w:rPr>
        <w:t> </w:t>
      </w:r>
      <w:r>
        <w:rPr>
          <w:spacing w:val="-4"/>
          <w:w w:val="110"/>
        </w:rPr>
        <w:t>to </w:t>
      </w:r>
      <w:r>
        <w:rPr>
          <w:w w:val="110"/>
        </w:rPr>
        <w:t>the assumption that aggregate </w:t>
      </w:r>
      <w:r>
        <w:rPr>
          <w:spacing w:val="-3"/>
          <w:w w:val="110"/>
        </w:rPr>
        <w:t>inventory </w:t>
      </w:r>
      <w:r>
        <w:rPr>
          <w:w w:val="110"/>
        </w:rPr>
        <w:t>holdings will continue </w:t>
      </w:r>
      <w:r>
        <w:rPr>
          <w:spacing w:val="-4"/>
          <w:w w:val="110"/>
        </w:rPr>
        <w:t>to </w:t>
      </w:r>
      <w:r>
        <w:rPr>
          <w:w w:val="110"/>
        </w:rPr>
        <w:t>fall gradually as a share of output in the medium term as companies continue </w:t>
      </w:r>
      <w:r>
        <w:rPr>
          <w:spacing w:val="-4"/>
          <w:w w:val="110"/>
        </w:rPr>
        <w:t>to </w:t>
      </w:r>
      <w:r>
        <w:rPr>
          <w:w w:val="110"/>
        </w:rPr>
        <w:t>seek </w:t>
      </w:r>
      <w:r>
        <w:rPr>
          <w:spacing w:val="-4"/>
          <w:w w:val="110"/>
        </w:rPr>
        <w:t>ways </w:t>
      </w:r>
      <w:r>
        <w:rPr>
          <w:w w:val="110"/>
        </w:rPr>
        <w:t>of economising on </w:t>
      </w:r>
      <w:r>
        <w:rPr>
          <w:spacing w:val="-4"/>
          <w:w w:val="110"/>
        </w:rPr>
        <w:t>stock-holding</w:t>
      </w:r>
      <w:r>
        <w:rPr>
          <w:spacing w:val="-6"/>
          <w:w w:val="110"/>
        </w:rPr>
        <w:t> </w:t>
      </w:r>
      <w:r>
        <w:rPr>
          <w:w w:val="110"/>
        </w:rPr>
        <w:t>costs.</w:t>
      </w:r>
    </w:p>
    <w:p>
      <w:pPr>
        <w:pStyle w:val="BodyText"/>
        <w:spacing w:before="3"/>
        <w:rPr>
          <w:sz w:val="25"/>
        </w:rPr>
      </w:pPr>
    </w:p>
    <w:p>
      <w:pPr>
        <w:pStyle w:val="BodyText"/>
        <w:spacing w:line="292" w:lineRule="auto" w:before="1"/>
        <w:ind w:left="5095" w:right="172"/>
      </w:pPr>
      <w:r>
        <w:rPr>
          <w:w w:val="110"/>
        </w:rPr>
        <w:t>Export</w:t>
      </w:r>
      <w:r>
        <w:rPr>
          <w:spacing w:val="-22"/>
          <w:w w:val="110"/>
        </w:rPr>
        <w:t> </w:t>
      </w:r>
      <w:r>
        <w:rPr>
          <w:w w:val="110"/>
        </w:rPr>
        <w:t>volumes</w:t>
      </w:r>
      <w:r>
        <w:rPr>
          <w:spacing w:val="-22"/>
          <w:w w:val="110"/>
        </w:rPr>
        <w:t> </w:t>
      </w:r>
      <w:r>
        <w:rPr>
          <w:spacing w:val="-3"/>
          <w:w w:val="110"/>
        </w:rPr>
        <w:t>have</w:t>
      </w:r>
      <w:r>
        <w:rPr>
          <w:spacing w:val="-21"/>
          <w:w w:val="110"/>
        </w:rPr>
        <w:t> </w:t>
      </w:r>
      <w:r>
        <w:rPr>
          <w:w w:val="110"/>
        </w:rPr>
        <w:t>risen</w:t>
      </w:r>
      <w:r>
        <w:rPr>
          <w:spacing w:val="-22"/>
          <w:w w:val="110"/>
        </w:rPr>
        <w:t> </w:t>
      </w:r>
      <w:r>
        <w:rPr>
          <w:w w:val="110"/>
        </w:rPr>
        <w:t>rapidly</w:t>
      </w:r>
      <w:r>
        <w:rPr>
          <w:spacing w:val="-21"/>
          <w:w w:val="110"/>
        </w:rPr>
        <w:t> </w:t>
      </w:r>
      <w:r>
        <w:rPr>
          <w:w w:val="110"/>
        </w:rPr>
        <w:t>in</w:t>
      </w:r>
      <w:r>
        <w:rPr>
          <w:spacing w:val="-22"/>
          <w:w w:val="110"/>
        </w:rPr>
        <w:t> </w:t>
      </w:r>
      <w:r>
        <w:rPr>
          <w:w w:val="110"/>
        </w:rPr>
        <w:t>recent</w:t>
      </w:r>
      <w:r>
        <w:rPr>
          <w:spacing w:val="-22"/>
          <w:w w:val="110"/>
        </w:rPr>
        <w:t> </w:t>
      </w:r>
      <w:r>
        <w:rPr>
          <w:w w:val="110"/>
        </w:rPr>
        <w:t>quarters,</w:t>
      </w:r>
      <w:r>
        <w:rPr>
          <w:spacing w:val="-21"/>
          <w:w w:val="110"/>
        </w:rPr>
        <w:t> </w:t>
      </w:r>
      <w:r>
        <w:rPr>
          <w:w w:val="110"/>
        </w:rPr>
        <w:t>boosted </w:t>
      </w:r>
      <w:r>
        <w:rPr>
          <w:spacing w:val="-3"/>
          <w:w w:val="110"/>
        </w:rPr>
        <w:t>by </w:t>
      </w:r>
      <w:r>
        <w:rPr>
          <w:w w:val="110"/>
        </w:rPr>
        <w:t>very strong growth in </w:t>
      </w:r>
      <w:r>
        <w:rPr>
          <w:spacing w:val="-3"/>
          <w:w w:val="110"/>
        </w:rPr>
        <w:t>world </w:t>
      </w:r>
      <w:r>
        <w:rPr>
          <w:w w:val="110"/>
        </w:rPr>
        <w:t>trade. There are signs that export</w:t>
      </w:r>
      <w:r>
        <w:rPr>
          <w:spacing w:val="-12"/>
          <w:w w:val="110"/>
        </w:rPr>
        <w:t> </w:t>
      </w:r>
      <w:r>
        <w:rPr>
          <w:spacing w:val="-2"/>
          <w:w w:val="110"/>
        </w:rPr>
        <w:t>growth</w:t>
      </w:r>
      <w:r>
        <w:rPr>
          <w:spacing w:val="-11"/>
          <w:w w:val="110"/>
        </w:rPr>
        <w:t> </w:t>
      </w:r>
      <w:r>
        <w:rPr>
          <w:spacing w:val="-3"/>
          <w:w w:val="110"/>
        </w:rPr>
        <w:t>moderated</w:t>
      </w:r>
      <w:r>
        <w:rPr>
          <w:spacing w:val="-11"/>
          <w:w w:val="110"/>
        </w:rPr>
        <w:t> </w:t>
      </w:r>
      <w:r>
        <w:rPr>
          <w:w w:val="110"/>
        </w:rPr>
        <w:t>in</w:t>
      </w:r>
      <w:r>
        <w:rPr>
          <w:spacing w:val="-11"/>
          <w:w w:val="110"/>
        </w:rPr>
        <w:t> </w:t>
      </w:r>
      <w:r>
        <w:rPr>
          <w:w w:val="110"/>
        </w:rPr>
        <w:t>the</w:t>
      </w:r>
      <w:r>
        <w:rPr>
          <w:spacing w:val="-12"/>
          <w:w w:val="110"/>
        </w:rPr>
        <w:t> </w:t>
      </w:r>
      <w:r>
        <w:rPr>
          <w:w w:val="110"/>
        </w:rPr>
        <w:t>second</w:t>
      </w:r>
      <w:r>
        <w:rPr>
          <w:spacing w:val="-11"/>
          <w:w w:val="110"/>
        </w:rPr>
        <w:t> </w:t>
      </w:r>
      <w:r>
        <w:rPr>
          <w:w w:val="110"/>
        </w:rPr>
        <w:t>half</w:t>
      </w:r>
      <w:r>
        <w:rPr>
          <w:spacing w:val="-11"/>
          <w:w w:val="110"/>
        </w:rPr>
        <w:t> </w:t>
      </w:r>
      <w:r>
        <w:rPr>
          <w:w w:val="110"/>
        </w:rPr>
        <w:t>of</w:t>
      </w:r>
      <w:r>
        <w:rPr>
          <w:spacing w:val="-11"/>
          <w:w w:val="110"/>
        </w:rPr>
        <w:t> </w:t>
      </w:r>
      <w:r>
        <w:rPr>
          <w:spacing w:val="-4"/>
          <w:w w:val="110"/>
        </w:rPr>
        <w:t>2000,</w:t>
      </w:r>
      <w:r>
        <w:rPr>
          <w:spacing w:val="-12"/>
          <w:w w:val="110"/>
        </w:rPr>
        <w:t> </w:t>
      </w:r>
      <w:r>
        <w:rPr>
          <w:w w:val="110"/>
        </w:rPr>
        <w:t>as</w:t>
      </w:r>
      <w:r>
        <w:rPr>
          <w:spacing w:val="-11"/>
          <w:w w:val="110"/>
        </w:rPr>
        <w:t> </w:t>
      </w:r>
      <w:r>
        <w:rPr>
          <w:spacing w:val="-3"/>
          <w:w w:val="110"/>
        </w:rPr>
        <w:t>world</w:t>
      </w:r>
    </w:p>
    <w:p>
      <w:pPr>
        <w:spacing w:after="0" w:line="292" w:lineRule="auto"/>
        <w:sectPr>
          <w:pgSz w:w="11900" w:h="16840"/>
          <w:pgMar w:header="601" w:footer="575" w:top="800" w:bottom="760" w:left="640" w:right="640"/>
        </w:sectPr>
      </w:pPr>
    </w:p>
    <w:p>
      <w:pPr>
        <w:pStyle w:val="BodyText"/>
      </w:pPr>
    </w:p>
    <w:p>
      <w:pPr>
        <w:pStyle w:val="BodyText"/>
        <w:spacing w:before="6"/>
      </w:pPr>
    </w:p>
    <w:p>
      <w:pPr>
        <w:pStyle w:val="BodyText"/>
        <w:spacing w:line="292" w:lineRule="auto" w:before="1"/>
        <w:ind w:left="5111" w:right="144"/>
      </w:pPr>
      <w:r>
        <w:rPr>
          <w:w w:val="110"/>
        </w:rPr>
        <w:t>trade </w:t>
      </w:r>
      <w:r>
        <w:rPr>
          <w:spacing w:val="-2"/>
          <w:w w:val="110"/>
        </w:rPr>
        <w:t>growth </w:t>
      </w:r>
      <w:r>
        <w:rPr>
          <w:w w:val="110"/>
        </w:rPr>
        <w:t>passed its peak. </w:t>
      </w:r>
      <w:r>
        <w:rPr>
          <w:spacing w:val="-3"/>
          <w:w w:val="110"/>
        </w:rPr>
        <w:t>Surveys </w:t>
      </w:r>
      <w:r>
        <w:rPr>
          <w:w w:val="110"/>
        </w:rPr>
        <w:t>indicate resilience in export orders in recent months. Future orders will depend on the countervailing influences of the </w:t>
      </w:r>
      <w:r>
        <w:rPr>
          <w:spacing w:val="-3"/>
          <w:w w:val="110"/>
        </w:rPr>
        <w:t>slowdown </w:t>
      </w:r>
      <w:r>
        <w:rPr>
          <w:w w:val="110"/>
        </w:rPr>
        <w:t>in global growth, and the recent depreciation of sterling, which has eased competitive </w:t>
      </w:r>
      <w:r>
        <w:rPr>
          <w:spacing w:val="-3"/>
          <w:w w:val="110"/>
        </w:rPr>
        <w:t>pressures </w:t>
      </w:r>
      <w:r>
        <w:rPr>
          <w:w w:val="110"/>
        </w:rPr>
        <w:t>somewhat, particularly in European</w:t>
      </w:r>
      <w:r>
        <w:rPr>
          <w:spacing w:val="-28"/>
          <w:w w:val="110"/>
        </w:rPr>
        <w:t> </w:t>
      </w:r>
      <w:r>
        <w:rPr>
          <w:w w:val="110"/>
        </w:rPr>
        <w:t>markets. The</w:t>
      </w:r>
      <w:r>
        <w:rPr>
          <w:spacing w:val="-28"/>
          <w:w w:val="110"/>
        </w:rPr>
        <w:t> </w:t>
      </w:r>
      <w:r>
        <w:rPr>
          <w:w w:val="110"/>
        </w:rPr>
        <w:t>Committee</w:t>
      </w:r>
      <w:r>
        <w:rPr>
          <w:spacing w:val="-27"/>
          <w:w w:val="110"/>
        </w:rPr>
        <w:t> </w:t>
      </w:r>
      <w:r>
        <w:rPr>
          <w:w w:val="110"/>
        </w:rPr>
        <w:t>judges</w:t>
      </w:r>
      <w:r>
        <w:rPr>
          <w:spacing w:val="-28"/>
          <w:w w:val="110"/>
        </w:rPr>
        <w:t> </w:t>
      </w:r>
      <w:r>
        <w:rPr>
          <w:w w:val="110"/>
        </w:rPr>
        <w:t>that</w:t>
      </w:r>
      <w:r>
        <w:rPr>
          <w:spacing w:val="-28"/>
          <w:w w:val="110"/>
        </w:rPr>
        <w:t> </w:t>
      </w:r>
      <w:r>
        <w:rPr>
          <w:w w:val="110"/>
        </w:rPr>
        <w:t>export</w:t>
      </w:r>
      <w:r>
        <w:rPr>
          <w:spacing w:val="-27"/>
          <w:w w:val="110"/>
        </w:rPr>
        <w:t> </w:t>
      </w:r>
      <w:r>
        <w:rPr>
          <w:w w:val="110"/>
        </w:rPr>
        <w:t>volumes are likely </w:t>
      </w:r>
      <w:r>
        <w:rPr>
          <w:spacing w:val="-4"/>
          <w:w w:val="110"/>
        </w:rPr>
        <w:t>to </w:t>
      </w:r>
      <w:r>
        <w:rPr>
          <w:spacing w:val="-3"/>
          <w:w w:val="110"/>
        </w:rPr>
        <w:t>grow </w:t>
      </w:r>
      <w:r>
        <w:rPr>
          <w:w w:val="110"/>
        </w:rPr>
        <w:t>less quickly </w:t>
      </w:r>
      <w:r>
        <w:rPr>
          <w:spacing w:val="-3"/>
          <w:w w:val="110"/>
        </w:rPr>
        <w:t>over </w:t>
      </w:r>
      <w:r>
        <w:rPr>
          <w:w w:val="110"/>
        </w:rPr>
        <w:t>the next </w:t>
      </w:r>
      <w:r>
        <w:rPr>
          <w:spacing w:val="-5"/>
          <w:w w:val="110"/>
        </w:rPr>
        <w:t>two </w:t>
      </w:r>
      <w:r>
        <w:rPr>
          <w:spacing w:val="-3"/>
          <w:w w:val="110"/>
        </w:rPr>
        <w:t>years </w:t>
      </w:r>
      <w:r>
        <w:rPr>
          <w:w w:val="110"/>
        </w:rPr>
        <w:t>than projected in</w:t>
      </w:r>
      <w:r>
        <w:rPr>
          <w:spacing w:val="-12"/>
          <w:w w:val="110"/>
        </w:rPr>
        <w:t> </w:t>
      </w:r>
      <w:r>
        <w:rPr>
          <w:spacing w:val="-3"/>
          <w:w w:val="110"/>
        </w:rPr>
        <w:t>November.</w:t>
      </w:r>
    </w:p>
    <w:p>
      <w:pPr>
        <w:pStyle w:val="BodyText"/>
        <w:spacing w:before="5"/>
      </w:pPr>
    </w:p>
    <w:p>
      <w:pPr>
        <w:pStyle w:val="BodyText"/>
        <w:spacing w:line="292" w:lineRule="auto"/>
        <w:ind w:left="5111" w:right="80"/>
      </w:pPr>
      <w:r>
        <w:rPr>
          <w:w w:val="110"/>
        </w:rPr>
        <w:t>Import volumes </w:t>
      </w:r>
      <w:r>
        <w:rPr>
          <w:spacing w:val="-3"/>
          <w:w w:val="110"/>
        </w:rPr>
        <w:t>have </w:t>
      </w:r>
      <w:r>
        <w:rPr>
          <w:w w:val="110"/>
        </w:rPr>
        <w:t>increased </w:t>
      </w:r>
      <w:r>
        <w:rPr>
          <w:spacing w:val="-3"/>
          <w:w w:val="110"/>
        </w:rPr>
        <w:t>even faster </w:t>
      </w:r>
      <w:r>
        <w:rPr>
          <w:w w:val="110"/>
        </w:rPr>
        <w:t>than exports in recent </w:t>
      </w:r>
      <w:r>
        <w:rPr>
          <w:spacing w:val="-3"/>
          <w:w w:val="110"/>
        </w:rPr>
        <w:t>years </w:t>
      </w:r>
      <w:r>
        <w:rPr>
          <w:w w:val="110"/>
        </w:rPr>
        <w:t>reflecting robust growth in demand in the United Kingdom and the strength of sterling. Import penetration has risen </w:t>
      </w:r>
      <w:r>
        <w:rPr>
          <w:spacing w:val="-4"/>
          <w:w w:val="110"/>
        </w:rPr>
        <w:t>rapidly. </w:t>
      </w:r>
      <w:r>
        <w:rPr>
          <w:w w:val="110"/>
        </w:rPr>
        <w:t>Even so, there are signs that UK producers </w:t>
      </w:r>
      <w:r>
        <w:rPr>
          <w:spacing w:val="-3"/>
          <w:w w:val="110"/>
        </w:rPr>
        <w:t>have </w:t>
      </w:r>
      <w:r>
        <w:rPr>
          <w:w w:val="110"/>
        </w:rPr>
        <w:t>been more successful in holding </w:t>
      </w:r>
      <w:r>
        <w:rPr>
          <w:spacing w:val="-3"/>
          <w:w w:val="110"/>
        </w:rPr>
        <w:t>onto </w:t>
      </w:r>
      <w:r>
        <w:rPr>
          <w:w w:val="110"/>
        </w:rPr>
        <w:t>domestic markets in recent quarters than past statistical relationships </w:t>
      </w:r>
      <w:r>
        <w:rPr>
          <w:spacing w:val="-4"/>
          <w:w w:val="110"/>
        </w:rPr>
        <w:t>imply. </w:t>
      </w:r>
      <w:r>
        <w:rPr>
          <w:w w:val="110"/>
        </w:rPr>
        <w:t>The </w:t>
      </w:r>
      <w:r>
        <w:rPr>
          <w:spacing w:val="-3"/>
          <w:w w:val="110"/>
        </w:rPr>
        <w:t>Committee </w:t>
      </w:r>
      <w:r>
        <w:rPr>
          <w:w w:val="110"/>
        </w:rPr>
        <w:t>has retained the assumption that this </w:t>
      </w:r>
      <w:r>
        <w:rPr>
          <w:spacing w:val="-3"/>
          <w:w w:val="110"/>
        </w:rPr>
        <w:t>tendency </w:t>
      </w:r>
      <w:r>
        <w:rPr>
          <w:w w:val="110"/>
        </w:rPr>
        <w:t>will persist. The depreciation of sterling </w:t>
      </w:r>
      <w:r>
        <w:rPr>
          <w:spacing w:val="-3"/>
          <w:w w:val="110"/>
        </w:rPr>
        <w:t>over </w:t>
      </w:r>
      <w:r>
        <w:rPr>
          <w:w w:val="110"/>
        </w:rPr>
        <w:t>the past three months will also dampen prospective import demand. Import volume </w:t>
      </w:r>
      <w:r>
        <w:rPr>
          <w:spacing w:val="-2"/>
          <w:w w:val="110"/>
        </w:rPr>
        <w:t>growth </w:t>
      </w:r>
      <w:r>
        <w:rPr>
          <w:w w:val="110"/>
        </w:rPr>
        <w:t>is likely </w:t>
      </w:r>
      <w:r>
        <w:rPr>
          <w:spacing w:val="-4"/>
          <w:w w:val="110"/>
        </w:rPr>
        <w:t>to </w:t>
      </w:r>
      <w:r>
        <w:rPr>
          <w:w w:val="110"/>
        </w:rPr>
        <w:t>slow a little through </w:t>
      </w:r>
      <w:r>
        <w:rPr>
          <w:spacing w:val="-11"/>
          <w:w w:val="110"/>
        </w:rPr>
        <w:t>2001 </w:t>
      </w:r>
      <w:r>
        <w:rPr>
          <w:w w:val="110"/>
        </w:rPr>
        <w:t>as domestic demand </w:t>
      </w:r>
      <w:r>
        <w:rPr>
          <w:spacing w:val="-2"/>
          <w:w w:val="110"/>
        </w:rPr>
        <w:t>growth </w:t>
      </w:r>
      <w:r>
        <w:rPr>
          <w:w w:val="110"/>
        </w:rPr>
        <w:t>eases. Nonetheless, the </w:t>
      </w:r>
      <w:r>
        <w:rPr>
          <w:spacing w:val="-2"/>
          <w:w w:val="110"/>
        </w:rPr>
        <w:t>growth </w:t>
      </w:r>
      <w:r>
        <w:rPr>
          <w:w w:val="110"/>
        </w:rPr>
        <w:t>in import volumes is expected </w:t>
      </w:r>
      <w:r>
        <w:rPr>
          <w:spacing w:val="-4"/>
          <w:w w:val="110"/>
        </w:rPr>
        <w:t>to </w:t>
      </w:r>
      <w:r>
        <w:rPr>
          <w:w w:val="110"/>
        </w:rPr>
        <w:t>remain above that of exports, and </w:t>
      </w:r>
      <w:r>
        <w:rPr>
          <w:spacing w:val="-3"/>
          <w:w w:val="110"/>
        </w:rPr>
        <w:t>may </w:t>
      </w:r>
      <w:r>
        <w:rPr>
          <w:w w:val="110"/>
        </w:rPr>
        <w:t>strengthen a little during the second year of the projection as domestic demand growth edges up.</w:t>
      </w:r>
    </w:p>
    <w:p>
      <w:pPr>
        <w:pStyle w:val="BodyText"/>
        <w:spacing w:before="2"/>
      </w:pPr>
    </w:p>
    <w:p>
      <w:pPr>
        <w:pStyle w:val="BodyText"/>
        <w:spacing w:line="292" w:lineRule="auto"/>
        <w:ind w:left="5111" w:right="156"/>
      </w:pPr>
      <w:r>
        <w:rPr>
          <w:w w:val="110"/>
        </w:rPr>
        <w:t>The net trade contribution </w:t>
      </w:r>
      <w:r>
        <w:rPr>
          <w:spacing w:val="-4"/>
          <w:w w:val="110"/>
        </w:rPr>
        <w:t>to </w:t>
      </w:r>
      <w:r>
        <w:rPr>
          <w:w w:val="110"/>
        </w:rPr>
        <w:t>GDP </w:t>
      </w:r>
      <w:r>
        <w:rPr>
          <w:spacing w:val="-2"/>
          <w:w w:val="110"/>
        </w:rPr>
        <w:t>growth </w:t>
      </w:r>
      <w:r>
        <w:rPr>
          <w:w w:val="110"/>
        </w:rPr>
        <w:t>is likely </w:t>
      </w:r>
      <w:r>
        <w:rPr>
          <w:spacing w:val="-4"/>
          <w:w w:val="110"/>
        </w:rPr>
        <w:t>to </w:t>
      </w:r>
      <w:r>
        <w:rPr>
          <w:w w:val="110"/>
        </w:rPr>
        <w:t>be a little more negative </w:t>
      </w:r>
      <w:r>
        <w:rPr>
          <w:spacing w:val="-3"/>
          <w:w w:val="110"/>
        </w:rPr>
        <w:t>over </w:t>
      </w:r>
      <w:r>
        <w:rPr>
          <w:w w:val="110"/>
        </w:rPr>
        <w:t>the forecast period than assumed in the</w:t>
      </w:r>
      <w:r>
        <w:rPr>
          <w:spacing w:val="-27"/>
          <w:w w:val="110"/>
        </w:rPr>
        <w:t> </w:t>
      </w:r>
      <w:r>
        <w:rPr>
          <w:w w:val="110"/>
        </w:rPr>
        <w:t>November</w:t>
      </w:r>
      <w:r>
        <w:rPr>
          <w:spacing w:val="-26"/>
          <w:w w:val="110"/>
        </w:rPr>
        <w:t> </w:t>
      </w:r>
      <w:r>
        <w:rPr>
          <w:i/>
          <w:w w:val="110"/>
        </w:rPr>
        <w:t>Report</w:t>
      </w:r>
      <w:r>
        <w:rPr>
          <w:w w:val="110"/>
        </w:rPr>
        <w:t>.</w:t>
      </w:r>
      <w:r>
        <w:rPr>
          <w:spacing w:val="3"/>
          <w:w w:val="110"/>
        </w:rPr>
        <w:t> </w:t>
      </w:r>
      <w:r>
        <w:rPr>
          <w:w w:val="110"/>
        </w:rPr>
        <w:t>The</w:t>
      </w:r>
      <w:r>
        <w:rPr>
          <w:spacing w:val="-26"/>
          <w:w w:val="110"/>
        </w:rPr>
        <w:t> </w:t>
      </w:r>
      <w:r>
        <w:rPr>
          <w:spacing w:val="-3"/>
          <w:w w:val="110"/>
        </w:rPr>
        <w:t>downward</w:t>
      </w:r>
      <w:r>
        <w:rPr>
          <w:spacing w:val="-26"/>
          <w:w w:val="110"/>
        </w:rPr>
        <w:t> </w:t>
      </w:r>
      <w:r>
        <w:rPr>
          <w:w w:val="110"/>
        </w:rPr>
        <w:t>revision</w:t>
      </w:r>
      <w:r>
        <w:rPr>
          <w:spacing w:val="-27"/>
          <w:w w:val="110"/>
        </w:rPr>
        <w:t> </w:t>
      </w:r>
      <w:r>
        <w:rPr>
          <w:spacing w:val="-4"/>
          <w:w w:val="110"/>
        </w:rPr>
        <w:t>to</w:t>
      </w:r>
      <w:r>
        <w:rPr>
          <w:spacing w:val="-26"/>
          <w:w w:val="110"/>
        </w:rPr>
        <w:t> </w:t>
      </w:r>
      <w:r>
        <w:rPr>
          <w:spacing w:val="-3"/>
          <w:w w:val="110"/>
        </w:rPr>
        <w:t>world</w:t>
      </w:r>
      <w:r>
        <w:rPr>
          <w:spacing w:val="-26"/>
          <w:w w:val="110"/>
        </w:rPr>
        <w:t> </w:t>
      </w:r>
      <w:r>
        <w:rPr>
          <w:spacing w:val="-3"/>
          <w:w w:val="110"/>
        </w:rPr>
        <w:t>growth </w:t>
      </w:r>
      <w:r>
        <w:rPr>
          <w:w w:val="110"/>
        </w:rPr>
        <w:t>prospects,</w:t>
      </w:r>
      <w:r>
        <w:rPr>
          <w:spacing w:val="-22"/>
          <w:w w:val="110"/>
        </w:rPr>
        <w:t> </w:t>
      </w:r>
      <w:r>
        <w:rPr>
          <w:w w:val="110"/>
        </w:rPr>
        <w:t>together</w:t>
      </w:r>
      <w:r>
        <w:rPr>
          <w:spacing w:val="-21"/>
          <w:w w:val="110"/>
        </w:rPr>
        <w:t> </w:t>
      </w:r>
      <w:r>
        <w:rPr>
          <w:w w:val="110"/>
        </w:rPr>
        <w:t>with</w:t>
      </w:r>
      <w:r>
        <w:rPr>
          <w:spacing w:val="-21"/>
          <w:w w:val="110"/>
        </w:rPr>
        <w:t> </w:t>
      </w:r>
      <w:r>
        <w:rPr>
          <w:w w:val="110"/>
        </w:rPr>
        <w:t>a</w:t>
      </w:r>
      <w:r>
        <w:rPr>
          <w:spacing w:val="-21"/>
          <w:w w:val="110"/>
        </w:rPr>
        <w:t> </w:t>
      </w:r>
      <w:r>
        <w:rPr>
          <w:w w:val="110"/>
        </w:rPr>
        <w:t>slightly</w:t>
      </w:r>
      <w:r>
        <w:rPr>
          <w:spacing w:val="-21"/>
          <w:w w:val="110"/>
        </w:rPr>
        <w:t> </w:t>
      </w:r>
      <w:r>
        <w:rPr>
          <w:w w:val="110"/>
        </w:rPr>
        <w:t>stronger</w:t>
      </w:r>
      <w:r>
        <w:rPr>
          <w:spacing w:val="-21"/>
          <w:w w:val="110"/>
        </w:rPr>
        <w:t> </w:t>
      </w:r>
      <w:r>
        <w:rPr>
          <w:w w:val="110"/>
        </w:rPr>
        <w:t>outlook</w:t>
      </w:r>
      <w:r>
        <w:rPr>
          <w:spacing w:val="-21"/>
          <w:w w:val="110"/>
        </w:rPr>
        <w:t> </w:t>
      </w:r>
      <w:r>
        <w:rPr>
          <w:w w:val="110"/>
        </w:rPr>
        <w:t>for</w:t>
      </w:r>
      <w:r>
        <w:rPr>
          <w:spacing w:val="-21"/>
          <w:w w:val="110"/>
        </w:rPr>
        <w:t> </w:t>
      </w:r>
      <w:r>
        <w:rPr>
          <w:spacing w:val="-3"/>
          <w:w w:val="110"/>
        </w:rPr>
        <w:t>overall </w:t>
      </w:r>
      <w:r>
        <w:rPr>
          <w:w w:val="110"/>
        </w:rPr>
        <w:t>domestic demand growth, </w:t>
      </w:r>
      <w:r>
        <w:rPr>
          <w:spacing w:val="-3"/>
          <w:w w:val="110"/>
        </w:rPr>
        <w:t>outweighs </w:t>
      </w:r>
      <w:r>
        <w:rPr>
          <w:w w:val="110"/>
        </w:rPr>
        <w:t>the impact of the </w:t>
      </w:r>
      <w:r>
        <w:rPr>
          <w:spacing w:val="-3"/>
          <w:w w:val="110"/>
        </w:rPr>
        <w:t>lower </w:t>
      </w:r>
      <w:r>
        <w:rPr>
          <w:w w:val="110"/>
        </w:rPr>
        <w:t>profile for the sterling exchange</w:t>
      </w:r>
      <w:r>
        <w:rPr>
          <w:spacing w:val="-34"/>
          <w:w w:val="110"/>
        </w:rPr>
        <w:t> </w:t>
      </w:r>
      <w:r>
        <w:rPr>
          <w:spacing w:val="-3"/>
          <w:w w:val="110"/>
        </w:rPr>
        <w:t>rate.</w:t>
      </w:r>
    </w:p>
    <w:p>
      <w:pPr>
        <w:pStyle w:val="BodyText"/>
        <w:spacing w:before="3"/>
        <w:rPr>
          <w:sz w:val="22"/>
        </w:rPr>
      </w:pPr>
    </w:p>
    <w:p>
      <w:pPr>
        <w:pStyle w:val="BodyText"/>
        <w:spacing w:line="292" w:lineRule="auto" w:before="1"/>
        <w:ind w:left="5111" w:right="172"/>
      </w:pPr>
      <w:r>
        <w:rPr>
          <w:w w:val="110"/>
        </w:rPr>
        <w:t>Recent</w:t>
      </w:r>
      <w:r>
        <w:rPr>
          <w:spacing w:val="-19"/>
          <w:w w:val="110"/>
        </w:rPr>
        <w:t> </w:t>
      </w:r>
      <w:r>
        <w:rPr>
          <w:w w:val="110"/>
        </w:rPr>
        <w:t>evidence</w:t>
      </w:r>
      <w:r>
        <w:rPr>
          <w:spacing w:val="-18"/>
          <w:w w:val="110"/>
        </w:rPr>
        <w:t> </w:t>
      </w:r>
      <w:r>
        <w:rPr>
          <w:w w:val="110"/>
        </w:rPr>
        <w:t>from</w:t>
      </w:r>
      <w:r>
        <w:rPr>
          <w:spacing w:val="-19"/>
          <w:w w:val="110"/>
        </w:rPr>
        <w:t> </w:t>
      </w:r>
      <w:r>
        <w:rPr>
          <w:w w:val="110"/>
        </w:rPr>
        <w:t>business</w:t>
      </w:r>
      <w:r>
        <w:rPr>
          <w:spacing w:val="-18"/>
          <w:w w:val="110"/>
        </w:rPr>
        <w:t> </w:t>
      </w:r>
      <w:r>
        <w:rPr>
          <w:w w:val="110"/>
        </w:rPr>
        <w:t>surveys</w:t>
      </w:r>
      <w:r>
        <w:rPr>
          <w:spacing w:val="-18"/>
          <w:w w:val="110"/>
        </w:rPr>
        <w:t> </w:t>
      </w:r>
      <w:r>
        <w:rPr>
          <w:w w:val="110"/>
        </w:rPr>
        <w:t>and</w:t>
      </w:r>
      <w:r>
        <w:rPr>
          <w:spacing w:val="-19"/>
          <w:w w:val="110"/>
        </w:rPr>
        <w:t> </w:t>
      </w:r>
      <w:r>
        <w:rPr>
          <w:w w:val="110"/>
        </w:rPr>
        <w:t>reports</w:t>
      </w:r>
      <w:r>
        <w:rPr>
          <w:spacing w:val="-18"/>
          <w:w w:val="110"/>
        </w:rPr>
        <w:t> </w:t>
      </w:r>
      <w:r>
        <w:rPr>
          <w:w w:val="110"/>
        </w:rPr>
        <w:t>from</w:t>
      </w:r>
      <w:r>
        <w:rPr>
          <w:spacing w:val="-18"/>
          <w:w w:val="110"/>
        </w:rPr>
        <w:t> </w:t>
      </w:r>
      <w:r>
        <w:rPr>
          <w:w w:val="110"/>
        </w:rPr>
        <w:t>the </w:t>
      </w:r>
      <w:r>
        <w:rPr>
          <w:spacing w:val="-3"/>
          <w:w w:val="110"/>
        </w:rPr>
        <w:t>Bank’s</w:t>
      </w:r>
      <w:r>
        <w:rPr>
          <w:spacing w:val="-24"/>
          <w:w w:val="110"/>
        </w:rPr>
        <w:t> </w:t>
      </w:r>
      <w:r>
        <w:rPr>
          <w:w w:val="110"/>
        </w:rPr>
        <w:t>regional</w:t>
      </w:r>
      <w:r>
        <w:rPr>
          <w:spacing w:val="-23"/>
          <w:w w:val="110"/>
        </w:rPr>
        <w:t> </w:t>
      </w:r>
      <w:r>
        <w:rPr>
          <w:w w:val="110"/>
        </w:rPr>
        <w:t>Agents</w:t>
      </w:r>
      <w:r>
        <w:rPr>
          <w:spacing w:val="-23"/>
          <w:w w:val="110"/>
        </w:rPr>
        <w:t> </w:t>
      </w:r>
      <w:r>
        <w:rPr>
          <w:w w:val="110"/>
        </w:rPr>
        <w:t>are</w:t>
      </w:r>
      <w:r>
        <w:rPr>
          <w:spacing w:val="-23"/>
          <w:w w:val="110"/>
        </w:rPr>
        <w:t> </w:t>
      </w:r>
      <w:r>
        <w:rPr>
          <w:w w:val="110"/>
        </w:rPr>
        <w:t>consistent</w:t>
      </w:r>
      <w:r>
        <w:rPr>
          <w:spacing w:val="-23"/>
          <w:w w:val="110"/>
        </w:rPr>
        <w:t> </w:t>
      </w:r>
      <w:r>
        <w:rPr>
          <w:w w:val="110"/>
        </w:rPr>
        <w:t>with</w:t>
      </w:r>
      <w:r>
        <w:rPr>
          <w:spacing w:val="-23"/>
          <w:w w:val="110"/>
        </w:rPr>
        <w:t> </w:t>
      </w:r>
      <w:r>
        <w:rPr>
          <w:w w:val="110"/>
        </w:rPr>
        <w:t>growth</w:t>
      </w:r>
      <w:r>
        <w:rPr>
          <w:spacing w:val="-23"/>
          <w:w w:val="110"/>
        </w:rPr>
        <w:t> </w:t>
      </w:r>
      <w:r>
        <w:rPr>
          <w:w w:val="110"/>
        </w:rPr>
        <w:t>around</w:t>
      </w:r>
      <w:r>
        <w:rPr>
          <w:spacing w:val="-23"/>
          <w:w w:val="110"/>
        </w:rPr>
        <w:t> </w:t>
      </w:r>
      <w:r>
        <w:rPr>
          <w:w w:val="110"/>
        </w:rPr>
        <w:t>or </w:t>
      </w:r>
      <w:r>
        <w:rPr>
          <w:spacing w:val="-3"/>
          <w:w w:val="110"/>
        </w:rPr>
        <w:t>even</w:t>
      </w:r>
      <w:r>
        <w:rPr>
          <w:spacing w:val="-16"/>
          <w:w w:val="110"/>
        </w:rPr>
        <w:t> </w:t>
      </w:r>
      <w:r>
        <w:rPr>
          <w:w w:val="110"/>
        </w:rPr>
        <w:t>a</w:t>
      </w:r>
      <w:r>
        <w:rPr>
          <w:spacing w:val="-16"/>
          <w:w w:val="110"/>
        </w:rPr>
        <w:t> </w:t>
      </w:r>
      <w:r>
        <w:rPr>
          <w:w w:val="110"/>
        </w:rPr>
        <w:t>little</w:t>
      </w:r>
      <w:r>
        <w:rPr>
          <w:spacing w:val="-15"/>
          <w:w w:val="110"/>
        </w:rPr>
        <w:t> </w:t>
      </w:r>
      <w:r>
        <w:rPr>
          <w:spacing w:val="-3"/>
          <w:w w:val="110"/>
        </w:rPr>
        <w:t>above</w:t>
      </w:r>
      <w:r>
        <w:rPr>
          <w:spacing w:val="-16"/>
          <w:w w:val="110"/>
        </w:rPr>
        <w:t> </w:t>
      </w:r>
      <w:r>
        <w:rPr>
          <w:w w:val="110"/>
        </w:rPr>
        <w:t>trend,</w:t>
      </w:r>
      <w:r>
        <w:rPr>
          <w:spacing w:val="-16"/>
          <w:w w:val="110"/>
        </w:rPr>
        <w:t> </w:t>
      </w:r>
      <w:r>
        <w:rPr>
          <w:w w:val="110"/>
        </w:rPr>
        <w:t>supporting</w:t>
      </w:r>
      <w:r>
        <w:rPr>
          <w:spacing w:val="-15"/>
          <w:w w:val="110"/>
        </w:rPr>
        <w:t> </w:t>
      </w:r>
      <w:r>
        <w:rPr>
          <w:w w:val="110"/>
        </w:rPr>
        <w:t>the</w:t>
      </w:r>
      <w:r>
        <w:rPr>
          <w:spacing w:val="-16"/>
          <w:w w:val="110"/>
        </w:rPr>
        <w:t> </w:t>
      </w:r>
      <w:r>
        <w:rPr>
          <w:w w:val="110"/>
        </w:rPr>
        <w:t>view</w:t>
      </w:r>
      <w:r>
        <w:rPr>
          <w:spacing w:val="-16"/>
          <w:w w:val="110"/>
        </w:rPr>
        <w:t> </w:t>
      </w:r>
      <w:r>
        <w:rPr>
          <w:w w:val="110"/>
        </w:rPr>
        <w:t>that</w:t>
      </w:r>
      <w:r>
        <w:rPr>
          <w:spacing w:val="-15"/>
          <w:w w:val="110"/>
        </w:rPr>
        <w:t> </w:t>
      </w:r>
      <w:r>
        <w:rPr>
          <w:w w:val="110"/>
        </w:rPr>
        <w:t>underlying growth</w:t>
      </w:r>
      <w:r>
        <w:rPr>
          <w:spacing w:val="-24"/>
          <w:w w:val="110"/>
        </w:rPr>
        <w:t> </w:t>
      </w:r>
      <w:r>
        <w:rPr>
          <w:w w:val="110"/>
        </w:rPr>
        <w:t>remains</w:t>
      </w:r>
      <w:r>
        <w:rPr>
          <w:spacing w:val="-24"/>
          <w:w w:val="110"/>
        </w:rPr>
        <w:t> </w:t>
      </w:r>
      <w:r>
        <w:rPr>
          <w:w w:val="110"/>
        </w:rPr>
        <w:t>firmer</w:t>
      </w:r>
      <w:r>
        <w:rPr>
          <w:spacing w:val="-24"/>
          <w:w w:val="110"/>
        </w:rPr>
        <w:t> </w:t>
      </w:r>
      <w:r>
        <w:rPr>
          <w:w w:val="110"/>
        </w:rPr>
        <w:t>than</w:t>
      </w:r>
      <w:r>
        <w:rPr>
          <w:spacing w:val="-24"/>
          <w:w w:val="110"/>
        </w:rPr>
        <w:t> </w:t>
      </w:r>
      <w:r>
        <w:rPr>
          <w:w w:val="110"/>
        </w:rPr>
        <w:t>indicated</w:t>
      </w:r>
      <w:r>
        <w:rPr>
          <w:spacing w:val="-24"/>
          <w:w w:val="110"/>
        </w:rPr>
        <w:t> </w:t>
      </w:r>
      <w:r>
        <w:rPr>
          <w:spacing w:val="-3"/>
          <w:w w:val="110"/>
        </w:rPr>
        <w:t>by</w:t>
      </w:r>
      <w:r>
        <w:rPr>
          <w:spacing w:val="-23"/>
          <w:w w:val="110"/>
        </w:rPr>
        <w:t> </w:t>
      </w:r>
      <w:r>
        <w:rPr>
          <w:w w:val="110"/>
        </w:rPr>
        <w:t>the</w:t>
      </w:r>
      <w:r>
        <w:rPr>
          <w:spacing w:val="-24"/>
          <w:w w:val="110"/>
        </w:rPr>
        <w:t> </w:t>
      </w:r>
      <w:r>
        <w:rPr>
          <w:w w:val="110"/>
        </w:rPr>
        <w:t>preliminary</w:t>
      </w:r>
      <w:r>
        <w:rPr>
          <w:spacing w:val="-24"/>
          <w:w w:val="110"/>
        </w:rPr>
        <w:t> </w:t>
      </w:r>
      <w:r>
        <w:rPr>
          <w:w w:val="110"/>
        </w:rPr>
        <w:t>GDP estimate for </w:t>
      </w:r>
      <w:r>
        <w:rPr>
          <w:spacing w:val="-4"/>
          <w:w w:val="110"/>
        </w:rPr>
        <w:t>2000 </w:t>
      </w:r>
      <w:r>
        <w:rPr>
          <w:w w:val="110"/>
        </w:rPr>
        <w:t>Q4. Service sector growth has slowed somewhat,</w:t>
      </w:r>
      <w:r>
        <w:rPr>
          <w:spacing w:val="-27"/>
          <w:w w:val="110"/>
        </w:rPr>
        <w:t> </w:t>
      </w:r>
      <w:r>
        <w:rPr>
          <w:w w:val="110"/>
        </w:rPr>
        <w:t>but</w:t>
      </w:r>
      <w:r>
        <w:rPr>
          <w:spacing w:val="-27"/>
          <w:w w:val="110"/>
        </w:rPr>
        <w:t> </w:t>
      </w:r>
      <w:r>
        <w:rPr>
          <w:spacing w:val="-3"/>
          <w:w w:val="110"/>
        </w:rPr>
        <w:t>surveys</w:t>
      </w:r>
      <w:r>
        <w:rPr>
          <w:spacing w:val="-27"/>
          <w:w w:val="110"/>
        </w:rPr>
        <w:t> </w:t>
      </w:r>
      <w:r>
        <w:rPr>
          <w:w w:val="110"/>
        </w:rPr>
        <w:t>remain</w:t>
      </w:r>
      <w:r>
        <w:rPr>
          <w:spacing w:val="-27"/>
          <w:w w:val="110"/>
        </w:rPr>
        <w:t> </w:t>
      </w:r>
      <w:r>
        <w:rPr>
          <w:w w:val="110"/>
        </w:rPr>
        <w:t>relatively</w:t>
      </w:r>
      <w:r>
        <w:rPr>
          <w:spacing w:val="-27"/>
          <w:w w:val="110"/>
        </w:rPr>
        <w:t> </w:t>
      </w:r>
      <w:r>
        <w:rPr>
          <w:w w:val="110"/>
        </w:rPr>
        <w:t>strong,</w:t>
      </w:r>
      <w:r>
        <w:rPr>
          <w:spacing w:val="-27"/>
          <w:w w:val="110"/>
        </w:rPr>
        <w:t> </w:t>
      </w:r>
      <w:r>
        <w:rPr>
          <w:w w:val="110"/>
        </w:rPr>
        <w:t>with</w:t>
      </w:r>
      <w:r>
        <w:rPr>
          <w:spacing w:val="-26"/>
          <w:w w:val="110"/>
        </w:rPr>
        <w:t> </w:t>
      </w:r>
      <w:r>
        <w:rPr>
          <w:w w:val="110"/>
        </w:rPr>
        <w:t>signs</w:t>
      </w:r>
      <w:r>
        <w:rPr>
          <w:spacing w:val="-27"/>
          <w:w w:val="110"/>
        </w:rPr>
        <w:t> </w:t>
      </w:r>
      <w:r>
        <w:rPr>
          <w:w w:val="110"/>
        </w:rPr>
        <w:t>of weakening</w:t>
      </w:r>
      <w:r>
        <w:rPr>
          <w:spacing w:val="-20"/>
          <w:w w:val="110"/>
        </w:rPr>
        <w:t> </w:t>
      </w:r>
      <w:r>
        <w:rPr>
          <w:w w:val="110"/>
        </w:rPr>
        <w:t>in</w:t>
      </w:r>
      <w:r>
        <w:rPr>
          <w:spacing w:val="-19"/>
          <w:w w:val="110"/>
        </w:rPr>
        <w:t> </w:t>
      </w:r>
      <w:r>
        <w:rPr>
          <w:w w:val="110"/>
        </w:rPr>
        <w:t>some</w:t>
      </w:r>
      <w:r>
        <w:rPr>
          <w:spacing w:val="-19"/>
          <w:w w:val="110"/>
        </w:rPr>
        <w:t> </w:t>
      </w:r>
      <w:r>
        <w:rPr>
          <w:spacing w:val="-3"/>
          <w:w w:val="110"/>
        </w:rPr>
        <w:t>surveys</w:t>
      </w:r>
      <w:r>
        <w:rPr>
          <w:spacing w:val="-19"/>
          <w:w w:val="110"/>
        </w:rPr>
        <w:t> </w:t>
      </w:r>
      <w:r>
        <w:rPr>
          <w:w w:val="110"/>
        </w:rPr>
        <w:t>balanced</w:t>
      </w:r>
      <w:r>
        <w:rPr>
          <w:spacing w:val="-19"/>
          <w:w w:val="110"/>
        </w:rPr>
        <w:t> </w:t>
      </w:r>
      <w:r>
        <w:rPr>
          <w:spacing w:val="-3"/>
          <w:w w:val="110"/>
        </w:rPr>
        <w:t>by</w:t>
      </w:r>
      <w:r>
        <w:rPr>
          <w:spacing w:val="-20"/>
          <w:w w:val="110"/>
        </w:rPr>
        <w:t> </w:t>
      </w:r>
      <w:r>
        <w:rPr>
          <w:w w:val="110"/>
        </w:rPr>
        <w:t>a</w:t>
      </w:r>
      <w:r>
        <w:rPr>
          <w:spacing w:val="-19"/>
          <w:w w:val="110"/>
        </w:rPr>
        <w:t> </w:t>
      </w:r>
      <w:r>
        <w:rPr>
          <w:w w:val="110"/>
        </w:rPr>
        <w:t>more</w:t>
      </w:r>
      <w:r>
        <w:rPr>
          <w:spacing w:val="-19"/>
          <w:w w:val="110"/>
        </w:rPr>
        <w:t> </w:t>
      </w:r>
      <w:r>
        <w:rPr>
          <w:w w:val="110"/>
        </w:rPr>
        <w:t>robust</w:t>
      </w:r>
      <w:r>
        <w:rPr>
          <w:spacing w:val="-19"/>
          <w:w w:val="110"/>
        </w:rPr>
        <w:t> </w:t>
      </w:r>
      <w:r>
        <w:rPr>
          <w:spacing w:val="-3"/>
          <w:w w:val="110"/>
        </w:rPr>
        <w:t>pattern </w:t>
      </w:r>
      <w:r>
        <w:rPr>
          <w:w w:val="110"/>
        </w:rPr>
        <w:t>for</w:t>
      </w:r>
      <w:r>
        <w:rPr>
          <w:spacing w:val="-14"/>
          <w:w w:val="110"/>
        </w:rPr>
        <w:t> </w:t>
      </w:r>
      <w:r>
        <w:rPr>
          <w:w w:val="110"/>
        </w:rPr>
        <w:t>sales</w:t>
      </w:r>
      <w:r>
        <w:rPr>
          <w:spacing w:val="-14"/>
          <w:w w:val="110"/>
        </w:rPr>
        <w:t> </w:t>
      </w:r>
      <w:r>
        <w:rPr>
          <w:w w:val="110"/>
        </w:rPr>
        <w:t>and</w:t>
      </w:r>
      <w:r>
        <w:rPr>
          <w:spacing w:val="-14"/>
          <w:w w:val="110"/>
        </w:rPr>
        <w:t> </w:t>
      </w:r>
      <w:r>
        <w:rPr>
          <w:spacing w:val="-3"/>
          <w:w w:val="110"/>
        </w:rPr>
        <w:t>orders</w:t>
      </w:r>
      <w:r>
        <w:rPr>
          <w:spacing w:val="-14"/>
          <w:w w:val="110"/>
        </w:rPr>
        <w:t> </w:t>
      </w:r>
      <w:r>
        <w:rPr>
          <w:w w:val="110"/>
        </w:rPr>
        <w:t>in</w:t>
      </w:r>
      <w:r>
        <w:rPr>
          <w:spacing w:val="-14"/>
          <w:w w:val="110"/>
        </w:rPr>
        <w:t> </w:t>
      </w:r>
      <w:r>
        <w:rPr>
          <w:w w:val="110"/>
        </w:rPr>
        <w:t>others.</w:t>
      </w:r>
      <w:r>
        <w:rPr>
          <w:spacing w:val="28"/>
          <w:w w:val="110"/>
        </w:rPr>
        <w:t> </w:t>
      </w:r>
      <w:r>
        <w:rPr>
          <w:w w:val="110"/>
        </w:rPr>
        <w:t>Manufacturing</w:t>
      </w:r>
      <w:r>
        <w:rPr>
          <w:spacing w:val="-14"/>
          <w:w w:val="110"/>
        </w:rPr>
        <w:t> </w:t>
      </w:r>
      <w:r>
        <w:rPr>
          <w:w w:val="110"/>
        </w:rPr>
        <w:t>output</w:t>
      </w:r>
      <w:r>
        <w:rPr>
          <w:spacing w:val="-14"/>
          <w:w w:val="110"/>
        </w:rPr>
        <w:t> </w:t>
      </w:r>
      <w:r>
        <w:rPr>
          <w:w w:val="110"/>
        </w:rPr>
        <w:t>is</w:t>
      </w:r>
      <w:r>
        <w:rPr>
          <w:spacing w:val="-14"/>
          <w:w w:val="110"/>
        </w:rPr>
        <w:t> </w:t>
      </w:r>
      <w:r>
        <w:rPr>
          <w:w w:val="110"/>
        </w:rPr>
        <w:t>rising only</w:t>
      </w:r>
      <w:r>
        <w:rPr>
          <w:spacing w:val="-14"/>
          <w:w w:val="110"/>
        </w:rPr>
        <w:t> </w:t>
      </w:r>
      <w:r>
        <w:rPr>
          <w:spacing w:val="-5"/>
          <w:w w:val="110"/>
        </w:rPr>
        <w:t>slowly,</w:t>
      </w:r>
      <w:r>
        <w:rPr>
          <w:spacing w:val="-13"/>
          <w:w w:val="110"/>
        </w:rPr>
        <w:t> </w:t>
      </w:r>
      <w:r>
        <w:rPr>
          <w:w w:val="110"/>
        </w:rPr>
        <w:t>with</w:t>
      </w:r>
      <w:r>
        <w:rPr>
          <w:spacing w:val="-13"/>
          <w:w w:val="110"/>
        </w:rPr>
        <w:t> </w:t>
      </w:r>
      <w:r>
        <w:rPr>
          <w:w w:val="110"/>
        </w:rPr>
        <w:t>growth</w:t>
      </w:r>
      <w:r>
        <w:rPr>
          <w:spacing w:val="-13"/>
          <w:w w:val="110"/>
        </w:rPr>
        <w:t> </w:t>
      </w:r>
      <w:r>
        <w:rPr>
          <w:w w:val="110"/>
        </w:rPr>
        <w:t>concentrated</w:t>
      </w:r>
      <w:r>
        <w:rPr>
          <w:spacing w:val="-13"/>
          <w:w w:val="110"/>
        </w:rPr>
        <w:t> </w:t>
      </w:r>
      <w:r>
        <w:rPr>
          <w:w w:val="110"/>
        </w:rPr>
        <w:t>particularly</w:t>
      </w:r>
      <w:r>
        <w:rPr>
          <w:spacing w:val="-13"/>
          <w:w w:val="110"/>
        </w:rPr>
        <w:t> </w:t>
      </w:r>
      <w:r>
        <w:rPr>
          <w:w w:val="110"/>
        </w:rPr>
        <w:t>in</w:t>
      </w:r>
    </w:p>
    <w:p>
      <w:pPr>
        <w:pStyle w:val="BodyText"/>
        <w:spacing w:line="292" w:lineRule="auto"/>
        <w:ind w:left="5111" w:right="226"/>
      </w:pPr>
      <w:r>
        <w:rPr>
          <w:w w:val="110"/>
        </w:rPr>
        <w:t>high-technology</w:t>
      </w:r>
      <w:r>
        <w:rPr>
          <w:spacing w:val="-22"/>
          <w:w w:val="110"/>
        </w:rPr>
        <w:t> </w:t>
      </w:r>
      <w:r>
        <w:rPr>
          <w:spacing w:val="-3"/>
          <w:w w:val="110"/>
        </w:rPr>
        <w:t>sectors.</w:t>
      </w:r>
      <w:r>
        <w:rPr>
          <w:spacing w:val="13"/>
          <w:w w:val="110"/>
        </w:rPr>
        <w:t> </w:t>
      </w:r>
      <w:r>
        <w:rPr>
          <w:w w:val="110"/>
        </w:rPr>
        <w:t>Recent</w:t>
      </w:r>
      <w:r>
        <w:rPr>
          <w:spacing w:val="-22"/>
          <w:w w:val="110"/>
        </w:rPr>
        <w:t> </w:t>
      </w:r>
      <w:r>
        <w:rPr>
          <w:spacing w:val="-3"/>
          <w:w w:val="110"/>
        </w:rPr>
        <w:t>surveys</w:t>
      </w:r>
      <w:r>
        <w:rPr>
          <w:spacing w:val="-22"/>
          <w:w w:val="110"/>
        </w:rPr>
        <w:t> </w:t>
      </w:r>
      <w:r>
        <w:rPr>
          <w:w w:val="110"/>
        </w:rPr>
        <w:t>are</w:t>
      </w:r>
      <w:r>
        <w:rPr>
          <w:spacing w:val="-21"/>
          <w:w w:val="110"/>
        </w:rPr>
        <w:t> </w:t>
      </w:r>
      <w:r>
        <w:rPr>
          <w:w w:val="110"/>
        </w:rPr>
        <w:t>consistent</w:t>
      </w:r>
      <w:r>
        <w:rPr>
          <w:spacing w:val="-22"/>
          <w:w w:val="110"/>
        </w:rPr>
        <w:t> </w:t>
      </w:r>
      <w:r>
        <w:rPr>
          <w:w w:val="110"/>
        </w:rPr>
        <w:t>with</w:t>
      </w:r>
      <w:r>
        <w:rPr>
          <w:spacing w:val="-21"/>
          <w:w w:val="110"/>
        </w:rPr>
        <w:t> </w:t>
      </w:r>
      <w:r>
        <w:rPr>
          <w:w w:val="110"/>
        </w:rPr>
        <w:t>a continuation of that trend. Construction activity has been affected </w:t>
      </w:r>
      <w:r>
        <w:rPr>
          <w:spacing w:val="-3"/>
          <w:w w:val="110"/>
        </w:rPr>
        <w:t>by </w:t>
      </w:r>
      <w:r>
        <w:rPr>
          <w:w w:val="110"/>
        </w:rPr>
        <w:t>the </w:t>
      </w:r>
      <w:r>
        <w:rPr>
          <w:spacing w:val="-3"/>
          <w:w w:val="110"/>
        </w:rPr>
        <w:t>adverse weather, </w:t>
      </w:r>
      <w:r>
        <w:rPr>
          <w:w w:val="110"/>
        </w:rPr>
        <w:t>but sentiment remains positive—underpinned </w:t>
      </w:r>
      <w:r>
        <w:rPr>
          <w:spacing w:val="-3"/>
          <w:w w:val="110"/>
        </w:rPr>
        <w:t>by </w:t>
      </w:r>
      <w:r>
        <w:rPr>
          <w:w w:val="110"/>
        </w:rPr>
        <w:t>the prospective increase in infrastructure investment. Although it is quite possible that </w:t>
      </w:r>
      <w:r>
        <w:rPr>
          <w:spacing w:val="-3"/>
          <w:w w:val="110"/>
        </w:rPr>
        <w:t>survey </w:t>
      </w:r>
      <w:r>
        <w:rPr>
          <w:w w:val="110"/>
        </w:rPr>
        <w:t>responses </w:t>
      </w:r>
      <w:r>
        <w:rPr>
          <w:spacing w:val="-3"/>
          <w:w w:val="110"/>
        </w:rPr>
        <w:t>have </w:t>
      </w:r>
      <w:r>
        <w:rPr>
          <w:w w:val="110"/>
        </w:rPr>
        <w:t>not yet adjusted fully </w:t>
      </w:r>
      <w:r>
        <w:rPr>
          <w:spacing w:val="-4"/>
          <w:w w:val="110"/>
        </w:rPr>
        <w:t>to </w:t>
      </w:r>
      <w:r>
        <w:rPr>
          <w:w w:val="110"/>
        </w:rPr>
        <w:t>the </w:t>
      </w:r>
      <w:r>
        <w:rPr>
          <w:spacing w:val="-3"/>
          <w:w w:val="110"/>
        </w:rPr>
        <w:t>weaker </w:t>
      </w:r>
      <w:r>
        <w:rPr>
          <w:spacing w:val="-4"/>
          <w:w w:val="110"/>
        </w:rPr>
        <w:t>near-term </w:t>
      </w:r>
      <w:r>
        <w:rPr>
          <w:w w:val="110"/>
        </w:rPr>
        <w:t>outlook for global growth, </w:t>
      </w:r>
      <w:r>
        <w:rPr>
          <w:spacing w:val="-4"/>
          <w:w w:val="110"/>
        </w:rPr>
        <w:t>to </w:t>
      </w:r>
      <w:r>
        <w:rPr>
          <w:w w:val="110"/>
        </w:rPr>
        <w:t>date they do not indicate</w:t>
      </w:r>
      <w:r>
        <w:rPr>
          <w:spacing w:val="-15"/>
          <w:w w:val="110"/>
        </w:rPr>
        <w:t> </w:t>
      </w:r>
      <w:r>
        <w:rPr>
          <w:spacing w:val="-3"/>
          <w:w w:val="110"/>
        </w:rPr>
        <w:t>any</w:t>
      </w:r>
      <w:r>
        <w:rPr>
          <w:spacing w:val="-15"/>
          <w:w w:val="110"/>
        </w:rPr>
        <w:t> </w:t>
      </w:r>
      <w:r>
        <w:rPr>
          <w:spacing w:val="-2"/>
          <w:w w:val="110"/>
        </w:rPr>
        <w:t>marked</w:t>
      </w:r>
      <w:r>
        <w:rPr>
          <w:spacing w:val="-15"/>
          <w:w w:val="110"/>
        </w:rPr>
        <w:t> </w:t>
      </w:r>
      <w:r>
        <w:rPr>
          <w:w w:val="110"/>
        </w:rPr>
        <w:t>change</w:t>
      </w:r>
      <w:r>
        <w:rPr>
          <w:spacing w:val="-14"/>
          <w:w w:val="110"/>
        </w:rPr>
        <w:t> </w:t>
      </w:r>
      <w:r>
        <w:rPr>
          <w:w w:val="110"/>
        </w:rPr>
        <w:t>in</w:t>
      </w:r>
      <w:r>
        <w:rPr>
          <w:spacing w:val="-15"/>
          <w:w w:val="110"/>
        </w:rPr>
        <w:t> </w:t>
      </w:r>
      <w:r>
        <w:rPr>
          <w:w w:val="110"/>
        </w:rPr>
        <w:t>UK</w:t>
      </w:r>
      <w:r>
        <w:rPr>
          <w:spacing w:val="-15"/>
          <w:w w:val="110"/>
        </w:rPr>
        <w:t> </w:t>
      </w:r>
      <w:r>
        <w:rPr>
          <w:w w:val="110"/>
        </w:rPr>
        <w:t>output</w:t>
      </w:r>
      <w:r>
        <w:rPr>
          <w:spacing w:val="-14"/>
          <w:w w:val="110"/>
        </w:rPr>
        <w:t> </w:t>
      </w:r>
      <w:r>
        <w:rPr>
          <w:w w:val="110"/>
        </w:rPr>
        <w:t>prospects</w:t>
      </w:r>
      <w:r>
        <w:rPr>
          <w:spacing w:val="-15"/>
          <w:w w:val="110"/>
        </w:rPr>
        <w:t> </w:t>
      </w:r>
      <w:r>
        <w:rPr>
          <w:w w:val="110"/>
        </w:rPr>
        <w:t>since</w:t>
      </w:r>
      <w:r>
        <w:rPr>
          <w:spacing w:val="-15"/>
          <w:w w:val="110"/>
        </w:rPr>
        <w:t> </w:t>
      </w:r>
      <w:r>
        <w:rPr>
          <w:w w:val="110"/>
        </w:rPr>
        <w:t>the November</w:t>
      </w:r>
      <w:r>
        <w:rPr>
          <w:spacing w:val="-6"/>
          <w:w w:val="110"/>
        </w:rPr>
        <w:t> </w:t>
      </w:r>
      <w:r>
        <w:rPr>
          <w:i/>
          <w:w w:val="110"/>
        </w:rPr>
        <w:t>Report</w:t>
      </w:r>
      <w:r>
        <w:rPr>
          <w:w w:val="110"/>
        </w:rPr>
        <w:t>.</w:t>
      </w:r>
    </w:p>
    <w:p>
      <w:pPr>
        <w:pStyle w:val="BodyText"/>
        <w:spacing w:before="8"/>
        <w:rPr>
          <w:sz w:val="21"/>
        </w:rPr>
      </w:pPr>
    </w:p>
    <w:p>
      <w:pPr>
        <w:pStyle w:val="BodyText"/>
        <w:spacing w:line="292" w:lineRule="auto"/>
        <w:ind w:left="5111"/>
      </w:pPr>
      <w:r>
        <w:rPr>
          <w:w w:val="110"/>
        </w:rPr>
        <w:t>Nominal</w:t>
      </w:r>
      <w:r>
        <w:rPr>
          <w:spacing w:val="-17"/>
          <w:w w:val="110"/>
        </w:rPr>
        <w:t> </w:t>
      </w:r>
      <w:r>
        <w:rPr>
          <w:w w:val="110"/>
        </w:rPr>
        <w:t>GDP</w:t>
      </w:r>
      <w:r>
        <w:rPr>
          <w:spacing w:val="-17"/>
          <w:w w:val="110"/>
        </w:rPr>
        <w:t> </w:t>
      </w:r>
      <w:r>
        <w:rPr>
          <w:w w:val="110"/>
        </w:rPr>
        <w:t>at</w:t>
      </w:r>
      <w:r>
        <w:rPr>
          <w:spacing w:val="-17"/>
          <w:w w:val="110"/>
        </w:rPr>
        <w:t> </w:t>
      </w:r>
      <w:r>
        <w:rPr>
          <w:spacing w:val="-2"/>
          <w:w w:val="110"/>
        </w:rPr>
        <w:t>market</w:t>
      </w:r>
      <w:r>
        <w:rPr>
          <w:spacing w:val="-17"/>
          <w:w w:val="110"/>
        </w:rPr>
        <w:t> </w:t>
      </w:r>
      <w:r>
        <w:rPr>
          <w:w w:val="110"/>
        </w:rPr>
        <w:t>prices</w:t>
      </w:r>
      <w:r>
        <w:rPr>
          <w:spacing w:val="-17"/>
          <w:w w:val="110"/>
        </w:rPr>
        <w:t> </w:t>
      </w:r>
      <w:r>
        <w:rPr>
          <w:w w:val="110"/>
        </w:rPr>
        <w:t>increased</w:t>
      </w:r>
      <w:r>
        <w:rPr>
          <w:spacing w:val="-17"/>
          <w:w w:val="110"/>
        </w:rPr>
        <w:t> </w:t>
      </w:r>
      <w:r>
        <w:rPr>
          <w:spacing w:val="-3"/>
          <w:w w:val="110"/>
        </w:rPr>
        <w:t>by</w:t>
      </w:r>
      <w:r>
        <w:rPr>
          <w:spacing w:val="-17"/>
          <w:w w:val="110"/>
        </w:rPr>
        <w:t> </w:t>
      </w:r>
      <w:r>
        <w:rPr>
          <w:w w:val="110"/>
        </w:rPr>
        <w:t>1.4%</w:t>
      </w:r>
      <w:r>
        <w:rPr>
          <w:spacing w:val="-17"/>
          <w:w w:val="110"/>
        </w:rPr>
        <w:t> </w:t>
      </w:r>
      <w:r>
        <w:rPr>
          <w:w w:val="110"/>
        </w:rPr>
        <w:t>in</w:t>
      </w:r>
      <w:r>
        <w:rPr>
          <w:spacing w:val="-17"/>
          <w:w w:val="110"/>
        </w:rPr>
        <w:t> </w:t>
      </w:r>
      <w:r>
        <w:rPr>
          <w:w w:val="110"/>
        </w:rPr>
        <w:t>the</w:t>
      </w:r>
      <w:r>
        <w:rPr>
          <w:spacing w:val="-17"/>
          <w:w w:val="110"/>
        </w:rPr>
        <w:t> </w:t>
      </w:r>
      <w:r>
        <w:rPr>
          <w:w w:val="110"/>
        </w:rPr>
        <w:t>third </w:t>
      </w:r>
      <w:r>
        <w:rPr>
          <w:spacing w:val="-3"/>
          <w:w w:val="110"/>
        </w:rPr>
        <w:t>quarter,</w:t>
      </w:r>
      <w:r>
        <w:rPr>
          <w:spacing w:val="-8"/>
          <w:w w:val="110"/>
        </w:rPr>
        <w:t> </w:t>
      </w:r>
      <w:r>
        <w:rPr>
          <w:w w:val="110"/>
        </w:rPr>
        <w:t>a</w:t>
      </w:r>
      <w:r>
        <w:rPr>
          <w:spacing w:val="-7"/>
          <w:w w:val="110"/>
        </w:rPr>
        <w:t> </w:t>
      </w:r>
      <w:r>
        <w:rPr>
          <w:spacing w:val="-3"/>
          <w:w w:val="110"/>
        </w:rPr>
        <w:t>faster</w:t>
      </w:r>
      <w:r>
        <w:rPr>
          <w:spacing w:val="-8"/>
          <w:w w:val="110"/>
        </w:rPr>
        <w:t> </w:t>
      </w:r>
      <w:r>
        <w:rPr>
          <w:w w:val="110"/>
        </w:rPr>
        <w:t>pace</w:t>
      </w:r>
      <w:r>
        <w:rPr>
          <w:spacing w:val="-7"/>
          <w:w w:val="110"/>
        </w:rPr>
        <w:t> </w:t>
      </w:r>
      <w:r>
        <w:rPr>
          <w:w w:val="110"/>
        </w:rPr>
        <w:t>than</w:t>
      </w:r>
      <w:r>
        <w:rPr>
          <w:spacing w:val="-8"/>
          <w:w w:val="110"/>
        </w:rPr>
        <w:t> </w:t>
      </w:r>
      <w:r>
        <w:rPr>
          <w:w w:val="110"/>
        </w:rPr>
        <w:t>in</w:t>
      </w:r>
      <w:r>
        <w:rPr>
          <w:spacing w:val="-7"/>
          <w:w w:val="110"/>
        </w:rPr>
        <w:t> </w:t>
      </w:r>
      <w:r>
        <w:rPr>
          <w:w w:val="110"/>
        </w:rPr>
        <w:t>the</w:t>
      </w:r>
      <w:r>
        <w:rPr>
          <w:spacing w:val="-8"/>
          <w:w w:val="110"/>
        </w:rPr>
        <w:t> </w:t>
      </w:r>
      <w:r>
        <w:rPr>
          <w:w w:val="110"/>
        </w:rPr>
        <w:t>previous</w:t>
      </w:r>
      <w:r>
        <w:rPr>
          <w:spacing w:val="-7"/>
          <w:w w:val="110"/>
        </w:rPr>
        <w:t> </w:t>
      </w:r>
      <w:r>
        <w:rPr>
          <w:spacing w:val="-5"/>
          <w:w w:val="110"/>
        </w:rPr>
        <w:t>two</w:t>
      </w:r>
      <w:r>
        <w:rPr>
          <w:spacing w:val="-8"/>
          <w:w w:val="110"/>
        </w:rPr>
        <w:t> </w:t>
      </w:r>
      <w:r>
        <w:rPr>
          <w:w w:val="110"/>
        </w:rPr>
        <w:t>quarters,</w:t>
      </w:r>
    </w:p>
    <w:p>
      <w:pPr>
        <w:spacing w:after="0" w:line="292" w:lineRule="auto"/>
        <w:sectPr>
          <w:pgSz w:w="11900" w:h="16840"/>
          <w:pgMar w:header="601" w:footer="575" w:top="800" w:bottom="760" w:left="640" w:right="640"/>
        </w:sectPr>
      </w:pPr>
    </w:p>
    <w:p>
      <w:pPr>
        <w:pStyle w:val="BodyText"/>
      </w:pPr>
    </w:p>
    <w:p>
      <w:pPr>
        <w:pStyle w:val="BodyText"/>
        <w:spacing w:before="6"/>
      </w:pPr>
    </w:p>
    <w:p>
      <w:pPr>
        <w:pStyle w:val="BodyText"/>
        <w:spacing w:line="292" w:lineRule="auto" w:before="1"/>
        <w:ind w:left="5095" w:right="173"/>
      </w:pPr>
      <w:bookmarkStart w:name="_bookmark48" w:id="96"/>
      <w:bookmarkEnd w:id="96"/>
      <w:r>
        <w:rPr/>
      </w:r>
      <w:r>
        <w:rPr>
          <w:w w:val="110"/>
        </w:rPr>
        <w:t>although</w:t>
      </w:r>
      <w:r>
        <w:rPr>
          <w:spacing w:val="-13"/>
          <w:w w:val="110"/>
        </w:rPr>
        <w:t> </w:t>
      </w:r>
      <w:r>
        <w:rPr>
          <w:w w:val="110"/>
        </w:rPr>
        <w:t>the</w:t>
      </w:r>
      <w:r>
        <w:rPr>
          <w:spacing w:val="-13"/>
          <w:w w:val="110"/>
        </w:rPr>
        <w:t> </w:t>
      </w:r>
      <w:r>
        <w:rPr>
          <w:w w:val="110"/>
        </w:rPr>
        <w:t>annual</w:t>
      </w:r>
      <w:r>
        <w:rPr>
          <w:spacing w:val="-13"/>
          <w:w w:val="110"/>
        </w:rPr>
        <w:t> </w:t>
      </w:r>
      <w:r>
        <w:rPr>
          <w:w w:val="110"/>
        </w:rPr>
        <w:t>growth</w:t>
      </w:r>
      <w:r>
        <w:rPr>
          <w:spacing w:val="-13"/>
          <w:w w:val="110"/>
        </w:rPr>
        <w:t> </w:t>
      </w:r>
      <w:r>
        <w:rPr>
          <w:spacing w:val="-4"/>
          <w:w w:val="110"/>
        </w:rPr>
        <w:t>rate</w:t>
      </w:r>
      <w:r>
        <w:rPr>
          <w:spacing w:val="-13"/>
          <w:w w:val="110"/>
        </w:rPr>
        <w:t> </w:t>
      </w:r>
      <w:r>
        <w:rPr>
          <w:w w:val="110"/>
        </w:rPr>
        <w:t>has</w:t>
      </w:r>
      <w:r>
        <w:rPr>
          <w:spacing w:val="-13"/>
          <w:w w:val="110"/>
        </w:rPr>
        <w:t> </w:t>
      </w:r>
      <w:r>
        <w:rPr>
          <w:spacing w:val="-2"/>
          <w:w w:val="110"/>
        </w:rPr>
        <w:t>slowed</w:t>
      </w:r>
      <w:r>
        <w:rPr>
          <w:spacing w:val="-13"/>
          <w:w w:val="110"/>
        </w:rPr>
        <w:t> </w:t>
      </w:r>
      <w:r>
        <w:rPr>
          <w:spacing w:val="-3"/>
          <w:w w:val="110"/>
        </w:rPr>
        <w:t>over</w:t>
      </w:r>
      <w:r>
        <w:rPr>
          <w:spacing w:val="-13"/>
          <w:w w:val="110"/>
        </w:rPr>
        <w:t> </w:t>
      </w:r>
      <w:r>
        <w:rPr>
          <w:w w:val="110"/>
        </w:rPr>
        <w:t>this</w:t>
      </w:r>
      <w:r>
        <w:rPr>
          <w:spacing w:val="-13"/>
          <w:w w:val="110"/>
        </w:rPr>
        <w:t> </w:t>
      </w:r>
      <w:r>
        <w:rPr>
          <w:w w:val="110"/>
        </w:rPr>
        <w:t>period</w:t>
      </w:r>
      <w:r>
        <w:rPr>
          <w:spacing w:val="-13"/>
          <w:w w:val="110"/>
        </w:rPr>
        <w:t> </w:t>
      </w:r>
      <w:r>
        <w:rPr>
          <w:spacing w:val="-4"/>
          <w:w w:val="110"/>
        </w:rPr>
        <w:t>to </w:t>
      </w:r>
      <w:r>
        <w:rPr>
          <w:w w:val="110"/>
        </w:rPr>
        <w:t>4.6%. Monetary indicators are consistent with a relatively robust</w:t>
      </w:r>
      <w:r>
        <w:rPr>
          <w:spacing w:val="-24"/>
          <w:w w:val="110"/>
        </w:rPr>
        <w:t> </w:t>
      </w:r>
      <w:r>
        <w:rPr>
          <w:w w:val="110"/>
        </w:rPr>
        <w:t>outlook</w:t>
      </w:r>
      <w:r>
        <w:rPr>
          <w:spacing w:val="-23"/>
          <w:w w:val="110"/>
        </w:rPr>
        <w:t> </w:t>
      </w:r>
      <w:r>
        <w:rPr>
          <w:w w:val="110"/>
        </w:rPr>
        <w:t>for</w:t>
      </w:r>
      <w:r>
        <w:rPr>
          <w:spacing w:val="-23"/>
          <w:w w:val="110"/>
        </w:rPr>
        <w:t> </w:t>
      </w:r>
      <w:r>
        <w:rPr>
          <w:w w:val="110"/>
        </w:rPr>
        <w:t>nominal</w:t>
      </w:r>
      <w:r>
        <w:rPr>
          <w:spacing w:val="-23"/>
          <w:w w:val="110"/>
        </w:rPr>
        <w:t> </w:t>
      </w:r>
      <w:r>
        <w:rPr>
          <w:w w:val="110"/>
        </w:rPr>
        <w:t>demand.</w:t>
      </w:r>
      <w:r>
        <w:rPr>
          <w:spacing w:val="10"/>
          <w:w w:val="110"/>
        </w:rPr>
        <w:t> </w:t>
      </w:r>
      <w:r>
        <w:rPr>
          <w:w w:val="110"/>
        </w:rPr>
        <w:t>Broad</w:t>
      </w:r>
      <w:r>
        <w:rPr>
          <w:spacing w:val="-23"/>
          <w:w w:val="110"/>
        </w:rPr>
        <w:t> </w:t>
      </w:r>
      <w:r>
        <w:rPr>
          <w:w w:val="110"/>
        </w:rPr>
        <w:t>money</w:t>
      </w:r>
      <w:r>
        <w:rPr>
          <w:spacing w:val="-23"/>
          <w:w w:val="110"/>
        </w:rPr>
        <w:t> </w:t>
      </w:r>
      <w:r>
        <w:rPr>
          <w:w w:val="110"/>
        </w:rPr>
        <w:t>growth</w:t>
      </w:r>
      <w:r>
        <w:rPr>
          <w:spacing w:val="-23"/>
          <w:w w:val="110"/>
        </w:rPr>
        <w:t> </w:t>
      </w:r>
      <w:r>
        <w:rPr>
          <w:w w:val="110"/>
        </w:rPr>
        <w:t>has eased a little from the peak </w:t>
      </w:r>
      <w:r>
        <w:rPr>
          <w:spacing w:val="-4"/>
          <w:w w:val="110"/>
        </w:rPr>
        <w:t>rates </w:t>
      </w:r>
      <w:r>
        <w:rPr>
          <w:w w:val="110"/>
        </w:rPr>
        <w:t>in the summer but remains around 8% on an annual basis. Aggregate credit growth has also slackened from a </w:t>
      </w:r>
      <w:r>
        <w:rPr>
          <w:spacing w:val="-4"/>
          <w:w w:val="110"/>
        </w:rPr>
        <w:t>ten-year </w:t>
      </w:r>
      <w:r>
        <w:rPr>
          <w:w w:val="110"/>
        </w:rPr>
        <w:t>high, but growth </w:t>
      </w:r>
      <w:r>
        <w:rPr>
          <w:spacing w:val="-3"/>
          <w:w w:val="110"/>
        </w:rPr>
        <w:t>over </w:t>
      </w:r>
      <w:r>
        <w:rPr>
          <w:w w:val="110"/>
        </w:rPr>
        <w:t>the past year</w:t>
      </w:r>
      <w:r>
        <w:rPr>
          <w:spacing w:val="-17"/>
          <w:w w:val="110"/>
        </w:rPr>
        <w:t> </w:t>
      </w:r>
      <w:r>
        <w:rPr>
          <w:w w:val="110"/>
        </w:rPr>
        <w:t>remains</w:t>
      </w:r>
      <w:r>
        <w:rPr>
          <w:spacing w:val="-17"/>
          <w:w w:val="110"/>
        </w:rPr>
        <w:t> </w:t>
      </w:r>
      <w:r>
        <w:rPr>
          <w:spacing w:val="-3"/>
          <w:w w:val="110"/>
        </w:rPr>
        <w:t>above</w:t>
      </w:r>
      <w:r>
        <w:rPr>
          <w:spacing w:val="-17"/>
          <w:w w:val="110"/>
        </w:rPr>
        <w:t> </w:t>
      </w:r>
      <w:r>
        <w:rPr>
          <w:spacing w:val="-7"/>
          <w:w w:val="110"/>
        </w:rPr>
        <w:t>12%.</w:t>
      </w:r>
      <w:r>
        <w:rPr>
          <w:spacing w:val="22"/>
          <w:w w:val="110"/>
        </w:rPr>
        <w:t> </w:t>
      </w:r>
      <w:r>
        <w:rPr>
          <w:w w:val="110"/>
        </w:rPr>
        <w:t>Buoyant</w:t>
      </w:r>
      <w:r>
        <w:rPr>
          <w:spacing w:val="-17"/>
          <w:w w:val="110"/>
        </w:rPr>
        <w:t> </w:t>
      </w:r>
      <w:r>
        <w:rPr>
          <w:w w:val="110"/>
        </w:rPr>
        <w:t>household</w:t>
      </w:r>
      <w:r>
        <w:rPr>
          <w:spacing w:val="-17"/>
          <w:w w:val="110"/>
        </w:rPr>
        <w:t> </w:t>
      </w:r>
      <w:r>
        <w:rPr>
          <w:w w:val="110"/>
        </w:rPr>
        <w:t>credit</w:t>
      </w:r>
      <w:r>
        <w:rPr>
          <w:spacing w:val="-16"/>
          <w:w w:val="110"/>
        </w:rPr>
        <w:t> </w:t>
      </w:r>
      <w:r>
        <w:rPr>
          <w:w w:val="110"/>
        </w:rPr>
        <w:t>and</w:t>
      </w:r>
      <w:r>
        <w:rPr>
          <w:spacing w:val="-17"/>
          <w:w w:val="110"/>
        </w:rPr>
        <w:t> </w:t>
      </w:r>
      <w:r>
        <w:rPr>
          <w:spacing w:val="-3"/>
          <w:w w:val="110"/>
        </w:rPr>
        <w:t>rapid </w:t>
      </w:r>
      <w:r>
        <w:rPr>
          <w:w w:val="110"/>
        </w:rPr>
        <w:t>underlying growth in </w:t>
      </w:r>
      <w:r>
        <w:rPr>
          <w:spacing w:val="-2"/>
          <w:w w:val="110"/>
        </w:rPr>
        <w:t>narrow </w:t>
      </w:r>
      <w:r>
        <w:rPr>
          <w:w w:val="110"/>
        </w:rPr>
        <w:t>money holdings are consistent with a relatively firm </w:t>
      </w:r>
      <w:r>
        <w:rPr>
          <w:spacing w:val="-5"/>
          <w:w w:val="110"/>
        </w:rPr>
        <w:t>near-term </w:t>
      </w:r>
      <w:r>
        <w:rPr>
          <w:w w:val="110"/>
        </w:rPr>
        <w:t>outlook for consumer spending,</w:t>
      </w:r>
      <w:r>
        <w:rPr>
          <w:spacing w:val="-24"/>
          <w:w w:val="110"/>
        </w:rPr>
        <w:t> </w:t>
      </w:r>
      <w:r>
        <w:rPr>
          <w:w w:val="110"/>
        </w:rPr>
        <w:t>although</w:t>
      </w:r>
      <w:r>
        <w:rPr>
          <w:spacing w:val="-23"/>
          <w:w w:val="110"/>
        </w:rPr>
        <w:t> </w:t>
      </w:r>
      <w:r>
        <w:rPr>
          <w:w w:val="110"/>
        </w:rPr>
        <w:t>the</w:t>
      </w:r>
      <w:r>
        <w:rPr>
          <w:spacing w:val="-23"/>
          <w:w w:val="110"/>
        </w:rPr>
        <w:t> </w:t>
      </w:r>
      <w:r>
        <w:rPr>
          <w:spacing w:val="-2"/>
          <w:w w:val="110"/>
        </w:rPr>
        <w:t>growth</w:t>
      </w:r>
      <w:r>
        <w:rPr>
          <w:spacing w:val="-23"/>
          <w:w w:val="110"/>
        </w:rPr>
        <w:t> </w:t>
      </w:r>
      <w:r>
        <w:rPr>
          <w:w w:val="110"/>
        </w:rPr>
        <w:t>of</w:t>
      </w:r>
      <w:r>
        <w:rPr>
          <w:spacing w:val="-23"/>
          <w:w w:val="110"/>
        </w:rPr>
        <w:t> </w:t>
      </w:r>
      <w:r>
        <w:rPr>
          <w:w w:val="110"/>
        </w:rPr>
        <w:t>households’</w:t>
      </w:r>
      <w:r>
        <w:rPr>
          <w:spacing w:val="-23"/>
          <w:w w:val="110"/>
        </w:rPr>
        <w:t> </w:t>
      </w:r>
      <w:r>
        <w:rPr>
          <w:w w:val="110"/>
        </w:rPr>
        <w:t>Divisia</w:t>
      </w:r>
      <w:r>
        <w:rPr>
          <w:spacing w:val="-24"/>
          <w:w w:val="110"/>
        </w:rPr>
        <w:t> </w:t>
      </w:r>
      <w:r>
        <w:rPr>
          <w:w w:val="110"/>
        </w:rPr>
        <w:t>money holdings</w:t>
      </w:r>
      <w:r>
        <w:rPr>
          <w:spacing w:val="-19"/>
          <w:w w:val="110"/>
        </w:rPr>
        <w:t> </w:t>
      </w:r>
      <w:r>
        <w:rPr>
          <w:w w:val="110"/>
        </w:rPr>
        <w:t>is</w:t>
      </w:r>
      <w:r>
        <w:rPr>
          <w:spacing w:val="-19"/>
          <w:w w:val="110"/>
        </w:rPr>
        <w:t> </w:t>
      </w:r>
      <w:r>
        <w:rPr>
          <w:w w:val="110"/>
        </w:rPr>
        <w:t>moderating,</w:t>
      </w:r>
      <w:r>
        <w:rPr>
          <w:spacing w:val="-19"/>
          <w:w w:val="110"/>
        </w:rPr>
        <w:t> </w:t>
      </w:r>
      <w:r>
        <w:rPr>
          <w:w w:val="110"/>
        </w:rPr>
        <w:t>signalling</w:t>
      </w:r>
      <w:r>
        <w:rPr>
          <w:spacing w:val="-19"/>
          <w:w w:val="110"/>
        </w:rPr>
        <w:t> </w:t>
      </w:r>
      <w:r>
        <w:rPr>
          <w:w w:val="110"/>
        </w:rPr>
        <w:t>some</w:t>
      </w:r>
      <w:r>
        <w:rPr>
          <w:spacing w:val="-18"/>
          <w:w w:val="110"/>
        </w:rPr>
        <w:t> </w:t>
      </w:r>
      <w:r>
        <w:rPr>
          <w:w w:val="110"/>
        </w:rPr>
        <w:t>easing</w:t>
      </w:r>
      <w:r>
        <w:rPr>
          <w:spacing w:val="-19"/>
          <w:w w:val="110"/>
        </w:rPr>
        <w:t> </w:t>
      </w:r>
      <w:r>
        <w:rPr>
          <w:w w:val="110"/>
        </w:rPr>
        <w:t>in</w:t>
      </w:r>
      <w:r>
        <w:rPr>
          <w:spacing w:val="-19"/>
          <w:w w:val="110"/>
        </w:rPr>
        <w:t> </w:t>
      </w:r>
      <w:r>
        <w:rPr>
          <w:w w:val="110"/>
        </w:rPr>
        <w:t>the</w:t>
      </w:r>
      <w:r>
        <w:rPr>
          <w:spacing w:val="-19"/>
          <w:w w:val="110"/>
        </w:rPr>
        <w:t> </w:t>
      </w:r>
      <w:r>
        <w:rPr>
          <w:w w:val="110"/>
        </w:rPr>
        <w:t>pace</w:t>
      </w:r>
      <w:r>
        <w:rPr>
          <w:spacing w:val="-18"/>
          <w:w w:val="110"/>
        </w:rPr>
        <w:t> </w:t>
      </w:r>
      <w:r>
        <w:rPr>
          <w:w w:val="110"/>
        </w:rPr>
        <w:t>of consumption</w:t>
      </w:r>
      <w:r>
        <w:rPr>
          <w:spacing w:val="-28"/>
          <w:w w:val="110"/>
        </w:rPr>
        <w:t> </w:t>
      </w:r>
      <w:r>
        <w:rPr>
          <w:w w:val="110"/>
        </w:rPr>
        <w:t>growth.</w:t>
      </w:r>
      <w:r>
        <w:rPr>
          <w:spacing w:val="-1"/>
          <w:w w:val="110"/>
        </w:rPr>
        <w:t> </w:t>
      </w:r>
      <w:r>
        <w:rPr>
          <w:w w:val="110"/>
        </w:rPr>
        <w:t>After</w:t>
      </w:r>
      <w:r>
        <w:rPr>
          <w:spacing w:val="-28"/>
          <w:w w:val="110"/>
        </w:rPr>
        <w:t> </w:t>
      </w:r>
      <w:r>
        <w:rPr>
          <w:w w:val="110"/>
        </w:rPr>
        <w:t>rising</w:t>
      </w:r>
      <w:r>
        <w:rPr>
          <w:spacing w:val="-27"/>
          <w:w w:val="110"/>
        </w:rPr>
        <w:t> </w:t>
      </w:r>
      <w:r>
        <w:rPr>
          <w:w w:val="110"/>
        </w:rPr>
        <w:t>quickly</w:t>
      </w:r>
      <w:r>
        <w:rPr>
          <w:spacing w:val="-28"/>
          <w:w w:val="110"/>
        </w:rPr>
        <w:t> </w:t>
      </w:r>
      <w:r>
        <w:rPr>
          <w:w w:val="110"/>
        </w:rPr>
        <w:t>for</w:t>
      </w:r>
      <w:r>
        <w:rPr>
          <w:spacing w:val="-28"/>
          <w:w w:val="110"/>
        </w:rPr>
        <w:t> </w:t>
      </w:r>
      <w:r>
        <w:rPr>
          <w:spacing w:val="-3"/>
          <w:w w:val="110"/>
        </w:rPr>
        <w:t>several</w:t>
      </w:r>
      <w:r>
        <w:rPr>
          <w:spacing w:val="-28"/>
          <w:w w:val="110"/>
        </w:rPr>
        <w:t> </w:t>
      </w:r>
      <w:r>
        <w:rPr>
          <w:w w:val="110"/>
        </w:rPr>
        <w:t>quarters, there </w:t>
      </w:r>
      <w:r>
        <w:rPr>
          <w:spacing w:val="-3"/>
          <w:w w:val="110"/>
        </w:rPr>
        <w:t>was </w:t>
      </w:r>
      <w:r>
        <w:rPr>
          <w:w w:val="110"/>
        </w:rPr>
        <w:t>a </w:t>
      </w:r>
      <w:r>
        <w:rPr>
          <w:spacing w:val="-2"/>
          <w:w w:val="110"/>
        </w:rPr>
        <w:t>marked </w:t>
      </w:r>
      <w:r>
        <w:rPr>
          <w:spacing w:val="-3"/>
          <w:w w:val="110"/>
        </w:rPr>
        <w:t>slowdown </w:t>
      </w:r>
      <w:r>
        <w:rPr>
          <w:w w:val="110"/>
        </w:rPr>
        <w:t>in the growth of both PNFCs’ deposits and borrowing in the fourth </w:t>
      </w:r>
      <w:r>
        <w:rPr>
          <w:spacing w:val="-3"/>
          <w:w w:val="110"/>
        </w:rPr>
        <w:t>quarter. </w:t>
      </w:r>
      <w:r>
        <w:rPr>
          <w:w w:val="110"/>
        </w:rPr>
        <w:t>The recent </w:t>
      </w:r>
      <w:r>
        <w:rPr>
          <w:spacing w:val="-3"/>
          <w:w w:val="110"/>
        </w:rPr>
        <w:t>pattern</w:t>
      </w:r>
      <w:r>
        <w:rPr>
          <w:spacing w:val="-11"/>
          <w:w w:val="110"/>
        </w:rPr>
        <w:t> </w:t>
      </w:r>
      <w:r>
        <w:rPr>
          <w:w w:val="110"/>
        </w:rPr>
        <w:t>of</w:t>
      </w:r>
      <w:r>
        <w:rPr>
          <w:spacing w:val="-10"/>
          <w:w w:val="110"/>
        </w:rPr>
        <w:t> </w:t>
      </w:r>
      <w:r>
        <w:rPr>
          <w:spacing w:val="-2"/>
          <w:w w:val="110"/>
        </w:rPr>
        <w:t>growth</w:t>
      </w:r>
      <w:r>
        <w:rPr>
          <w:spacing w:val="-10"/>
          <w:w w:val="110"/>
        </w:rPr>
        <w:t> </w:t>
      </w:r>
      <w:r>
        <w:rPr>
          <w:w w:val="110"/>
        </w:rPr>
        <w:t>in</w:t>
      </w:r>
      <w:r>
        <w:rPr>
          <w:spacing w:val="-10"/>
          <w:w w:val="110"/>
        </w:rPr>
        <w:t> </w:t>
      </w:r>
      <w:r>
        <w:rPr>
          <w:spacing w:val="-3"/>
          <w:w w:val="110"/>
        </w:rPr>
        <w:t>corporate</w:t>
      </w:r>
      <w:r>
        <w:rPr>
          <w:spacing w:val="-10"/>
          <w:w w:val="110"/>
        </w:rPr>
        <w:t> </w:t>
      </w:r>
      <w:r>
        <w:rPr>
          <w:w w:val="110"/>
        </w:rPr>
        <w:t>cash</w:t>
      </w:r>
      <w:r>
        <w:rPr>
          <w:spacing w:val="-10"/>
          <w:w w:val="110"/>
        </w:rPr>
        <w:t> </w:t>
      </w:r>
      <w:r>
        <w:rPr>
          <w:w w:val="110"/>
        </w:rPr>
        <w:t>holdings</w:t>
      </w:r>
      <w:r>
        <w:rPr>
          <w:spacing w:val="-10"/>
          <w:w w:val="110"/>
        </w:rPr>
        <w:t> </w:t>
      </w:r>
      <w:r>
        <w:rPr>
          <w:w w:val="110"/>
        </w:rPr>
        <w:t>and</w:t>
      </w:r>
      <w:r>
        <w:rPr>
          <w:spacing w:val="-10"/>
          <w:w w:val="110"/>
        </w:rPr>
        <w:t> </w:t>
      </w:r>
      <w:r>
        <w:rPr>
          <w:w w:val="110"/>
        </w:rPr>
        <w:t>credit</w:t>
      </w:r>
      <w:r>
        <w:rPr>
          <w:spacing w:val="-10"/>
          <w:w w:val="110"/>
        </w:rPr>
        <w:t> </w:t>
      </w:r>
      <w:r>
        <w:rPr>
          <w:w w:val="110"/>
        </w:rPr>
        <w:t>seems </w:t>
      </w:r>
      <w:r>
        <w:rPr>
          <w:spacing w:val="-4"/>
          <w:w w:val="110"/>
        </w:rPr>
        <w:t>to</w:t>
      </w:r>
      <w:r>
        <w:rPr>
          <w:spacing w:val="-16"/>
          <w:w w:val="110"/>
        </w:rPr>
        <w:t> </w:t>
      </w:r>
      <w:r>
        <w:rPr>
          <w:w w:val="110"/>
        </w:rPr>
        <w:t>be</w:t>
      </w:r>
      <w:r>
        <w:rPr>
          <w:spacing w:val="-16"/>
          <w:w w:val="110"/>
        </w:rPr>
        <w:t> </w:t>
      </w:r>
      <w:r>
        <w:rPr>
          <w:w w:val="110"/>
        </w:rPr>
        <w:t>linked</w:t>
      </w:r>
      <w:r>
        <w:rPr>
          <w:spacing w:val="-16"/>
          <w:w w:val="110"/>
        </w:rPr>
        <w:t> </w:t>
      </w:r>
      <w:r>
        <w:rPr>
          <w:w w:val="110"/>
        </w:rPr>
        <w:t>quite</w:t>
      </w:r>
      <w:r>
        <w:rPr>
          <w:spacing w:val="-15"/>
          <w:w w:val="110"/>
        </w:rPr>
        <w:t> </w:t>
      </w:r>
      <w:r>
        <w:rPr>
          <w:w w:val="110"/>
        </w:rPr>
        <w:t>closely</w:t>
      </w:r>
      <w:r>
        <w:rPr>
          <w:spacing w:val="-16"/>
          <w:w w:val="110"/>
        </w:rPr>
        <w:t> </w:t>
      </w:r>
      <w:r>
        <w:rPr>
          <w:spacing w:val="-4"/>
          <w:w w:val="110"/>
        </w:rPr>
        <w:t>to</w:t>
      </w:r>
      <w:r>
        <w:rPr>
          <w:spacing w:val="-16"/>
          <w:w w:val="110"/>
        </w:rPr>
        <w:t> </w:t>
      </w:r>
      <w:r>
        <w:rPr>
          <w:w w:val="110"/>
        </w:rPr>
        <w:t>the</w:t>
      </w:r>
      <w:r>
        <w:rPr>
          <w:spacing w:val="-16"/>
          <w:w w:val="110"/>
        </w:rPr>
        <w:t> </w:t>
      </w:r>
      <w:r>
        <w:rPr>
          <w:w w:val="110"/>
        </w:rPr>
        <w:t>acquisition</w:t>
      </w:r>
      <w:r>
        <w:rPr>
          <w:spacing w:val="-15"/>
          <w:w w:val="110"/>
        </w:rPr>
        <w:t> </w:t>
      </w:r>
      <w:r>
        <w:rPr>
          <w:w w:val="110"/>
        </w:rPr>
        <w:t>of</w:t>
      </w:r>
      <w:r>
        <w:rPr>
          <w:spacing w:val="-16"/>
          <w:w w:val="110"/>
        </w:rPr>
        <w:t> </w:t>
      </w:r>
      <w:r>
        <w:rPr>
          <w:w w:val="110"/>
        </w:rPr>
        <w:t>financial</w:t>
      </w:r>
      <w:r>
        <w:rPr>
          <w:spacing w:val="-16"/>
          <w:w w:val="110"/>
        </w:rPr>
        <w:t> </w:t>
      </w:r>
      <w:r>
        <w:rPr>
          <w:w w:val="110"/>
        </w:rPr>
        <w:t>assets rather than providing a strong indication of future trends in new</w:t>
      </w:r>
      <w:r>
        <w:rPr>
          <w:spacing w:val="-25"/>
          <w:w w:val="110"/>
        </w:rPr>
        <w:t> </w:t>
      </w:r>
      <w:r>
        <w:rPr>
          <w:w w:val="110"/>
        </w:rPr>
        <w:t>capital</w:t>
      </w:r>
      <w:r>
        <w:rPr>
          <w:spacing w:val="-25"/>
          <w:w w:val="110"/>
        </w:rPr>
        <w:t> </w:t>
      </w:r>
      <w:r>
        <w:rPr>
          <w:w w:val="110"/>
        </w:rPr>
        <w:t>spending.</w:t>
      </w:r>
      <w:r>
        <w:rPr>
          <w:spacing w:val="6"/>
          <w:w w:val="110"/>
        </w:rPr>
        <w:t> </w:t>
      </w:r>
      <w:r>
        <w:rPr>
          <w:w w:val="110"/>
        </w:rPr>
        <w:t>The</w:t>
      </w:r>
      <w:r>
        <w:rPr>
          <w:spacing w:val="-25"/>
          <w:w w:val="110"/>
        </w:rPr>
        <w:t> </w:t>
      </w:r>
      <w:r>
        <w:rPr>
          <w:w w:val="110"/>
        </w:rPr>
        <w:t>aggregate</w:t>
      </w:r>
      <w:r>
        <w:rPr>
          <w:spacing w:val="-24"/>
          <w:w w:val="110"/>
        </w:rPr>
        <w:t> </w:t>
      </w:r>
      <w:r>
        <w:rPr>
          <w:w w:val="110"/>
        </w:rPr>
        <w:t>balance</w:t>
      </w:r>
      <w:r>
        <w:rPr>
          <w:spacing w:val="-25"/>
          <w:w w:val="110"/>
        </w:rPr>
        <w:t> </w:t>
      </w:r>
      <w:r>
        <w:rPr>
          <w:w w:val="110"/>
        </w:rPr>
        <w:t>sheet</w:t>
      </w:r>
      <w:r>
        <w:rPr>
          <w:spacing w:val="-25"/>
          <w:w w:val="110"/>
        </w:rPr>
        <w:t> </w:t>
      </w:r>
      <w:r>
        <w:rPr>
          <w:w w:val="110"/>
        </w:rPr>
        <w:t>for</w:t>
      </w:r>
      <w:r>
        <w:rPr>
          <w:spacing w:val="-25"/>
          <w:w w:val="110"/>
        </w:rPr>
        <w:t> </w:t>
      </w:r>
      <w:r>
        <w:rPr>
          <w:w w:val="110"/>
        </w:rPr>
        <w:t>PNFCs appears </w:t>
      </w:r>
      <w:r>
        <w:rPr>
          <w:spacing w:val="-4"/>
          <w:w w:val="110"/>
        </w:rPr>
        <w:t>to </w:t>
      </w:r>
      <w:r>
        <w:rPr>
          <w:w w:val="110"/>
        </w:rPr>
        <w:t>be quite sound, although increased reliance on </w:t>
      </w:r>
      <w:r>
        <w:rPr>
          <w:spacing w:val="-3"/>
          <w:w w:val="110"/>
        </w:rPr>
        <w:t>external </w:t>
      </w:r>
      <w:r>
        <w:rPr>
          <w:w w:val="110"/>
        </w:rPr>
        <w:t>funds and a rise in capital gearing suggest that the </w:t>
      </w:r>
      <w:r>
        <w:rPr>
          <w:spacing w:val="-3"/>
          <w:w w:val="110"/>
        </w:rPr>
        <w:t>vulnerability </w:t>
      </w:r>
      <w:r>
        <w:rPr>
          <w:spacing w:val="-4"/>
          <w:w w:val="110"/>
        </w:rPr>
        <w:t>to </w:t>
      </w:r>
      <w:r>
        <w:rPr>
          <w:spacing w:val="-3"/>
          <w:w w:val="110"/>
        </w:rPr>
        <w:t>adverse </w:t>
      </w:r>
      <w:r>
        <w:rPr>
          <w:w w:val="110"/>
        </w:rPr>
        <w:t>shocks has risen somewhat in recent quarters. </w:t>
      </w:r>
      <w:r>
        <w:rPr>
          <w:spacing w:val="-4"/>
          <w:w w:val="110"/>
        </w:rPr>
        <w:t>Moreover, </w:t>
      </w:r>
      <w:r>
        <w:rPr>
          <w:w w:val="110"/>
        </w:rPr>
        <w:t>profit warnings </w:t>
      </w:r>
      <w:r>
        <w:rPr>
          <w:spacing w:val="-3"/>
          <w:w w:val="110"/>
        </w:rPr>
        <w:t>have </w:t>
      </w:r>
      <w:r>
        <w:rPr>
          <w:w w:val="110"/>
        </w:rPr>
        <w:t>increased. While there</w:t>
      </w:r>
      <w:r>
        <w:rPr>
          <w:spacing w:val="-18"/>
          <w:w w:val="110"/>
        </w:rPr>
        <w:t> </w:t>
      </w:r>
      <w:r>
        <w:rPr>
          <w:w w:val="110"/>
        </w:rPr>
        <w:t>are</w:t>
      </w:r>
      <w:r>
        <w:rPr>
          <w:spacing w:val="-18"/>
          <w:w w:val="110"/>
        </w:rPr>
        <w:t> </w:t>
      </w:r>
      <w:r>
        <w:rPr>
          <w:w w:val="110"/>
        </w:rPr>
        <w:t>few</w:t>
      </w:r>
      <w:r>
        <w:rPr>
          <w:spacing w:val="-18"/>
          <w:w w:val="110"/>
        </w:rPr>
        <w:t> </w:t>
      </w:r>
      <w:r>
        <w:rPr>
          <w:w w:val="110"/>
        </w:rPr>
        <w:t>signs</w:t>
      </w:r>
      <w:r>
        <w:rPr>
          <w:spacing w:val="-18"/>
          <w:w w:val="110"/>
        </w:rPr>
        <w:t> </w:t>
      </w:r>
      <w:r>
        <w:rPr>
          <w:w w:val="110"/>
        </w:rPr>
        <w:t>from</w:t>
      </w:r>
      <w:r>
        <w:rPr>
          <w:spacing w:val="-18"/>
          <w:w w:val="110"/>
        </w:rPr>
        <w:t> </w:t>
      </w:r>
      <w:r>
        <w:rPr>
          <w:spacing w:val="-3"/>
          <w:w w:val="110"/>
        </w:rPr>
        <w:t>surveys</w:t>
      </w:r>
      <w:r>
        <w:rPr>
          <w:spacing w:val="-18"/>
          <w:w w:val="110"/>
        </w:rPr>
        <w:t> </w:t>
      </w:r>
      <w:r>
        <w:rPr>
          <w:w w:val="110"/>
        </w:rPr>
        <w:t>that</w:t>
      </w:r>
      <w:r>
        <w:rPr>
          <w:spacing w:val="-18"/>
          <w:w w:val="110"/>
        </w:rPr>
        <w:t> </w:t>
      </w:r>
      <w:r>
        <w:rPr>
          <w:w w:val="110"/>
        </w:rPr>
        <w:t>the</w:t>
      </w:r>
      <w:r>
        <w:rPr>
          <w:spacing w:val="-18"/>
          <w:w w:val="110"/>
        </w:rPr>
        <w:t> </w:t>
      </w:r>
      <w:r>
        <w:rPr>
          <w:w w:val="110"/>
        </w:rPr>
        <w:t>cost</w:t>
      </w:r>
      <w:r>
        <w:rPr>
          <w:spacing w:val="-18"/>
          <w:w w:val="110"/>
        </w:rPr>
        <w:t> </w:t>
      </w:r>
      <w:r>
        <w:rPr>
          <w:w w:val="110"/>
        </w:rPr>
        <w:t>or</w:t>
      </w:r>
      <w:r>
        <w:rPr>
          <w:spacing w:val="-18"/>
          <w:w w:val="110"/>
        </w:rPr>
        <w:t> </w:t>
      </w:r>
      <w:r>
        <w:rPr>
          <w:spacing w:val="-3"/>
          <w:w w:val="110"/>
        </w:rPr>
        <w:t>availability</w:t>
      </w:r>
      <w:r>
        <w:rPr>
          <w:spacing w:val="-18"/>
          <w:w w:val="110"/>
        </w:rPr>
        <w:t> </w:t>
      </w:r>
      <w:r>
        <w:rPr>
          <w:w w:val="110"/>
        </w:rPr>
        <w:t>of finance is a major constraint on output or capital spending at present, the increase in </w:t>
      </w:r>
      <w:r>
        <w:rPr>
          <w:spacing w:val="-3"/>
          <w:w w:val="110"/>
        </w:rPr>
        <w:t>vulnerability </w:t>
      </w:r>
      <w:r>
        <w:rPr>
          <w:w w:val="110"/>
        </w:rPr>
        <w:t>is consistent with the risks </w:t>
      </w:r>
      <w:r>
        <w:rPr>
          <w:spacing w:val="-4"/>
          <w:w w:val="110"/>
        </w:rPr>
        <w:t>to </w:t>
      </w:r>
      <w:r>
        <w:rPr>
          <w:w w:val="110"/>
        </w:rPr>
        <w:t>the </w:t>
      </w:r>
      <w:r>
        <w:rPr>
          <w:spacing w:val="-3"/>
          <w:w w:val="110"/>
        </w:rPr>
        <w:t>investment </w:t>
      </w:r>
      <w:r>
        <w:rPr>
          <w:w w:val="110"/>
        </w:rPr>
        <w:t>outlook lying on the downside of the central</w:t>
      </w:r>
      <w:r>
        <w:rPr>
          <w:spacing w:val="-6"/>
          <w:w w:val="110"/>
        </w:rPr>
        <w:t> </w:t>
      </w:r>
      <w:r>
        <w:rPr>
          <w:w w:val="110"/>
        </w:rPr>
        <w:t>projection.</w:t>
      </w:r>
    </w:p>
    <w:p>
      <w:pPr>
        <w:pStyle w:val="BodyText"/>
        <w:spacing w:before="5"/>
        <w:rPr>
          <w:sz w:val="17"/>
        </w:rPr>
      </w:pPr>
    </w:p>
    <w:p>
      <w:pPr>
        <w:spacing w:after="0"/>
        <w:rPr>
          <w:sz w:val="17"/>
        </w:rPr>
        <w:sectPr>
          <w:pgSz w:w="11900" w:h="16840"/>
          <w:pgMar w:header="601" w:footer="575" w:top="800" w:bottom="760" w:left="640" w:right="640"/>
        </w:sectPr>
      </w:pPr>
    </w:p>
    <w:p>
      <w:pPr>
        <w:pStyle w:val="Heading6"/>
        <w:spacing w:before="176"/>
        <w:ind w:left="202"/>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1"/>
        </w:rPr>
        <w:t>6.1</w:t>
      </w:r>
    </w:p>
    <w:p>
      <w:pPr>
        <w:spacing w:line="247" w:lineRule="auto" w:before="7"/>
        <w:ind w:left="202" w:right="35" w:firstLine="0"/>
        <w:jc w:val="left"/>
        <w:rPr>
          <w:rFonts w:ascii="Trebuchet MS"/>
          <w:b/>
          <w:sz w:val="20"/>
        </w:rPr>
      </w:pPr>
      <w:r>
        <w:rPr>
          <w:rFonts w:ascii="Trebuchet MS"/>
          <w:b/>
          <w:color w:val="89C6DC"/>
          <w:w w:val="90"/>
          <w:sz w:val="20"/>
        </w:rPr>
        <w:t>Current GDP projection based on constant </w:t>
      </w:r>
      <w:r>
        <w:rPr>
          <w:rFonts w:ascii="Trebuchet MS"/>
          <w:b/>
          <w:color w:val="89C6DC"/>
          <w:sz w:val="20"/>
        </w:rPr>
        <w:t>nominal interest rates at 5.75%</w:t>
      </w:r>
    </w:p>
    <w:p>
      <w:pPr>
        <w:spacing w:line="116" w:lineRule="exact" w:before="32"/>
        <w:ind w:left="850" w:right="0" w:firstLine="0"/>
        <w:jc w:val="left"/>
        <w:rPr>
          <w:sz w:val="12"/>
        </w:rPr>
      </w:pPr>
      <w:r>
        <w:rPr>
          <w:w w:val="110"/>
          <w:sz w:val="12"/>
        </w:rPr>
        <w:t>Percentage increase in output on a year earlier</w:t>
      </w:r>
    </w:p>
    <w:p>
      <w:pPr>
        <w:spacing w:line="116" w:lineRule="exact" w:before="0"/>
        <w:ind w:left="3298" w:right="0" w:firstLine="0"/>
        <w:jc w:val="left"/>
        <w:rPr>
          <w:sz w:val="12"/>
        </w:rPr>
      </w:pPr>
      <w:r>
        <w:rPr/>
        <w:pict>
          <v:line style="position:absolute;mso-position-horizontal-relative:page;mso-position-vertical-relative:paragraph;z-index:16369664" from="191.367996pt,2.614547pt" to="195.006996pt,2.614547pt" stroked="true" strokeweight=".5pt" strokecolor="#000000">
            <v:stroke dashstyle="solid"/>
            <w10:wrap type="none"/>
          </v:line>
        </w:pict>
      </w:r>
      <w:r>
        <w:rPr/>
        <w:pict>
          <v:line style="position:absolute;mso-position-horizontal-relative:page;mso-position-vertical-relative:paragraph;z-index:16370688" from="44.417pt,2.788547pt" to="40.777pt,2.788547pt" stroked="true" strokeweight=".5pt" strokecolor="#000000">
            <v:stroke dashstyle="solid"/>
            <w10:wrap type="none"/>
          </v:line>
        </w:pict>
      </w:r>
      <w:r>
        <w:rPr>
          <w:w w:val="121"/>
          <w:sz w:val="12"/>
        </w:rPr>
        <w:t>6</w:t>
      </w:r>
    </w:p>
    <w:p>
      <w:pPr>
        <w:pStyle w:val="BodyText"/>
        <w:rPr>
          <w:sz w:val="12"/>
        </w:rPr>
      </w:pPr>
    </w:p>
    <w:p>
      <w:pPr>
        <w:pStyle w:val="BodyText"/>
        <w:spacing w:before="3"/>
        <w:rPr>
          <w:sz w:val="12"/>
        </w:rPr>
      </w:pPr>
    </w:p>
    <w:p>
      <w:pPr>
        <w:spacing w:before="0"/>
        <w:ind w:left="3298" w:right="0" w:firstLine="0"/>
        <w:jc w:val="left"/>
        <w:rPr>
          <w:sz w:val="12"/>
        </w:rPr>
      </w:pPr>
      <w:r>
        <w:rPr/>
        <w:pict>
          <v:line style="position:absolute;mso-position-horizontal-relative:page;mso-position-vertical-relative:paragraph;z-index:16369152" from="195.006996pt,3.738768pt" to="191.367996pt,3.738768pt" stroked="true" strokeweight=".5pt" strokecolor="#000000">
            <v:stroke dashstyle="solid"/>
            <w10:wrap type="none"/>
          </v:line>
        </w:pict>
      </w:r>
      <w:r>
        <w:rPr/>
        <w:pict>
          <v:line style="position:absolute;mso-position-horizontal-relative:page;mso-position-vertical-relative:paragraph;z-index:16370176" from="44.417pt,3.912768pt" to="40.777pt,3.912768pt" stroked="true" strokeweight=".5pt" strokecolor="#000000">
            <v:stroke dashstyle="solid"/>
            <w10:wrap type="none"/>
          </v:line>
        </w:pict>
      </w:r>
      <w:r>
        <w:rPr>
          <w:w w:val="121"/>
          <w:sz w:val="12"/>
        </w:rPr>
        <w:t>5</w:t>
      </w:r>
    </w:p>
    <w:p>
      <w:pPr>
        <w:pStyle w:val="BodyText"/>
        <w:spacing w:before="3"/>
        <w:rPr>
          <w:sz w:val="9"/>
        </w:rPr>
      </w:pPr>
      <w:r>
        <w:rPr/>
        <w:pict>
          <v:group style="position:absolute;margin-left:40.777pt;margin-top:7.308527pt;width:160.8pt;height:97.15pt;mso-position-horizontal-relative:page;mso-position-vertical-relative:paragraph;z-index:-15089664;mso-wrap-distance-left:0;mso-wrap-distance-right:0" coordorigin="816,146" coordsize="3216,1943">
            <v:shape style="position:absolute;left:2860;top:146;width:904;height:1822" coordorigin="2861,146" coordsize="904,1822" path="m3764,146l3664,175,3564,275,3363,534,3262,517,3162,667,3062,696,2961,642,2861,959,2961,1072,3062,1555,3162,1814,3262,1876,3363,1968,3463,1910,3564,1880,3664,1855,3764,1826,3764,146xe" filled="true" fillcolor="#eaf0ec" stroked="false">
              <v:path arrowok="t"/>
              <v:fill type="solid"/>
            </v:shape>
            <v:shape style="position:absolute;left:2860;top:302;width:904;height:1489" coordorigin="2861,302" coordsize="904,1489" path="m3764,302l3664,331,3564,423,3463,548,3363,677,3262,648,3162,781,3062,781,2961,686,2861,965,2961,1023,3062,1453,3162,1674,3262,1711,3363,1790,3463,1724,3564,1678,3664,1640,3764,1611,3764,302xe" filled="true" fillcolor="#d4e3dc" stroked="false">
              <v:path arrowok="t"/>
              <v:fill type="solid"/>
            </v:shape>
            <v:shape style="position:absolute;left:2860;top:393;width:904;height:1272" coordorigin="2861,393" coordsize="904,1272" path="m3764,393l3664,427,3564,518,3463,635,3363,760,3262,731,3162,848,3062,831,2961,710,2861,960,2961,981,3062,1373,3162,1573,3262,1590,3363,1665,3463,1586,3564,1527,3664,1486,3764,1452,3764,393xe" filled="true" fillcolor="#bed7ca" stroked="false">
              <v:path arrowok="t"/>
              <v:fill type="solid"/>
            </v:shape>
            <v:shape style="position:absolute;left:2860;top:473;width:904;height:1097" coordorigin="2861,473" coordsize="904,1097" path="m3764,473l3664,507,3564,594,3463,711,3363,836,3262,799,3162,907,3062,874,2961,732,2861,961,2961,953,3062,1316,3162,1495,3262,1495,3363,1570,3463,1482,3564,1416,3664,1366,3764,1336,3764,473xe" filled="true" fillcolor="#a7c9b8" stroked="false">
              <v:path arrowok="t"/>
              <v:fill type="solid"/>
            </v:shape>
            <v:shape style="position:absolute;left:2860;top:545;width:904;height:939" coordorigin="2861,545" coordsize="904,939" path="m3764,545l3664,574,3564,662,3463,774,3363,899,3262,858,3162,958,3062,912,2961,753,2861,962,2961,929,3062,1266,3162,1429,3262,1416,3363,1483,3463,1396,3564,1320,3664,1262,3764,1233,3764,545xe" filled="true" fillcolor="#8ebdaa" stroked="false">
              <v:path arrowok="t"/>
              <v:fill type="solid"/>
            </v:shape>
            <v:shape style="position:absolute;left:2860;top:604;width:904;height:805" coordorigin="2861,604" coordsize="904,805" path="m3764,604l3664,638,3564,721,3463,834,3363,954,3262,913,3162,1005,3062,946,2961,771,2861,963,2961,904,3062,1221,3162,1367,3262,1346,3363,1409,3463,1313,3564,1234,3664,1171,3764,1142,3764,604xe" filled="true" fillcolor="#76b19a" stroked="false">
              <v:path arrowok="t"/>
              <v:fill type="solid"/>
            </v:shape>
            <v:shape style="position:absolute;left:2860;top:661;width:904;height:680" coordorigin="2861,661" coordsize="904,680" path="m3764,661l3664,690,3564,774,3463,886,3363,1003,3262,961,3162,1045,3062,978,2961,782,2861,961,2961,882,3062,1178,3162,1312,3262,1278,3363,1341,3463,1241,3564,1153,3664,1082,3764,1053,3764,661xe" filled="true" fillcolor="#57a68a" stroked="false">
              <v:path arrowok="t"/>
              <v:fill type="solid"/>
            </v:shape>
            <v:shape style="position:absolute;left:2860;top:715;width:904;height:559" coordorigin="2861,716" coordsize="904,559" path="m3764,716l3664,745,3564,828,3463,937,3363,1053,3262,1007,3162,1083,3062,1007,2961,799,2861,962,2961,866,3062,1137,3162,1258,3262,1216,3363,1274,3463,1170,3564,1074,3664,1003,3764,974,3764,716xe" filled="true" fillcolor="#309a7b" stroked="false">
              <v:path arrowok="t"/>
              <v:fill type="solid"/>
            </v:shape>
            <v:shape style="position:absolute;left:2860;top:763;width:904;height:447" coordorigin="2861,764" coordsize="904,447" path="m3764,764l3664,793,3564,876,3463,985,3363,1097,3262,1051,3162,1118,3062,1035,2961,810,2861,960,2961,843,3062,1097,3162,1206,3262,1156,3363,1210,3463,1097,3564,1001,3664,922,3764,893,3764,764xe" filled="true" fillcolor="#008360" stroked="false">
              <v:path arrowok="t"/>
              <v:fill type="solid"/>
            </v:shape>
            <v:shape style="position:absolute;left:3827;top:353;width:73;height:1668" coordorigin="3827,354" coordsize="73,1668" path="m3827,2021l3900,2021m3827,1604l3900,1604m3827,1188l3900,1188m3900,771l3827,771m3900,354l3827,354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line style="position:absolute" from="2655,550" to="2555,687" stroked="true" strokeweight="1pt" strokecolor="#008360">
              <v:stroke dashstyle="solid"/>
            </v:line>
            <v:shape style="position:absolute;left:2655;top:549;width:201;height:413" coordorigin="2655,550" coordsize="201,413" path="m2755,787l2655,550m2856,962l2755,787e" filled="false" stroked="true" strokeweight=".5pt" strokecolor="#000000">
              <v:path arrowok="t"/>
              <v:stroke dashstyle="solid"/>
            </v:shape>
            <v:shape style="position:absolute;left:948;top:395;width:1205;height:918" coordorigin="948,395" coordsize="1205,918" path="m948,1067l1049,1008m1149,937l1049,1008m1250,821l1149,937m1250,821l1350,716m1350,716l1450,562m1450,562l1551,395m1551,395l1651,558m1651,558l1752,696m1852,779l1752,696m1852,779l1952,1021m1952,1021l2053,1179m2153,1313l2053,1179e" filled="false" stroked="true" strokeweight="1pt" strokecolor="#008360">
              <v:path arrowok="t"/>
              <v:stroke dashstyle="solid"/>
            </v:shape>
            <v:line style="position:absolute" from="2143,1308" to="2263,1308" stroked="true" strokeweight="1.417pt" strokecolor="#008360">
              <v:stroke dashstyle="solid"/>
            </v:line>
            <v:shape style="position:absolute;left:2253;top:687;width:201;height:618" coordorigin="2253,687" coordsize="201,618" path="m2253,1304l2354,967m2454,687l2354,967e" filled="false" stroked="true" strokeweight="1pt" strokecolor="#008360">
              <v:path arrowok="t"/>
              <v:stroke dashstyle="solid"/>
            </v:shape>
            <v:rect style="position:absolute;left:2454;top:677;width:101;height:20" filled="true" fillcolor="#008360" stroked="false">
              <v:fill type="solid"/>
            </v:rect>
            <v:shape style="position:absolute;left:2554;top:549;width:302;height:413" coordorigin="2555,550" coordsize="302,413" path="m2655,550l2555,687m2755,787l2655,550m2856,962l2755,787e" filled="false" stroked="true" strokeweight="1pt" strokecolor="#008360">
              <v:path arrowok="t"/>
              <v:stroke dashstyle="solid"/>
            </v:shape>
            <v:shape style="position:absolute;left:2855;top:816;width:904;height:342" coordorigin="2856,816" coordsize="904,342" path="m2856,962l2956,829m3057,1062l2956,829m3157,1158l3057,1062m3157,1158l3257,1096m3257,1096l3358,1146m3358,1146l3458,1033m3559,929l3458,1033m3559,929l3659,850m3659,850l3759,816e" filled="false" stroked="true" strokeweight=".5pt" strokecolor="#008360">
              <v:path arrowok="t"/>
              <v:stroke dashstyle="solid"/>
            </v:shape>
            <v:shape style="position:absolute;left:815;top:357;width:2945;height:1666" coordorigin="816,357" coordsize="2945,1666" path="m888,2023l816,2023m888,1608l816,1608m888,1191l816,1191m888,774l816,774m888,357l816,357m951,2023l3760,2023e" filled="false" stroked="true" strokeweight=".5pt" strokecolor="#000000">
              <v:path arrowok="t"/>
              <v:stroke dashstyle="solid"/>
            </v:shape>
            <v:shape style="position:absolute;left:3880;top:301;width:151;height:1788" type="#_x0000_t202" filled="false" stroked="false">
              <v:textbox inset="0,0,0,0">
                <w:txbxContent>
                  <w:p>
                    <w:pPr>
                      <w:spacing w:line="116" w:lineRule="exact" w:before="0"/>
                      <w:ind w:left="57" w:right="0" w:firstLine="0"/>
                      <w:jc w:val="left"/>
                      <w:rPr>
                        <w:sz w:val="12"/>
                      </w:rPr>
                    </w:pPr>
                    <w:r>
                      <w:rPr>
                        <w:w w:val="121"/>
                        <w:sz w:val="12"/>
                      </w:rPr>
                      <w:t>4</w:t>
                    </w:r>
                  </w:p>
                  <w:p>
                    <w:pPr>
                      <w:spacing w:line="240" w:lineRule="auto" w:before="0"/>
                      <w:rPr>
                        <w:sz w:val="12"/>
                      </w:rPr>
                    </w:pPr>
                  </w:p>
                  <w:p>
                    <w:pPr>
                      <w:spacing w:line="240" w:lineRule="auto" w:before="2"/>
                      <w:rPr>
                        <w:sz w:val="12"/>
                      </w:rPr>
                    </w:pPr>
                  </w:p>
                  <w:p>
                    <w:pPr>
                      <w:spacing w:before="1"/>
                      <w:ind w:left="57" w:right="0" w:firstLine="0"/>
                      <w:jc w:val="left"/>
                      <w:rPr>
                        <w:sz w:val="12"/>
                      </w:rPr>
                    </w:pPr>
                    <w:r>
                      <w:rPr>
                        <w:w w:val="121"/>
                        <w:sz w:val="12"/>
                      </w:rPr>
                      <w:t>3</w:t>
                    </w:r>
                  </w:p>
                  <w:p>
                    <w:pPr>
                      <w:spacing w:line="240" w:lineRule="auto" w:before="0"/>
                      <w:rPr>
                        <w:sz w:val="12"/>
                      </w:rPr>
                    </w:pPr>
                  </w:p>
                  <w:p>
                    <w:pPr>
                      <w:spacing w:line="240" w:lineRule="auto" w:before="2"/>
                      <w:rPr>
                        <w:sz w:val="12"/>
                      </w:rPr>
                    </w:pPr>
                  </w:p>
                  <w:p>
                    <w:pPr>
                      <w:spacing w:before="1"/>
                      <w:ind w:left="57" w:right="0" w:firstLine="0"/>
                      <w:jc w:val="left"/>
                      <w:rPr>
                        <w:sz w:val="12"/>
                      </w:rPr>
                    </w:pPr>
                    <w:r>
                      <w:rPr>
                        <w:w w:val="121"/>
                        <w:sz w:val="12"/>
                      </w:rPr>
                      <w:t>2</w:t>
                    </w:r>
                  </w:p>
                  <w:p>
                    <w:pPr>
                      <w:spacing w:line="240" w:lineRule="auto" w:before="0"/>
                      <w:rPr>
                        <w:sz w:val="12"/>
                      </w:rPr>
                    </w:pPr>
                  </w:p>
                  <w:p>
                    <w:pPr>
                      <w:spacing w:line="240" w:lineRule="auto" w:before="2"/>
                      <w:rPr>
                        <w:sz w:val="12"/>
                      </w:rPr>
                    </w:pPr>
                  </w:p>
                  <w:p>
                    <w:pPr>
                      <w:spacing w:before="1"/>
                      <w:ind w:left="57" w:right="0" w:firstLine="0"/>
                      <w:jc w:val="left"/>
                      <w:rPr>
                        <w:sz w:val="12"/>
                      </w:rPr>
                    </w:pPr>
                    <w:r>
                      <w:rPr>
                        <w:w w:val="121"/>
                        <w:sz w:val="12"/>
                      </w:rPr>
                      <w:t>1</w:t>
                    </w:r>
                  </w:p>
                  <w:p>
                    <w:pPr>
                      <w:spacing w:before="43"/>
                      <w:ind w:left="0" w:right="0" w:firstLine="0"/>
                      <w:jc w:val="left"/>
                      <w:rPr>
                        <w:sz w:val="16"/>
                      </w:rPr>
                    </w:pPr>
                    <w:r>
                      <w:rPr>
                        <w:w w:val="107"/>
                        <w:sz w:val="16"/>
                      </w:rPr>
                      <w:t>+</w:t>
                    </w:r>
                  </w:p>
                  <w:p>
                    <w:pPr>
                      <w:spacing w:before="51"/>
                      <w:ind w:left="57" w:right="0" w:firstLine="0"/>
                      <w:jc w:val="left"/>
                      <w:rPr>
                        <w:sz w:val="12"/>
                      </w:rPr>
                    </w:pPr>
                    <w:r>
                      <w:rPr>
                        <w:w w:val="121"/>
                        <w:sz w:val="12"/>
                      </w:rPr>
                      <w:t>0</w:t>
                    </w:r>
                  </w:p>
                </w:txbxContent>
              </v:textbox>
              <w10:wrap type="none"/>
            </v:shape>
            <w10:wrap type="topAndBottom"/>
          </v:group>
        </w:pict>
      </w:r>
    </w:p>
    <w:p>
      <w:pPr>
        <w:spacing w:before="11"/>
        <w:ind w:left="3250" w:right="0" w:firstLine="0"/>
        <w:jc w:val="left"/>
        <w:rPr>
          <w:sz w:val="16"/>
        </w:rPr>
      </w:pPr>
      <w:r>
        <w:rPr>
          <w:w w:val="117"/>
          <w:sz w:val="16"/>
        </w:rPr>
        <w:t>–</w:t>
      </w:r>
    </w:p>
    <w:p>
      <w:pPr>
        <w:spacing w:line="122" w:lineRule="exact" w:before="50"/>
        <w:ind w:left="3298" w:right="0" w:firstLine="0"/>
        <w:jc w:val="left"/>
        <w:rPr>
          <w:sz w:val="12"/>
        </w:rPr>
      </w:pPr>
      <w:r>
        <w:rPr/>
        <w:pict>
          <v:group style="position:absolute;margin-left:40.777pt;margin-top:.914555pt;width:154.25pt;height:5.75pt;mso-position-horizontal-relative:page;mso-position-vertical-relative:paragraph;z-index:16368640" coordorigin="816,18" coordsize="3085,115">
            <v:shape style="position:absolute;left:946;top:18;width:2954;height:110" coordorigin="947,18" coordsize="2954,110" path="m3767,126l947,126m948,126l948,23m1049,126l1049,53m1149,126l1149,53m1250,126l1250,53m1350,23l1350,126m1450,53l1450,126m1551,53l1551,126m1651,126l1651,53m1752,23l1752,126m1852,126l1852,53m1952,126l1952,53m2053,126l2053,53m2153,23l2153,126m2253,53l2253,126m2354,126l2354,53m2454,53l2454,126m2555,126l2555,18m2655,126l2655,53m2755,126l2755,53m2856,53l2856,126m2956,126l2956,23m3057,53l3057,126m3157,53l3157,126m3257,126l3257,53m3358,23l3358,126m3458,126l3458,53m3559,53l3559,126m3659,128l3659,55m3759,20l3759,128m3827,125l3900,125e" filled="false" stroked="true" strokeweight=".5pt" strokecolor="#000000">
              <v:path arrowok="t"/>
              <v:stroke dashstyle="solid"/>
            </v:shape>
            <v:line style="position:absolute" from="888,128" to="816,128" stroked="true" strokeweight=".5pt" strokecolor="#000000">
              <v:stroke dashstyle="solid"/>
            </v:line>
            <w10:wrap type="none"/>
          </v:group>
        </w:pict>
      </w:r>
      <w:r>
        <w:rPr>
          <w:w w:val="121"/>
          <w:sz w:val="12"/>
        </w:rPr>
        <w:t>1</w:t>
      </w:r>
    </w:p>
    <w:p>
      <w:pPr>
        <w:tabs>
          <w:tab w:pos="1247" w:val="left" w:leader="none"/>
          <w:tab w:pos="1651" w:val="left" w:leader="none"/>
          <w:tab w:pos="2846" w:val="left" w:leader="none"/>
        </w:tabs>
        <w:spacing w:line="122" w:lineRule="exact" w:before="0"/>
        <w:ind w:left="392" w:right="0" w:firstLine="0"/>
        <w:jc w:val="left"/>
        <w:rPr>
          <w:sz w:val="12"/>
        </w:rPr>
      </w:pPr>
      <w:r>
        <w:rPr>
          <w:spacing w:val="-9"/>
          <w:w w:val="120"/>
          <w:sz w:val="12"/>
        </w:rPr>
        <w:t>1996      </w:t>
      </w:r>
      <w:r>
        <w:rPr>
          <w:spacing w:val="3"/>
          <w:w w:val="120"/>
          <w:sz w:val="12"/>
        </w:rPr>
        <w:t> </w:t>
      </w:r>
      <w:r>
        <w:rPr>
          <w:spacing w:val="-6"/>
          <w:w w:val="120"/>
          <w:sz w:val="12"/>
        </w:rPr>
        <w:t>97</w:t>
        <w:tab/>
      </w:r>
      <w:r>
        <w:rPr>
          <w:spacing w:val="-7"/>
          <w:w w:val="120"/>
          <w:sz w:val="12"/>
        </w:rPr>
        <w:t>98</w:t>
        <w:tab/>
      </w:r>
      <w:r>
        <w:rPr>
          <w:spacing w:val="-4"/>
          <w:w w:val="120"/>
          <w:sz w:val="12"/>
        </w:rPr>
        <w:t>99    </w:t>
      </w:r>
      <w:r>
        <w:rPr>
          <w:spacing w:val="27"/>
          <w:w w:val="120"/>
          <w:sz w:val="12"/>
        </w:rPr>
        <w:t> </w:t>
      </w:r>
      <w:r>
        <w:rPr>
          <w:w w:val="120"/>
          <w:sz w:val="12"/>
        </w:rPr>
        <w:t>2000    </w:t>
      </w:r>
      <w:r>
        <w:rPr>
          <w:spacing w:val="10"/>
          <w:w w:val="120"/>
          <w:sz w:val="12"/>
        </w:rPr>
        <w:t> </w:t>
      </w:r>
      <w:r>
        <w:rPr>
          <w:spacing w:val="-9"/>
          <w:w w:val="120"/>
          <w:sz w:val="12"/>
        </w:rPr>
        <w:t>01</w:t>
        <w:tab/>
      </w:r>
      <w:r>
        <w:rPr>
          <w:spacing w:val="-3"/>
          <w:w w:val="120"/>
          <w:sz w:val="12"/>
        </w:rPr>
        <w:t>02</w:t>
      </w:r>
      <w:r>
        <w:rPr>
          <w:spacing w:val="7"/>
          <w:w w:val="120"/>
          <w:sz w:val="12"/>
        </w:rPr>
        <w:t> </w:t>
      </w:r>
      <w:r>
        <w:rPr>
          <w:spacing w:val="-8"/>
          <w:w w:val="120"/>
          <w:sz w:val="12"/>
        </w:rPr>
        <w:t>03</w:t>
      </w:r>
    </w:p>
    <w:p>
      <w:pPr>
        <w:pStyle w:val="BodyText"/>
        <w:spacing w:before="4"/>
        <w:rPr>
          <w:sz w:val="12"/>
        </w:rPr>
      </w:pPr>
    </w:p>
    <w:p>
      <w:pPr>
        <w:spacing w:line="208" w:lineRule="auto" w:before="0"/>
        <w:ind w:left="197" w:right="351" w:firstLine="0"/>
        <w:jc w:val="left"/>
        <w:rPr>
          <w:sz w:val="12"/>
        </w:rPr>
      </w:pPr>
      <w:r>
        <w:rPr>
          <w:w w:val="110"/>
          <w:sz w:val="12"/>
        </w:rPr>
        <w:t>The fan chart depicting the probability distribution for output growth</w:t>
      </w:r>
      <w:r>
        <w:rPr>
          <w:spacing w:val="-12"/>
          <w:w w:val="110"/>
          <w:sz w:val="12"/>
        </w:rPr>
        <w:t> </w:t>
      </w:r>
      <w:r>
        <w:rPr>
          <w:w w:val="110"/>
          <w:sz w:val="12"/>
        </w:rPr>
        <w:t>is</w:t>
      </w:r>
      <w:r>
        <w:rPr>
          <w:spacing w:val="-11"/>
          <w:w w:val="110"/>
          <w:sz w:val="12"/>
        </w:rPr>
        <w:t> </w:t>
      </w:r>
      <w:r>
        <w:rPr>
          <w:w w:val="110"/>
          <w:sz w:val="12"/>
        </w:rPr>
        <w:t>rather</w:t>
      </w:r>
      <w:r>
        <w:rPr>
          <w:spacing w:val="-11"/>
          <w:w w:val="110"/>
          <w:sz w:val="12"/>
        </w:rPr>
        <w:t> </w:t>
      </w:r>
      <w:r>
        <w:rPr>
          <w:w w:val="110"/>
          <w:sz w:val="12"/>
        </w:rPr>
        <w:t>like</w:t>
      </w:r>
      <w:r>
        <w:rPr>
          <w:spacing w:val="-11"/>
          <w:w w:val="110"/>
          <w:sz w:val="12"/>
        </w:rPr>
        <w:t> </w:t>
      </w:r>
      <w:r>
        <w:rPr>
          <w:w w:val="110"/>
          <w:sz w:val="12"/>
        </w:rPr>
        <w:t>a</w:t>
      </w:r>
      <w:r>
        <w:rPr>
          <w:spacing w:val="-11"/>
          <w:w w:val="110"/>
          <w:sz w:val="12"/>
        </w:rPr>
        <w:t> </w:t>
      </w:r>
      <w:r>
        <w:rPr>
          <w:w w:val="110"/>
          <w:sz w:val="12"/>
        </w:rPr>
        <w:t>contour</w:t>
      </w:r>
      <w:r>
        <w:rPr>
          <w:spacing w:val="-11"/>
          <w:w w:val="110"/>
          <w:sz w:val="12"/>
        </w:rPr>
        <w:t> </w:t>
      </w:r>
      <w:r>
        <w:rPr>
          <w:w w:val="110"/>
          <w:sz w:val="12"/>
        </w:rPr>
        <w:t>map.</w:t>
      </w:r>
      <w:r>
        <w:rPr>
          <w:spacing w:val="10"/>
          <w:w w:val="110"/>
          <w:sz w:val="12"/>
        </w:rPr>
        <w:t> </w:t>
      </w:r>
      <w:r>
        <w:rPr>
          <w:w w:val="110"/>
          <w:sz w:val="12"/>
        </w:rPr>
        <w:t>At</w:t>
      </w:r>
      <w:r>
        <w:rPr>
          <w:spacing w:val="-11"/>
          <w:w w:val="110"/>
          <w:sz w:val="12"/>
        </w:rPr>
        <w:t> </w:t>
      </w:r>
      <w:r>
        <w:rPr>
          <w:w w:val="110"/>
          <w:sz w:val="12"/>
        </w:rPr>
        <w:t>any</w:t>
      </w:r>
      <w:r>
        <w:rPr>
          <w:spacing w:val="-11"/>
          <w:w w:val="110"/>
          <w:sz w:val="12"/>
        </w:rPr>
        <w:t> </w:t>
      </w:r>
      <w:r>
        <w:rPr>
          <w:w w:val="110"/>
          <w:sz w:val="12"/>
        </w:rPr>
        <w:t>given</w:t>
      </w:r>
      <w:r>
        <w:rPr>
          <w:spacing w:val="-11"/>
          <w:w w:val="110"/>
          <w:sz w:val="12"/>
        </w:rPr>
        <w:t> </w:t>
      </w:r>
      <w:r>
        <w:rPr>
          <w:w w:val="110"/>
          <w:sz w:val="12"/>
        </w:rPr>
        <w:t>point</w:t>
      </w:r>
      <w:r>
        <w:rPr>
          <w:spacing w:val="-11"/>
          <w:w w:val="110"/>
          <w:sz w:val="12"/>
        </w:rPr>
        <w:t> </w:t>
      </w:r>
      <w:r>
        <w:rPr>
          <w:w w:val="110"/>
          <w:sz w:val="12"/>
        </w:rPr>
        <w:t>during the forecast period, the depth of shading represents the height of</w:t>
      </w:r>
      <w:r>
        <w:rPr>
          <w:spacing w:val="-11"/>
          <w:w w:val="110"/>
          <w:sz w:val="12"/>
        </w:rPr>
        <w:t> </w:t>
      </w:r>
      <w:r>
        <w:rPr>
          <w:w w:val="110"/>
          <w:sz w:val="12"/>
        </w:rPr>
        <w:t>the</w:t>
      </w:r>
      <w:r>
        <w:rPr>
          <w:spacing w:val="-11"/>
          <w:w w:val="110"/>
          <w:sz w:val="12"/>
        </w:rPr>
        <w:t> </w:t>
      </w:r>
      <w:r>
        <w:rPr>
          <w:w w:val="110"/>
          <w:sz w:val="12"/>
        </w:rPr>
        <w:t>probability</w:t>
      </w:r>
      <w:r>
        <w:rPr>
          <w:spacing w:val="-11"/>
          <w:w w:val="110"/>
          <w:sz w:val="12"/>
        </w:rPr>
        <w:t> </w:t>
      </w:r>
      <w:r>
        <w:rPr>
          <w:w w:val="110"/>
          <w:sz w:val="12"/>
        </w:rPr>
        <w:t>density</w:t>
      </w:r>
      <w:r>
        <w:rPr>
          <w:spacing w:val="-11"/>
          <w:w w:val="110"/>
          <w:sz w:val="12"/>
        </w:rPr>
        <w:t> </w:t>
      </w:r>
      <w:r>
        <w:rPr>
          <w:w w:val="110"/>
          <w:sz w:val="12"/>
        </w:rPr>
        <w:t>function</w:t>
      </w:r>
      <w:r>
        <w:rPr>
          <w:spacing w:val="-11"/>
          <w:w w:val="110"/>
          <w:sz w:val="12"/>
        </w:rPr>
        <w:t> </w:t>
      </w:r>
      <w:r>
        <w:rPr>
          <w:w w:val="110"/>
          <w:sz w:val="12"/>
        </w:rPr>
        <w:t>over</w:t>
      </w:r>
      <w:r>
        <w:rPr>
          <w:spacing w:val="-11"/>
          <w:w w:val="110"/>
          <w:sz w:val="12"/>
        </w:rPr>
        <w:t> </w:t>
      </w:r>
      <w:r>
        <w:rPr>
          <w:w w:val="110"/>
          <w:sz w:val="12"/>
        </w:rPr>
        <w:t>a</w:t>
      </w:r>
      <w:r>
        <w:rPr>
          <w:spacing w:val="-11"/>
          <w:w w:val="110"/>
          <w:sz w:val="12"/>
        </w:rPr>
        <w:t> </w:t>
      </w:r>
      <w:r>
        <w:rPr>
          <w:w w:val="110"/>
          <w:sz w:val="12"/>
        </w:rPr>
        <w:t>range</w:t>
      </w:r>
      <w:r>
        <w:rPr>
          <w:spacing w:val="-11"/>
          <w:w w:val="110"/>
          <w:sz w:val="12"/>
        </w:rPr>
        <w:t> </w:t>
      </w:r>
      <w:r>
        <w:rPr>
          <w:w w:val="110"/>
          <w:sz w:val="12"/>
        </w:rPr>
        <w:t>of</w:t>
      </w:r>
      <w:r>
        <w:rPr>
          <w:spacing w:val="-11"/>
          <w:w w:val="110"/>
          <w:sz w:val="12"/>
        </w:rPr>
        <w:t> </w:t>
      </w:r>
      <w:r>
        <w:rPr>
          <w:w w:val="110"/>
          <w:sz w:val="12"/>
        </w:rPr>
        <w:t>outcomes</w:t>
      </w:r>
      <w:r>
        <w:rPr>
          <w:spacing w:val="-10"/>
          <w:w w:val="110"/>
          <w:sz w:val="12"/>
        </w:rPr>
        <w:t> </w:t>
      </w:r>
      <w:r>
        <w:rPr>
          <w:w w:val="110"/>
          <w:sz w:val="12"/>
        </w:rPr>
        <w:t>for output. The darkest band includes the central (single most likely) projection and covers </w:t>
      </w:r>
      <w:r>
        <w:rPr>
          <w:spacing w:val="-5"/>
          <w:w w:val="110"/>
          <w:sz w:val="12"/>
        </w:rPr>
        <w:t>10% </w:t>
      </w:r>
      <w:r>
        <w:rPr>
          <w:w w:val="110"/>
          <w:sz w:val="12"/>
        </w:rPr>
        <w:t>of the </w:t>
      </w:r>
      <w:r>
        <w:rPr>
          <w:spacing w:val="-3"/>
          <w:w w:val="110"/>
          <w:sz w:val="12"/>
        </w:rPr>
        <w:t>probability. </w:t>
      </w:r>
      <w:r>
        <w:rPr>
          <w:w w:val="110"/>
          <w:sz w:val="12"/>
        </w:rPr>
        <w:t>Each successive</w:t>
      </w:r>
      <w:r>
        <w:rPr>
          <w:spacing w:val="-11"/>
          <w:w w:val="110"/>
          <w:sz w:val="12"/>
        </w:rPr>
        <w:t> </w:t>
      </w:r>
      <w:r>
        <w:rPr>
          <w:w w:val="110"/>
          <w:sz w:val="12"/>
        </w:rPr>
        <w:t>pair</w:t>
      </w:r>
      <w:r>
        <w:rPr>
          <w:spacing w:val="-10"/>
          <w:w w:val="110"/>
          <w:sz w:val="12"/>
        </w:rPr>
        <w:t> </w:t>
      </w:r>
      <w:r>
        <w:rPr>
          <w:w w:val="110"/>
          <w:sz w:val="12"/>
        </w:rPr>
        <w:t>of</w:t>
      </w:r>
      <w:r>
        <w:rPr>
          <w:spacing w:val="-10"/>
          <w:w w:val="110"/>
          <w:sz w:val="12"/>
        </w:rPr>
        <w:t> </w:t>
      </w:r>
      <w:r>
        <w:rPr>
          <w:w w:val="110"/>
          <w:sz w:val="12"/>
        </w:rPr>
        <w:t>bands</w:t>
      </w:r>
      <w:r>
        <w:rPr>
          <w:spacing w:val="-10"/>
          <w:w w:val="110"/>
          <w:sz w:val="12"/>
        </w:rPr>
        <w:t> </w:t>
      </w:r>
      <w:r>
        <w:rPr>
          <w:w w:val="110"/>
          <w:sz w:val="12"/>
        </w:rPr>
        <w:t>is</w:t>
      </w:r>
      <w:r>
        <w:rPr>
          <w:spacing w:val="-10"/>
          <w:w w:val="110"/>
          <w:sz w:val="12"/>
        </w:rPr>
        <w:t> </w:t>
      </w:r>
      <w:r>
        <w:rPr>
          <w:w w:val="110"/>
          <w:sz w:val="12"/>
        </w:rPr>
        <w:t>drawn</w:t>
      </w:r>
      <w:r>
        <w:rPr>
          <w:spacing w:val="-10"/>
          <w:w w:val="110"/>
          <w:sz w:val="12"/>
        </w:rPr>
        <w:t> </w:t>
      </w:r>
      <w:r>
        <w:rPr>
          <w:w w:val="110"/>
          <w:sz w:val="12"/>
        </w:rPr>
        <w:t>to</w:t>
      </w:r>
      <w:r>
        <w:rPr>
          <w:spacing w:val="-11"/>
          <w:w w:val="110"/>
          <w:sz w:val="12"/>
        </w:rPr>
        <w:t> </w:t>
      </w:r>
      <w:r>
        <w:rPr>
          <w:w w:val="110"/>
          <w:sz w:val="12"/>
        </w:rPr>
        <w:t>cover</w:t>
      </w:r>
      <w:r>
        <w:rPr>
          <w:spacing w:val="-10"/>
          <w:w w:val="110"/>
          <w:sz w:val="12"/>
        </w:rPr>
        <w:t> </w:t>
      </w:r>
      <w:r>
        <w:rPr>
          <w:w w:val="110"/>
          <w:sz w:val="12"/>
        </w:rPr>
        <w:t>a</w:t>
      </w:r>
      <w:r>
        <w:rPr>
          <w:spacing w:val="-10"/>
          <w:w w:val="110"/>
          <w:sz w:val="12"/>
        </w:rPr>
        <w:t> </w:t>
      </w:r>
      <w:r>
        <w:rPr>
          <w:w w:val="110"/>
          <w:sz w:val="12"/>
        </w:rPr>
        <w:t>further</w:t>
      </w:r>
      <w:r>
        <w:rPr>
          <w:spacing w:val="-10"/>
          <w:w w:val="110"/>
          <w:sz w:val="12"/>
        </w:rPr>
        <w:t> </w:t>
      </w:r>
      <w:r>
        <w:rPr>
          <w:spacing w:val="-5"/>
          <w:w w:val="110"/>
          <w:sz w:val="12"/>
        </w:rPr>
        <w:t>10%</w:t>
      </w:r>
      <w:r>
        <w:rPr>
          <w:spacing w:val="-10"/>
          <w:w w:val="110"/>
          <w:sz w:val="12"/>
        </w:rPr>
        <w:t> </w:t>
      </w:r>
      <w:r>
        <w:rPr>
          <w:w w:val="110"/>
          <w:sz w:val="12"/>
        </w:rPr>
        <w:t>of</w:t>
      </w:r>
      <w:r>
        <w:rPr>
          <w:spacing w:val="-10"/>
          <w:w w:val="110"/>
          <w:sz w:val="12"/>
        </w:rPr>
        <w:t> </w:t>
      </w:r>
      <w:r>
        <w:rPr>
          <w:w w:val="110"/>
          <w:sz w:val="12"/>
        </w:rPr>
        <w:t>the </w:t>
      </w:r>
      <w:r>
        <w:rPr>
          <w:spacing w:val="-3"/>
          <w:w w:val="110"/>
          <w:sz w:val="12"/>
        </w:rPr>
        <w:t>probability,</w:t>
      </w:r>
      <w:r>
        <w:rPr>
          <w:spacing w:val="-13"/>
          <w:w w:val="110"/>
          <w:sz w:val="12"/>
        </w:rPr>
        <w:t> </w:t>
      </w:r>
      <w:r>
        <w:rPr>
          <w:w w:val="110"/>
          <w:sz w:val="12"/>
        </w:rPr>
        <w:t>until</w:t>
      </w:r>
      <w:r>
        <w:rPr>
          <w:spacing w:val="-12"/>
          <w:w w:val="110"/>
          <w:sz w:val="12"/>
        </w:rPr>
        <w:t> </w:t>
      </w:r>
      <w:r>
        <w:rPr>
          <w:w w:val="110"/>
          <w:sz w:val="12"/>
        </w:rPr>
        <w:t>90%</w:t>
      </w:r>
      <w:r>
        <w:rPr>
          <w:spacing w:val="-12"/>
          <w:w w:val="110"/>
          <w:sz w:val="12"/>
        </w:rPr>
        <w:t> </w:t>
      </w:r>
      <w:r>
        <w:rPr>
          <w:w w:val="110"/>
          <w:sz w:val="12"/>
        </w:rPr>
        <w:t>of</w:t>
      </w:r>
      <w:r>
        <w:rPr>
          <w:spacing w:val="-12"/>
          <w:w w:val="110"/>
          <w:sz w:val="12"/>
        </w:rPr>
        <w:t> </w:t>
      </w:r>
      <w:r>
        <w:rPr>
          <w:w w:val="110"/>
          <w:sz w:val="12"/>
        </w:rPr>
        <w:t>the</w:t>
      </w:r>
      <w:r>
        <w:rPr>
          <w:spacing w:val="-12"/>
          <w:w w:val="110"/>
          <w:sz w:val="12"/>
        </w:rPr>
        <w:t> </w:t>
      </w:r>
      <w:r>
        <w:rPr>
          <w:w w:val="110"/>
          <w:sz w:val="12"/>
        </w:rPr>
        <w:t>probability</w:t>
      </w:r>
      <w:r>
        <w:rPr>
          <w:spacing w:val="-12"/>
          <w:w w:val="110"/>
          <w:sz w:val="12"/>
        </w:rPr>
        <w:t> </w:t>
      </w:r>
      <w:r>
        <w:rPr>
          <w:w w:val="110"/>
          <w:sz w:val="12"/>
        </w:rPr>
        <w:t>distribution</w:t>
      </w:r>
      <w:r>
        <w:rPr>
          <w:spacing w:val="-12"/>
          <w:w w:val="110"/>
          <w:sz w:val="12"/>
        </w:rPr>
        <w:t> </w:t>
      </w:r>
      <w:r>
        <w:rPr>
          <w:w w:val="110"/>
          <w:sz w:val="12"/>
        </w:rPr>
        <w:t>is</w:t>
      </w:r>
      <w:r>
        <w:rPr>
          <w:spacing w:val="-12"/>
          <w:w w:val="110"/>
          <w:sz w:val="12"/>
        </w:rPr>
        <w:t> </w:t>
      </w:r>
      <w:r>
        <w:rPr>
          <w:w w:val="110"/>
          <w:sz w:val="12"/>
        </w:rPr>
        <w:t>covered. The bands widen as the time horizon is extended, indicating increasing uncertainty about</w:t>
      </w:r>
      <w:r>
        <w:rPr>
          <w:spacing w:val="-13"/>
          <w:w w:val="110"/>
          <w:sz w:val="12"/>
        </w:rPr>
        <w:t> </w:t>
      </w:r>
      <w:r>
        <w:rPr>
          <w:w w:val="110"/>
          <w:sz w:val="12"/>
        </w:rPr>
        <w:t>outcomes.</w:t>
      </w:r>
    </w:p>
    <w:p>
      <w:pPr>
        <w:pStyle w:val="BodyText"/>
        <w:spacing w:line="292" w:lineRule="auto" w:before="64"/>
        <w:ind w:left="332" w:right="137"/>
      </w:pPr>
      <w:r>
        <w:rPr/>
        <w:br w:type="column"/>
      </w:r>
      <w:r>
        <w:rPr>
          <w:w w:val="110"/>
        </w:rPr>
        <w:t>Drawing</w:t>
      </w:r>
      <w:r>
        <w:rPr>
          <w:spacing w:val="-19"/>
          <w:w w:val="110"/>
        </w:rPr>
        <w:t> </w:t>
      </w:r>
      <w:r>
        <w:rPr>
          <w:w w:val="110"/>
        </w:rPr>
        <w:t>the</w:t>
      </w:r>
      <w:r>
        <w:rPr>
          <w:spacing w:val="-18"/>
          <w:w w:val="110"/>
        </w:rPr>
        <w:t> </w:t>
      </w:r>
      <w:r>
        <w:rPr>
          <w:w w:val="110"/>
        </w:rPr>
        <w:t>picture</w:t>
      </w:r>
      <w:r>
        <w:rPr>
          <w:spacing w:val="-19"/>
          <w:w w:val="110"/>
        </w:rPr>
        <w:t> </w:t>
      </w:r>
      <w:r>
        <w:rPr>
          <w:spacing w:val="-3"/>
          <w:w w:val="110"/>
        </w:rPr>
        <w:t>together,</w:t>
      </w:r>
      <w:r>
        <w:rPr>
          <w:spacing w:val="-18"/>
          <w:w w:val="110"/>
        </w:rPr>
        <w:t> </w:t>
      </w:r>
      <w:r>
        <w:rPr>
          <w:w w:val="110"/>
        </w:rPr>
        <w:t>the</w:t>
      </w:r>
      <w:r>
        <w:rPr>
          <w:spacing w:val="-19"/>
          <w:w w:val="110"/>
        </w:rPr>
        <w:t> </w:t>
      </w:r>
      <w:r>
        <w:rPr>
          <w:w w:val="110"/>
        </w:rPr>
        <w:t>outlook</w:t>
      </w:r>
      <w:r>
        <w:rPr>
          <w:spacing w:val="-18"/>
          <w:w w:val="110"/>
        </w:rPr>
        <w:t> </w:t>
      </w:r>
      <w:r>
        <w:rPr>
          <w:w w:val="110"/>
        </w:rPr>
        <w:t>for</w:t>
      </w:r>
      <w:r>
        <w:rPr>
          <w:spacing w:val="-19"/>
          <w:w w:val="110"/>
        </w:rPr>
        <w:t> </w:t>
      </w:r>
      <w:r>
        <w:rPr>
          <w:w w:val="110"/>
        </w:rPr>
        <w:t>real</w:t>
      </w:r>
      <w:r>
        <w:rPr>
          <w:spacing w:val="-18"/>
          <w:w w:val="110"/>
        </w:rPr>
        <w:t> </w:t>
      </w:r>
      <w:r>
        <w:rPr>
          <w:w w:val="110"/>
        </w:rPr>
        <w:t>GDP</w:t>
      </w:r>
      <w:r>
        <w:rPr>
          <w:spacing w:val="-19"/>
          <w:w w:val="110"/>
        </w:rPr>
        <w:t> </w:t>
      </w:r>
      <w:r>
        <w:rPr>
          <w:spacing w:val="-3"/>
          <w:w w:val="110"/>
        </w:rPr>
        <w:t>growth over </w:t>
      </w:r>
      <w:r>
        <w:rPr>
          <w:w w:val="110"/>
        </w:rPr>
        <w:t>the next </w:t>
      </w:r>
      <w:r>
        <w:rPr>
          <w:spacing w:val="-5"/>
          <w:w w:val="110"/>
        </w:rPr>
        <w:t>two </w:t>
      </w:r>
      <w:r>
        <w:rPr>
          <w:spacing w:val="-3"/>
          <w:w w:val="110"/>
        </w:rPr>
        <w:t>years </w:t>
      </w:r>
      <w:r>
        <w:rPr>
          <w:w w:val="110"/>
        </w:rPr>
        <w:t>is shown in Chart 6.1.</w:t>
      </w:r>
      <w:r>
        <w:rPr>
          <w:w w:val="110"/>
          <w:position w:val="5"/>
          <w:sz w:val="14"/>
        </w:rPr>
        <w:t>(1)</w:t>
      </w:r>
      <w:r>
        <w:rPr>
          <w:spacing w:val="38"/>
          <w:w w:val="110"/>
          <w:position w:val="5"/>
          <w:sz w:val="14"/>
        </w:rPr>
        <w:t> </w:t>
      </w:r>
      <w:r>
        <w:rPr>
          <w:w w:val="110"/>
        </w:rPr>
        <w:t>This projection is conditioned on the assumption of unchanged UK</w:t>
      </w:r>
      <w:r>
        <w:rPr>
          <w:spacing w:val="-12"/>
          <w:w w:val="110"/>
        </w:rPr>
        <w:t> </w:t>
      </w:r>
      <w:r>
        <w:rPr>
          <w:w w:val="110"/>
        </w:rPr>
        <w:t>official</w:t>
      </w:r>
      <w:r>
        <w:rPr>
          <w:spacing w:val="-11"/>
          <w:w w:val="110"/>
        </w:rPr>
        <w:t> </w:t>
      </w:r>
      <w:r>
        <w:rPr>
          <w:spacing w:val="-3"/>
          <w:w w:val="110"/>
        </w:rPr>
        <w:t>interest</w:t>
      </w:r>
      <w:r>
        <w:rPr>
          <w:spacing w:val="-11"/>
          <w:w w:val="110"/>
        </w:rPr>
        <w:t> </w:t>
      </w:r>
      <w:r>
        <w:rPr>
          <w:spacing w:val="-4"/>
          <w:w w:val="110"/>
        </w:rPr>
        <w:t>rates</w:t>
      </w:r>
      <w:r>
        <w:rPr>
          <w:spacing w:val="-11"/>
          <w:w w:val="110"/>
        </w:rPr>
        <w:t> </w:t>
      </w:r>
      <w:r>
        <w:rPr>
          <w:w w:val="110"/>
        </w:rPr>
        <w:t>at</w:t>
      </w:r>
      <w:r>
        <w:rPr>
          <w:spacing w:val="-11"/>
          <w:w w:val="110"/>
        </w:rPr>
        <w:t> </w:t>
      </w:r>
      <w:r>
        <w:rPr>
          <w:spacing w:val="-5"/>
          <w:w w:val="110"/>
        </w:rPr>
        <w:t>5.75%.</w:t>
      </w:r>
      <w:r>
        <w:rPr>
          <w:spacing w:val="-5"/>
          <w:w w:val="110"/>
          <w:position w:val="5"/>
          <w:sz w:val="14"/>
        </w:rPr>
        <w:t>(2)</w:t>
      </w:r>
      <w:r>
        <w:rPr>
          <w:spacing w:val="16"/>
          <w:w w:val="110"/>
          <w:position w:val="5"/>
          <w:sz w:val="14"/>
        </w:rPr>
        <w:t> </w:t>
      </w:r>
      <w:r>
        <w:rPr>
          <w:w w:val="110"/>
        </w:rPr>
        <w:t>On</w:t>
      </w:r>
      <w:r>
        <w:rPr>
          <w:spacing w:val="-11"/>
          <w:w w:val="110"/>
        </w:rPr>
        <w:t> </w:t>
      </w:r>
      <w:r>
        <w:rPr>
          <w:w w:val="110"/>
        </w:rPr>
        <w:t>the</w:t>
      </w:r>
      <w:r>
        <w:rPr>
          <w:spacing w:val="-11"/>
          <w:w w:val="110"/>
        </w:rPr>
        <w:t> </w:t>
      </w:r>
      <w:r>
        <w:rPr>
          <w:w w:val="110"/>
        </w:rPr>
        <w:t>revised</w:t>
      </w:r>
      <w:r>
        <w:rPr>
          <w:spacing w:val="-11"/>
          <w:w w:val="110"/>
        </w:rPr>
        <w:t> </w:t>
      </w:r>
      <w:r>
        <w:rPr>
          <w:w w:val="110"/>
        </w:rPr>
        <w:t>data,</w:t>
      </w:r>
    </w:p>
    <w:p>
      <w:pPr>
        <w:pStyle w:val="BodyText"/>
        <w:spacing w:line="292" w:lineRule="auto"/>
        <w:ind w:left="332" w:right="198"/>
      </w:pPr>
      <w:r>
        <w:rPr>
          <w:spacing w:val="-4"/>
          <w:w w:val="110"/>
        </w:rPr>
        <w:t>four-quarter </w:t>
      </w:r>
      <w:r>
        <w:rPr>
          <w:w w:val="110"/>
        </w:rPr>
        <w:t>GDP growth peaked at 3.5% in the second quarter of </w:t>
      </w:r>
      <w:r>
        <w:rPr>
          <w:spacing w:val="-4"/>
          <w:w w:val="110"/>
        </w:rPr>
        <w:t>2000 </w:t>
      </w:r>
      <w:r>
        <w:rPr>
          <w:w w:val="110"/>
        </w:rPr>
        <w:t>and has subsequently </w:t>
      </w:r>
      <w:r>
        <w:rPr>
          <w:spacing w:val="-3"/>
          <w:w w:val="110"/>
        </w:rPr>
        <w:t>slowed </w:t>
      </w:r>
      <w:r>
        <w:rPr>
          <w:spacing w:val="-4"/>
          <w:w w:val="110"/>
        </w:rPr>
        <w:t>to </w:t>
      </w:r>
      <w:r>
        <w:rPr>
          <w:w w:val="110"/>
        </w:rPr>
        <w:t>3.0% in the third quarter and </w:t>
      </w:r>
      <w:r>
        <w:rPr>
          <w:spacing w:val="-4"/>
          <w:w w:val="110"/>
        </w:rPr>
        <w:t>to </w:t>
      </w:r>
      <w:r>
        <w:rPr>
          <w:w w:val="110"/>
        </w:rPr>
        <w:t>2.4% in the fourth according </w:t>
      </w:r>
      <w:r>
        <w:rPr>
          <w:spacing w:val="-4"/>
          <w:w w:val="110"/>
        </w:rPr>
        <w:t>to </w:t>
      </w:r>
      <w:r>
        <w:rPr>
          <w:w w:val="110"/>
        </w:rPr>
        <w:t>the preliminary estimate. The most recent outturn </w:t>
      </w:r>
      <w:r>
        <w:rPr>
          <w:spacing w:val="-3"/>
          <w:w w:val="110"/>
        </w:rPr>
        <w:t>was </w:t>
      </w:r>
      <w:r>
        <w:rPr>
          <w:w w:val="110"/>
        </w:rPr>
        <w:t>a little weaker than projected in the November </w:t>
      </w:r>
      <w:r>
        <w:rPr>
          <w:i/>
          <w:w w:val="110"/>
        </w:rPr>
        <w:t>Report</w:t>
      </w:r>
      <w:r>
        <w:rPr>
          <w:w w:val="110"/>
        </w:rPr>
        <w:t>, although, as noted </w:t>
      </w:r>
      <w:r>
        <w:rPr>
          <w:spacing w:val="-3"/>
          <w:w w:val="110"/>
        </w:rPr>
        <w:t>above, </w:t>
      </w:r>
      <w:r>
        <w:rPr>
          <w:w w:val="110"/>
        </w:rPr>
        <w:t>it is likely that special </w:t>
      </w:r>
      <w:r>
        <w:rPr>
          <w:spacing w:val="-3"/>
          <w:w w:val="110"/>
        </w:rPr>
        <w:t>factors have exaggerated </w:t>
      </w:r>
      <w:r>
        <w:rPr>
          <w:w w:val="110"/>
        </w:rPr>
        <w:t>the</w:t>
      </w:r>
      <w:r>
        <w:rPr>
          <w:spacing w:val="-16"/>
          <w:w w:val="110"/>
        </w:rPr>
        <w:t> </w:t>
      </w:r>
      <w:r>
        <w:rPr>
          <w:spacing w:val="-3"/>
          <w:w w:val="110"/>
        </w:rPr>
        <w:t>extent</w:t>
      </w:r>
      <w:r>
        <w:rPr>
          <w:spacing w:val="-16"/>
          <w:w w:val="110"/>
        </w:rPr>
        <w:t> </w:t>
      </w:r>
      <w:r>
        <w:rPr>
          <w:w w:val="110"/>
        </w:rPr>
        <w:t>of</w:t>
      </w:r>
      <w:r>
        <w:rPr>
          <w:spacing w:val="-16"/>
          <w:w w:val="110"/>
        </w:rPr>
        <w:t> </w:t>
      </w:r>
      <w:r>
        <w:rPr>
          <w:w w:val="110"/>
        </w:rPr>
        <w:t>the</w:t>
      </w:r>
      <w:r>
        <w:rPr>
          <w:spacing w:val="-16"/>
          <w:w w:val="110"/>
        </w:rPr>
        <w:t> </w:t>
      </w:r>
      <w:r>
        <w:rPr>
          <w:w w:val="110"/>
        </w:rPr>
        <w:t>underlying</w:t>
      </w:r>
      <w:r>
        <w:rPr>
          <w:spacing w:val="-16"/>
          <w:w w:val="110"/>
        </w:rPr>
        <w:t> </w:t>
      </w:r>
      <w:r>
        <w:rPr>
          <w:w w:val="110"/>
        </w:rPr>
        <w:t>deceleration.</w:t>
      </w:r>
      <w:r>
        <w:rPr>
          <w:spacing w:val="24"/>
          <w:w w:val="110"/>
        </w:rPr>
        <w:t> </w:t>
      </w:r>
      <w:r>
        <w:rPr>
          <w:w w:val="110"/>
        </w:rPr>
        <w:t>Output</w:t>
      </w:r>
      <w:r>
        <w:rPr>
          <w:spacing w:val="-15"/>
          <w:w w:val="110"/>
        </w:rPr>
        <w:t> </w:t>
      </w:r>
      <w:r>
        <w:rPr>
          <w:w w:val="110"/>
        </w:rPr>
        <w:t>growth</w:t>
      </w:r>
      <w:r>
        <w:rPr>
          <w:spacing w:val="-16"/>
          <w:w w:val="110"/>
        </w:rPr>
        <w:t> </w:t>
      </w:r>
      <w:r>
        <w:rPr>
          <w:spacing w:val="-3"/>
          <w:w w:val="110"/>
        </w:rPr>
        <w:t>may </w:t>
      </w:r>
      <w:r>
        <w:rPr>
          <w:w w:val="110"/>
        </w:rPr>
        <w:t>well bounce back somewhat in </w:t>
      </w:r>
      <w:r>
        <w:rPr>
          <w:spacing w:val="-11"/>
          <w:w w:val="110"/>
        </w:rPr>
        <w:t>2001 </w:t>
      </w:r>
      <w:r>
        <w:rPr>
          <w:w w:val="110"/>
        </w:rPr>
        <w:t>Q1 as those elements unwind.</w:t>
      </w:r>
      <w:r>
        <w:rPr>
          <w:spacing w:val="15"/>
          <w:w w:val="110"/>
        </w:rPr>
        <w:t> </w:t>
      </w:r>
      <w:r>
        <w:rPr>
          <w:w w:val="110"/>
        </w:rPr>
        <w:t>But</w:t>
      </w:r>
      <w:r>
        <w:rPr>
          <w:spacing w:val="-20"/>
          <w:w w:val="110"/>
        </w:rPr>
        <w:t> </w:t>
      </w:r>
      <w:r>
        <w:rPr>
          <w:w w:val="110"/>
        </w:rPr>
        <w:t>growth</w:t>
      </w:r>
      <w:r>
        <w:rPr>
          <w:spacing w:val="-20"/>
          <w:w w:val="110"/>
        </w:rPr>
        <w:t> </w:t>
      </w:r>
      <w:r>
        <w:rPr>
          <w:spacing w:val="-3"/>
          <w:w w:val="110"/>
        </w:rPr>
        <w:t>over</w:t>
      </w:r>
      <w:r>
        <w:rPr>
          <w:spacing w:val="-20"/>
          <w:w w:val="110"/>
        </w:rPr>
        <w:t> </w:t>
      </w:r>
      <w:r>
        <w:rPr>
          <w:w w:val="110"/>
        </w:rPr>
        <w:t>the</w:t>
      </w:r>
      <w:r>
        <w:rPr>
          <w:spacing w:val="-20"/>
          <w:w w:val="110"/>
        </w:rPr>
        <w:t> </w:t>
      </w:r>
      <w:r>
        <w:rPr>
          <w:w w:val="110"/>
        </w:rPr>
        <w:t>remainder</w:t>
      </w:r>
      <w:r>
        <w:rPr>
          <w:spacing w:val="-20"/>
          <w:w w:val="110"/>
        </w:rPr>
        <w:t> </w:t>
      </w:r>
      <w:r>
        <w:rPr>
          <w:w w:val="110"/>
        </w:rPr>
        <w:t>of</w:t>
      </w:r>
      <w:r>
        <w:rPr>
          <w:spacing w:val="-21"/>
          <w:w w:val="110"/>
        </w:rPr>
        <w:t> </w:t>
      </w:r>
      <w:r>
        <w:rPr>
          <w:w w:val="110"/>
        </w:rPr>
        <w:t>the</w:t>
      </w:r>
      <w:r>
        <w:rPr>
          <w:spacing w:val="-20"/>
          <w:w w:val="110"/>
        </w:rPr>
        <w:t> </w:t>
      </w:r>
      <w:r>
        <w:rPr>
          <w:w w:val="110"/>
        </w:rPr>
        <w:t>year</w:t>
      </w:r>
      <w:r>
        <w:rPr>
          <w:spacing w:val="-20"/>
          <w:w w:val="110"/>
        </w:rPr>
        <w:t> </w:t>
      </w:r>
      <w:r>
        <w:rPr>
          <w:w w:val="110"/>
        </w:rPr>
        <w:t>is</w:t>
      </w:r>
      <w:r>
        <w:rPr>
          <w:spacing w:val="-20"/>
          <w:w w:val="110"/>
        </w:rPr>
        <w:t> </w:t>
      </w:r>
      <w:r>
        <w:rPr>
          <w:w w:val="110"/>
        </w:rPr>
        <w:t>likely</w:t>
      </w:r>
      <w:r>
        <w:rPr>
          <w:spacing w:val="-20"/>
          <w:w w:val="110"/>
        </w:rPr>
        <w:t> </w:t>
      </w:r>
      <w:r>
        <w:rPr>
          <w:spacing w:val="-4"/>
          <w:w w:val="110"/>
        </w:rPr>
        <w:t>to </w:t>
      </w:r>
      <w:r>
        <w:rPr>
          <w:w w:val="110"/>
        </w:rPr>
        <w:t>dip a little below trend </w:t>
      </w:r>
      <w:r>
        <w:rPr>
          <w:spacing w:val="-4"/>
          <w:w w:val="110"/>
        </w:rPr>
        <w:t>rates </w:t>
      </w:r>
      <w:r>
        <w:rPr>
          <w:w w:val="110"/>
        </w:rPr>
        <w:t>as consumer spending </w:t>
      </w:r>
      <w:r>
        <w:rPr>
          <w:spacing w:val="-3"/>
          <w:w w:val="110"/>
        </w:rPr>
        <w:t>growth </w:t>
      </w:r>
      <w:r>
        <w:rPr>
          <w:w w:val="110"/>
        </w:rPr>
        <w:t>slows,</w:t>
      </w:r>
      <w:r>
        <w:rPr>
          <w:spacing w:val="-26"/>
          <w:w w:val="110"/>
        </w:rPr>
        <w:t> </w:t>
      </w:r>
      <w:r>
        <w:rPr>
          <w:w w:val="110"/>
        </w:rPr>
        <w:t>as</w:t>
      </w:r>
      <w:r>
        <w:rPr>
          <w:spacing w:val="-25"/>
          <w:w w:val="110"/>
        </w:rPr>
        <w:t> </w:t>
      </w:r>
      <w:r>
        <w:rPr>
          <w:w w:val="110"/>
        </w:rPr>
        <w:t>business</w:t>
      </w:r>
      <w:r>
        <w:rPr>
          <w:spacing w:val="-25"/>
          <w:w w:val="110"/>
        </w:rPr>
        <w:t> </w:t>
      </w:r>
      <w:r>
        <w:rPr>
          <w:spacing w:val="-3"/>
          <w:w w:val="110"/>
        </w:rPr>
        <w:t>investment</w:t>
      </w:r>
      <w:r>
        <w:rPr>
          <w:spacing w:val="-25"/>
          <w:w w:val="110"/>
        </w:rPr>
        <w:t> </w:t>
      </w:r>
      <w:r>
        <w:rPr>
          <w:w w:val="110"/>
        </w:rPr>
        <w:t>growth</w:t>
      </w:r>
      <w:r>
        <w:rPr>
          <w:spacing w:val="-25"/>
          <w:w w:val="110"/>
        </w:rPr>
        <w:t> </w:t>
      </w:r>
      <w:r>
        <w:rPr>
          <w:w w:val="110"/>
        </w:rPr>
        <w:t>remains</w:t>
      </w:r>
      <w:r>
        <w:rPr>
          <w:spacing w:val="-26"/>
          <w:w w:val="110"/>
        </w:rPr>
        <w:t> </w:t>
      </w:r>
      <w:r>
        <w:rPr>
          <w:w w:val="110"/>
        </w:rPr>
        <w:t>subdued,</w:t>
      </w:r>
      <w:r>
        <w:rPr>
          <w:spacing w:val="-25"/>
          <w:w w:val="110"/>
        </w:rPr>
        <w:t> </w:t>
      </w:r>
      <w:r>
        <w:rPr>
          <w:w w:val="110"/>
        </w:rPr>
        <w:t>and</w:t>
      </w:r>
      <w:r>
        <w:rPr>
          <w:spacing w:val="-25"/>
          <w:w w:val="110"/>
        </w:rPr>
        <w:t> </w:t>
      </w:r>
      <w:r>
        <w:rPr>
          <w:w w:val="110"/>
        </w:rPr>
        <w:t>as the net trade position weakens. These elements </w:t>
      </w:r>
      <w:r>
        <w:rPr>
          <w:spacing w:val="-3"/>
          <w:w w:val="110"/>
        </w:rPr>
        <w:t>outweigh </w:t>
      </w:r>
      <w:r>
        <w:rPr>
          <w:w w:val="110"/>
        </w:rPr>
        <w:t>the stimulus from strong public spending growth. </w:t>
      </w:r>
      <w:r>
        <w:rPr>
          <w:spacing w:val="-3"/>
          <w:w w:val="110"/>
        </w:rPr>
        <w:t>Thereafter, </w:t>
      </w:r>
      <w:r>
        <w:rPr>
          <w:spacing w:val="-2"/>
          <w:w w:val="110"/>
        </w:rPr>
        <w:t>growth </w:t>
      </w:r>
      <w:r>
        <w:rPr>
          <w:w w:val="110"/>
        </w:rPr>
        <w:t>is </w:t>
      </w:r>
      <w:r>
        <w:rPr>
          <w:spacing w:val="-3"/>
          <w:w w:val="110"/>
        </w:rPr>
        <w:t>projected </w:t>
      </w:r>
      <w:r>
        <w:rPr>
          <w:spacing w:val="-4"/>
          <w:w w:val="110"/>
        </w:rPr>
        <w:t>to </w:t>
      </w:r>
      <w:r>
        <w:rPr>
          <w:w w:val="110"/>
        </w:rPr>
        <w:t>edge up </w:t>
      </w:r>
      <w:r>
        <w:rPr>
          <w:spacing w:val="-4"/>
          <w:w w:val="110"/>
        </w:rPr>
        <w:t>to </w:t>
      </w:r>
      <w:r>
        <w:rPr>
          <w:w w:val="110"/>
        </w:rPr>
        <w:t>around, or a little above, trend as business </w:t>
      </w:r>
      <w:r>
        <w:rPr>
          <w:spacing w:val="-3"/>
          <w:w w:val="110"/>
        </w:rPr>
        <w:t>investment </w:t>
      </w:r>
      <w:r>
        <w:rPr>
          <w:w w:val="110"/>
        </w:rPr>
        <w:t>strengthens, as consumer spending growth stabilises, and as </w:t>
      </w:r>
      <w:r>
        <w:rPr>
          <w:spacing w:val="-3"/>
          <w:w w:val="110"/>
        </w:rPr>
        <w:t>world </w:t>
      </w:r>
      <w:r>
        <w:rPr>
          <w:w w:val="110"/>
        </w:rPr>
        <w:t>output and </w:t>
      </w:r>
      <w:r>
        <w:rPr>
          <w:spacing w:val="-3"/>
          <w:w w:val="110"/>
        </w:rPr>
        <w:t>trade </w:t>
      </w:r>
      <w:r>
        <w:rPr>
          <w:w w:val="110"/>
        </w:rPr>
        <w:t>growth</w:t>
      </w:r>
      <w:r>
        <w:rPr>
          <w:spacing w:val="-14"/>
          <w:w w:val="110"/>
        </w:rPr>
        <w:t> </w:t>
      </w:r>
      <w:r>
        <w:rPr>
          <w:spacing w:val="-4"/>
          <w:w w:val="110"/>
        </w:rPr>
        <w:t>recover.</w:t>
      </w:r>
      <w:r>
        <w:rPr>
          <w:spacing w:val="28"/>
          <w:w w:val="110"/>
        </w:rPr>
        <w:t> </w:t>
      </w:r>
      <w:r>
        <w:rPr>
          <w:w w:val="110"/>
        </w:rPr>
        <w:t>The</w:t>
      </w:r>
      <w:r>
        <w:rPr>
          <w:spacing w:val="-14"/>
          <w:w w:val="110"/>
        </w:rPr>
        <w:t> </w:t>
      </w:r>
      <w:r>
        <w:rPr>
          <w:spacing w:val="-5"/>
          <w:w w:val="110"/>
        </w:rPr>
        <w:t>near-term</w:t>
      </w:r>
      <w:r>
        <w:rPr>
          <w:spacing w:val="-13"/>
          <w:w w:val="110"/>
        </w:rPr>
        <w:t> </w:t>
      </w:r>
      <w:r>
        <w:rPr>
          <w:w w:val="110"/>
        </w:rPr>
        <w:t>outlook</w:t>
      </w:r>
      <w:r>
        <w:rPr>
          <w:spacing w:val="-14"/>
          <w:w w:val="110"/>
        </w:rPr>
        <w:t> </w:t>
      </w:r>
      <w:r>
        <w:rPr>
          <w:w w:val="110"/>
        </w:rPr>
        <w:t>for</w:t>
      </w:r>
      <w:r>
        <w:rPr>
          <w:spacing w:val="-14"/>
          <w:w w:val="110"/>
        </w:rPr>
        <w:t> </w:t>
      </w:r>
      <w:r>
        <w:rPr>
          <w:w w:val="110"/>
        </w:rPr>
        <w:t>growth</w:t>
      </w:r>
      <w:r>
        <w:rPr>
          <w:spacing w:val="-14"/>
          <w:w w:val="110"/>
        </w:rPr>
        <w:t> </w:t>
      </w:r>
      <w:r>
        <w:rPr>
          <w:w w:val="110"/>
        </w:rPr>
        <w:t>is</w:t>
      </w:r>
      <w:r>
        <w:rPr>
          <w:spacing w:val="-13"/>
          <w:w w:val="110"/>
        </w:rPr>
        <w:t> </w:t>
      </w:r>
      <w:r>
        <w:rPr>
          <w:w w:val="110"/>
        </w:rPr>
        <w:t>rather</w:t>
      </w:r>
    </w:p>
    <w:p>
      <w:pPr>
        <w:pStyle w:val="BodyText"/>
        <w:spacing w:before="2"/>
        <w:rPr>
          <w:sz w:val="8"/>
        </w:rPr>
      </w:pPr>
    </w:p>
    <w:p>
      <w:pPr>
        <w:pStyle w:val="BodyText"/>
        <w:spacing w:line="20" w:lineRule="exact"/>
        <w:ind w:left="174"/>
        <w:rPr>
          <w:sz w:val="2"/>
        </w:rPr>
      </w:pPr>
      <w:r>
        <w:rPr>
          <w:sz w:val="2"/>
        </w:rPr>
        <w:pict>
          <v:group style="width:276.6pt;height:.15pt;mso-position-horizontal-relative:char;mso-position-vertical-relative:line" coordorigin="0,0" coordsize="5532,3">
            <v:line style="position:absolute" from="0,1" to="5532,1" stroked="true" strokeweight=".125pt" strokecolor="#006cb4">
              <v:stroke dashstyle="solid"/>
            </v:line>
          </v:group>
        </w:pict>
      </w:r>
      <w:r>
        <w:rPr>
          <w:sz w:val="2"/>
        </w:rPr>
      </w:r>
    </w:p>
    <w:p>
      <w:pPr>
        <w:pStyle w:val="ListParagraph"/>
        <w:numPr>
          <w:ilvl w:val="1"/>
          <w:numId w:val="34"/>
        </w:numPr>
        <w:tabs>
          <w:tab w:pos="438" w:val="left" w:leader="none"/>
        </w:tabs>
        <w:spacing w:line="160" w:lineRule="exact" w:before="30" w:after="0"/>
        <w:ind w:left="437" w:right="0" w:hanging="241"/>
        <w:jc w:val="left"/>
        <w:rPr>
          <w:sz w:val="14"/>
        </w:rPr>
      </w:pPr>
      <w:r>
        <w:rPr>
          <w:w w:val="105"/>
          <w:sz w:val="14"/>
        </w:rPr>
        <w:t>Also shown as Chart 1 in the</w:t>
      </w:r>
      <w:r>
        <w:rPr>
          <w:spacing w:val="-14"/>
          <w:w w:val="105"/>
          <w:sz w:val="14"/>
        </w:rPr>
        <w:t> </w:t>
      </w:r>
      <w:r>
        <w:rPr>
          <w:spacing w:val="-3"/>
          <w:w w:val="105"/>
          <w:sz w:val="14"/>
        </w:rPr>
        <w:t>Overview.</w:t>
      </w:r>
    </w:p>
    <w:p>
      <w:pPr>
        <w:pStyle w:val="ListParagraph"/>
        <w:numPr>
          <w:ilvl w:val="1"/>
          <w:numId w:val="34"/>
        </w:numPr>
        <w:tabs>
          <w:tab w:pos="438" w:val="left" w:leader="none"/>
        </w:tabs>
        <w:spacing w:line="240" w:lineRule="auto" w:before="0" w:after="0"/>
        <w:ind w:left="437" w:right="731" w:hanging="240"/>
        <w:jc w:val="left"/>
        <w:rPr>
          <w:sz w:val="14"/>
        </w:rPr>
      </w:pPr>
      <w:hyperlink w:history="true" w:anchor="_bookmark51">
        <w:r>
          <w:rPr>
            <w:w w:val="110"/>
            <w:sz w:val="14"/>
          </w:rPr>
          <w:t>An</w:t>
        </w:r>
        <w:r>
          <w:rPr>
            <w:spacing w:val="-23"/>
            <w:w w:val="110"/>
            <w:sz w:val="14"/>
          </w:rPr>
          <w:t> </w:t>
        </w:r>
        <w:r>
          <w:rPr>
            <w:w w:val="110"/>
            <w:sz w:val="14"/>
          </w:rPr>
          <w:t>alternative</w:t>
        </w:r>
        <w:r>
          <w:rPr>
            <w:spacing w:val="-22"/>
            <w:w w:val="110"/>
            <w:sz w:val="14"/>
          </w:rPr>
          <w:t> </w:t>
        </w:r>
        <w:r>
          <w:rPr>
            <w:w w:val="110"/>
            <w:sz w:val="14"/>
          </w:rPr>
          <w:t>projection</w:t>
        </w:r>
        <w:r>
          <w:rPr>
            <w:spacing w:val="-22"/>
            <w:w w:val="110"/>
            <w:sz w:val="14"/>
          </w:rPr>
          <w:t> </w:t>
        </w:r>
        <w:r>
          <w:rPr>
            <w:w w:val="110"/>
            <w:sz w:val="14"/>
          </w:rPr>
          <w:t>assuming</w:t>
        </w:r>
        <w:r>
          <w:rPr>
            <w:spacing w:val="-23"/>
            <w:w w:val="110"/>
            <w:sz w:val="14"/>
          </w:rPr>
          <w:t> </w:t>
        </w:r>
        <w:r>
          <w:rPr>
            <w:w w:val="110"/>
            <w:sz w:val="14"/>
          </w:rPr>
          <w:t>that</w:t>
        </w:r>
        <w:r>
          <w:rPr>
            <w:spacing w:val="-22"/>
            <w:w w:val="110"/>
            <w:sz w:val="14"/>
          </w:rPr>
          <w:t> </w:t>
        </w:r>
        <w:r>
          <w:rPr>
            <w:w w:val="110"/>
            <w:sz w:val="14"/>
          </w:rPr>
          <w:t>UK</w:t>
        </w:r>
        <w:r>
          <w:rPr>
            <w:spacing w:val="-22"/>
            <w:w w:val="110"/>
            <w:sz w:val="14"/>
          </w:rPr>
          <w:t> </w:t>
        </w:r>
        <w:r>
          <w:rPr>
            <w:w w:val="110"/>
            <w:sz w:val="14"/>
          </w:rPr>
          <w:t>official</w:t>
        </w:r>
        <w:r>
          <w:rPr>
            <w:spacing w:val="-23"/>
            <w:w w:val="110"/>
            <w:sz w:val="14"/>
          </w:rPr>
          <w:t> </w:t>
        </w:r>
        <w:r>
          <w:rPr>
            <w:w w:val="110"/>
            <w:sz w:val="14"/>
          </w:rPr>
          <w:t>interest</w:t>
        </w:r>
        <w:r>
          <w:rPr>
            <w:spacing w:val="-22"/>
            <w:w w:val="110"/>
            <w:sz w:val="14"/>
          </w:rPr>
          <w:t> </w:t>
        </w:r>
        <w:r>
          <w:rPr>
            <w:spacing w:val="-3"/>
            <w:w w:val="110"/>
            <w:sz w:val="14"/>
          </w:rPr>
          <w:t>rates</w:t>
        </w:r>
        <w:r>
          <w:rPr>
            <w:spacing w:val="-22"/>
            <w:w w:val="110"/>
            <w:sz w:val="14"/>
          </w:rPr>
          <w:t> </w:t>
        </w:r>
        <w:r>
          <w:rPr>
            <w:w w:val="110"/>
            <w:sz w:val="14"/>
          </w:rPr>
          <w:t>follow</w:t>
        </w:r>
        <w:r>
          <w:rPr>
            <w:spacing w:val="-23"/>
            <w:w w:val="110"/>
            <w:sz w:val="14"/>
          </w:rPr>
          <w:t> </w:t>
        </w:r>
        <w:r>
          <w:rPr>
            <w:w w:val="110"/>
            <w:sz w:val="14"/>
          </w:rPr>
          <w:t>market interest</w:t>
        </w:r>
        <w:r>
          <w:rPr>
            <w:spacing w:val="-6"/>
            <w:w w:val="110"/>
            <w:sz w:val="14"/>
          </w:rPr>
          <w:t> </w:t>
        </w:r>
        <w:r>
          <w:rPr>
            <w:spacing w:val="-3"/>
            <w:w w:val="110"/>
            <w:sz w:val="14"/>
          </w:rPr>
          <w:t>rate</w:t>
        </w:r>
        <w:r>
          <w:rPr>
            <w:spacing w:val="-5"/>
            <w:w w:val="110"/>
            <w:sz w:val="14"/>
          </w:rPr>
          <w:t> </w:t>
        </w:r>
        <w:r>
          <w:rPr>
            <w:w w:val="110"/>
            <w:sz w:val="14"/>
          </w:rPr>
          <w:t>expectations</w:t>
        </w:r>
        <w:r>
          <w:rPr>
            <w:spacing w:val="-5"/>
            <w:w w:val="110"/>
            <w:sz w:val="14"/>
          </w:rPr>
          <w:t> </w:t>
        </w:r>
        <w:r>
          <w:rPr>
            <w:w w:val="110"/>
            <w:sz w:val="14"/>
          </w:rPr>
          <w:t>is</w:t>
        </w:r>
        <w:r>
          <w:rPr>
            <w:spacing w:val="-5"/>
            <w:w w:val="110"/>
            <w:sz w:val="14"/>
          </w:rPr>
          <w:t> </w:t>
        </w:r>
        <w:r>
          <w:rPr>
            <w:w w:val="110"/>
            <w:sz w:val="14"/>
          </w:rPr>
          <w:t>shown</w:t>
        </w:r>
        <w:r>
          <w:rPr>
            <w:spacing w:val="-5"/>
            <w:w w:val="110"/>
            <w:sz w:val="14"/>
          </w:rPr>
          <w:t> </w:t>
        </w:r>
        <w:r>
          <w:rPr>
            <w:w w:val="110"/>
            <w:sz w:val="14"/>
          </w:rPr>
          <w:t>in</w:t>
        </w:r>
        <w:r>
          <w:rPr>
            <w:spacing w:val="-5"/>
            <w:w w:val="110"/>
            <w:sz w:val="14"/>
          </w:rPr>
          <w:t> </w:t>
        </w:r>
        <w:r>
          <w:rPr>
            <w:color w:val="FF0000"/>
            <w:w w:val="110"/>
            <w:sz w:val="14"/>
          </w:rPr>
          <w:t>Chart</w:t>
        </w:r>
        <w:r>
          <w:rPr>
            <w:color w:val="FF0000"/>
            <w:spacing w:val="-5"/>
            <w:w w:val="110"/>
            <w:sz w:val="14"/>
          </w:rPr>
          <w:t> </w:t>
        </w:r>
        <w:r>
          <w:rPr>
            <w:color w:val="FF0000"/>
            <w:w w:val="110"/>
            <w:sz w:val="14"/>
          </w:rPr>
          <w:t>6.7</w:t>
        </w:r>
        <w:r>
          <w:rPr>
            <w:color w:val="FF0000"/>
            <w:spacing w:val="-5"/>
            <w:w w:val="110"/>
            <w:sz w:val="14"/>
          </w:rPr>
          <w:t> </w:t>
        </w:r>
        <w:r>
          <w:rPr>
            <w:spacing w:val="-3"/>
            <w:w w:val="110"/>
            <w:sz w:val="14"/>
          </w:rPr>
          <w:t>below.</w:t>
        </w:r>
      </w:hyperlink>
    </w:p>
    <w:p>
      <w:pPr>
        <w:spacing w:after="0" w:line="240" w:lineRule="auto"/>
        <w:jc w:val="left"/>
        <w:rPr>
          <w:sz w:val="14"/>
        </w:rPr>
        <w:sectPr>
          <w:type w:val="continuous"/>
          <w:pgSz w:w="11900" w:h="16840"/>
          <w:pgMar w:top="1260" w:bottom="280" w:left="640" w:right="640"/>
          <w:cols w:num="2" w:equalWidth="0">
            <w:col w:w="3817" w:space="946"/>
            <w:col w:w="5857"/>
          </w:cols>
        </w:sectPr>
      </w:pPr>
    </w:p>
    <w:p>
      <w:pPr>
        <w:pStyle w:val="BodyText"/>
      </w:pPr>
    </w:p>
    <w:p>
      <w:pPr>
        <w:pStyle w:val="BodyText"/>
        <w:spacing w:before="10"/>
      </w:pPr>
    </w:p>
    <w:p>
      <w:pPr>
        <w:pStyle w:val="BodyText"/>
        <w:spacing w:line="292" w:lineRule="auto"/>
        <w:ind w:left="5111" w:right="175"/>
      </w:pPr>
      <w:r>
        <w:rPr>
          <w:w w:val="110"/>
        </w:rPr>
        <w:t>weaker than projected three months ago.</w:t>
      </w:r>
      <w:r>
        <w:rPr>
          <w:w w:val="110"/>
          <w:position w:val="5"/>
          <w:sz w:val="14"/>
        </w:rPr>
        <w:t>(1) </w:t>
      </w:r>
      <w:r>
        <w:rPr>
          <w:w w:val="110"/>
        </w:rPr>
        <w:t>But, based on the central assumptions, the most likely prospect is for some rebound in growth in the second year of the projection.</w:t>
      </w:r>
    </w:p>
    <w:p>
      <w:pPr>
        <w:pStyle w:val="BodyText"/>
        <w:spacing w:before="5"/>
        <w:rPr>
          <w:sz w:val="22"/>
        </w:rPr>
      </w:pPr>
    </w:p>
    <w:p>
      <w:pPr>
        <w:pStyle w:val="BodyText"/>
        <w:spacing w:line="292" w:lineRule="auto"/>
        <w:ind w:left="5111" w:right="140"/>
      </w:pPr>
      <w:r>
        <w:rPr>
          <w:w w:val="110"/>
        </w:rPr>
        <w:t>As</w:t>
      </w:r>
      <w:r>
        <w:rPr>
          <w:spacing w:val="-17"/>
          <w:w w:val="110"/>
        </w:rPr>
        <w:t> </w:t>
      </w:r>
      <w:r>
        <w:rPr>
          <w:w w:val="110"/>
        </w:rPr>
        <w:t>noted</w:t>
      </w:r>
      <w:r>
        <w:rPr>
          <w:spacing w:val="-17"/>
          <w:w w:val="110"/>
        </w:rPr>
        <w:t> </w:t>
      </w:r>
      <w:r>
        <w:rPr>
          <w:w w:val="110"/>
        </w:rPr>
        <w:t>in</w:t>
      </w:r>
      <w:r>
        <w:rPr>
          <w:spacing w:val="-17"/>
          <w:w w:val="110"/>
        </w:rPr>
        <w:t> </w:t>
      </w:r>
      <w:r>
        <w:rPr>
          <w:w w:val="110"/>
        </w:rPr>
        <w:t>the</w:t>
      </w:r>
      <w:r>
        <w:rPr>
          <w:spacing w:val="-17"/>
          <w:w w:val="110"/>
        </w:rPr>
        <w:t> </w:t>
      </w:r>
      <w:r>
        <w:rPr>
          <w:w w:val="110"/>
        </w:rPr>
        <w:t>November</w:t>
      </w:r>
      <w:r>
        <w:rPr>
          <w:spacing w:val="-17"/>
          <w:w w:val="110"/>
        </w:rPr>
        <w:t> </w:t>
      </w:r>
      <w:r>
        <w:rPr>
          <w:i/>
          <w:w w:val="110"/>
        </w:rPr>
        <w:t>Report</w:t>
      </w:r>
      <w:r>
        <w:rPr>
          <w:w w:val="110"/>
        </w:rPr>
        <w:t>,</w:t>
      </w:r>
      <w:r>
        <w:rPr>
          <w:spacing w:val="-17"/>
          <w:w w:val="110"/>
        </w:rPr>
        <w:t> </w:t>
      </w:r>
      <w:r>
        <w:rPr>
          <w:w w:val="110"/>
        </w:rPr>
        <w:t>there</w:t>
      </w:r>
      <w:r>
        <w:rPr>
          <w:spacing w:val="-16"/>
          <w:w w:val="110"/>
        </w:rPr>
        <w:t> </w:t>
      </w:r>
      <w:r>
        <w:rPr>
          <w:w w:val="110"/>
        </w:rPr>
        <w:t>is</w:t>
      </w:r>
      <w:r>
        <w:rPr>
          <w:spacing w:val="-17"/>
          <w:w w:val="110"/>
        </w:rPr>
        <w:t> </w:t>
      </w:r>
      <w:r>
        <w:rPr>
          <w:w w:val="110"/>
        </w:rPr>
        <w:t>some</w:t>
      </w:r>
      <w:r>
        <w:rPr>
          <w:spacing w:val="-17"/>
          <w:w w:val="110"/>
        </w:rPr>
        <w:t> </w:t>
      </w:r>
      <w:r>
        <w:rPr>
          <w:w w:val="110"/>
        </w:rPr>
        <w:t>evidence</w:t>
      </w:r>
      <w:r>
        <w:rPr>
          <w:spacing w:val="-17"/>
          <w:w w:val="110"/>
        </w:rPr>
        <w:t> </w:t>
      </w:r>
      <w:r>
        <w:rPr>
          <w:w w:val="110"/>
        </w:rPr>
        <w:t>that the supply-side performance of the UK economy has strengthened in recent years. For example, outturns for nominal</w:t>
      </w:r>
      <w:r>
        <w:rPr>
          <w:spacing w:val="-18"/>
          <w:w w:val="110"/>
        </w:rPr>
        <w:t> </w:t>
      </w:r>
      <w:r>
        <w:rPr>
          <w:w w:val="110"/>
        </w:rPr>
        <w:t>variables</w:t>
      </w:r>
      <w:r>
        <w:rPr>
          <w:spacing w:val="-17"/>
          <w:w w:val="110"/>
        </w:rPr>
        <w:t> </w:t>
      </w:r>
      <w:r>
        <w:rPr>
          <w:w w:val="110"/>
        </w:rPr>
        <w:t>such</w:t>
      </w:r>
      <w:r>
        <w:rPr>
          <w:spacing w:val="-17"/>
          <w:w w:val="110"/>
        </w:rPr>
        <w:t> </w:t>
      </w:r>
      <w:r>
        <w:rPr>
          <w:w w:val="110"/>
        </w:rPr>
        <w:t>as</w:t>
      </w:r>
      <w:r>
        <w:rPr>
          <w:spacing w:val="-17"/>
          <w:w w:val="110"/>
        </w:rPr>
        <w:t> </w:t>
      </w:r>
      <w:r>
        <w:rPr>
          <w:w w:val="110"/>
        </w:rPr>
        <w:t>wages</w:t>
      </w:r>
      <w:r>
        <w:rPr>
          <w:spacing w:val="-17"/>
          <w:w w:val="110"/>
        </w:rPr>
        <w:t> </w:t>
      </w:r>
      <w:r>
        <w:rPr>
          <w:w w:val="110"/>
        </w:rPr>
        <w:t>and</w:t>
      </w:r>
      <w:r>
        <w:rPr>
          <w:spacing w:val="-17"/>
          <w:w w:val="110"/>
        </w:rPr>
        <w:t> </w:t>
      </w:r>
      <w:r>
        <w:rPr>
          <w:w w:val="110"/>
        </w:rPr>
        <w:t>prices</w:t>
      </w:r>
      <w:r>
        <w:rPr>
          <w:spacing w:val="-17"/>
          <w:w w:val="110"/>
        </w:rPr>
        <w:t> </w:t>
      </w:r>
      <w:r>
        <w:rPr>
          <w:spacing w:val="-3"/>
          <w:w w:val="110"/>
        </w:rPr>
        <w:t>have</w:t>
      </w:r>
      <w:r>
        <w:rPr>
          <w:spacing w:val="-18"/>
          <w:w w:val="110"/>
        </w:rPr>
        <w:t> </w:t>
      </w:r>
      <w:r>
        <w:rPr>
          <w:w w:val="110"/>
        </w:rPr>
        <w:t>tended</w:t>
      </w:r>
      <w:r>
        <w:rPr>
          <w:spacing w:val="-17"/>
          <w:w w:val="110"/>
        </w:rPr>
        <w:t> </w:t>
      </w:r>
      <w:r>
        <w:rPr>
          <w:spacing w:val="-4"/>
          <w:w w:val="110"/>
        </w:rPr>
        <w:t>to</w:t>
      </w:r>
      <w:r>
        <w:rPr>
          <w:spacing w:val="-17"/>
          <w:w w:val="110"/>
        </w:rPr>
        <w:t> </w:t>
      </w:r>
      <w:r>
        <w:rPr>
          <w:w w:val="110"/>
        </w:rPr>
        <w:t>be somewhat </w:t>
      </w:r>
      <w:r>
        <w:rPr>
          <w:spacing w:val="-3"/>
          <w:w w:val="110"/>
        </w:rPr>
        <w:t>lower </w:t>
      </w:r>
      <w:r>
        <w:rPr>
          <w:w w:val="110"/>
        </w:rPr>
        <w:t>than </w:t>
      </w:r>
      <w:r>
        <w:rPr>
          <w:spacing w:val="-3"/>
          <w:w w:val="110"/>
        </w:rPr>
        <w:t>projected </w:t>
      </w:r>
      <w:r>
        <w:rPr>
          <w:w w:val="110"/>
        </w:rPr>
        <w:t>on the basis of historical relationships</w:t>
      </w:r>
      <w:r>
        <w:rPr>
          <w:spacing w:val="-21"/>
          <w:w w:val="110"/>
        </w:rPr>
        <w:t> </w:t>
      </w:r>
      <w:r>
        <w:rPr>
          <w:spacing w:val="-3"/>
          <w:w w:val="110"/>
        </w:rPr>
        <w:t>between</w:t>
      </w:r>
      <w:r>
        <w:rPr>
          <w:spacing w:val="-20"/>
          <w:w w:val="110"/>
        </w:rPr>
        <w:t> </w:t>
      </w:r>
      <w:r>
        <w:rPr>
          <w:w w:val="110"/>
        </w:rPr>
        <w:t>indicators</w:t>
      </w:r>
      <w:r>
        <w:rPr>
          <w:spacing w:val="-20"/>
          <w:w w:val="110"/>
        </w:rPr>
        <w:t> </w:t>
      </w:r>
      <w:r>
        <w:rPr>
          <w:w w:val="110"/>
        </w:rPr>
        <w:t>of</w:t>
      </w:r>
      <w:r>
        <w:rPr>
          <w:spacing w:val="-21"/>
          <w:w w:val="110"/>
        </w:rPr>
        <w:t> </w:t>
      </w:r>
      <w:r>
        <w:rPr>
          <w:w w:val="110"/>
        </w:rPr>
        <w:t>nominal</w:t>
      </w:r>
      <w:r>
        <w:rPr>
          <w:spacing w:val="-20"/>
          <w:w w:val="110"/>
        </w:rPr>
        <w:t> </w:t>
      </w:r>
      <w:r>
        <w:rPr>
          <w:w w:val="110"/>
        </w:rPr>
        <w:t>demand</w:t>
      </w:r>
      <w:r>
        <w:rPr>
          <w:spacing w:val="-20"/>
          <w:w w:val="110"/>
        </w:rPr>
        <w:t> </w:t>
      </w:r>
      <w:r>
        <w:rPr>
          <w:spacing w:val="-3"/>
          <w:w w:val="110"/>
        </w:rPr>
        <w:t>pressures </w:t>
      </w:r>
      <w:r>
        <w:rPr>
          <w:w w:val="110"/>
        </w:rPr>
        <w:t>and estimates of potential supply </w:t>
      </w:r>
      <w:r>
        <w:rPr>
          <w:spacing w:val="-4"/>
          <w:w w:val="110"/>
        </w:rPr>
        <w:t>capacity. </w:t>
      </w:r>
      <w:r>
        <w:rPr>
          <w:w w:val="110"/>
        </w:rPr>
        <w:t>In particular, the </w:t>
      </w:r>
      <w:r>
        <w:rPr>
          <w:spacing w:val="-3"/>
          <w:w w:val="110"/>
        </w:rPr>
        <w:t>pressure</w:t>
      </w:r>
      <w:r>
        <w:rPr>
          <w:spacing w:val="-17"/>
          <w:w w:val="110"/>
        </w:rPr>
        <w:t> </w:t>
      </w:r>
      <w:r>
        <w:rPr>
          <w:w w:val="110"/>
        </w:rPr>
        <w:t>on</w:t>
      </w:r>
      <w:r>
        <w:rPr>
          <w:spacing w:val="-17"/>
          <w:w w:val="110"/>
        </w:rPr>
        <w:t> </w:t>
      </w:r>
      <w:r>
        <w:rPr>
          <w:w w:val="110"/>
        </w:rPr>
        <w:t>earnings</w:t>
      </w:r>
      <w:r>
        <w:rPr>
          <w:spacing w:val="-17"/>
          <w:w w:val="110"/>
        </w:rPr>
        <w:t> </w:t>
      </w:r>
      <w:r>
        <w:rPr>
          <w:w w:val="110"/>
        </w:rPr>
        <w:t>growth</w:t>
      </w:r>
      <w:r>
        <w:rPr>
          <w:spacing w:val="-17"/>
          <w:w w:val="110"/>
        </w:rPr>
        <w:t> </w:t>
      </w:r>
      <w:r>
        <w:rPr>
          <w:w w:val="110"/>
        </w:rPr>
        <w:t>associated</w:t>
      </w:r>
      <w:r>
        <w:rPr>
          <w:spacing w:val="-17"/>
          <w:w w:val="110"/>
        </w:rPr>
        <w:t> </w:t>
      </w:r>
      <w:r>
        <w:rPr>
          <w:w w:val="110"/>
        </w:rPr>
        <w:t>with</w:t>
      </w:r>
      <w:r>
        <w:rPr>
          <w:spacing w:val="-17"/>
          <w:w w:val="110"/>
        </w:rPr>
        <w:t> </w:t>
      </w:r>
      <w:r>
        <w:rPr>
          <w:w w:val="110"/>
        </w:rPr>
        <w:t>a</w:t>
      </w:r>
      <w:r>
        <w:rPr>
          <w:spacing w:val="-17"/>
          <w:w w:val="110"/>
        </w:rPr>
        <w:t> </w:t>
      </w:r>
      <w:r>
        <w:rPr>
          <w:w w:val="110"/>
        </w:rPr>
        <w:t>particular</w:t>
      </w:r>
      <w:r>
        <w:rPr>
          <w:spacing w:val="-17"/>
          <w:w w:val="110"/>
        </w:rPr>
        <w:t> </w:t>
      </w:r>
      <w:r>
        <w:rPr>
          <w:spacing w:val="-3"/>
          <w:w w:val="110"/>
        </w:rPr>
        <w:t>level </w:t>
      </w:r>
      <w:r>
        <w:rPr>
          <w:w w:val="110"/>
        </w:rPr>
        <w:t>of</w:t>
      </w:r>
      <w:r>
        <w:rPr>
          <w:spacing w:val="-8"/>
          <w:w w:val="110"/>
        </w:rPr>
        <w:t> </w:t>
      </w:r>
      <w:r>
        <w:rPr>
          <w:w w:val="110"/>
        </w:rPr>
        <w:t>unemployment</w:t>
      </w:r>
      <w:r>
        <w:rPr>
          <w:spacing w:val="-8"/>
          <w:w w:val="110"/>
        </w:rPr>
        <w:t> </w:t>
      </w:r>
      <w:r>
        <w:rPr>
          <w:w w:val="110"/>
        </w:rPr>
        <w:t>has</w:t>
      </w:r>
      <w:r>
        <w:rPr>
          <w:spacing w:val="-7"/>
          <w:w w:val="110"/>
        </w:rPr>
        <w:t> </w:t>
      </w:r>
      <w:r>
        <w:rPr>
          <w:w w:val="110"/>
        </w:rPr>
        <w:t>been</w:t>
      </w:r>
      <w:r>
        <w:rPr>
          <w:spacing w:val="-8"/>
          <w:w w:val="110"/>
        </w:rPr>
        <w:t> </w:t>
      </w:r>
      <w:r>
        <w:rPr>
          <w:w w:val="110"/>
        </w:rPr>
        <w:t>less</w:t>
      </w:r>
      <w:r>
        <w:rPr>
          <w:spacing w:val="-7"/>
          <w:w w:val="110"/>
        </w:rPr>
        <w:t> </w:t>
      </w:r>
      <w:r>
        <w:rPr>
          <w:w w:val="110"/>
        </w:rPr>
        <w:t>than</w:t>
      </w:r>
      <w:r>
        <w:rPr>
          <w:spacing w:val="-8"/>
          <w:w w:val="110"/>
        </w:rPr>
        <w:t> </w:t>
      </w:r>
      <w:r>
        <w:rPr>
          <w:w w:val="110"/>
        </w:rPr>
        <w:t>in</w:t>
      </w:r>
      <w:r>
        <w:rPr>
          <w:spacing w:val="-8"/>
          <w:w w:val="110"/>
        </w:rPr>
        <w:t> </w:t>
      </w:r>
      <w:r>
        <w:rPr>
          <w:w w:val="110"/>
        </w:rPr>
        <w:t>the</w:t>
      </w:r>
      <w:r>
        <w:rPr>
          <w:spacing w:val="-7"/>
          <w:w w:val="110"/>
        </w:rPr>
        <w:t> </w:t>
      </w:r>
      <w:r>
        <w:rPr>
          <w:w w:val="110"/>
        </w:rPr>
        <w:t>past.</w:t>
      </w:r>
    </w:p>
    <w:p>
      <w:pPr>
        <w:pStyle w:val="BodyText"/>
        <w:spacing w:before="10"/>
        <w:rPr>
          <w:sz w:val="23"/>
        </w:rPr>
      </w:pPr>
    </w:p>
    <w:p>
      <w:pPr>
        <w:pStyle w:val="BodyText"/>
        <w:spacing w:line="292" w:lineRule="auto"/>
        <w:ind w:left="5111" w:right="234"/>
      </w:pPr>
      <w:r>
        <w:rPr>
          <w:w w:val="105"/>
        </w:rPr>
        <w:t>The Committee maintained the assumptions on supply-side performance from the November projection (see pages 58–61 of the November </w:t>
      </w:r>
      <w:r>
        <w:rPr>
          <w:i/>
          <w:w w:val="105"/>
        </w:rPr>
        <w:t>Report</w:t>
      </w:r>
      <w:r>
        <w:rPr>
          <w:w w:val="105"/>
        </w:rPr>
        <w:t>). The Committee will continue to study developments carefully in order to enhance its assessment of supply-side behaviour and prospects.</w:t>
      </w:r>
    </w:p>
    <w:p>
      <w:pPr>
        <w:pStyle w:val="BodyText"/>
        <w:spacing w:before="4"/>
        <w:rPr>
          <w:sz w:val="22"/>
        </w:rPr>
      </w:pPr>
    </w:p>
    <w:p>
      <w:pPr>
        <w:pStyle w:val="BodyText"/>
        <w:spacing w:line="292" w:lineRule="auto" w:before="1"/>
        <w:ind w:left="5111" w:right="140"/>
      </w:pPr>
      <w:r>
        <w:rPr>
          <w:w w:val="110"/>
        </w:rPr>
        <w:t>Against this background, the </w:t>
      </w:r>
      <w:r>
        <w:rPr>
          <w:spacing w:val="-3"/>
          <w:w w:val="110"/>
        </w:rPr>
        <w:t>Committee </w:t>
      </w:r>
      <w:r>
        <w:rPr>
          <w:w w:val="110"/>
        </w:rPr>
        <w:t>developed the current inflation projection </w:t>
      </w:r>
      <w:r>
        <w:rPr>
          <w:spacing w:val="-3"/>
          <w:w w:val="110"/>
        </w:rPr>
        <w:t>by </w:t>
      </w:r>
      <w:r>
        <w:rPr>
          <w:w w:val="110"/>
        </w:rPr>
        <w:t>examining trends in cost and price</w:t>
      </w:r>
      <w:r>
        <w:rPr>
          <w:spacing w:val="-19"/>
          <w:w w:val="110"/>
        </w:rPr>
        <w:t> </w:t>
      </w:r>
      <w:r>
        <w:rPr>
          <w:spacing w:val="-3"/>
          <w:w w:val="110"/>
        </w:rPr>
        <w:t>pressures</w:t>
      </w:r>
      <w:r>
        <w:rPr>
          <w:spacing w:val="-18"/>
          <w:w w:val="110"/>
        </w:rPr>
        <w:t> </w:t>
      </w:r>
      <w:r>
        <w:rPr>
          <w:w w:val="110"/>
        </w:rPr>
        <w:t>in</w:t>
      </w:r>
      <w:r>
        <w:rPr>
          <w:spacing w:val="-19"/>
          <w:w w:val="110"/>
        </w:rPr>
        <w:t> </w:t>
      </w:r>
      <w:r>
        <w:rPr>
          <w:w w:val="110"/>
        </w:rPr>
        <w:t>the</w:t>
      </w:r>
      <w:r>
        <w:rPr>
          <w:spacing w:val="-18"/>
          <w:w w:val="110"/>
        </w:rPr>
        <w:t> </w:t>
      </w:r>
      <w:r>
        <w:rPr>
          <w:w w:val="110"/>
        </w:rPr>
        <w:t>United</w:t>
      </w:r>
      <w:r>
        <w:rPr>
          <w:spacing w:val="-18"/>
          <w:w w:val="110"/>
        </w:rPr>
        <w:t> </w:t>
      </w:r>
      <w:r>
        <w:rPr>
          <w:w w:val="110"/>
        </w:rPr>
        <w:t>Kingdom,</w:t>
      </w:r>
      <w:r>
        <w:rPr>
          <w:spacing w:val="-19"/>
          <w:w w:val="110"/>
        </w:rPr>
        <w:t> </w:t>
      </w:r>
      <w:r>
        <w:rPr>
          <w:w w:val="110"/>
        </w:rPr>
        <w:t>given</w:t>
      </w:r>
      <w:r>
        <w:rPr>
          <w:spacing w:val="-18"/>
          <w:w w:val="110"/>
        </w:rPr>
        <w:t> </w:t>
      </w:r>
      <w:r>
        <w:rPr>
          <w:w w:val="110"/>
        </w:rPr>
        <w:t>the</w:t>
      </w:r>
      <w:r>
        <w:rPr>
          <w:spacing w:val="-18"/>
          <w:w w:val="110"/>
        </w:rPr>
        <w:t> </w:t>
      </w:r>
      <w:r>
        <w:rPr>
          <w:w w:val="110"/>
        </w:rPr>
        <w:t>prospects</w:t>
      </w:r>
      <w:r>
        <w:rPr>
          <w:spacing w:val="-19"/>
          <w:w w:val="110"/>
        </w:rPr>
        <w:t> </w:t>
      </w:r>
      <w:r>
        <w:rPr>
          <w:w w:val="110"/>
        </w:rPr>
        <w:t>for nominal demand and output and the assumptions on world prices</w:t>
      </w:r>
      <w:r>
        <w:rPr>
          <w:spacing w:val="-8"/>
          <w:w w:val="110"/>
        </w:rPr>
        <w:t> </w:t>
      </w:r>
      <w:r>
        <w:rPr>
          <w:w w:val="110"/>
        </w:rPr>
        <w:t>and</w:t>
      </w:r>
      <w:r>
        <w:rPr>
          <w:spacing w:val="-8"/>
          <w:w w:val="110"/>
        </w:rPr>
        <w:t> </w:t>
      </w:r>
      <w:r>
        <w:rPr>
          <w:w w:val="110"/>
        </w:rPr>
        <w:t>the</w:t>
      </w:r>
      <w:r>
        <w:rPr>
          <w:spacing w:val="-8"/>
          <w:w w:val="110"/>
        </w:rPr>
        <w:t> </w:t>
      </w:r>
      <w:r>
        <w:rPr>
          <w:w w:val="110"/>
        </w:rPr>
        <w:t>sterling</w:t>
      </w:r>
      <w:r>
        <w:rPr>
          <w:spacing w:val="-8"/>
          <w:w w:val="110"/>
        </w:rPr>
        <w:t> </w:t>
      </w:r>
      <w:r>
        <w:rPr>
          <w:w w:val="110"/>
        </w:rPr>
        <w:t>effective</w:t>
      </w:r>
      <w:r>
        <w:rPr>
          <w:spacing w:val="-8"/>
          <w:w w:val="110"/>
        </w:rPr>
        <w:t> </w:t>
      </w:r>
      <w:r>
        <w:rPr>
          <w:w w:val="110"/>
        </w:rPr>
        <w:t>exchange</w:t>
      </w:r>
      <w:r>
        <w:rPr>
          <w:spacing w:val="-8"/>
          <w:w w:val="110"/>
        </w:rPr>
        <w:t> </w:t>
      </w:r>
      <w:r>
        <w:rPr>
          <w:spacing w:val="-3"/>
          <w:w w:val="110"/>
        </w:rPr>
        <w:t>rate.</w:t>
      </w:r>
    </w:p>
    <w:p>
      <w:pPr>
        <w:pStyle w:val="BodyText"/>
        <w:spacing w:before="4"/>
        <w:rPr>
          <w:sz w:val="22"/>
        </w:rPr>
      </w:pPr>
    </w:p>
    <w:p>
      <w:pPr>
        <w:pStyle w:val="BodyText"/>
        <w:spacing w:line="292" w:lineRule="auto"/>
        <w:ind w:left="5111" w:right="172"/>
      </w:pPr>
      <w:r>
        <w:rPr>
          <w:w w:val="110"/>
        </w:rPr>
        <w:t>Nominal earnings growth has edged up </w:t>
      </w:r>
      <w:r>
        <w:rPr>
          <w:spacing w:val="-4"/>
          <w:w w:val="110"/>
        </w:rPr>
        <w:t>to </w:t>
      </w:r>
      <w:r>
        <w:rPr>
          <w:w w:val="110"/>
        </w:rPr>
        <w:t>around 4</w:t>
      </w:r>
      <w:r>
        <w:rPr>
          <w:w w:val="110"/>
          <w:position w:val="7"/>
          <w:sz w:val="10"/>
        </w:rPr>
        <w:t>1</w:t>
      </w:r>
      <w:r>
        <w:rPr>
          <w:w w:val="110"/>
        </w:rPr>
        <w:t>/</w:t>
      </w:r>
      <w:r>
        <w:rPr>
          <w:w w:val="110"/>
          <w:position w:val="1"/>
          <w:sz w:val="10"/>
        </w:rPr>
        <w:t>4</w:t>
      </w:r>
      <w:r>
        <w:rPr>
          <w:w w:val="110"/>
        </w:rPr>
        <w:t>%. Recent outturns are broadly in line with expectations three months ago. </w:t>
      </w:r>
      <w:r>
        <w:rPr>
          <w:spacing w:val="-5"/>
          <w:w w:val="110"/>
        </w:rPr>
        <w:t>Pay </w:t>
      </w:r>
      <w:r>
        <w:rPr>
          <w:spacing w:val="-3"/>
          <w:w w:val="110"/>
        </w:rPr>
        <w:t>pressures </w:t>
      </w:r>
      <w:r>
        <w:rPr>
          <w:w w:val="110"/>
        </w:rPr>
        <w:t>remain </w:t>
      </w:r>
      <w:r>
        <w:rPr>
          <w:spacing w:val="-3"/>
          <w:w w:val="110"/>
        </w:rPr>
        <w:t>weaker </w:t>
      </w:r>
      <w:r>
        <w:rPr>
          <w:w w:val="110"/>
        </w:rPr>
        <w:t>than would be </w:t>
      </w:r>
      <w:r>
        <w:rPr>
          <w:spacing w:val="-3"/>
          <w:w w:val="110"/>
        </w:rPr>
        <w:t>expected</w:t>
      </w:r>
      <w:r>
        <w:rPr>
          <w:spacing w:val="-14"/>
          <w:w w:val="110"/>
        </w:rPr>
        <w:t> </w:t>
      </w:r>
      <w:r>
        <w:rPr>
          <w:w w:val="110"/>
        </w:rPr>
        <w:t>on</w:t>
      </w:r>
      <w:r>
        <w:rPr>
          <w:spacing w:val="-13"/>
          <w:w w:val="110"/>
        </w:rPr>
        <w:t> </w:t>
      </w:r>
      <w:r>
        <w:rPr>
          <w:w w:val="110"/>
        </w:rPr>
        <w:t>the</w:t>
      </w:r>
      <w:r>
        <w:rPr>
          <w:spacing w:val="-13"/>
          <w:w w:val="110"/>
        </w:rPr>
        <w:t> </w:t>
      </w:r>
      <w:r>
        <w:rPr>
          <w:w w:val="110"/>
        </w:rPr>
        <w:t>basis</w:t>
      </w:r>
      <w:r>
        <w:rPr>
          <w:spacing w:val="-13"/>
          <w:w w:val="110"/>
        </w:rPr>
        <w:t> </w:t>
      </w:r>
      <w:r>
        <w:rPr>
          <w:w w:val="110"/>
        </w:rPr>
        <w:t>of</w:t>
      </w:r>
      <w:r>
        <w:rPr>
          <w:spacing w:val="-13"/>
          <w:w w:val="110"/>
        </w:rPr>
        <w:t> </w:t>
      </w:r>
      <w:r>
        <w:rPr>
          <w:w w:val="110"/>
        </w:rPr>
        <w:t>the</w:t>
      </w:r>
      <w:r>
        <w:rPr>
          <w:spacing w:val="-13"/>
          <w:w w:val="110"/>
        </w:rPr>
        <w:t> </w:t>
      </w:r>
      <w:r>
        <w:rPr>
          <w:w w:val="110"/>
        </w:rPr>
        <w:t>past</w:t>
      </w:r>
      <w:r>
        <w:rPr>
          <w:spacing w:val="-13"/>
          <w:w w:val="110"/>
        </w:rPr>
        <w:t> </w:t>
      </w:r>
      <w:r>
        <w:rPr>
          <w:w w:val="110"/>
        </w:rPr>
        <w:t>statistical</w:t>
      </w:r>
      <w:r>
        <w:rPr>
          <w:spacing w:val="-14"/>
          <w:w w:val="110"/>
        </w:rPr>
        <w:t> </w:t>
      </w:r>
      <w:r>
        <w:rPr>
          <w:w w:val="110"/>
        </w:rPr>
        <w:t>relationship</w:t>
      </w:r>
      <w:r>
        <w:rPr>
          <w:spacing w:val="-13"/>
          <w:w w:val="110"/>
        </w:rPr>
        <w:t> </w:t>
      </w:r>
      <w:r>
        <w:rPr>
          <w:w w:val="110"/>
        </w:rPr>
        <w:t>with prices,</w:t>
      </w:r>
      <w:r>
        <w:rPr>
          <w:spacing w:val="-13"/>
          <w:w w:val="110"/>
        </w:rPr>
        <w:t> </w:t>
      </w:r>
      <w:r>
        <w:rPr>
          <w:spacing w:val="-3"/>
          <w:w w:val="110"/>
        </w:rPr>
        <w:t>productivity,</w:t>
      </w:r>
      <w:r>
        <w:rPr>
          <w:spacing w:val="-13"/>
          <w:w w:val="110"/>
        </w:rPr>
        <w:t> </w:t>
      </w:r>
      <w:r>
        <w:rPr>
          <w:w w:val="110"/>
        </w:rPr>
        <w:t>and</w:t>
      </w:r>
      <w:r>
        <w:rPr>
          <w:spacing w:val="-13"/>
          <w:w w:val="110"/>
        </w:rPr>
        <w:t> </w:t>
      </w:r>
      <w:r>
        <w:rPr>
          <w:w w:val="110"/>
        </w:rPr>
        <w:t>unemployment,</w:t>
      </w:r>
      <w:r>
        <w:rPr>
          <w:spacing w:val="-13"/>
          <w:w w:val="110"/>
        </w:rPr>
        <w:t> </w:t>
      </w:r>
      <w:r>
        <w:rPr>
          <w:w w:val="110"/>
        </w:rPr>
        <w:t>and</w:t>
      </w:r>
      <w:r>
        <w:rPr>
          <w:spacing w:val="-13"/>
          <w:w w:val="110"/>
        </w:rPr>
        <w:t> </w:t>
      </w:r>
      <w:r>
        <w:rPr>
          <w:w w:val="110"/>
        </w:rPr>
        <w:t>the</w:t>
      </w:r>
      <w:r>
        <w:rPr>
          <w:spacing w:val="-13"/>
          <w:w w:val="110"/>
        </w:rPr>
        <w:t> </w:t>
      </w:r>
      <w:r>
        <w:rPr>
          <w:w w:val="110"/>
        </w:rPr>
        <w:t>recent</w:t>
      </w:r>
      <w:r>
        <w:rPr>
          <w:spacing w:val="-13"/>
          <w:w w:val="110"/>
        </w:rPr>
        <w:t> </w:t>
      </w:r>
      <w:r>
        <w:rPr>
          <w:w w:val="110"/>
        </w:rPr>
        <w:t>data provide further support for the judgments made in past </w:t>
      </w:r>
      <w:r>
        <w:rPr>
          <w:i/>
          <w:w w:val="110"/>
        </w:rPr>
        <w:t>Inflation</w:t>
      </w:r>
      <w:r>
        <w:rPr>
          <w:i/>
          <w:spacing w:val="-17"/>
          <w:w w:val="110"/>
        </w:rPr>
        <w:t> </w:t>
      </w:r>
      <w:r>
        <w:rPr>
          <w:i/>
          <w:w w:val="110"/>
        </w:rPr>
        <w:t>Reports</w:t>
      </w:r>
      <w:r>
        <w:rPr>
          <w:i/>
          <w:spacing w:val="-16"/>
          <w:w w:val="110"/>
        </w:rPr>
        <w:t> </w:t>
      </w:r>
      <w:r>
        <w:rPr>
          <w:w w:val="110"/>
        </w:rPr>
        <w:t>that</w:t>
      </w:r>
      <w:r>
        <w:rPr>
          <w:spacing w:val="-16"/>
          <w:w w:val="110"/>
        </w:rPr>
        <w:t> </w:t>
      </w:r>
      <w:r>
        <w:rPr>
          <w:w w:val="110"/>
        </w:rPr>
        <w:t>the</w:t>
      </w:r>
      <w:r>
        <w:rPr>
          <w:spacing w:val="-17"/>
          <w:w w:val="110"/>
        </w:rPr>
        <w:t> </w:t>
      </w:r>
      <w:r>
        <w:rPr>
          <w:spacing w:val="-3"/>
          <w:w w:val="110"/>
        </w:rPr>
        <w:t>flexibility</w:t>
      </w:r>
      <w:r>
        <w:rPr>
          <w:spacing w:val="-16"/>
          <w:w w:val="110"/>
        </w:rPr>
        <w:t> </w:t>
      </w:r>
      <w:r>
        <w:rPr>
          <w:w w:val="110"/>
        </w:rPr>
        <w:t>of</w:t>
      </w:r>
      <w:r>
        <w:rPr>
          <w:spacing w:val="-16"/>
          <w:w w:val="110"/>
        </w:rPr>
        <w:t> </w:t>
      </w:r>
      <w:r>
        <w:rPr>
          <w:w w:val="110"/>
        </w:rPr>
        <w:t>the</w:t>
      </w:r>
      <w:r>
        <w:rPr>
          <w:spacing w:val="-16"/>
          <w:w w:val="110"/>
        </w:rPr>
        <w:t> </w:t>
      </w:r>
      <w:r>
        <w:rPr>
          <w:w w:val="110"/>
        </w:rPr>
        <w:t>labour</w:t>
      </w:r>
      <w:r>
        <w:rPr>
          <w:spacing w:val="-17"/>
          <w:w w:val="110"/>
        </w:rPr>
        <w:t> </w:t>
      </w:r>
      <w:r>
        <w:rPr>
          <w:spacing w:val="-2"/>
          <w:w w:val="110"/>
        </w:rPr>
        <w:t>market</w:t>
      </w:r>
      <w:r>
        <w:rPr>
          <w:spacing w:val="-16"/>
          <w:w w:val="110"/>
        </w:rPr>
        <w:t> </w:t>
      </w:r>
      <w:r>
        <w:rPr>
          <w:w w:val="110"/>
        </w:rPr>
        <w:t>has improved in recent years. These judgments have been maintained in the current</w:t>
      </w:r>
      <w:r>
        <w:rPr>
          <w:spacing w:val="-22"/>
          <w:w w:val="110"/>
        </w:rPr>
        <w:t> </w:t>
      </w:r>
      <w:r>
        <w:rPr>
          <w:w w:val="110"/>
        </w:rPr>
        <w:t>projection.</w:t>
      </w:r>
    </w:p>
    <w:p>
      <w:pPr>
        <w:pStyle w:val="BodyText"/>
        <w:spacing w:before="1"/>
        <w:rPr>
          <w:sz w:val="22"/>
        </w:rPr>
      </w:pPr>
    </w:p>
    <w:p>
      <w:pPr>
        <w:pStyle w:val="BodyText"/>
        <w:spacing w:line="292" w:lineRule="auto" w:before="1"/>
        <w:ind w:left="5111" w:right="252"/>
      </w:pPr>
      <w:r>
        <w:rPr/>
        <w:pict>
          <v:shape style="position:absolute;margin-left:279.720001pt;margin-top:187.031952pt;width:276.6pt;height:.1pt;mso-position-horizontal-relative:page;mso-position-vertical-relative:paragraph;z-index:-15086080;mso-wrap-distance-left:0;mso-wrap-distance-right:0" coordorigin="5594,3741" coordsize="5532,0" path="m5594,3741l11126,3741e" filled="false" stroked="true" strokeweight=".125pt" strokecolor="#006cb4">
            <v:path arrowok="t"/>
            <v:stroke dashstyle="solid"/>
            <w10:wrap type="topAndBottom"/>
          </v:shape>
        </w:pict>
      </w:r>
      <w:r>
        <w:rPr>
          <w:w w:val="110"/>
        </w:rPr>
        <w:t>Labour utilisation remains very high, although the labour </w:t>
      </w:r>
      <w:r>
        <w:rPr>
          <w:spacing w:val="-2"/>
          <w:w w:val="110"/>
        </w:rPr>
        <w:t>market </w:t>
      </w:r>
      <w:r>
        <w:rPr>
          <w:w w:val="110"/>
        </w:rPr>
        <w:t>no longer appears </w:t>
      </w:r>
      <w:r>
        <w:rPr>
          <w:spacing w:val="-4"/>
          <w:w w:val="110"/>
        </w:rPr>
        <w:t>to </w:t>
      </w:r>
      <w:r>
        <w:rPr>
          <w:w w:val="110"/>
        </w:rPr>
        <w:t>be tightening. Employment has fallen slightly in recent months and unemployment has stabilised, though </w:t>
      </w:r>
      <w:r>
        <w:rPr>
          <w:spacing w:val="-3"/>
          <w:w w:val="110"/>
        </w:rPr>
        <w:t>surveys </w:t>
      </w:r>
      <w:r>
        <w:rPr>
          <w:w w:val="110"/>
        </w:rPr>
        <w:t>of employment intentions remain strong and so it is </w:t>
      </w:r>
      <w:r>
        <w:rPr>
          <w:spacing w:val="-3"/>
          <w:w w:val="110"/>
        </w:rPr>
        <w:t>too </w:t>
      </w:r>
      <w:r>
        <w:rPr>
          <w:w w:val="110"/>
        </w:rPr>
        <w:t>soon </w:t>
      </w:r>
      <w:r>
        <w:rPr>
          <w:spacing w:val="-4"/>
          <w:w w:val="110"/>
        </w:rPr>
        <w:t>to </w:t>
      </w:r>
      <w:r>
        <w:rPr>
          <w:w w:val="110"/>
        </w:rPr>
        <w:t>conclude that </w:t>
      </w:r>
      <w:r>
        <w:rPr>
          <w:spacing w:val="-3"/>
          <w:w w:val="110"/>
        </w:rPr>
        <w:t>pressures </w:t>
      </w:r>
      <w:r>
        <w:rPr>
          <w:w w:val="110"/>
        </w:rPr>
        <w:t>are starting </w:t>
      </w:r>
      <w:r>
        <w:rPr>
          <w:spacing w:val="-4"/>
          <w:w w:val="110"/>
        </w:rPr>
        <w:t>to </w:t>
      </w:r>
      <w:r>
        <w:rPr>
          <w:w w:val="110"/>
        </w:rPr>
        <w:t>ease. </w:t>
      </w:r>
      <w:r>
        <w:rPr>
          <w:spacing w:val="-3"/>
          <w:w w:val="110"/>
        </w:rPr>
        <w:t>Moreover, </w:t>
      </w:r>
      <w:r>
        <w:rPr>
          <w:w w:val="110"/>
        </w:rPr>
        <w:t>the number of inactive people— that is those not in employment who are currently not searching </w:t>
      </w:r>
      <w:r>
        <w:rPr>
          <w:spacing w:val="-4"/>
          <w:w w:val="110"/>
        </w:rPr>
        <w:t>for, </w:t>
      </w:r>
      <w:r>
        <w:rPr>
          <w:w w:val="110"/>
        </w:rPr>
        <w:t>or available </w:t>
      </w:r>
      <w:r>
        <w:rPr>
          <w:spacing w:val="-4"/>
          <w:w w:val="110"/>
        </w:rPr>
        <w:t>to </w:t>
      </w:r>
      <w:r>
        <w:rPr>
          <w:w w:val="110"/>
        </w:rPr>
        <w:t>start, work—has increased in recent months. Skill shortages remain widespread and on some </w:t>
      </w:r>
      <w:r>
        <w:rPr>
          <w:spacing w:val="-3"/>
          <w:w w:val="110"/>
        </w:rPr>
        <w:t>surveys have </w:t>
      </w:r>
      <w:r>
        <w:rPr>
          <w:w w:val="110"/>
        </w:rPr>
        <w:t>intensified in recent months. </w:t>
      </w:r>
      <w:r>
        <w:rPr>
          <w:spacing w:val="-3"/>
          <w:w w:val="110"/>
        </w:rPr>
        <w:t>Vacancies </w:t>
      </w:r>
      <w:r>
        <w:rPr>
          <w:w w:val="110"/>
        </w:rPr>
        <w:t>remain at very high levels. As the </w:t>
      </w:r>
      <w:r>
        <w:rPr>
          <w:spacing w:val="-4"/>
          <w:w w:val="110"/>
        </w:rPr>
        <w:t>rate </w:t>
      </w:r>
      <w:r>
        <w:rPr>
          <w:w w:val="110"/>
        </w:rPr>
        <w:t>of unemployment remains around the </w:t>
      </w:r>
      <w:r>
        <w:rPr>
          <w:spacing w:val="-3"/>
          <w:w w:val="110"/>
        </w:rPr>
        <w:t>lowest level </w:t>
      </w:r>
      <w:r>
        <w:rPr>
          <w:w w:val="110"/>
        </w:rPr>
        <w:t>for </w:t>
      </w:r>
      <w:r>
        <w:rPr>
          <w:spacing w:val="-12"/>
          <w:w w:val="110"/>
        </w:rPr>
        <w:t>25 </w:t>
      </w:r>
      <w:r>
        <w:rPr>
          <w:spacing w:val="-3"/>
          <w:w w:val="110"/>
        </w:rPr>
        <w:t>years, many </w:t>
      </w:r>
      <w:r>
        <w:rPr>
          <w:w w:val="110"/>
        </w:rPr>
        <w:t>firms continue </w:t>
      </w:r>
      <w:r>
        <w:rPr>
          <w:spacing w:val="-4"/>
          <w:w w:val="110"/>
        </w:rPr>
        <w:t>to </w:t>
      </w:r>
      <w:r>
        <w:rPr>
          <w:w w:val="110"/>
        </w:rPr>
        <w:t>face difficulties in recruiting suitable staff.</w:t>
      </w:r>
    </w:p>
    <w:p>
      <w:pPr>
        <w:pStyle w:val="ListParagraph"/>
        <w:numPr>
          <w:ilvl w:val="2"/>
          <w:numId w:val="34"/>
        </w:numPr>
        <w:tabs>
          <w:tab w:pos="5202" w:val="left" w:leader="none"/>
        </w:tabs>
        <w:spacing w:line="240" w:lineRule="auto" w:before="0" w:after="0"/>
        <w:ind w:left="5201" w:right="941" w:hanging="240"/>
        <w:jc w:val="left"/>
        <w:rPr>
          <w:sz w:val="14"/>
        </w:rPr>
      </w:pPr>
      <w:r>
        <w:rPr>
          <w:w w:val="110"/>
          <w:sz w:val="14"/>
        </w:rPr>
        <w:t>In</w:t>
      </w:r>
      <w:r>
        <w:rPr>
          <w:spacing w:val="-12"/>
          <w:w w:val="110"/>
          <w:sz w:val="14"/>
        </w:rPr>
        <w:t> </w:t>
      </w:r>
      <w:r>
        <w:rPr>
          <w:w w:val="110"/>
          <w:sz w:val="14"/>
        </w:rPr>
        <w:t>the</w:t>
      </w:r>
      <w:r>
        <w:rPr>
          <w:spacing w:val="-11"/>
          <w:w w:val="110"/>
          <w:sz w:val="14"/>
        </w:rPr>
        <w:t> </w:t>
      </w:r>
      <w:r>
        <w:rPr>
          <w:w w:val="110"/>
          <w:sz w:val="14"/>
        </w:rPr>
        <w:t>November</w:t>
      </w:r>
      <w:r>
        <w:rPr>
          <w:spacing w:val="-12"/>
          <w:w w:val="110"/>
          <w:sz w:val="14"/>
        </w:rPr>
        <w:t> </w:t>
      </w:r>
      <w:r>
        <w:rPr>
          <w:i/>
          <w:w w:val="110"/>
          <w:sz w:val="14"/>
        </w:rPr>
        <w:t>Inflation</w:t>
      </w:r>
      <w:r>
        <w:rPr>
          <w:i/>
          <w:spacing w:val="-11"/>
          <w:w w:val="110"/>
          <w:sz w:val="14"/>
        </w:rPr>
        <w:t> </w:t>
      </w:r>
      <w:r>
        <w:rPr>
          <w:i/>
          <w:w w:val="110"/>
          <w:sz w:val="14"/>
        </w:rPr>
        <w:t>Report</w:t>
      </w:r>
      <w:r>
        <w:rPr>
          <w:w w:val="110"/>
          <w:sz w:val="14"/>
        </w:rPr>
        <w:t>,</w:t>
      </w:r>
      <w:r>
        <w:rPr>
          <w:spacing w:val="-12"/>
          <w:w w:val="110"/>
          <w:sz w:val="14"/>
        </w:rPr>
        <w:t> </w:t>
      </w:r>
      <w:r>
        <w:rPr>
          <w:w w:val="110"/>
          <w:sz w:val="14"/>
        </w:rPr>
        <w:t>there</w:t>
      </w:r>
      <w:r>
        <w:rPr>
          <w:spacing w:val="-11"/>
          <w:w w:val="110"/>
          <w:sz w:val="14"/>
        </w:rPr>
        <w:t> </w:t>
      </w:r>
      <w:r>
        <w:rPr>
          <w:w w:val="110"/>
          <w:sz w:val="14"/>
        </w:rPr>
        <w:t>was</w:t>
      </w:r>
      <w:r>
        <w:rPr>
          <w:spacing w:val="-12"/>
          <w:w w:val="110"/>
          <w:sz w:val="14"/>
        </w:rPr>
        <w:t> </w:t>
      </w:r>
      <w:r>
        <w:rPr>
          <w:w w:val="110"/>
          <w:sz w:val="14"/>
        </w:rPr>
        <w:t>a</w:t>
      </w:r>
      <w:r>
        <w:rPr>
          <w:spacing w:val="-11"/>
          <w:w w:val="110"/>
          <w:sz w:val="14"/>
        </w:rPr>
        <w:t> </w:t>
      </w:r>
      <w:r>
        <w:rPr>
          <w:w w:val="110"/>
          <w:sz w:val="14"/>
        </w:rPr>
        <w:t>minor</w:t>
      </w:r>
      <w:r>
        <w:rPr>
          <w:spacing w:val="-12"/>
          <w:w w:val="110"/>
          <w:sz w:val="14"/>
        </w:rPr>
        <w:t> </w:t>
      </w:r>
      <w:r>
        <w:rPr>
          <w:w w:val="110"/>
          <w:sz w:val="14"/>
        </w:rPr>
        <w:t>error</w:t>
      </w:r>
      <w:r>
        <w:rPr>
          <w:spacing w:val="-11"/>
          <w:w w:val="110"/>
          <w:sz w:val="14"/>
        </w:rPr>
        <w:t> </w:t>
      </w:r>
      <w:r>
        <w:rPr>
          <w:w w:val="110"/>
          <w:sz w:val="14"/>
        </w:rPr>
        <w:t>in</w:t>
      </w:r>
      <w:r>
        <w:rPr>
          <w:spacing w:val="-12"/>
          <w:w w:val="110"/>
          <w:sz w:val="14"/>
        </w:rPr>
        <w:t> </w:t>
      </w:r>
      <w:r>
        <w:rPr>
          <w:w w:val="110"/>
          <w:sz w:val="14"/>
        </w:rPr>
        <w:t>the</w:t>
      </w:r>
      <w:r>
        <w:rPr>
          <w:spacing w:val="-11"/>
          <w:w w:val="110"/>
          <w:sz w:val="14"/>
        </w:rPr>
        <w:t> </w:t>
      </w:r>
      <w:r>
        <w:rPr>
          <w:w w:val="110"/>
          <w:sz w:val="14"/>
        </w:rPr>
        <w:t>depiction of</w:t>
      </w:r>
      <w:r>
        <w:rPr>
          <w:spacing w:val="-12"/>
          <w:w w:val="110"/>
          <w:sz w:val="14"/>
        </w:rPr>
        <w:t> </w:t>
      </w:r>
      <w:r>
        <w:rPr>
          <w:w w:val="110"/>
          <w:sz w:val="14"/>
        </w:rPr>
        <w:t>the</w:t>
      </w:r>
      <w:r>
        <w:rPr>
          <w:spacing w:val="-11"/>
          <w:w w:val="110"/>
          <w:sz w:val="14"/>
        </w:rPr>
        <w:t> </w:t>
      </w:r>
      <w:r>
        <w:rPr>
          <w:w w:val="110"/>
          <w:sz w:val="14"/>
        </w:rPr>
        <w:t>variance</w:t>
      </w:r>
      <w:r>
        <w:rPr>
          <w:spacing w:val="-12"/>
          <w:w w:val="110"/>
          <w:sz w:val="14"/>
        </w:rPr>
        <w:t> </w:t>
      </w:r>
      <w:r>
        <w:rPr>
          <w:w w:val="110"/>
          <w:sz w:val="14"/>
        </w:rPr>
        <w:t>of</w:t>
      </w:r>
      <w:r>
        <w:rPr>
          <w:spacing w:val="-11"/>
          <w:w w:val="110"/>
          <w:sz w:val="14"/>
        </w:rPr>
        <w:t> </w:t>
      </w:r>
      <w:r>
        <w:rPr>
          <w:w w:val="110"/>
          <w:sz w:val="14"/>
        </w:rPr>
        <w:t>the</w:t>
      </w:r>
      <w:r>
        <w:rPr>
          <w:spacing w:val="-12"/>
          <w:w w:val="110"/>
          <w:sz w:val="14"/>
        </w:rPr>
        <w:t> </w:t>
      </w:r>
      <w:r>
        <w:rPr>
          <w:w w:val="110"/>
          <w:sz w:val="14"/>
        </w:rPr>
        <w:t>GDP</w:t>
      </w:r>
      <w:r>
        <w:rPr>
          <w:spacing w:val="-11"/>
          <w:w w:val="110"/>
          <w:sz w:val="14"/>
        </w:rPr>
        <w:t> </w:t>
      </w:r>
      <w:r>
        <w:rPr>
          <w:w w:val="110"/>
          <w:sz w:val="14"/>
        </w:rPr>
        <w:t>projection</w:t>
      </w:r>
      <w:r>
        <w:rPr>
          <w:spacing w:val="-12"/>
          <w:w w:val="110"/>
          <w:sz w:val="14"/>
        </w:rPr>
        <w:t> </w:t>
      </w:r>
      <w:r>
        <w:rPr>
          <w:w w:val="110"/>
          <w:sz w:val="14"/>
        </w:rPr>
        <w:t>in</w:t>
      </w:r>
      <w:r>
        <w:rPr>
          <w:spacing w:val="-11"/>
          <w:w w:val="110"/>
          <w:sz w:val="14"/>
        </w:rPr>
        <w:t> </w:t>
      </w:r>
      <w:r>
        <w:rPr>
          <w:w w:val="110"/>
          <w:sz w:val="14"/>
        </w:rPr>
        <w:t>the</w:t>
      </w:r>
      <w:r>
        <w:rPr>
          <w:spacing w:val="-12"/>
          <w:w w:val="110"/>
          <w:sz w:val="14"/>
        </w:rPr>
        <w:t> </w:t>
      </w:r>
      <w:r>
        <w:rPr>
          <w:w w:val="110"/>
          <w:sz w:val="14"/>
        </w:rPr>
        <w:t>first</w:t>
      </w:r>
      <w:r>
        <w:rPr>
          <w:spacing w:val="-11"/>
          <w:w w:val="110"/>
          <w:sz w:val="14"/>
        </w:rPr>
        <w:t> </w:t>
      </w:r>
      <w:r>
        <w:rPr>
          <w:spacing w:val="-3"/>
          <w:w w:val="110"/>
          <w:sz w:val="14"/>
        </w:rPr>
        <w:t>year.</w:t>
      </w:r>
      <w:r>
        <w:rPr>
          <w:spacing w:val="15"/>
          <w:w w:val="110"/>
          <w:sz w:val="14"/>
        </w:rPr>
        <w:t> </w:t>
      </w:r>
      <w:r>
        <w:rPr>
          <w:w w:val="110"/>
          <w:sz w:val="14"/>
        </w:rPr>
        <w:t>A</w:t>
      </w:r>
      <w:r>
        <w:rPr>
          <w:spacing w:val="-11"/>
          <w:w w:val="110"/>
          <w:sz w:val="14"/>
        </w:rPr>
        <w:t> </w:t>
      </w:r>
      <w:r>
        <w:rPr>
          <w:w w:val="110"/>
          <w:sz w:val="14"/>
        </w:rPr>
        <w:t>corrected</w:t>
      </w:r>
      <w:r>
        <w:rPr>
          <w:spacing w:val="-12"/>
          <w:w w:val="110"/>
          <w:sz w:val="14"/>
        </w:rPr>
        <w:t> </w:t>
      </w:r>
      <w:r>
        <w:rPr>
          <w:w w:val="110"/>
          <w:sz w:val="14"/>
        </w:rPr>
        <w:t>version of the fan chart is available on the </w:t>
      </w:r>
      <w:r>
        <w:rPr>
          <w:spacing w:val="-3"/>
          <w:w w:val="110"/>
          <w:sz w:val="14"/>
        </w:rPr>
        <w:t>Bank’s </w:t>
      </w:r>
      <w:r>
        <w:rPr>
          <w:w w:val="110"/>
          <w:sz w:val="14"/>
        </w:rPr>
        <w:t>web site</w:t>
      </w:r>
      <w:r>
        <w:rPr>
          <w:color w:val="FF0000"/>
          <w:w w:val="110"/>
          <w:sz w:val="14"/>
        </w:rPr>
        <w:t> </w:t>
      </w:r>
      <w:hyperlink r:id="rId169">
        <w:r>
          <w:rPr>
            <w:color w:val="FF0000"/>
            <w:w w:val="110"/>
            <w:sz w:val="14"/>
          </w:rPr>
          <w:t>www.bankofengland.co.uk/inflationreport/irfanch.htm</w:t>
        </w:r>
      </w:hyperlink>
    </w:p>
    <w:p>
      <w:pPr>
        <w:spacing w:after="0" w:line="240" w:lineRule="auto"/>
        <w:jc w:val="left"/>
        <w:rPr>
          <w:sz w:val="14"/>
        </w:rPr>
        <w:sectPr>
          <w:pgSz w:w="11900" w:h="16840"/>
          <w:pgMar w:header="601" w:footer="575" w:top="800" w:bottom="760" w:left="640" w:right="640"/>
        </w:sectPr>
      </w:pPr>
    </w:p>
    <w:p>
      <w:pPr>
        <w:pStyle w:val="BodyText"/>
      </w:pPr>
    </w:p>
    <w:p>
      <w:pPr>
        <w:pStyle w:val="BodyText"/>
        <w:spacing w:before="6"/>
      </w:pPr>
    </w:p>
    <w:p>
      <w:pPr>
        <w:pStyle w:val="BodyText"/>
        <w:spacing w:line="292" w:lineRule="auto" w:before="1"/>
        <w:ind w:left="5095" w:right="234"/>
      </w:pPr>
      <w:r>
        <w:rPr>
          <w:w w:val="105"/>
        </w:rPr>
        <w:t>Nominal </w:t>
      </w:r>
      <w:r>
        <w:rPr>
          <w:spacing w:val="-3"/>
          <w:w w:val="105"/>
        </w:rPr>
        <w:t>pay pressures </w:t>
      </w:r>
      <w:r>
        <w:rPr>
          <w:w w:val="105"/>
        </w:rPr>
        <w:t>are affected </w:t>
      </w:r>
      <w:r>
        <w:rPr>
          <w:spacing w:val="-3"/>
          <w:w w:val="105"/>
        </w:rPr>
        <w:t>by </w:t>
      </w:r>
      <w:r>
        <w:rPr>
          <w:w w:val="105"/>
        </w:rPr>
        <w:t>developments in inflation as well as </w:t>
      </w:r>
      <w:r>
        <w:rPr>
          <w:spacing w:val="-3"/>
          <w:w w:val="105"/>
        </w:rPr>
        <w:t>by factors </w:t>
      </w:r>
      <w:r>
        <w:rPr>
          <w:w w:val="105"/>
        </w:rPr>
        <w:t>that influence real earnings growth. Inflation expectations </w:t>
      </w:r>
      <w:r>
        <w:rPr>
          <w:spacing w:val="-3"/>
          <w:w w:val="105"/>
        </w:rPr>
        <w:t>have </w:t>
      </w:r>
      <w:r>
        <w:rPr>
          <w:w w:val="105"/>
        </w:rPr>
        <w:t>fallen substantially in recent </w:t>
      </w:r>
      <w:r>
        <w:rPr>
          <w:spacing w:val="-3"/>
          <w:w w:val="105"/>
        </w:rPr>
        <w:t>years, </w:t>
      </w:r>
      <w:r>
        <w:rPr>
          <w:w w:val="105"/>
        </w:rPr>
        <w:t>as inflation outturns </w:t>
      </w:r>
      <w:r>
        <w:rPr>
          <w:spacing w:val="-3"/>
          <w:w w:val="105"/>
        </w:rPr>
        <w:t>have </w:t>
      </w:r>
      <w:r>
        <w:rPr>
          <w:w w:val="105"/>
        </w:rPr>
        <w:t>remained low and </w:t>
      </w:r>
      <w:r>
        <w:rPr>
          <w:spacing w:val="-3"/>
          <w:w w:val="105"/>
        </w:rPr>
        <w:t>credibility </w:t>
      </w:r>
      <w:r>
        <w:rPr>
          <w:w w:val="105"/>
        </w:rPr>
        <w:t>that monetary policy will sustain low inflation has increased. </w:t>
      </w:r>
      <w:r>
        <w:rPr>
          <w:spacing w:val="-4"/>
          <w:w w:val="105"/>
        </w:rPr>
        <w:t>However, </w:t>
      </w:r>
      <w:r>
        <w:rPr>
          <w:w w:val="105"/>
        </w:rPr>
        <w:t>there has been a slight rise in trade union expectations of future inflation </w:t>
      </w:r>
      <w:r>
        <w:rPr>
          <w:spacing w:val="-3"/>
          <w:w w:val="105"/>
        </w:rPr>
        <w:t>over </w:t>
      </w:r>
      <w:r>
        <w:rPr>
          <w:w w:val="105"/>
        </w:rPr>
        <w:t>the past </w:t>
      </w:r>
      <w:r>
        <w:rPr>
          <w:spacing w:val="-4"/>
          <w:w w:val="105"/>
        </w:rPr>
        <w:t>year, </w:t>
      </w:r>
      <w:r>
        <w:rPr>
          <w:w w:val="105"/>
        </w:rPr>
        <w:t>which </w:t>
      </w:r>
      <w:r>
        <w:rPr>
          <w:spacing w:val="-3"/>
          <w:w w:val="105"/>
        </w:rPr>
        <w:t>may </w:t>
      </w:r>
      <w:r>
        <w:rPr>
          <w:w w:val="105"/>
        </w:rPr>
        <w:t>reflect higher outturns for RPI inflation. The CBI </w:t>
      </w:r>
      <w:r>
        <w:rPr>
          <w:i/>
          <w:w w:val="105"/>
        </w:rPr>
        <w:t>Pay </w:t>
      </w:r>
      <w:r>
        <w:rPr>
          <w:i/>
          <w:w w:val="105"/>
        </w:rPr>
        <w:t>Databank Report </w:t>
      </w:r>
      <w:r>
        <w:rPr>
          <w:spacing w:val="-3"/>
          <w:w w:val="105"/>
        </w:rPr>
        <w:t>notes </w:t>
      </w:r>
      <w:r>
        <w:rPr>
          <w:w w:val="105"/>
        </w:rPr>
        <w:t>a rise in </w:t>
      </w:r>
      <w:r>
        <w:rPr>
          <w:spacing w:val="-3"/>
          <w:w w:val="105"/>
        </w:rPr>
        <w:t>pressures </w:t>
      </w:r>
      <w:r>
        <w:rPr>
          <w:w w:val="105"/>
        </w:rPr>
        <w:t>from cost of living increases on </w:t>
      </w:r>
      <w:r>
        <w:rPr>
          <w:spacing w:val="-3"/>
          <w:w w:val="105"/>
        </w:rPr>
        <w:t>pay </w:t>
      </w:r>
      <w:r>
        <w:rPr>
          <w:w w:val="105"/>
        </w:rPr>
        <w:t>settlements compared with a year ago, which could </w:t>
      </w:r>
      <w:r>
        <w:rPr>
          <w:spacing w:val="-3"/>
          <w:w w:val="105"/>
        </w:rPr>
        <w:t>generate upward  pressure  </w:t>
      </w:r>
      <w:r>
        <w:rPr>
          <w:w w:val="105"/>
        </w:rPr>
        <w:t>on settlements in the near term. But this is likely </w:t>
      </w:r>
      <w:r>
        <w:rPr>
          <w:spacing w:val="-4"/>
          <w:w w:val="105"/>
        </w:rPr>
        <w:t>to </w:t>
      </w:r>
      <w:r>
        <w:rPr>
          <w:w w:val="105"/>
        </w:rPr>
        <w:t>be only a </w:t>
      </w:r>
      <w:r>
        <w:rPr>
          <w:spacing w:val="-3"/>
          <w:w w:val="105"/>
        </w:rPr>
        <w:t>temporary </w:t>
      </w:r>
      <w:r>
        <w:rPr>
          <w:w w:val="105"/>
        </w:rPr>
        <w:t>influence. RPI inflation is falling quickly as past rises in mortgage </w:t>
      </w:r>
      <w:r>
        <w:rPr>
          <w:spacing w:val="-3"/>
          <w:w w:val="105"/>
        </w:rPr>
        <w:t>interest </w:t>
      </w:r>
      <w:r>
        <w:rPr>
          <w:w w:val="105"/>
        </w:rPr>
        <w:t>payments drop out of the previous </w:t>
      </w:r>
      <w:r>
        <w:rPr>
          <w:spacing w:val="-4"/>
          <w:w w:val="105"/>
        </w:rPr>
        <w:t>year’s </w:t>
      </w:r>
      <w:r>
        <w:rPr>
          <w:w w:val="105"/>
        </w:rPr>
        <w:t>baseline, and underlying inflation remains</w:t>
      </w:r>
      <w:r>
        <w:rPr>
          <w:spacing w:val="-8"/>
          <w:w w:val="105"/>
        </w:rPr>
        <w:t> </w:t>
      </w:r>
      <w:r>
        <w:rPr>
          <w:spacing w:val="-6"/>
          <w:w w:val="105"/>
        </w:rPr>
        <w:t>low.</w:t>
      </w:r>
    </w:p>
    <w:p>
      <w:pPr>
        <w:pStyle w:val="BodyText"/>
        <w:spacing w:before="6"/>
        <w:rPr>
          <w:sz w:val="23"/>
        </w:rPr>
      </w:pPr>
    </w:p>
    <w:p>
      <w:pPr>
        <w:pStyle w:val="BodyText"/>
        <w:spacing w:line="292" w:lineRule="auto" w:before="1"/>
        <w:ind w:left="5095" w:right="268"/>
      </w:pPr>
      <w:r>
        <w:rPr>
          <w:w w:val="110"/>
        </w:rPr>
        <w:t>There are some indications that recruitment and </w:t>
      </w:r>
      <w:r>
        <w:rPr>
          <w:spacing w:val="-3"/>
          <w:w w:val="110"/>
        </w:rPr>
        <w:t>retention </w:t>
      </w:r>
      <w:r>
        <w:rPr>
          <w:w w:val="110"/>
        </w:rPr>
        <w:t>difficulties are putting </w:t>
      </w:r>
      <w:r>
        <w:rPr>
          <w:spacing w:val="-3"/>
          <w:w w:val="110"/>
        </w:rPr>
        <w:t>upward pressure </w:t>
      </w:r>
      <w:r>
        <w:rPr>
          <w:w w:val="110"/>
        </w:rPr>
        <w:t>on </w:t>
      </w:r>
      <w:r>
        <w:rPr>
          <w:spacing w:val="-6"/>
          <w:w w:val="110"/>
        </w:rPr>
        <w:t>pay, </w:t>
      </w:r>
      <w:r>
        <w:rPr>
          <w:w w:val="110"/>
        </w:rPr>
        <w:t>but there are only limited signs of </w:t>
      </w:r>
      <w:r>
        <w:rPr>
          <w:spacing w:val="-3"/>
          <w:w w:val="110"/>
        </w:rPr>
        <w:t>any </w:t>
      </w:r>
      <w:r>
        <w:rPr>
          <w:w w:val="110"/>
        </w:rPr>
        <w:t>significant </w:t>
      </w:r>
      <w:r>
        <w:rPr>
          <w:spacing w:val="-5"/>
          <w:w w:val="110"/>
        </w:rPr>
        <w:t>pick-up </w:t>
      </w:r>
      <w:r>
        <w:rPr>
          <w:spacing w:val="-4"/>
          <w:w w:val="110"/>
        </w:rPr>
        <w:t>to </w:t>
      </w:r>
      <w:r>
        <w:rPr>
          <w:w w:val="110"/>
        </w:rPr>
        <w:t>date. </w:t>
      </w:r>
      <w:r>
        <w:rPr>
          <w:spacing w:val="-3"/>
          <w:w w:val="110"/>
        </w:rPr>
        <w:t>Private </w:t>
      </w:r>
      <w:r>
        <w:rPr>
          <w:w w:val="110"/>
        </w:rPr>
        <w:t>sector settlements </w:t>
      </w:r>
      <w:r>
        <w:rPr>
          <w:spacing w:val="-3"/>
          <w:w w:val="110"/>
        </w:rPr>
        <w:t>have </w:t>
      </w:r>
      <w:r>
        <w:rPr>
          <w:w w:val="110"/>
        </w:rPr>
        <w:t>edged up a little in recent months.</w:t>
      </w:r>
    </w:p>
    <w:p>
      <w:pPr>
        <w:pStyle w:val="BodyText"/>
        <w:spacing w:before="1"/>
        <w:rPr>
          <w:sz w:val="24"/>
        </w:rPr>
      </w:pPr>
    </w:p>
    <w:p>
      <w:pPr>
        <w:pStyle w:val="BodyText"/>
        <w:spacing w:line="292" w:lineRule="auto"/>
        <w:ind w:left="5095" w:right="172"/>
      </w:pPr>
      <w:r>
        <w:rPr>
          <w:w w:val="110"/>
        </w:rPr>
        <w:t>The </w:t>
      </w:r>
      <w:r>
        <w:rPr>
          <w:spacing w:val="-3"/>
          <w:w w:val="110"/>
        </w:rPr>
        <w:t>Committee </w:t>
      </w:r>
      <w:r>
        <w:rPr>
          <w:w w:val="110"/>
        </w:rPr>
        <w:t>concluded that there </w:t>
      </w:r>
      <w:r>
        <w:rPr>
          <w:spacing w:val="-3"/>
          <w:w w:val="110"/>
        </w:rPr>
        <w:t>was </w:t>
      </w:r>
      <w:r>
        <w:rPr>
          <w:w w:val="110"/>
        </w:rPr>
        <w:t>relatively little change </w:t>
      </w:r>
      <w:r>
        <w:rPr>
          <w:spacing w:val="-4"/>
          <w:w w:val="110"/>
        </w:rPr>
        <w:t>to </w:t>
      </w:r>
      <w:r>
        <w:rPr>
          <w:w w:val="110"/>
        </w:rPr>
        <w:t>the outlook for real earnings growth since the November </w:t>
      </w:r>
      <w:r>
        <w:rPr>
          <w:i/>
          <w:w w:val="110"/>
        </w:rPr>
        <w:t>Report</w:t>
      </w:r>
      <w:r>
        <w:rPr>
          <w:w w:val="110"/>
        </w:rPr>
        <w:t>. As recent inflation outturns </w:t>
      </w:r>
      <w:r>
        <w:rPr>
          <w:spacing w:val="-3"/>
          <w:w w:val="110"/>
        </w:rPr>
        <w:t>have </w:t>
      </w:r>
      <w:r>
        <w:rPr>
          <w:w w:val="110"/>
        </w:rPr>
        <w:t>been a little</w:t>
      </w:r>
      <w:r>
        <w:rPr>
          <w:spacing w:val="-29"/>
          <w:w w:val="110"/>
        </w:rPr>
        <w:t> </w:t>
      </w:r>
      <w:r>
        <w:rPr>
          <w:w w:val="110"/>
        </w:rPr>
        <w:t>below</w:t>
      </w:r>
      <w:r>
        <w:rPr>
          <w:spacing w:val="-29"/>
          <w:w w:val="110"/>
        </w:rPr>
        <w:t> </w:t>
      </w:r>
      <w:r>
        <w:rPr>
          <w:w w:val="110"/>
        </w:rPr>
        <w:t>expectations</w:t>
      </w:r>
      <w:r>
        <w:rPr>
          <w:spacing w:val="-28"/>
          <w:w w:val="110"/>
        </w:rPr>
        <w:t> </w:t>
      </w:r>
      <w:r>
        <w:rPr>
          <w:w w:val="110"/>
        </w:rPr>
        <w:t>and</w:t>
      </w:r>
      <w:r>
        <w:rPr>
          <w:spacing w:val="-29"/>
          <w:w w:val="110"/>
        </w:rPr>
        <w:t> </w:t>
      </w:r>
      <w:r>
        <w:rPr>
          <w:w w:val="110"/>
        </w:rPr>
        <w:t>nominal</w:t>
      </w:r>
      <w:r>
        <w:rPr>
          <w:spacing w:val="-28"/>
          <w:w w:val="110"/>
        </w:rPr>
        <w:t> </w:t>
      </w:r>
      <w:r>
        <w:rPr>
          <w:w w:val="110"/>
        </w:rPr>
        <w:t>earnings</w:t>
      </w:r>
      <w:r>
        <w:rPr>
          <w:spacing w:val="-29"/>
          <w:w w:val="110"/>
        </w:rPr>
        <w:t> </w:t>
      </w:r>
      <w:r>
        <w:rPr>
          <w:w w:val="110"/>
        </w:rPr>
        <w:t>growth</w:t>
      </w:r>
      <w:r>
        <w:rPr>
          <w:spacing w:val="-28"/>
          <w:w w:val="110"/>
        </w:rPr>
        <w:t> </w:t>
      </w:r>
      <w:r>
        <w:rPr>
          <w:w w:val="110"/>
        </w:rPr>
        <w:t>broadly in</w:t>
      </w:r>
      <w:r>
        <w:rPr>
          <w:spacing w:val="-17"/>
          <w:w w:val="110"/>
        </w:rPr>
        <w:t> </w:t>
      </w:r>
      <w:r>
        <w:rPr>
          <w:w w:val="110"/>
        </w:rPr>
        <w:t>line</w:t>
      </w:r>
      <w:r>
        <w:rPr>
          <w:spacing w:val="-17"/>
          <w:w w:val="110"/>
        </w:rPr>
        <w:t> </w:t>
      </w:r>
      <w:r>
        <w:rPr>
          <w:w w:val="110"/>
        </w:rPr>
        <w:t>with</w:t>
      </w:r>
      <w:r>
        <w:rPr>
          <w:spacing w:val="-16"/>
          <w:w w:val="110"/>
        </w:rPr>
        <w:t> </w:t>
      </w:r>
      <w:r>
        <w:rPr>
          <w:w w:val="110"/>
        </w:rPr>
        <w:t>them,</w:t>
      </w:r>
      <w:r>
        <w:rPr>
          <w:spacing w:val="-17"/>
          <w:w w:val="110"/>
        </w:rPr>
        <w:t> </w:t>
      </w:r>
      <w:r>
        <w:rPr>
          <w:w w:val="110"/>
        </w:rPr>
        <w:t>real</w:t>
      </w:r>
      <w:r>
        <w:rPr>
          <w:spacing w:val="-16"/>
          <w:w w:val="110"/>
        </w:rPr>
        <w:t> </w:t>
      </w:r>
      <w:r>
        <w:rPr>
          <w:w w:val="110"/>
        </w:rPr>
        <w:t>earnings</w:t>
      </w:r>
      <w:r>
        <w:rPr>
          <w:spacing w:val="-17"/>
          <w:w w:val="110"/>
        </w:rPr>
        <w:t> </w:t>
      </w:r>
      <w:r>
        <w:rPr>
          <w:w w:val="110"/>
        </w:rPr>
        <w:t>growth</w:t>
      </w:r>
      <w:r>
        <w:rPr>
          <w:spacing w:val="-16"/>
          <w:w w:val="110"/>
        </w:rPr>
        <w:t> </w:t>
      </w:r>
      <w:r>
        <w:rPr>
          <w:w w:val="110"/>
        </w:rPr>
        <w:t>has</w:t>
      </w:r>
      <w:r>
        <w:rPr>
          <w:spacing w:val="-17"/>
          <w:w w:val="110"/>
        </w:rPr>
        <w:t> </w:t>
      </w:r>
      <w:r>
        <w:rPr>
          <w:w w:val="110"/>
        </w:rPr>
        <w:t>turned</w:t>
      </w:r>
      <w:r>
        <w:rPr>
          <w:spacing w:val="-16"/>
          <w:w w:val="110"/>
        </w:rPr>
        <w:t> </w:t>
      </w:r>
      <w:r>
        <w:rPr>
          <w:w w:val="110"/>
        </w:rPr>
        <w:t>out</w:t>
      </w:r>
      <w:r>
        <w:rPr>
          <w:spacing w:val="-17"/>
          <w:w w:val="110"/>
        </w:rPr>
        <w:t> </w:t>
      </w:r>
      <w:r>
        <w:rPr>
          <w:w w:val="110"/>
        </w:rPr>
        <w:t>slightly stronger than anticipated. That gain is likely </w:t>
      </w:r>
      <w:r>
        <w:rPr>
          <w:spacing w:val="-4"/>
          <w:w w:val="110"/>
        </w:rPr>
        <w:t>to </w:t>
      </w:r>
      <w:r>
        <w:rPr>
          <w:w w:val="110"/>
        </w:rPr>
        <w:t>unwind quickly and the somewhat </w:t>
      </w:r>
      <w:r>
        <w:rPr>
          <w:spacing w:val="-3"/>
          <w:w w:val="110"/>
        </w:rPr>
        <w:t>weaker </w:t>
      </w:r>
      <w:r>
        <w:rPr>
          <w:w w:val="110"/>
        </w:rPr>
        <w:t>prospects for </w:t>
      </w:r>
      <w:r>
        <w:rPr>
          <w:spacing w:val="-3"/>
          <w:w w:val="110"/>
        </w:rPr>
        <w:t>short-term </w:t>
      </w:r>
      <w:r>
        <w:rPr>
          <w:w w:val="110"/>
        </w:rPr>
        <w:t>output </w:t>
      </w:r>
      <w:r>
        <w:rPr>
          <w:spacing w:val="-2"/>
          <w:w w:val="110"/>
        </w:rPr>
        <w:t>growth </w:t>
      </w:r>
      <w:r>
        <w:rPr>
          <w:w w:val="110"/>
        </w:rPr>
        <w:t>should also dampen real wage </w:t>
      </w:r>
      <w:r>
        <w:rPr>
          <w:spacing w:val="-3"/>
          <w:w w:val="110"/>
        </w:rPr>
        <w:t>pressures marginally. </w:t>
      </w:r>
      <w:r>
        <w:rPr>
          <w:spacing w:val="-6"/>
          <w:w w:val="110"/>
        </w:rPr>
        <w:t>Taken </w:t>
      </w:r>
      <w:r>
        <w:rPr>
          <w:w w:val="110"/>
        </w:rPr>
        <w:t>together with a </w:t>
      </w:r>
      <w:r>
        <w:rPr>
          <w:spacing w:val="-3"/>
          <w:w w:val="110"/>
        </w:rPr>
        <w:t>weaker </w:t>
      </w:r>
      <w:r>
        <w:rPr>
          <w:w w:val="110"/>
        </w:rPr>
        <w:t>outlook</w:t>
      </w:r>
      <w:r>
        <w:rPr>
          <w:spacing w:val="-30"/>
          <w:w w:val="110"/>
        </w:rPr>
        <w:t> </w:t>
      </w:r>
      <w:r>
        <w:rPr>
          <w:w w:val="110"/>
        </w:rPr>
        <w:t>for</w:t>
      </w:r>
    </w:p>
    <w:p>
      <w:pPr>
        <w:pStyle w:val="BodyText"/>
        <w:spacing w:line="292" w:lineRule="auto"/>
        <w:ind w:left="5095" w:right="172"/>
      </w:pPr>
      <w:r>
        <w:rPr>
          <w:spacing w:val="-5"/>
          <w:w w:val="110"/>
        </w:rPr>
        <w:t>near-term</w:t>
      </w:r>
      <w:r>
        <w:rPr>
          <w:spacing w:val="-18"/>
          <w:w w:val="110"/>
        </w:rPr>
        <w:t> </w:t>
      </w:r>
      <w:r>
        <w:rPr>
          <w:w w:val="110"/>
        </w:rPr>
        <w:t>price</w:t>
      </w:r>
      <w:r>
        <w:rPr>
          <w:spacing w:val="-18"/>
          <w:w w:val="110"/>
        </w:rPr>
        <w:t> </w:t>
      </w:r>
      <w:r>
        <w:rPr>
          <w:spacing w:val="-3"/>
          <w:w w:val="110"/>
        </w:rPr>
        <w:t>pressures,</w:t>
      </w:r>
      <w:r>
        <w:rPr>
          <w:spacing w:val="-17"/>
          <w:w w:val="110"/>
        </w:rPr>
        <w:t> </w:t>
      </w:r>
      <w:r>
        <w:rPr>
          <w:w w:val="110"/>
        </w:rPr>
        <w:t>nominal</w:t>
      </w:r>
      <w:r>
        <w:rPr>
          <w:spacing w:val="-18"/>
          <w:w w:val="110"/>
        </w:rPr>
        <w:t> </w:t>
      </w:r>
      <w:r>
        <w:rPr>
          <w:w w:val="110"/>
        </w:rPr>
        <w:t>earnings</w:t>
      </w:r>
      <w:r>
        <w:rPr>
          <w:spacing w:val="-18"/>
          <w:w w:val="110"/>
        </w:rPr>
        <w:t> </w:t>
      </w:r>
      <w:r>
        <w:rPr>
          <w:spacing w:val="-2"/>
          <w:w w:val="110"/>
        </w:rPr>
        <w:t>growth</w:t>
      </w:r>
      <w:r>
        <w:rPr>
          <w:spacing w:val="-17"/>
          <w:w w:val="110"/>
        </w:rPr>
        <w:t> </w:t>
      </w:r>
      <w:r>
        <w:rPr>
          <w:w w:val="110"/>
        </w:rPr>
        <w:t>is</w:t>
      </w:r>
      <w:r>
        <w:rPr>
          <w:spacing w:val="-18"/>
          <w:w w:val="110"/>
        </w:rPr>
        <w:t> </w:t>
      </w:r>
      <w:r>
        <w:rPr>
          <w:w w:val="110"/>
        </w:rPr>
        <w:t>likely</w:t>
      </w:r>
      <w:r>
        <w:rPr>
          <w:spacing w:val="-17"/>
          <w:w w:val="110"/>
        </w:rPr>
        <w:t> </w:t>
      </w:r>
      <w:r>
        <w:rPr>
          <w:spacing w:val="-4"/>
          <w:w w:val="110"/>
        </w:rPr>
        <w:t>to </w:t>
      </w:r>
      <w:r>
        <w:rPr>
          <w:w w:val="110"/>
        </w:rPr>
        <w:t>be a little softer than in the November </w:t>
      </w:r>
      <w:r>
        <w:rPr>
          <w:i/>
          <w:w w:val="110"/>
        </w:rPr>
        <w:t>Report</w:t>
      </w:r>
      <w:r>
        <w:rPr>
          <w:w w:val="110"/>
        </w:rPr>
        <w:t>. A temporary dip</w:t>
      </w:r>
      <w:r>
        <w:rPr>
          <w:spacing w:val="-19"/>
          <w:w w:val="110"/>
        </w:rPr>
        <w:t> </w:t>
      </w:r>
      <w:r>
        <w:rPr>
          <w:w w:val="110"/>
        </w:rPr>
        <w:t>in</w:t>
      </w:r>
      <w:r>
        <w:rPr>
          <w:spacing w:val="-19"/>
          <w:w w:val="110"/>
        </w:rPr>
        <w:t> </w:t>
      </w:r>
      <w:r>
        <w:rPr>
          <w:w w:val="110"/>
        </w:rPr>
        <w:t>nominal</w:t>
      </w:r>
      <w:r>
        <w:rPr>
          <w:spacing w:val="-18"/>
          <w:w w:val="110"/>
        </w:rPr>
        <w:t> </w:t>
      </w:r>
      <w:r>
        <w:rPr>
          <w:w w:val="110"/>
        </w:rPr>
        <w:t>earnings</w:t>
      </w:r>
      <w:r>
        <w:rPr>
          <w:spacing w:val="-19"/>
          <w:w w:val="110"/>
        </w:rPr>
        <w:t> </w:t>
      </w:r>
      <w:r>
        <w:rPr>
          <w:spacing w:val="-2"/>
          <w:w w:val="110"/>
        </w:rPr>
        <w:t>growth</w:t>
      </w:r>
      <w:r>
        <w:rPr>
          <w:spacing w:val="-19"/>
          <w:w w:val="110"/>
        </w:rPr>
        <w:t> </w:t>
      </w:r>
      <w:r>
        <w:rPr>
          <w:w w:val="110"/>
        </w:rPr>
        <w:t>is</w:t>
      </w:r>
      <w:r>
        <w:rPr>
          <w:spacing w:val="-18"/>
          <w:w w:val="110"/>
        </w:rPr>
        <w:t> </w:t>
      </w:r>
      <w:r>
        <w:rPr>
          <w:w w:val="110"/>
        </w:rPr>
        <w:t>likely</w:t>
      </w:r>
      <w:r>
        <w:rPr>
          <w:spacing w:val="-19"/>
          <w:w w:val="110"/>
        </w:rPr>
        <w:t> </w:t>
      </w:r>
      <w:r>
        <w:rPr>
          <w:w w:val="110"/>
        </w:rPr>
        <w:t>in</w:t>
      </w:r>
      <w:r>
        <w:rPr>
          <w:spacing w:val="-19"/>
          <w:w w:val="110"/>
        </w:rPr>
        <w:t> </w:t>
      </w:r>
      <w:r>
        <w:rPr>
          <w:w w:val="110"/>
        </w:rPr>
        <w:t>the</w:t>
      </w:r>
      <w:r>
        <w:rPr>
          <w:spacing w:val="-18"/>
          <w:w w:val="110"/>
        </w:rPr>
        <w:t> </w:t>
      </w:r>
      <w:r>
        <w:rPr>
          <w:w w:val="110"/>
        </w:rPr>
        <w:t>coming</w:t>
      </w:r>
      <w:r>
        <w:rPr>
          <w:spacing w:val="-19"/>
          <w:w w:val="110"/>
        </w:rPr>
        <w:t> </w:t>
      </w:r>
      <w:r>
        <w:rPr>
          <w:w w:val="110"/>
        </w:rPr>
        <w:t>months as</w:t>
      </w:r>
      <w:r>
        <w:rPr>
          <w:spacing w:val="-21"/>
          <w:w w:val="110"/>
        </w:rPr>
        <w:t> </w:t>
      </w:r>
      <w:r>
        <w:rPr>
          <w:w w:val="110"/>
        </w:rPr>
        <w:t>bonuses</w:t>
      </w:r>
      <w:r>
        <w:rPr>
          <w:spacing w:val="-20"/>
          <w:w w:val="110"/>
        </w:rPr>
        <w:t> </w:t>
      </w:r>
      <w:r>
        <w:rPr>
          <w:w w:val="110"/>
        </w:rPr>
        <w:t>are</w:t>
      </w:r>
      <w:r>
        <w:rPr>
          <w:spacing w:val="-20"/>
          <w:w w:val="110"/>
        </w:rPr>
        <w:t> </w:t>
      </w:r>
      <w:r>
        <w:rPr>
          <w:w w:val="110"/>
        </w:rPr>
        <w:t>likely</w:t>
      </w:r>
      <w:r>
        <w:rPr>
          <w:spacing w:val="-20"/>
          <w:w w:val="110"/>
        </w:rPr>
        <w:t> </w:t>
      </w:r>
      <w:r>
        <w:rPr>
          <w:spacing w:val="-4"/>
          <w:w w:val="110"/>
        </w:rPr>
        <w:t>to</w:t>
      </w:r>
      <w:r>
        <w:rPr>
          <w:spacing w:val="-20"/>
          <w:w w:val="110"/>
        </w:rPr>
        <w:t> </w:t>
      </w:r>
      <w:r>
        <w:rPr>
          <w:w w:val="110"/>
        </w:rPr>
        <w:t>fall</w:t>
      </w:r>
      <w:r>
        <w:rPr>
          <w:spacing w:val="-20"/>
          <w:w w:val="110"/>
        </w:rPr>
        <w:t> </w:t>
      </w:r>
      <w:r>
        <w:rPr>
          <w:w w:val="110"/>
        </w:rPr>
        <w:t>short</w:t>
      </w:r>
      <w:r>
        <w:rPr>
          <w:spacing w:val="-21"/>
          <w:w w:val="110"/>
        </w:rPr>
        <w:t> </w:t>
      </w:r>
      <w:r>
        <w:rPr>
          <w:w w:val="110"/>
        </w:rPr>
        <w:t>of</w:t>
      </w:r>
      <w:r>
        <w:rPr>
          <w:spacing w:val="-20"/>
          <w:w w:val="110"/>
        </w:rPr>
        <w:t> </w:t>
      </w:r>
      <w:r>
        <w:rPr>
          <w:w w:val="110"/>
        </w:rPr>
        <w:t>the</w:t>
      </w:r>
      <w:r>
        <w:rPr>
          <w:spacing w:val="-20"/>
          <w:w w:val="110"/>
        </w:rPr>
        <w:t> </w:t>
      </w:r>
      <w:r>
        <w:rPr>
          <w:w w:val="110"/>
        </w:rPr>
        <w:t>exceptional</w:t>
      </w:r>
      <w:r>
        <w:rPr>
          <w:spacing w:val="-20"/>
          <w:w w:val="110"/>
        </w:rPr>
        <w:t> </w:t>
      </w:r>
      <w:r>
        <w:rPr>
          <w:spacing w:val="-3"/>
          <w:w w:val="110"/>
        </w:rPr>
        <w:t>levels</w:t>
      </w:r>
      <w:r>
        <w:rPr>
          <w:spacing w:val="-20"/>
          <w:w w:val="110"/>
        </w:rPr>
        <w:t> </w:t>
      </w:r>
      <w:r>
        <w:rPr>
          <w:w w:val="110"/>
        </w:rPr>
        <w:t>paid around the turn of the millennium. Earnings </w:t>
      </w:r>
      <w:r>
        <w:rPr>
          <w:spacing w:val="-2"/>
          <w:w w:val="110"/>
        </w:rPr>
        <w:t>growth </w:t>
      </w:r>
      <w:r>
        <w:rPr>
          <w:w w:val="110"/>
        </w:rPr>
        <w:t>is likely </w:t>
      </w:r>
      <w:r>
        <w:rPr>
          <w:spacing w:val="-4"/>
          <w:w w:val="110"/>
        </w:rPr>
        <w:t>to </w:t>
      </w:r>
      <w:r>
        <w:rPr>
          <w:w w:val="110"/>
        </w:rPr>
        <w:t>return subsequently </w:t>
      </w:r>
      <w:r>
        <w:rPr>
          <w:spacing w:val="-4"/>
          <w:w w:val="110"/>
        </w:rPr>
        <w:t>to </w:t>
      </w:r>
      <w:r>
        <w:rPr>
          <w:w w:val="110"/>
        </w:rPr>
        <w:t>around current </w:t>
      </w:r>
      <w:r>
        <w:rPr>
          <w:spacing w:val="-4"/>
          <w:w w:val="110"/>
        </w:rPr>
        <w:t>rates, </w:t>
      </w:r>
      <w:r>
        <w:rPr>
          <w:w w:val="110"/>
        </w:rPr>
        <w:t>or a little </w:t>
      </w:r>
      <w:r>
        <w:rPr>
          <w:spacing w:val="-3"/>
          <w:w w:val="110"/>
        </w:rPr>
        <w:t>above,</w:t>
      </w:r>
      <w:r>
        <w:rPr>
          <w:spacing w:val="-17"/>
          <w:w w:val="110"/>
        </w:rPr>
        <w:t> </w:t>
      </w:r>
      <w:r>
        <w:rPr>
          <w:w w:val="110"/>
        </w:rPr>
        <w:t>reflecting</w:t>
      </w:r>
      <w:r>
        <w:rPr>
          <w:spacing w:val="-17"/>
          <w:w w:val="110"/>
        </w:rPr>
        <w:t> </w:t>
      </w:r>
      <w:r>
        <w:rPr>
          <w:w w:val="110"/>
        </w:rPr>
        <w:t>the</w:t>
      </w:r>
      <w:r>
        <w:rPr>
          <w:spacing w:val="-17"/>
          <w:w w:val="110"/>
        </w:rPr>
        <w:t> </w:t>
      </w:r>
      <w:r>
        <w:rPr>
          <w:w w:val="110"/>
        </w:rPr>
        <w:t>continued</w:t>
      </w:r>
      <w:r>
        <w:rPr>
          <w:spacing w:val="-16"/>
          <w:w w:val="110"/>
        </w:rPr>
        <w:t> </w:t>
      </w:r>
      <w:r>
        <w:rPr>
          <w:w w:val="110"/>
        </w:rPr>
        <w:t>tightness</w:t>
      </w:r>
      <w:r>
        <w:rPr>
          <w:spacing w:val="-17"/>
          <w:w w:val="110"/>
        </w:rPr>
        <w:t> </w:t>
      </w:r>
      <w:r>
        <w:rPr>
          <w:w w:val="110"/>
        </w:rPr>
        <w:t>of</w:t>
      </w:r>
      <w:r>
        <w:rPr>
          <w:spacing w:val="-17"/>
          <w:w w:val="110"/>
        </w:rPr>
        <w:t> </w:t>
      </w:r>
      <w:r>
        <w:rPr>
          <w:w w:val="110"/>
        </w:rPr>
        <w:t>the</w:t>
      </w:r>
      <w:r>
        <w:rPr>
          <w:spacing w:val="-16"/>
          <w:w w:val="110"/>
        </w:rPr>
        <w:t> </w:t>
      </w:r>
      <w:r>
        <w:rPr>
          <w:w w:val="110"/>
        </w:rPr>
        <w:t>labour</w:t>
      </w:r>
      <w:r>
        <w:rPr>
          <w:spacing w:val="-17"/>
          <w:w w:val="110"/>
        </w:rPr>
        <w:t> </w:t>
      </w:r>
      <w:r>
        <w:rPr>
          <w:w w:val="110"/>
        </w:rPr>
        <w:t>market. Given that tightness, risks </w:t>
      </w:r>
      <w:r>
        <w:rPr>
          <w:spacing w:val="-4"/>
          <w:w w:val="110"/>
        </w:rPr>
        <w:t>to </w:t>
      </w:r>
      <w:r>
        <w:rPr>
          <w:w w:val="110"/>
        </w:rPr>
        <w:t>the earnings outlook are </w:t>
      </w:r>
      <w:r>
        <w:rPr>
          <w:spacing w:val="-3"/>
          <w:w w:val="110"/>
        </w:rPr>
        <w:t>weighted </w:t>
      </w:r>
      <w:r>
        <w:rPr>
          <w:spacing w:val="-4"/>
          <w:w w:val="110"/>
        </w:rPr>
        <w:t>to </w:t>
      </w:r>
      <w:r>
        <w:rPr>
          <w:w w:val="110"/>
        </w:rPr>
        <w:t>the</w:t>
      </w:r>
      <w:r>
        <w:rPr>
          <w:spacing w:val="-10"/>
          <w:w w:val="110"/>
        </w:rPr>
        <w:t> </w:t>
      </w:r>
      <w:r>
        <w:rPr>
          <w:w w:val="110"/>
        </w:rPr>
        <w:t>upside.</w:t>
      </w:r>
    </w:p>
    <w:p>
      <w:pPr>
        <w:pStyle w:val="BodyText"/>
        <w:spacing w:before="5"/>
        <w:rPr>
          <w:sz w:val="23"/>
        </w:rPr>
      </w:pPr>
    </w:p>
    <w:p>
      <w:pPr>
        <w:pStyle w:val="BodyText"/>
        <w:spacing w:line="292" w:lineRule="auto"/>
        <w:ind w:left="5095" w:right="202"/>
      </w:pPr>
      <w:r>
        <w:rPr>
          <w:w w:val="105"/>
        </w:rPr>
        <w:t>Cost </w:t>
      </w:r>
      <w:r>
        <w:rPr>
          <w:spacing w:val="-3"/>
          <w:w w:val="105"/>
        </w:rPr>
        <w:t>pressures </w:t>
      </w:r>
      <w:r>
        <w:rPr>
          <w:w w:val="105"/>
        </w:rPr>
        <w:t>from the labour </w:t>
      </w:r>
      <w:r>
        <w:rPr>
          <w:spacing w:val="-2"/>
          <w:w w:val="105"/>
        </w:rPr>
        <w:t>market </w:t>
      </w:r>
      <w:r>
        <w:rPr>
          <w:w w:val="105"/>
        </w:rPr>
        <w:t>depend on productivity growth</w:t>
      </w:r>
      <w:r>
        <w:rPr>
          <w:spacing w:val="-13"/>
          <w:w w:val="105"/>
        </w:rPr>
        <w:t> </w:t>
      </w:r>
      <w:r>
        <w:rPr>
          <w:w w:val="105"/>
        </w:rPr>
        <w:t>as</w:t>
      </w:r>
      <w:r>
        <w:rPr>
          <w:spacing w:val="-13"/>
          <w:w w:val="105"/>
        </w:rPr>
        <w:t> </w:t>
      </w:r>
      <w:r>
        <w:rPr>
          <w:w w:val="105"/>
        </w:rPr>
        <w:t>well</w:t>
      </w:r>
      <w:r>
        <w:rPr>
          <w:spacing w:val="-12"/>
          <w:w w:val="105"/>
        </w:rPr>
        <w:t> </w:t>
      </w:r>
      <w:r>
        <w:rPr>
          <w:w w:val="105"/>
        </w:rPr>
        <w:t>as</w:t>
      </w:r>
      <w:r>
        <w:rPr>
          <w:spacing w:val="-13"/>
          <w:w w:val="105"/>
        </w:rPr>
        <w:t> </w:t>
      </w:r>
      <w:r>
        <w:rPr>
          <w:w w:val="105"/>
        </w:rPr>
        <w:t>earnings.</w:t>
      </w:r>
      <w:r>
        <w:rPr>
          <w:spacing w:val="28"/>
          <w:w w:val="105"/>
        </w:rPr>
        <w:t> </w:t>
      </w:r>
      <w:r>
        <w:rPr>
          <w:w w:val="105"/>
        </w:rPr>
        <w:t>Following</w:t>
      </w:r>
      <w:r>
        <w:rPr>
          <w:spacing w:val="-12"/>
          <w:w w:val="105"/>
        </w:rPr>
        <w:t> </w:t>
      </w:r>
      <w:r>
        <w:rPr>
          <w:spacing w:val="-3"/>
          <w:w w:val="105"/>
        </w:rPr>
        <w:t>several</w:t>
      </w:r>
      <w:r>
        <w:rPr>
          <w:spacing w:val="-13"/>
          <w:w w:val="105"/>
        </w:rPr>
        <w:t> </w:t>
      </w:r>
      <w:r>
        <w:rPr>
          <w:spacing w:val="-3"/>
          <w:w w:val="105"/>
        </w:rPr>
        <w:t>years</w:t>
      </w:r>
      <w:r>
        <w:rPr>
          <w:spacing w:val="-13"/>
          <w:w w:val="105"/>
        </w:rPr>
        <w:t> </w:t>
      </w:r>
      <w:r>
        <w:rPr>
          <w:w w:val="105"/>
        </w:rPr>
        <w:t>of</w:t>
      </w:r>
      <w:r>
        <w:rPr>
          <w:spacing w:val="-12"/>
          <w:w w:val="105"/>
        </w:rPr>
        <w:t> </w:t>
      </w:r>
      <w:r>
        <w:rPr>
          <w:w w:val="105"/>
        </w:rPr>
        <w:t>relatively subdued outturns, whole-economy productivity growth has strengthened in recent quarters and is now </w:t>
      </w:r>
      <w:r>
        <w:rPr>
          <w:spacing w:val="-3"/>
          <w:w w:val="105"/>
        </w:rPr>
        <w:t>above </w:t>
      </w:r>
      <w:r>
        <w:rPr>
          <w:w w:val="105"/>
        </w:rPr>
        <w:t>the </w:t>
      </w:r>
      <w:r>
        <w:rPr>
          <w:spacing w:val="-3"/>
          <w:w w:val="105"/>
        </w:rPr>
        <w:t>long-run </w:t>
      </w:r>
      <w:r>
        <w:rPr>
          <w:w w:val="105"/>
        </w:rPr>
        <w:t>trend calculated as the </w:t>
      </w:r>
      <w:r>
        <w:rPr>
          <w:spacing w:val="-3"/>
          <w:w w:val="105"/>
        </w:rPr>
        <w:t>average over </w:t>
      </w:r>
      <w:r>
        <w:rPr>
          <w:w w:val="105"/>
        </w:rPr>
        <w:t>the past </w:t>
      </w:r>
      <w:r>
        <w:rPr>
          <w:spacing w:val="-6"/>
          <w:w w:val="105"/>
        </w:rPr>
        <w:t>40 </w:t>
      </w:r>
      <w:r>
        <w:rPr>
          <w:spacing w:val="-3"/>
          <w:w w:val="105"/>
        </w:rPr>
        <w:t>years. </w:t>
      </w:r>
      <w:r>
        <w:rPr>
          <w:spacing w:val="-4"/>
          <w:w w:val="105"/>
        </w:rPr>
        <w:t>Faster </w:t>
      </w:r>
      <w:r>
        <w:rPr>
          <w:w w:val="105"/>
        </w:rPr>
        <w:t>productivity growth, combined with a </w:t>
      </w:r>
      <w:r>
        <w:rPr>
          <w:spacing w:val="-3"/>
          <w:w w:val="105"/>
        </w:rPr>
        <w:t>slowdown </w:t>
      </w:r>
      <w:r>
        <w:rPr>
          <w:w w:val="105"/>
        </w:rPr>
        <w:t>in earnings </w:t>
      </w:r>
      <w:r>
        <w:rPr>
          <w:spacing w:val="-2"/>
          <w:w w:val="105"/>
        </w:rPr>
        <w:t>growth </w:t>
      </w:r>
      <w:r>
        <w:rPr>
          <w:w w:val="105"/>
        </w:rPr>
        <w:t>from the </w:t>
      </w:r>
      <w:r>
        <w:rPr>
          <w:spacing w:val="-3"/>
          <w:w w:val="105"/>
        </w:rPr>
        <w:t>levels </w:t>
      </w:r>
      <w:r>
        <w:rPr>
          <w:w w:val="105"/>
        </w:rPr>
        <w:t>in </w:t>
      </w:r>
      <w:r>
        <w:rPr>
          <w:spacing w:val="-15"/>
          <w:w w:val="105"/>
        </w:rPr>
        <w:t>1999 </w:t>
      </w:r>
      <w:r>
        <w:rPr>
          <w:w w:val="105"/>
        </w:rPr>
        <w:t>and early </w:t>
      </w:r>
      <w:r>
        <w:rPr>
          <w:spacing w:val="-4"/>
          <w:w w:val="105"/>
        </w:rPr>
        <w:t>2000, </w:t>
      </w:r>
      <w:r>
        <w:rPr>
          <w:w w:val="105"/>
        </w:rPr>
        <w:t>has led </w:t>
      </w:r>
      <w:r>
        <w:rPr>
          <w:spacing w:val="-4"/>
          <w:w w:val="105"/>
        </w:rPr>
        <w:t>to </w:t>
      </w:r>
      <w:r>
        <w:rPr>
          <w:w w:val="105"/>
        </w:rPr>
        <w:t>a substantial drop in the annual </w:t>
      </w:r>
      <w:r>
        <w:rPr>
          <w:spacing w:val="-4"/>
          <w:w w:val="105"/>
        </w:rPr>
        <w:t>rate  </w:t>
      </w:r>
      <w:r>
        <w:rPr>
          <w:w w:val="105"/>
        </w:rPr>
        <w:t>of growth of unit wage  costs </w:t>
      </w:r>
      <w:r>
        <w:rPr>
          <w:spacing w:val="-4"/>
          <w:w w:val="105"/>
        </w:rPr>
        <w:t>to </w:t>
      </w:r>
      <w:r>
        <w:rPr>
          <w:w w:val="105"/>
        </w:rPr>
        <w:t>around 1</w:t>
      </w:r>
      <w:r>
        <w:rPr>
          <w:w w:val="105"/>
          <w:position w:val="7"/>
          <w:sz w:val="10"/>
        </w:rPr>
        <w:t>1</w:t>
      </w:r>
      <w:r>
        <w:rPr>
          <w:w w:val="105"/>
        </w:rPr>
        <w:t>/</w:t>
      </w:r>
      <w:r>
        <w:rPr>
          <w:w w:val="105"/>
          <w:position w:val="1"/>
          <w:sz w:val="10"/>
        </w:rPr>
        <w:t>2</w:t>
      </w:r>
      <w:r>
        <w:rPr>
          <w:w w:val="105"/>
        </w:rPr>
        <w:t>%. Productivity is </w:t>
      </w:r>
      <w:r>
        <w:rPr>
          <w:spacing w:val="-3"/>
          <w:w w:val="105"/>
        </w:rPr>
        <w:t>expected </w:t>
      </w:r>
      <w:r>
        <w:rPr>
          <w:spacing w:val="-4"/>
          <w:w w:val="105"/>
        </w:rPr>
        <w:t>to </w:t>
      </w:r>
      <w:r>
        <w:rPr>
          <w:spacing w:val="-3"/>
          <w:w w:val="105"/>
        </w:rPr>
        <w:t>grow </w:t>
      </w:r>
      <w:r>
        <w:rPr>
          <w:w w:val="105"/>
        </w:rPr>
        <w:t>at around trend </w:t>
      </w:r>
      <w:r>
        <w:rPr>
          <w:spacing w:val="-3"/>
          <w:w w:val="105"/>
        </w:rPr>
        <w:t>over </w:t>
      </w:r>
      <w:r>
        <w:rPr>
          <w:w w:val="105"/>
        </w:rPr>
        <w:t>the next </w:t>
      </w:r>
      <w:r>
        <w:rPr>
          <w:spacing w:val="-5"/>
          <w:w w:val="105"/>
        </w:rPr>
        <w:t>two </w:t>
      </w:r>
      <w:r>
        <w:rPr>
          <w:spacing w:val="-3"/>
          <w:w w:val="105"/>
        </w:rPr>
        <w:t>years. </w:t>
      </w:r>
      <w:r>
        <w:rPr>
          <w:w w:val="105"/>
        </w:rPr>
        <w:t>Given nominal earnings growth just a little </w:t>
      </w:r>
      <w:r>
        <w:rPr>
          <w:spacing w:val="-3"/>
          <w:w w:val="105"/>
        </w:rPr>
        <w:t>above </w:t>
      </w:r>
      <w:r>
        <w:rPr>
          <w:w w:val="105"/>
        </w:rPr>
        <w:t>recent </w:t>
      </w:r>
      <w:r>
        <w:rPr>
          <w:spacing w:val="-4"/>
          <w:w w:val="105"/>
        </w:rPr>
        <w:t>rates, </w:t>
      </w:r>
      <w:r>
        <w:rPr>
          <w:w w:val="105"/>
        </w:rPr>
        <w:t>unit wage costs</w:t>
      </w:r>
      <w:r>
        <w:rPr>
          <w:spacing w:val="35"/>
          <w:w w:val="105"/>
        </w:rPr>
        <w:t> </w:t>
      </w:r>
      <w:r>
        <w:rPr>
          <w:w w:val="105"/>
        </w:rPr>
        <w:t>might</w:t>
      </w:r>
    </w:p>
    <w:p>
      <w:pPr>
        <w:spacing w:after="0" w:line="292" w:lineRule="auto"/>
        <w:sectPr>
          <w:pgSz w:w="11900" w:h="16840"/>
          <w:pgMar w:header="601" w:footer="575" w:top="800" w:bottom="760" w:left="640" w:right="640"/>
        </w:sectPr>
      </w:pPr>
    </w:p>
    <w:p>
      <w:pPr>
        <w:pStyle w:val="BodyText"/>
      </w:pPr>
    </w:p>
    <w:p>
      <w:pPr>
        <w:pStyle w:val="BodyText"/>
        <w:spacing w:before="7"/>
        <w:rPr>
          <w:sz w:val="16"/>
        </w:rPr>
      </w:pPr>
    </w:p>
    <w:p>
      <w:pPr>
        <w:pStyle w:val="BodyText"/>
        <w:spacing w:line="292" w:lineRule="auto" w:before="64"/>
        <w:ind w:left="5104" w:right="83"/>
      </w:pPr>
      <w:r>
        <w:rPr>
          <w:w w:val="110"/>
        </w:rPr>
        <w:t>rise a little quicker than in recent quarters, although pressures are likely to remain relatively muted.</w:t>
      </w:r>
    </w:p>
    <w:p>
      <w:pPr>
        <w:pStyle w:val="BodyText"/>
        <w:spacing w:before="3"/>
        <w:rPr>
          <w:sz w:val="17"/>
        </w:rPr>
      </w:pPr>
    </w:p>
    <w:p>
      <w:pPr>
        <w:pStyle w:val="BodyText"/>
        <w:spacing w:line="292" w:lineRule="auto"/>
        <w:ind w:left="5104" w:right="140"/>
      </w:pPr>
      <w:r>
        <w:rPr>
          <w:w w:val="110"/>
        </w:rPr>
        <w:t>Recent outturns for RPIX inflation </w:t>
      </w:r>
      <w:r>
        <w:rPr>
          <w:spacing w:val="-3"/>
          <w:w w:val="110"/>
        </w:rPr>
        <w:t>have </w:t>
      </w:r>
      <w:r>
        <w:rPr>
          <w:w w:val="110"/>
        </w:rPr>
        <w:t>been below expectations at the time of the November </w:t>
      </w:r>
      <w:r>
        <w:rPr>
          <w:i/>
          <w:w w:val="110"/>
        </w:rPr>
        <w:t>Inflation Report</w:t>
      </w:r>
      <w:r>
        <w:rPr>
          <w:w w:val="110"/>
        </w:rPr>
        <w:t>, when</w:t>
      </w:r>
      <w:r>
        <w:rPr>
          <w:spacing w:val="-22"/>
          <w:w w:val="110"/>
        </w:rPr>
        <w:t> </w:t>
      </w:r>
      <w:r>
        <w:rPr>
          <w:w w:val="110"/>
        </w:rPr>
        <w:t>the</w:t>
      </w:r>
      <w:r>
        <w:rPr>
          <w:spacing w:val="-21"/>
          <w:w w:val="110"/>
        </w:rPr>
        <w:t> </w:t>
      </w:r>
      <w:r>
        <w:rPr>
          <w:w w:val="110"/>
        </w:rPr>
        <w:t>pass-through</w:t>
      </w:r>
      <w:r>
        <w:rPr>
          <w:spacing w:val="-21"/>
          <w:w w:val="110"/>
        </w:rPr>
        <w:t> </w:t>
      </w:r>
      <w:r>
        <w:rPr>
          <w:w w:val="110"/>
        </w:rPr>
        <w:t>of</w:t>
      </w:r>
      <w:r>
        <w:rPr>
          <w:spacing w:val="-22"/>
          <w:w w:val="110"/>
        </w:rPr>
        <w:t> </w:t>
      </w:r>
      <w:r>
        <w:rPr>
          <w:w w:val="110"/>
        </w:rPr>
        <w:t>higher</w:t>
      </w:r>
      <w:r>
        <w:rPr>
          <w:spacing w:val="-21"/>
          <w:w w:val="110"/>
        </w:rPr>
        <w:t> </w:t>
      </w:r>
      <w:r>
        <w:rPr>
          <w:w w:val="110"/>
        </w:rPr>
        <w:t>oil</w:t>
      </w:r>
      <w:r>
        <w:rPr>
          <w:spacing w:val="-21"/>
          <w:w w:val="110"/>
        </w:rPr>
        <w:t> </w:t>
      </w:r>
      <w:r>
        <w:rPr>
          <w:w w:val="110"/>
        </w:rPr>
        <w:t>prices</w:t>
      </w:r>
      <w:r>
        <w:rPr>
          <w:spacing w:val="-22"/>
          <w:w w:val="110"/>
        </w:rPr>
        <w:t> </w:t>
      </w:r>
      <w:r>
        <w:rPr>
          <w:spacing w:val="-3"/>
          <w:w w:val="110"/>
        </w:rPr>
        <w:t>was</w:t>
      </w:r>
      <w:r>
        <w:rPr>
          <w:spacing w:val="-21"/>
          <w:w w:val="110"/>
        </w:rPr>
        <w:t> </w:t>
      </w:r>
      <w:r>
        <w:rPr>
          <w:w w:val="110"/>
        </w:rPr>
        <w:t>judged</w:t>
      </w:r>
      <w:r>
        <w:rPr>
          <w:spacing w:val="-21"/>
          <w:w w:val="110"/>
        </w:rPr>
        <w:t> </w:t>
      </w:r>
      <w:r>
        <w:rPr>
          <w:w w:val="110"/>
        </w:rPr>
        <w:t>likely</w:t>
      </w:r>
      <w:r>
        <w:rPr>
          <w:spacing w:val="-22"/>
          <w:w w:val="110"/>
        </w:rPr>
        <w:t> </w:t>
      </w:r>
      <w:r>
        <w:rPr>
          <w:spacing w:val="-4"/>
          <w:w w:val="110"/>
        </w:rPr>
        <w:t>to </w:t>
      </w:r>
      <w:r>
        <w:rPr>
          <w:w w:val="110"/>
        </w:rPr>
        <w:t>lead </w:t>
      </w:r>
      <w:r>
        <w:rPr>
          <w:spacing w:val="-4"/>
          <w:w w:val="110"/>
        </w:rPr>
        <w:t>to </w:t>
      </w:r>
      <w:r>
        <w:rPr>
          <w:w w:val="110"/>
        </w:rPr>
        <w:t>a </w:t>
      </w:r>
      <w:r>
        <w:rPr>
          <w:spacing w:val="-3"/>
          <w:w w:val="110"/>
        </w:rPr>
        <w:t>temporary </w:t>
      </w:r>
      <w:r>
        <w:rPr>
          <w:w w:val="110"/>
        </w:rPr>
        <w:t>spike in inflation in the fourth </w:t>
      </w:r>
      <w:r>
        <w:rPr>
          <w:spacing w:val="-3"/>
          <w:w w:val="110"/>
        </w:rPr>
        <w:t>quarter. </w:t>
      </w:r>
      <w:r>
        <w:rPr>
          <w:w w:val="110"/>
        </w:rPr>
        <w:t>In the </w:t>
      </w:r>
      <w:r>
        <w:rPr>
          <w:spacing w:val="-3"/>
          <w:w w:val="110"/>
        </w:rPr>
        <w:t>event, </w:t>
      </w:r>
      <w:r>
        <w:rPr>
          <w:w w:val="110"/>
        </w:rPr>
        <w:t>RPIX inflation </w:t>
      </w:r>
      <w:r>
        <w:rPr>
          <w:spacing w:val="-3"/>
          <w:w w:val="110"/>
        </w:rPr>
        <w:t>was </w:t>
      </w:r>
      <w:r>
        <w:rPr>
          <w:w w:val="110"/>
        </w:rPr>
        <w:t>2.1% in </w:t>
      </w:r>
      <w:r>
        <w:rPr>
          <w:spacing w:val="-4"/>
          <w:w w:val="110"/>
        </w:rPr>
        <w:t>2000 </w:t>
      </w:r>
      <w:r>
        <w:rPr>
          <w:w w:val="110"/>
        </w:rPr>
        <w:t>Q4, identical </w:t>
      </w:r>
      <w:r>
        <w:rPr>
          <w:spacing w:val="-4"/>
          <w:w w:val="110"/>
        </w:rPr>
        <w:t>to </w:t>
      </w:r>
      <w:r>
        <w:rPr>
          <w:w w:val="110"/>
        </w:rPr>
        <w:t>the </w:t>
      </w:r>
      <w:r>
        <w:rPr>
          <w:spacing w:val="-4"/>
          <w:w w:val="110"/>
        </w:rPr>
        <w:t>rate </w:t>
      </w:r>
      <w:r>
        <w:rPr>
          <w:w w:val="110"/>
        </w:rPr>
        <w:t>in each of the previous three quarters. Some of the overprediction</w:t>
      </w:r>
      <w:r>
        <w:rPr>
          <w:spacing w:val="-9"/>
          <w:w w:val="110"/>
        </w:rPr>
        <w:t> </w:t>
      </w:r>
      <w:r>
        <w:rPr>
          <w:w w:val="110"/>
        </w:rPr>
        <w:t>of</w:t>
      </w:r>
      <w:r>
        <w:rPr>
          <w:spacing w:val="-9"/>
          <w:w w:val="110"/>
        </w:rPr>
        <w:t> </w:t>
      </w:r>
      <w:r>
        <w:rPr>
          <w:w w:val="110"/>
        </w:rPr>
        <w:t>inflation</w:t>
      </w:r>
      <w:r>
        <w:rPr>
          <w:spacing w:val="-9"/>
          <w:w w:val="110"/>
        </w:rPr>
        <w:t> </w:t>
      </w:r>
      <w:r>
        <w:rPr>
          <w:spacing w:val="-3"/>
          <w:w w:val="110"/>
        </w:rPr>
        <w:t>may</w:t>
      </w:r>
      <w:r>
        <w:rPr>
          <w:spacing w:val="-9"/>
          <w:w w:val="110"/>
        </w:rPr>
        <w:t> </w:t>
      </w:r>
      <w:r>
        <w:rPr>
          <w:w w:val="110"/>
        </w:rPr>
        <w:t>be</w:t>
      </w:r>
      <w:r>
        <w:rPr>
          <w:spacing w:val="-9"/>
          <w:w w:val="110"/>
        </w:rPr>
        <w:t> </w:t>
      </w:r>
      <w:r>
        <w:rPr>
          <w:w w:val="110"/>
        </w:rPr>
        <w:t>accounted</w:t>
      </w:r>
      <w:r>
        <w:rPr>
          <w:spacing w:val="-9"/>
          <w:w w:val="110"/>
        </w:rPr>
        <w:t> </w:t>
      </w:r>
      <w:r>
        <w:rPr>
          <w:w w:val="110"/>
        </w:rPr>
        <w:t>for</w:t>
      </w:r>
      <w:r>
        <w:rPr>
          <w:spacing w:val="-9"/>
          <w:w w:val="110"/>
        </w:rPr>
        <w:t> </w:t>
      </w:r>
      <w:r>
        <w:rPr>
          <w:spacing w:val="-3"/>
          <w:w w:val="110"/>
        </w:rPr>
        <w:t>by</w:t>
      </w:r>
    </w:p>
    <w:p>
      <w:pPr>
        <w:pStyle w:val="BodyText"/>
        <w:spacing w:line="292" w:lineRule="auto"/>
        <w:ind w:left="5104"/>
      </w:pPr>
      <w:r>
        <w:rPr>
          <w:spacing w:val="-4"/>
          <w:w w:val="110"/>
        </w:rPr>
        <w:t>lower-than-expected </w:t>
      </w:r>
      <w:r>
        <w:rPr>
          <w:w w:val="110"/>
        </w:rPr>
        <w:t>cost </w:t>
      </w:r>
      <w:r>
        <w:rPr>
          <w:spacing w:val="-3"/>
          <w:w w:val="110"/>
        </w:rPr>
        <w:t>pressures, </w:t>
      </w:r>
      <w:r>
        <w:rPr>
          <w:w w:val="110"/>
        </w:rPr>
        <w:t>for example as oil prices dropped</w:t>
      </w:r>
      <w:r>
        <w:rPr>
          <w:spacing w:val="-8"/>
          <w:w w:val="110"/>
        </w:rPr>
        <w:t> </w:t>
      </w:r>
      <w:r>
        <w:rPr>
          <w:w w:val="110"/>
        </w:rPr>
        <w:t>back,</w:t>
      </w:r>
      <w:r>
        <w:rPr>
          <w:spacing w:val="-8"/>
          <w:w w:val="110"/>
        </w:rPr>
        <w:t> </w:t>
      </w:r>
      <w:r>
        <w:rPr>
          <w:w w:val="110"/>
        </w:rPr>
        <w:t>but</w:t>
      </w:r>
      <w:r>
        <w:rPr>
          <w:spacing w:val="-7"/>
          <w:w w:val="110"/>
        </w:rPr>
        <w:t> </w:t>
      </w:r>
      <w:r>
        <w:rPr>
          <w:w w:val="110"/>
        </w:rPr>
        <w:t>it</w:t>
      </w:r>
      <w:r>
        <w:rPr>
          <w:spacing w:val="-8"/>
          <w:w w:val="110"/>
        </w:rPr>
        <w:t> </w:t>
      </w:r>
      <w:r>
        <w:rPr>
          <w:w w:val="110"/>
        </w:rPr>
        <w:t>also</w:t>
      </w:r>
      <w:r>
        <w:rPr>
          <w:spacing w:val="-7"/>
          <w:w w:val="110"/>
        </w:rPr>
        <w:t> </w:t>
      </w:r>
      <w:r>
        <w:rPr>
          <w:w w:val="110"/>
        </w:rPr>
        <w:t>seems</w:t>
      </w:r>
      <w:r>
        <w:rPr>
          <w:spacing w:val="-8"/>
          <w:w w:val="110"/>
        </w:rPr>
        <w:t> </w:t>
      </w:r>
      <w:r>
        <w:rPr>
          <w:spacing w:val="-4"/>
          <w:w w:val="110"/>
        </w:rPr>
        <w:t>to</w:t>
      </w:r>
      <w:r>
        <w:rPr>
          <w:spacing w:val="-7"/>
          <w:w w:val="110"/>
        </w:rPr>
        <w:t> </w:t>
      </w:r>
      <w:r>
        <w:rPr>
          <w:w w:val="110"/>
        </w:rPr>
        <w:t>be</w:t>
      </w:r>
      <w:r>
        <w:rPr>
          <w:spacing w:val="-8"/>
          <w:w w:val="110"/>
        </w:rPr>
        <w:t> </w:t>
      </w:r>
      <w:r>
        <w:rPr>
          <w:w w:val="110"/>
        </w:rPr>
        <w:t>the</w:t>
      </w:r>
      <w:r>
        <w:rPr>
          <w:spacing w:val="-7"/>
          <w:w w:val="110"/>
        </w:rPr>
        <w:t> </w:t>
      </w:r>
      <w:r>
        <w:rPr>
          <w:w w:val="110"/>
        </w:rPr>
        <w:t>case</w:t>
      </w:r>
      <w:r>
        <w:rPr>
          <w:spacing w:val="-8"/>
          <w:w w:val="110"/>
        </w:rPr>
        <w:t> </w:t>
      </w:r>
      <w:r>
        <w:rPr>
          <w:w w:val="110"/>
        </w:rPr>
        <w:t>that</w:t>
      </w:r>
      <w:r>
        <w:rPr>
          <w:spacing w:val="-8"/>
          <w:w w:val="110"/>
        </w:rPr>
        <w:t> </w:t>
      </w:r>
      <w:r>
        <w:rPr>
          <w:spacing w:val="-3"/>
          <w:w w:val="110"/>
        </w:rPr>
        <w:t>restraining factors</w:t>
      </w:r>
      <w:r>
        <w:rPr>
          <w:spacing w:val="-17"/>
          <w:w w:val="110"/>
        </w:rPr>
        <w:t> </w:t>
      </w:r>
      <w:r>
        <w:rPr>
          <w:w w:val="110"/>
        </w:rPr>
        <w:t>on</w:t>
      </w:r>
      <w:r>
        <w:rPr>
          <w:spacing w:val="-17"/>
          <w:w w:val="110"/>
        </w:rPr>
        <w:t> </w:t>
      </w:r>
      <w:r>
        <w:rPr>
          <w:w w:val="110"/>
        </w:rPr>
        <w:t>prices</w:t>
      </w:r>
      <w:r>
        <w:rPr>
          <w:spacing w:val="-17"/>
          <w:w w:val="110"/>
        </w:rPr>
        <w:t> </w:t>
      </w:r>
      <w:r>
        <w:rPr>
          <w:w w:val="110"/>
        </w:rPr>
        <w:t>themselves</w:t>
      </w:r>
      <w:r>
        <w:rPr>
          <w:spacing w:val="-17"/>
          <w:w w:val="110"/>
        </w:rPr>
        <w:t> </w:t>
      </w:r>
      <w:r>
        <w:rPr>
          <w:spacing w:val="-3"/>
          <w:w w:val="110"/>
        </w:rPr>
        <w:t>were</w:t>
      </w:r>
      <w:r>
        <w:rPr>
          <w:spacing w:val="-17"/>
          <w:w w:val="110"/>
        </w:rPr>
        <w:t> </w:t>
      </w:r>
      <w:r>
        <w:rPr>
          <w:w w:val="110"/>
        </w:rPr>
        <w:t>a</w:t>
      </w:r>
      <w:r>
        <w:rPr>
          <w:spacing w:val="-16"/>
          <w:w w:val="110"/>
        </w:rPr>
        <w:t> </w:t>
      </w:r>
      <w:r>
        <w:rPr>
          <w:w w:val="110"/>
        </w:rPr>
        <w:t>little</w:t>
      </w:r>
      <w:r>
        <w:rPr>
          <w:spacing w:val="-17"/>
          <w:w w:val="110"/>
        </w:rPr>
        <w:t> </w:t>
      </w:r>
      <w:r>
        <w:rPr>
          <w:w w:val="110"/>
        </w:rPr>
        <w:t>stronger</w:t>
      </w:r>
      <w:r>
        <w:rPr>
          <w:spacing w:val="-17"/>
          <w:w w:val="110"/>
        </w:rPr>
        <w:t> </w:t>
      </w:r>
      <w:r>
        <w:rPr>
          <w:w w:val="110"/>
        </w:rPr>
        <w:t>than</w:t>
      </w:r>
      <w:r>
        <w:rPr>
          <w:spacing w:val="-17"/>
          <w:w w:val="110"/>
        </w:rPr>
        <w:t> </w:t>
      </w:r>
      <w:r>
        <w:rPr>
          <w:w w:val="110"/>
        </w:rPr>
        <w:t>judged three months ago. Other indicators of inflation, such as that based</w:t>
      </w:r>
      <w:r>
        <w:rPr>
          <w:spacing w:val="-9"/>
          <w:w w:val="110"/>
        </w:rPr>
        <w:t> </w:t>
      </w:r>
      <w:r>
        <w:rPr>
          <w:w w:val="110"/>
        </w:rPr>
        <w:t>on</w:t>
      </w:r>
      <w:r>
        <w:rPr>
          <w:spacing w:val="-8"/>
          <w:w w:val="110"/>
        </w:rPr>
        <w:t> </w:t>
      </w:r>
      <w:r>
        <w:rPr>
          <w:w w:val="110"/>
        </w:rPr>
        <w:t>the</w:t>
      </w:r>
      <w:r>
        <w:rPr>
          <w:spacing w:val="-9"/>
          <w:w w:val="110"/>
        </w:rPr>
        <w:t> </w:t>
      </w:r>
      <w:r>
        <w:rPr>
          <w:w w:val="110"/>
        </w:rPr>
        <w:t>GDP</w:t>
      </w:r>
      <w:r>
        <w:rPr>
          <w:spacing w:val="-8"/>
          <w:w w:val="110"/>
        </w:rPr>
        <w:t> </w:t>
      </w:r>
      <w:r>
        <w:rPr>
          <w:spacing w:val="-3"/>
          <w:w w:val="110"/>
        </w:rPr>
        <w:t>deflator,</w:t>
      </w:r>
      <w:r>
        <w:rPr>
          <w:spacing w:val="-8"/>
          <w:w w:val="110"/>
        </w:rPr>
        <w:t> </w:t>
      </w:r>
      <w:r>
        <w:rPr>
          <w:w w:val="110"/>
        </w:rPr>
        <w:t>are</w:t>
      </w:r>
      <w:r>
        <w:rPr>
          <w:spacing w:val="-9"/>
          <w:w w:val="110"/>
        </w:rPr>
        <w:t> </w:t>
      </w:r>
      <w:r>
        <w:rPr>
          <w:w w:val="110"/>
        </w:rPr>
        <w:t>also</w:t>
      </w:r>
      <w:r>
        <w:rPr>
          <w:spacing w:val="-8"/>
          <w:w w:val="110"/>
        </w:rPr>
        <w:t> </w:t>
      </w:r>
      <w:r>
        <w:rPr>
          <w:w w:val="110"/>
        </w:rPr>
        <w:t>signalling</w:t>
      </w:r>
    </w:p>
    <w:p>
      <w:pPr>
        <w:pStyle w:val="BodyText"/>
        <w:spacing w:line="292" w:lineRule="auto"/>
        <w:ind w:left="5104" w:right="237"/>
      </w:pPr>
      <w:r>
        <w:rPr>
          <w:spacing w:val="-4"/>
          <w:w w:val="110"/>
        </w:rPr>
        <w:t>weaker-than-expected </w:t>
      </w:r>
      <w:r>
        <w:rPr>
          <w:w w:val="110"/>
        </w:rPr>
        <w:t>price trends, although erratic </w:t>
      </w:r>
      <w:r>
        <w:rPr>
          <w:spacing w:val="-3"/>
          <w:w w:val="110"/>
        </w:rPr>
        <w:t>factors </w:t>
      </w:r>
      <w:r>
        <w:rPr>
          <w:w w:val="110"/>
        </w:rPr>
        <w:t>probably account for some of the weakness. The lower starting-point for price inflation affects the outlook for nominal</w:t>
      </w:r>
      <w:r>
        <w:rPr>
          <w:spacing w:val="-17"/>
          <w:w w:val="110"/>
        </w:rPr>
        <w:t> </w:t>
      </w:r>
      <w:r>
        <w:rPr>
          <w:w w:val="110"/>
        </w:rPr>
        <w:t>earnings</w:t>
      </w:r>
      <w:r>
        <w:rPr>
          <w:spacing w:val="-17"/>
          <w:w w:val="110"/>
        </w:rPr>
        <w:t> </w:t>
      </w:r>
      <w:r>
        <w:rPr>
          <w:w w:val="110"/>
        </w:rPr>
        <w:t>and</w:t>
      </w:r>
      <w:r>
        <w:rPr>
          <w:spacing w:val="-17"/>
          <w:w w:val="110"/>
        </w:rPr>
        <w:t> </w:t>
      </w:r>
      <w:r>
        <w:rPr>
          <w:w w:val="110"/>
        </w:rPr>
        <w:t>thus</w:t>
      </w:r>
      <w:r>
        <w:rPr>
          <w:spacing w:val="-16"/>
          <w:w w:val="110"/>
        </w:rPr>
        <w:t> </w:t>
      </w:r>
      <w:r>
        <w:rPr>
          <w:w w:val="110"/>
        </w:rPr>
        <w:t>has</w:t>
      </w:r>
      <w:r>
        <w:rPr>
          <w:spacing w:val="-17"/>
          <w:w w:val="110"/>
        </w:rPr>
        <w:t> </w:t>
      </w:r>
      <w:r>
        <w:rPr>
          <w:w w:val="110"/>
        </w:rPr>
        <w:t>some</w:t>
      </w:r>
      <w:r>
        <w:rPr>
          <w:spacing w:val="-17"/>
          <w:w w:val="110"/>
        </w:rPr>
        <w:t> </w:t>
      </w:r>
      <w:r>
        <w:rPr>
          <w:spacing w:val="-3"/>
          <w:w w:val="110"/>
        </w:rPr>
        <w:t>downward</w:t>
      </w:r>
      <w:r>
        <w:rPr>
          <w:spacing w:val="-16"/>
          <w:w w:val="110"/>
        </w:rPr>
        <w:t> </w:t>
      </w:r>
      <w:r>
        <w:rPr>
          <w:w w:val="110"/>
        </w:rPr>
        <w:t>impact</w:t>
      </w:r>
      <w:r>
        <w:rPr>
          <w:spacing w:val="-17"/>
          <w:w w:val="110"/>
        </w:rPr>
        <w:t> </w:t>
      </w:r>
      <w:r>
        <w:rPr>
          <w:w w:val="110"/>
        </w:rPr>
        <w:t>on</w:t>
      </w:r>
      <w:r>
        <w:rPr>
          <w:spacing w:val="-17"/>
          <w:w w:val="110"/>
        </w:rPr>
        <w:t> </w:t>
      </w:r>
      <w:r>
        <w:rPr>
          <w:w w:val="110"/>
        </w:rPr>
        <w:t>the prospects</w:t>
      </w:r>
      <w:r>
        <w:rPr>
          <w:spacing w:val="-9"/>
          <w:w w:val="110"/>
        </w:rPr>
        <w:t> </w:t>
      </w:r>
      <w:r>
        <w:rPr>
          <w:w w:val="110"/>
        </w:rPr>
        <w:t>for</w:t>
      </w:r>
      <w:r>
        <w:rPr>
          <w:spacing w:val="-8"/>
          <w:w w:val="110"/>
        </w:rPr>
        <w:t> </w:t>
      </w:r>
      <w:r>
        <w:rPr>
          <w:w w:val="110"/>
        </w:rPr>
        <w:t>inflation</w:t>
      </w:r>
      <w:r>
        <w:rPr>
          <w:spacing w:val="-9"/>
          <w:w w:val="110"/>
        </w:rPr>
        <w:t> </w:t>
      </w:r>
      <w:r>
        <w:rPr>
          <w:spacing w:val="-3"/>
          <w:w w:val="110"/>
        </w:rPr>
        <w:t>over</w:t>
      </w:r>
      <w:r>
        <w:rPr>
          <w:spacing w:val="-8"/>
          <w:w w:val="110"/>
        </w:rPr>
        <w:t> </w:t>
      </w:r>
      <w:r>
        <w:rPr>
          <w:w w:val="110"/>
        </w:rPr>
        <w:t>the</w:t>
      </w:r>
      <w:r>
        <w:rPr>
          <w:spacing w:val="-9"/>
          <w:w w:val="110"/>
        </w:rPr>
        <w:t> </w:t>
      </w:r>
      <w:r>
        <w:rPr>
          <w:w w:val="110"/>
        </w:rPr>
        <w:t>next</w:t>
      </w:r>
      <w:r>
        <w:rPr>
          <w:spacing w:val="-8"/>
          <w:w w:val="110"/>
        </w:rPr>
        <w:t> </w:t>
      </w:r>
      <w:r>
        <w:rPr>
          <w:spacing w:val="-5"/>
          <w:w w:val="110"/>
        </w:rPr>
        <w:t>two</w:t>
      </w:r>
      <w:r>
        <w:rPr>
          <w:spacing w:val="-9"/>
          <w:w w:val="110"/>
        </w:rPr>
        <w:t> </w:t>
      </w:r>
      <w:r>
        <w:rPr>
          <w:w w:val="110"/>
        </w:rPr>
        <w:t>years.</w:t>
      </w:r>
    </w:p>
    <w:p>
      <w:pPr>
        <w:pStyle w:val="BodyText"/>
        <w:spacing w:before="6"/>
        <w:rPr>
          <w:sz w:val="23"/>
        </w:rPr>
      </w:pPr>
    </w:p>
    <w:p>
      <w:pPr>
        <w:pStyle w:val="BodyText"/>
        <w:spacing w:line="292" w:lineRule="auto"/>
        <w:ind w:left="5104" w:right="253"/>
      </w:pPr>
      <w:r>
        <w:rPr>
          <w:w w:val="110"/>
        </w:rPr>
        <w:t>On the other hand, some, but not all, recent </w:t>
      </w:r>
      <w:r>
        <w:rPr>
          <w:spacing w:val="-3"/>
          <w:w w:val="110"/>
        </w:rPr>
        <w:t>surveys </w:t>
      </w:r>
      <w:r>
        <w:rPr>
          <w:w w:val="110"/>
        </w:rPr>
        <w:t>of price trends</w:t>
      </w:r>
      <w:r>
        <w:rPr>
          <w:spacing w:val="-10"/>
          <w:w w:val="110"/>
        </w:rPr>
        <w:t> </w:t>
      </w:r>
      <w:r>
        <w:rPr>
          <w:w w:val="110"/>
        </w:rPr>
        <w:t>report</w:t>
      </w:r>
      <w:r>
        <w:rPr>
          <w:spacing w:val="-10"/>
          <w:w w:val="110"/>
        </w:rPr>
        <w:t> </w:t>
      </w:r>
      <w:r>
        <w:rPr>
          <w:w w:val="110"/>
        </w:rPr>
        <w:t>an</w:t>
      </w:r>
      <w:r>
        <w:rPr>
          <w:spacing w:val="-9"/>
          <w:w w:val="110"/>
        </w:rPr>
        <w:t> </w:t>
      </w:r>
      <w:r>
        <w:rPr>
          <w:w w:val="110"/>
        </w:rPr>
        <w:t>increase</w:t>
      </w:r>
      <w:r>
        <w:rPr>
          <w:spacing w:val="-10"/>
          <w:w w:val="110"/>
        </w:rPr>
        <w:t> </w:t>
      </w:r>
      <w:r>
        <w:rPr>
          <w:w w:val="110"/>
        </w:rPr>
        <w:t>in</w:t>
      </w:r>
      <w:r>
        <w:rPr>
          <w:spacing w:val="-10"/>
          <w:w w:val="110"/>
        </w:rPr>
        <w:t> </w:t>
      </w:r>
      <w:r>
        <w:rPr>
          <w:w w:val="110"/>
        </w:rPr>
        <w:t>the</w:t>
      </w:r>
      <w:r>
        <w:rPr>
          <w:spacing w:val="-9"/>
          <w:w w:val="110"/>
        </w:rPr>
        <w:t> </w:t>
      </w:r>
      <w:r>
        <w:rPr>
          <w:w w:val="110"/>
        </w:rPr>
        <w:t>proportion</w:t>
      </w:r>
      <w:r>
        <w:rPr>
          <w:spacing w:val="-10"/>
          <w:w w:val="110"/>
        </w:rPr>
        <w:t> </w:t>
      </w:r>
      <w:r>
        <w:rPr>
          <w:w w:val="110"/>
        </w:rPr>
        <w:t>of</w:t>
      </w:r>
      <w:r>
        <w:rPr>
          <w:spacing w:val="-10"/>
          <w:w w:val="110"/>
        </w:rPr>
        <w:t> </w:t>
      </w:r>
      <w:r>
        <w:rPr>
          <w:w w:val="110"/>
        </w:rPr>
        <w:t>firms</w:t>
      </w:r>
      <w:r>
        <w:rPr>
          <w:spacing w:val="-9"/>
          <w:w w:val="110"/>
        </w:rPr>
        <w:t> </w:t>
      </w:r>
      <w:r>
        <w:rPr>
          <w:w w:val="110"/>
        </w:rPr>
        <w:t>planning </w:t>
      </w:r>
      <w:r>
        <w:rPr>
          <w:spacing w:val="-4"/>
          <w:w w:val="110"/>
        </w:rPr>
        <w:t>to </w:t>
      </w:r>
      <w:r>
        <w:rPr>
          <w:w w:val="110"/>
        </w:rPr>
        <w:t>raise prices in the coming months, particularly in the manufacturing</w:t>
      </w:r>
      <w:r>
        <w:rPr>
          <w:spacing w:val="-19"/>
          <w:w w:val="110"/>
        </w:rPr>
        <w:t> </w:t>
      </w:r>
      <w:r>
        <w:rPr>
          <w:spacing w:val="-4"/>
          <w:w w:val="110"/>
        </w:rPr>
        <w:t>sector.</w:t>
      </w:r>
      <w:r>
        <w:rPr>
          <w:spacing w:val="18"/>
          <w:w w:val="110"/>
        </w:rPr>
        <w:t> </w:t>
      </w:r>
      <w:r>
        <w:rPr>
          <w:w w:val="110"/>
        </w:rPr>
        <w:t>At</w:t>
      </w:r>
      <w:r>
        <w:rPr>
          <w:spacing w:val="-19"/>
          <w:w w:val="110"/>
        </w:rPr>
        <w:t> </w:t>
      </w:r>
      <w:r>
        <w:rPr>
          <w:w w:val="110"/>
        </w:rPr>
        <w:t>the</w:t>
      </w:r>
      <w:r>
        <w:rPr>
          <w:spacing w:val="-19"/>
          <w:w w:val="110"/>
        </w:rPr>
        <w:t> </w:t>
      </w:r>
      <w:r>
        <w:rPr>
          <w:w w:val="110"/>
        </w:rPr>
        <w:t>same</w:t>
      </w:r>
      <w:r>
        <w:rPr>
          <w:spacing w:val="-18"/>
          <w:w w:val="110"/>
        </w:rPr>
        <w:t> </w:t>
      </w:r>
      <w:r>
        <w:rPr>
          <w:w w:val="110"/>
        </w:rPr>
        <w:t>time,</w:t>
      </w:r>
      <w:r>
        <w:rPr>
          <w:spacing w:val="-19"/>
          <w:w w:val="110"/>
        </w:rPr>
        <w:t> </w:t>
      </w:r>
      <w:r>
        <w:rPr>
          <w:spacing w:val="-3"/>
          <w:w w:val="110"/>
        </w:rPr>
        <w:t>surveys</w:t>
      </w:r>
      <w:r>
        <w:rPr>
          <w:spacing w:val="-19"/>
          <w:w w:val="110"/>
        </w:rPr>
        <w:t> </w:t>
      </w:r>
      <w:r>
        <w:rPr>
          <w:w w:val="110"/>
        </w:rPr>
        <w:t>indicate</w:t>
      </w:r>
      <w:r>
        <w:rPr>
          <w:spacing w:val="-19"/>
          <w:w w:val="110"/>
        </w:rPr>
        <w:t> </w:t>
      </w:r>
      <w:r>
        <w:rPr>
          <w:w w:val="110"/>
        </w:rPr>
        <w:t>that competitive</w:t>
      </w:r>
      <w:r>
        <w:rPr>
          <w:spacing w:val="-23"/>
          <w:w w:val="110"/>
        </w:rPr>
        <w:t> </w:t>
      </w:r>
      <w:r>
        <w:rPr>
          <w:spacing w:val="-3"/>
          <w:w w:val="110"/>
        </w:rPr>
        <w:t>pressures</w:t>
      </w:r>
      <w:r>
        <w:rPr>
          <w:spacing w:val="-23"/>
          <w:w w:val="110"/>
        </w:rPr>
        <w:t> </w:t>
      </w:r>
      <w:r>
        <w:rPr>
          <w:w w:val="110"/>
        </w:rPr>
        <w:t>remain</w:t>
      </w:r>
      <w:r>
        <w:rPr>
          <w:spacing w:val="-22"/>
          <w:w w:val="110"/>
        </w:rPr>
        <w:t> </w:t>
      </w:r>
      <w:r>
        <w:rPr>
          <w:w w:val="110"/>
        </w:rPr>
        <w:t>intense,</w:t>
      </w:r>
      <w:r>
        <w:rPr>
          <w:spacing w:val="-23"/>
          <w:w w:val="110"/>
        </w:rPr>
        <w:t> </w:t>
      </w:r>
      <w:r>
        <w:rPr>
          <w:w w:val="110"/>
        </w:rPr>
        <w:t>which</w:t>
      </w:r>
      <w:r>
        <w:rPr>
          <w:spacing w:val="-23"/>
          <w:w w:val="110"/>
        </w:rPr>
        <w:t> </w:t>
      </w:r>
      <w:r>
        <w:rPr>
          <w:w w:val="110"/>
        </w:rPr>
        <w:t>could</w:t>
      </w:r>
      <w:r>
        <w:rPr>
          <w:spacing w:val="-22"/>
          <w:w w:val="110"/>
        </w:rPr>
        <w:t> </w:t>
      </w:r>
      <w:r>
        <w:rPr>
          <w:w w:val="110"/>
        </w:rPr>
        <w:t>imply</w:t>
      </w:r>
      <w:r>
        <w:rPr>
          <w:spacing w:val="-23"/>
          <w:w w:val="110"/>
        </w:rPr>
        <w:t> </w:t>
      </w:r>
      <w:r>
        <w:rPr>
          <w:w w:val="110"/>
        </w:rPr>
        <w:t>that plans </w:t>
      </w:r>
      <w:r>
        <w:rPr>
          <w:spacing w:val="-4"/>
          <w:w w:val="110"/>
        </w:rPr>
        <w:t>to </w:t>
      </w:r>
      <w:r>
        <w:rPr>
          <w:w w:val="110"/>
        </w:rPr>
        <w:t>raise prices will be thwarted. The </w:t>
      </w:r>
      <w:r>
        <w:rPr>
          <w:spacing w:val="-3"/>
          <w:w w:val="110"/>
        </w:rPr>
        <w:t>Committee </w:t>
      </w:r>
      <w:r>
        <w:rPr>
          <w:w w:val="110"/>
        </w:rPr>
        <w:t>will monitor</w:t>
      </w:r>
      <w:r>
        <w:rPr>
          <w:spacing w:val="-10"/>
          <w:w w:val="110"/>
        </w:rPr>
        <w:t> </w:t>
      </w:r>
      <w:r>
        <w:rPr>
          <w:w w:val="110"/>
        </w:rPr>
        <w:t>the</w:t>
      </w:r>
      <w:r>
        <w:rPr>
          <w:spacing w:val="-10"/>
          <w:w w:val="110"/>
        </w:rPr>
        <w:t> </w:t>
      </w:r>
      <w:r>
        <w:rPr>
          <w:spacing w:val="-3"/>
          <w:w w:val="110"/>
        </w:rPr>
        <w:t>interplay</w:t>
      </w:r>
      <w:r>
        <w:rPr>
          <w:spacing w:val="-10"/>
          <w:w w:val="110"/>
        </w:rPr>
        <w:t> </w:t>
      </w:r>
      <w:r>
        <w:rPr>
          <w:spacing w:val="-3"/>
          <w:w w:val="110"/>
        </w:rPr>
        <w:t>between</w:t>
      </w:r>
      <w:r>
        <w:rPr>
          <w:spacing w:val="-10"/>
          <w:w w:val="110"/>
        </w:rPr>
        <w:t> </w:t>
      </w:r>
      <w:r>
        <w:rPr>
          <w:w w:val="110"/>
        </w:rPr>
        <w:t>plans</w:t>
      </w:r>
      <w:r>
        <w:rPr>
          <w:spacing w:val="-10"/>
          <w:w w:val="110"/>
        </w:rPr>
        <w:t> </w:t>
      </w:r>
      <w:r>
        <w:rPr>
          <w:w w:val="110"/>
        </w:rPr>
        <w:t>and</w:t>
      </w:r>
      <w:r>
        <w:rPr>
          <w:spacing w:val="-10"/>
          <w:w w:val="110"/>
        </w:rPr>
        <w:t> </w:t>
      </w:r>
      <w:r>
        <w:rPr>
          <w:w w:val="110"/>
        </w:rPr>
        <w:t>outturns</w:t>
      </w:r>
      <w:r>
        <w:rPr>
          <w:spacing w:val="-9"/>
          <w:w w:val="110"/>
        </w:rPr>
        <w:t> </w:t>
      </w:r>
      <w:r>
        <w:rPr>
          <w:spacing w:val="-3"/>
          <w:w w:val="110"/>
        </w:rPr>
        <w:t>closely.</w:t>
      </w:r>
    </w:p>
    <w:p>
      <w:pPr>
        <w:pStyle w:val="BodyText"/>
        <w:rPr>
          <w:sz w:val="24"/>
        </w:rPr>
      </w:pPr>
    </w:p>
    <w:p>
      <w:pPr>
        <w:pStyle w:val="BodyText"/>
        <w:spacing w:line="292" w:lineRule="auto"/>
        <w:ind w:left="5104" w:right="215"/>
      </w:pPr>
      <w:r>
        <w:rPr>
          <w:w w:val="105"/>
        </w:rPr>
        <w:t>Drawing all the influences </w:t>
      </w:r>
      <w:r>
        <w:rPr>
          <w:spacing w:val="-3"/>
          <w:w w:val="105"/>
        </w:rPr>
        <w:t>together, </w:t>
      </w:r>
      <w:r>
        <w:rPr>
          <w:w w:val="105"/>
        </w:rPr>
        <w:t>the </w:t>
      </w:r>
      <w:r>
        <w:rPr>
          <w:spacing w:val="-4"/>
          <w:w w:val="105"/>
        </w:rPr>
        <w:t>Committee’s </w:t>
      </w:r>
      <w:r>
        <w:rPr>
          <w:w w:val="105"/>
        </w:rPr>
        <w:t>best collective projection for the </w:t>
      </w:r>
      <w:r>
        <w:rPr>
          <w:spacing w:val="-3"/>
          <w:w w:val="105"/>
        </w:rPr>
        <w:t>twelve-month </w:t>
      </w:r>
      <w:r>
        <w:rPr>
          <w:w w:val="105"/>
        </w:rPr>
        <w:t>RPIX inflation </w:t>
      </w:r>
      <w:r>
        <w:rPr>
          <w:spacing w:val="-4"/>
          <w:w w:val="105"/>
        </w:rPr>
        <w:t>rate, </w:t>
      </w:r>
      <w:r>
        <w:rPr>
          <w:w w:val="105"/>
        </w:rPr>
        <w:t>conditional on the assumption that nominal </w:t>
      </w:r>
      <w:r>
        <w:rPr>
          <w:spacing w:val="-3"/>
          <w:w w:val="105"/>
        </w:rPr>
        <w:t>interest </w:t>
      </w:r>
      <w:r>
        <w:rPr>
          <w:spacing w:val="-4"/>
          <w:w w:val="105"/>
        </w:rPr>
        <w:t>rates  </w:t>
      </w:r>
      <w:r>
        <w:rPr>
          <w:w w:val="105"/>
        </w:rPr>
        <w:t>remain unchanged at </w:t>
      </w:r>
      <w:r>
        <w:rPr>
          <w:spacing w:val="-7"/>
          <w:w w:val="105"/>
        </w:rPr>
        <w:t>5.75%, </w:t>
      </w:r>
      <w:r>
        <w:rPr>
          <w:w w:val="105"/>
        </w:rPr>
        <w:t>is </w:t>
      </w:r>
      <w:r>
        <w:rPr>
          <w:spacing w:val="-3"/>
          <w:w w:val="105"/>
        </w:rPr>
        <w:t>presented </w:t>
      </w:r>
      <w:r>
        <w:rPr>
          <w:w w:val="105"/>
        </w:rPr>
        <w:t>in Chart 6.2.</w:t>
      </w:r>
      <w:r>
        <w:rPr>
          <w:w w:val="105"/>
          <w:position w:val="5"/>
          <w:sz w:val="14"/>
        </w:rPr>
        <w:t>(1) </w:t>
      </w:r>
      <w:r>
        <w:rPr>
          <w:w w:val="105"/>
        </w:rPr>
        <w:t>It is displayed alongside the projection from the November </w:t>
      </w:r>
      <w:r>
        <w:rPr>
          <w:i/>
          <w:w w:val="105"/>
        </w:rPr>
        <w:t>Report</w:t>
      </w:r>
      <w:r>
        <w:rPr>
          <w:w w:val="105"/>
        </w:rPr>
        <w:t>, which </w:t>
      </w:r>
      <w:r>
        <w:rPr>
          <w:spacing w:val="-3"/>
          <w:w w:val="105"/>
        </w:rPr>
        <w:t>was </w:t>
      </w:r>
      <w:r>
        <w:rPr>
          <w:w w:val="105"/>
        </w:rPr>
        <w:t>predicated on the assumption of constant </w:t>
      </w:r>
      <w:r>
        <w:rPr>
          <w:spacing w:val="-3"/>
          <w:w w:val="105"/>
        </w:rPr>
        <w:t>interest </w:t>
      </w:r>
      <w:r>
        <w:rPr>
          <w:spacing w:val="-4"/>
          <w:w w:val="105"/>
        </w:rPr>
        <w:t>rates </w:t>
      </w:r>
      <w:r>
        <w:rPr>
          <w:w w:val="105"/>
        </w:rPr>
        <w:t>at 6% (see Chart</w:t>
      </w:r>
      <w:r>
        <w:rPr>
          <w:spacing w:val="-4"/>
          <w:w w:val="105"/>
        </w:rPr>
        <w:t> </w:t>
      </w:r>
      <w:r>
        <w:rPr>
          <w:w w:val="105"/>
        </w:rPr>
        <w:t>6.3).</w:t>
      </w:r>
    </w:p>
    <w:p>
      <w:pPr>
        <w:pStyle w:val="BodyText"/>
        <w:rPr>
          <w:sz w:val="24"/>
        </w:rPr>
      </w:pPr>
    </w:p>
    <w:p>
      <w:pPr>
        <w:pStyle w:val="BodyText"/>
        <w:spacing w:line="292" w:lineRule="auto"/>
        <w:ind w:left="5104" w:right="172"/>
      </w:pPr>
      <w:r>
        <w:rPr>
          <w:w w:val="110"/>
        </w:rPr>
        <w:t>The most likely outcome is that inflation will dip a little further below </w:t>
      </w:r>
      <w:r>
        <w:rPr>
          <w:spacing w:val="-3"/>
          <w:w w:val="110"/>
        </w:rPr>
        <w:t>target </w:t>
      </w:r>
      <w:r>
        <w:rPr>
          <w:w w:val="110"/>
        </w:rPr>
        <w:t>in early </w:t>
      </w:r>
      <w:r>
        <w:rPr>
          <w:spacing w:val="-11"/>
          <w:w w:val="110"/>
        </w:rPr>
        <w:t>2001 </w:t>
      </w:r>
      <w:r>
        <w:rPr>
          <w:w w:val="110"/>
        </w:rPr>
        <w:t>as the decline in oil prices feeds through, and will increase subsequently </w:t>
      </w:r>
      <w:r>
        <w:rPr>
          <w:spacing w:val="-4"/>
          <w:w w:val="110"/>
        </w:rPr>
        <w:t>to </w:t>
      </w:r>
      <w:r>
        <w:rPr>
          <w:w w:val="110"/>
        </w:rPr>
        <w:t>around the </w:t>
      </w:r>
      <w:r>
        <w:rPr>
          <w:spacing w:val="-3"/>
          <w:w w:val="110"/>
        </w:rPr>
        <w:t>target </w:t>
      </w:r>
      <w:r>
        <w:rPr>
          <w:w w:val="110"/>
        </w:rPr>
        <w:t>after </w:t>
      </w:r>
      <w:r>
        <w:rPr>
          <w:spacing w:val="-5"/>
          <w:w w:val="110"/>
        </w:rPr>
        <w:t>two </w:t>
      </w:r>
      <w:r>
        <w:rPr>
          <w:spacing w:val="-3"/>
          <w:w w:val="110"/>
        </w:rPr>
        <w:t>years. </w:t>
      </w:r>
      <w:r>
        <w:rPr>
          <w:w w:val="110"/>
        </w:rPr>
        <w:t>As in previous projections, inflation rises a little in the medium </w:t>
      </w:r>
      <w:r>
        <w:rPr>
          <w:spacing w:val="-3"/>
          <w:w w:val="110"/>
        </w:rPr>
        <w:t>term </w:t>
      </w:r>
      <w:r>
        <w:rPr>
          <w:w w:val="110"/>
        </w:rPr>
        <w:t>because of </w:t>
      </w:r>
      <w:r>
        <w:rPr>
          <w:spacing w:val="-3"/>
          <w:w w:val="110"/>
        </w:rPr>
        <w:t>pressures </w:t>
      </w:r>
      <w:r>
        <w:rPr>
          <w:w w:val="110"/>
        </w:rPr>
        <w:t>on domestic</w:t>
      </w:r>
      <w:r>
        <w:rPr>
          <w:spacing w:val="-30"/>
          <w:w w:val="110"/>
        </w:rPr>
        <w:t> </w:t>
      </w:r>
      <w:r>
        <w:rPr>
          <w:w w:val="110"/>
        </w:rPr>
        <w:t>supply</w:t>
      </w:r>
      <w:r>
        <w:rPr>
          <w:spacing w:val="-29"/>
          <w:w w:val="110"/>
        </w:rPr>
        <w:t> </w:t>
      </w:r>
      <w:r>
        <w:rPr>
          <w:w w:val="110"/>
        </w:rPr>
        <w:t>capacity</w:t>
      </w:r>
      <w:r>
        <w:rPr>
          <w:spacing w:val="-30"/>
          <w:w w:val="110"/>
        </w:rPr>
        <w:t> </w:t>
      </w:r>
      <w:r>
        <w:rPr>
          <w:w w:val="110"/>
        </w:rPr>
        <w:t>which</w:t>
      </w:r>
      <w:r>
        <w:rPr>
          <w:spacing w:val="-29"/>
          <w:w w:val="110"/>
        </w:rPr>
        <w:t> </w:t>
      </w:r>
      <w:r>
        <w:rPr>
          <w:w w:val="110"/>
        </w:rPr>
        <w:t>stimulate</w:t>
      </w:r>
      <w:r>
        <w:rPr>
          <w:spacing w:val="-30"/>
          <w:w w:val="110"/>
        </w:rPr>
        <w:t> </w:t>
      </w:r>
      <w:r>
        <w:rPr>
          <w:w w:val="110"/>
        </w:rPr>
        <w:t>modest</w:t>
      </w:r>
      <w:r>
        <w:rPr>
          <w:spacing w:val="-29"/>
          <w:w w:val="110"/>
        </w:rPr>
        <w:t> </w:t>
      </w:r>
      <w:r>
        <w:rPr>
          <w:w w:val="110"/>
        </w:rPr>
        <w:t>increases</w:t>
      </w:r>
      <w:r>
        <w:rPr>
          <w:spacing w:val="-29"/>
          <w:w w:val="110"/>
        </w:rPr>
        <w:t> </w:t>
      </w:r>
      <w:r>
        <w:rPr>
          <w:w w:val="110"/>
        </w:rPr>
        <w:t>in prices and</w:t>
      </w:r>
      <w:r>
        <w:rPr>
          <w:spacing w:val="-12"/>
          <w:w w:val="110"/>
        </w:rPr>
        <w:t> </w:t>
      </w:r>
      <w:r>
        <w:rPr>
          <w:w w:val="110"/>
        </w:rPr>
        <w:t>wages.</w:t>
      </w:r>
    </w:p>
    <w:p>
      <w:pPr>
        <w:pStyle w:val="BodyText"/>
        <w:rPr>
          <w:sz w:val="24"/>
        </w:rPr>
      </w:pPr>
    </w:p>
    <w:p>
      <w:pPr>
        <w:pStyle w:val="BodyText"/>
        <w:spacing w:line="292" w:lineRule="auto"/>
        <w:ind w:left="5104" w:right="161"/>
      </w:pPr>
      <w:r>
        <w:rPr>
          <w:w w:val="110"/>
        </w:rPr>
        <w:t>The profile for inflation is </w:t>
      </w:r>
      <w:r>
        <w:rPr>
          <w:spacing w:val="-3"/>
          <w:w w:val="110"/>
        </w:rPr>
        <w:t>lower </w:t>
      </w:r>
      <w:r>
        <w:rPr>
          <w:w w:val="110"/>
        </w:rPr>
        <w:t>than in the November projection.</w:t>
      </w:r>
      <w:r>
        <w:rPr>
          <w:spacing w:val="10"/>
          <w:w w:val="110"/>
        </w:rPr>
        <w:t> </w:t>
      </w:r>
      <w:r>
        <w:rPr>
          <w:w w:val="110"/>
        </w:rPr>
        <w:t>The</w:t>
      </w:r>
      <w:r>
        <w:rPr>
          <w:spacing w:val="-23"/>
          <w:w w:val="110"/>
        </w:rPr>
        <w:t> </w:t>
      </w:r>
      <w:r>
        <w:rPr>
          <w:w w:val="110"/>
        </w:rPr>
        <w:t>principal</w:t>
      </w:r>
      <w:r>
        <w:rPr>
          <w:spacing w:val="-23"/>
          <w:w w:val="110"/>
        </w:rPr>
        <w:t> </w:t>
      </w:r>
      <w:r>
        <w:rPr>
          <w:w w:val="110"/>
        </w:rPr>
        <w:t>downside</w:t>
      </w:r>
      <w:r>
        <w:rPr>
          <w:spacing w:val="-23"/>
          <w:w w:val="110"/>
        </w:rPr>
        <w:t> </w:t>
      </w:r>
      <w:r>
        <w:rPr>
          <w:w w:val="110"/>
        </w:rPr>
        <w:t>forces</w:t>
      </w:r>
      <w:r>
        <w:rPr>
          <w:spacing w:val="-22"/>
          <w:w w:val="110"/>
        </w:rPr>
        <w:t> </w:t>
      </w:r>
      <w:r>
        <w:rPr>
          <w:w w:val="110"/>
        </w:rPr>
        <w:t>on</w:t>
      </w:r>
      <w:r>
        <w:rPr>
          <w:spacing w:val="-23"/>
          <w:w w:val="110"/>
        </w:rPr>
        <w:t> </w:t>
      </w:r>
      <w:r>
        <w:rPr>
          <w:w w:val="110"/>
        </w:rPr>
        <w:t>inflation</w:t>
      </w:r>
      <w:r>
        <w:rPr>
          <w:spacing w:val="-23"/>
          <w:w w:val="110"/>
        </w:rPr>
        <w:t> </w:t>
      </w:r>
      <w:r>
        <w:rPr>
          <w:w w:val="110"/>
        </w:rPr>
        <w:t>relative </w:t>
      </w:r>
      <w:r>
        <w:rPr>
          <w:spacing w:val="-4"/>
          <w:w w:val="110"/>
        </w:rPr>
        <w:t>to </w:t>
      </w:r>
      <w:r>
        <w:rPr>
          <w:w w:val="110"/>
        </w:rPr>
        <w:t>the November </w:t>
      </w:r>
      <w:r>
        <w:rPr>
          <w:i/>
          <w:w w:val="110"/>
        </w:rPr>
        <w:t>Report </w:t>
      </w:r>
      <w:r>
        <w:rPr>
          <w:w w:val="110"/>
        </w:rPr>
        <w:t>are: the weaker outlook for global activity and prices; the impact of the</w:t>
      </w:r>
      <w:r>
        <w:rPr>
          <w:spacing w:val="-25"/>
          <w:w w:val="110"/>
        </w:rPr>
        <w:t> </w:t>
      </w:r>
      <w:r>
        <w:rPr>
          <w:spacing w:val="-4"/>
          <w:w w:val="110"/>
        </w:rPr>
        <w:t>softer-than-expected</w:t>
      </w:r>
    </w:p>
    <w:p>
      <w:pPr>
        <w:pStyle w:val="BodyText"/>
        <w:spacing w:before="1"/>
        <w:rPr>
          <w:sz w:val="13"/>
        </w:rPr>
      </w:pPr>
      <w:r>
        <w:rPr/>
        <w:pict>
          <v:shape style="position:absolute;margin-left:279.700012pt;margin-top:9.577148pt;width:276.6pt;height:.1pt;mso-position-horizontal-relative:page;mso-position-vertical-relative:paragraph;z-index:-15085568;mso-wrap-distance-left:0;mso-wrap-distance-right:0" coordorigin="5594,192" coordsize="5532,0" path="m5594,192l11126,192e" filled="false" stroked="true" strokeweight=".125pt" strokecolor="#006cb4">
            <v:path arrowok="t"/>
            <v:stroke dashstyle="solid"/>
            <w10:wrap type="topAndBottom"/>
          </v:shape>
        </w:pict>
      </w:r>
    </w:p>
    <w:p>
      <w:pPr>
        <w:spacing w:before="18"/>
        <w:ind w:left="5220" w:right="716" w:hanging="240"/>
        <w:jc w:val="both"/>
        <w:rPr>
          <w:sz w:val="14"/>
        </w:rPr>
      </w:pPr>
      <w:r>
        <w:rPr>
          <w:w w:val="110"/>
          <w:sz w:val="14"/>
        </w:rPr>
        <w:t>(1)</w:t>
      </w:r>
      <w:r>
        <w:rPr>
          <w:spacing w:val="3"/>
          <w:w w:val="110"/>
          <w:sz w:val="14"/>
        </w:rPr>
        <w:t> </w:t>
      </w:r>
      <w:r>
        <w:rPr>
          <w:w w:val="110"/>
          <w:sz w:val="14"/>
        </w:rPr>
        <w:t>Also</w:t>
      </w:r>
      <w:r>
        <w:rPr>
          <w:spacing w:val="-14"/>
          <w:w w:val="110"/>
          <w:sz w:val="14"/>
        </w:rPr>
        <w:t> </w:t>
      </w:r>
      <w:r>
        <w:rPr>
          <w:w w:val="110"/>
          <w:sz w:val="14"/>
        </w:rPr>
        <w:t>shown</w:t>
      </w:r>
      <w:r>
        <w:rPr>
          <w:spacing w:val="-14"/>
          <w:w w:val="110"/>
          <w:sz w:val="14"/>
        </w:rPr>
        <w:t> </w:t>
      </w:r>
      <w:r>
        <w:rPr>
          <w:w w:val="110"/>
          <w:sz w:val="14"/>
        </w:rPr>
        <w:t>as</w:t>
      </w:r>
      <w:r>
        <w:rPr>
          <w:spacing w:val="-14"/>
          <w:w w:val="110"/>
          <w:sz w:val="14"/>
        </w:rPr>
        <w:t> </w:t>
      </w:r>
      <w:r>
        <w:rPr>
          <w:w w:val="110"/>
          <w:sz w:val="14"/>
        </w:rPr>
        <w:t>Chart</w:t>
      </w:r>
      <w:r>
        <w:rPr>
          <w:spacing w:val="-14"/>
          <w:w w:val="110"/>
          <w:sz w:val="14"/>
        </w:rPr>
        <w:t> </w:t>
      </w:r>
      <w:r>
        <w:rPr>
          <w:w w:val="110"/>
          <w:sz w:val="14"/>
        </w:rPr>
        <w:t>2</w:t>
      </w:r>
      <w:r>
        <w:rPr>
          <w:spacing w:val="-14"/>
          <w:w w:val="110"/>
          <w:sz w:val="14"/>
        </w:rPr>
        <w:t> </w:t>
      </w:r>
      <w:r>
        <w:rPr>
          <w:w w:val="110"/>
          <w:sz w:val="14"/>
        </w:rPr>
        <w:t>in</w:t>
      </w:r>
      <w:r>
        <w:rPr>
          <w:spacing w:val="-14"/>
          <w:w w:val="110"/>
          <w:sz w:val="14"/>
        </w:rPr>
        <w:t> </w:t>
      </w:r>
      <w:r>
        <w:rPr>
          <w:w w:val="110"/>
          <w:sz w:val="14"/>
        </w:rPr>
        <w:t>the</w:t>
      </w:r>
      <w:r>
        <w:rPr>
          <w:spacing w:val="-15"/>
          <w:w w:val="110"/>
          <w:sz w:val="14"/>
        </w:rPr>
        <w:t> </w:t>
      </w:r>
      <w:r>
        <w:rPr>
          <w:spacing w:val="-3"/>
          <w:w w:val="110"/>
          <w:sz w:val="14"/>
        </w:rPr>
        <w:t>Overview.</w:t>
      </w:r>
      <w:r>
        <w:rPr>
          <w:spacing w:val="11"/>
          <w:w w:val="110"/>
          <w:sz w:val="14"/>
        </w:rPr>
        <w:t> </w:t>
      </w:r>
      <w:r>
        <w:rPr>
          <w:w w:val="110"/>
          <w:sz w:val="14"/>
        </w:rPr>
        <w:t>An</w:t>
      </w:r>
      <w:r>
        <w:rPr>
          <w:spacing w:val="-14"/>
          <w:w w:val="110"/>
          <w:sz w:val="14"/>
        </w:rPr>
        <w:t> </w:t>
      </w:r>
      <w:r>
        <w:rPr>
          <w:w w:val="110"/>
          <w:sz w:val="14"/>
        </w:rPr>
        <w:t>alternative</w:t>
      </w:r>
      <w:r>
        <w:rPr>
          <w:spacing w:val="-15"/>
          <w:w w:val="110"/>
          <w:sz w:val="14"/>
        </w:rPr>
        <w:t> </w:t>
      </w:r>
      <w:r>
        <w:rPr>
          <w:w w:val="110"/>
          <w:sz w:val="14"/>
        </w:rPr>
        <w:t>projection</w:t>
      </w:r>
      <w:r>
        <w:rPr>
          <w:spacing w:val="-14"/>
          <w:w w:val="110"/>
          <w:sz w:val="14"/>
        </w:rPr>
        <w:t> </w:t>
      </w:r>
      <w:r>
        <w:rPr>
          <w:w w:val="110"/>
          <w:sz w:val="14"/>
        </w:rPr>
        <w:t>based</w:t>
      </w:r>
      <w:r>
        <w:rPr>
          <w:spacing w:val="-14"/>
          <w:w w:val="110"/>
          <w:sz w:val="14"/>
        </w:rPr>
        <w:t> </w:t>
      </w:r>
      <w:r>
        <w:rPr>
          <w:w w:val="110"/>
          <w:sz w:val="14"/>
        </w:rPr>
        <w:t>on</w:t>
      </w:r>
      <w:r>
        <w:rPr>
          <w:spacing w:val="-14"/>
          <w:w w:val="110"/>
          <w:sz w:val="14"/>
        </w:rPr>
        <w:t> </w:t>
      </w:r>
      <w:r>
        <w:rPr>
          <w:w w:val="110"/>
          <w:sz w:val="14"/>
        </w:rPr>
        <w:t>the assumption</w:t>
      </w:r>
      <w:r>
        <w:rPr>
          <w:spacing w:val="-18"/>
          <w:w w:val="110"/>
          <w:sz w:val="14"/>
        </w:rPr>
        <w:t> </w:t>
      </w:r>
      <w:r>
        <w:rPr>
          <w:w w:val="110"/>
          <w:sz w:val="14"/>
        </w:rPr>
        <w:t>that</w:t>
      </w:r>
      <w:r>
        <w:rPr>
          <w:spacing w:val="-17"/>
          <w:w w:val="110"/>
          <w:sz w:val="14"/>
        </w:rPr>
        <w:t> </w:t>
      </w:r>
      <w:r>
        <w:rPr>
          <w:w w:val="110"/>
          <w:sz w:val="14"/>
        </w:rPr>
        <w:t>official</w:t>
      </w:r>
      <w:r>
        <w:rPr>
          <w:spacing w:val="-18"/>
          <w:w w:val="110"/>
          <w:sz w:val="14"/>
        </w:rPr>
        <w:t> </w:t>
      </w:r>
      <w:r>
        <w:rPr>
          <w:spacing w:val="-3"/>
          <w:w w:val="110"/>
          <w:sz w:val="14"/>
        </w:rPr>
        <w:t>rates</w:t>
      </w:r>
      <w:r>
        <w:rPr>
          <w:spacing w:val="-17"/>
          <w:w w:val="110"/>
          <w:sz w:val="14"/>
        </w:rPr>
        <w:t> </w:t>
      </w:r>
      <w:r>
        <w:rPr>
          <w:w w:val="110"/>
          <w:sz w:val="14"/>
        </w:rPr>
        <w:t>follow</w:t>
      </w:r>
      <w:r>
        <w:rPr>
          <w:spacing w:val="-18"/>
          <w:w w:val="110"/>
          <w:sz w:val="14"/>
        </w:rPr>
        <w:t> </w:t>
      </w:r>
      <w:r>
        <w:rPr>
          <w:w w:val="110"/>
          <w:sz w:val="14"/>
        </w:rPr>
        <w:t>market</w:t>
      </w:r>
      <w:r>
        <w:rPr>
          <w:spacing w:val="-17"/>
          <w:w w:val="110"/>
          <w:sz w:val="14"/>
        </w:rPr>
        <w:t> </w:t>
      </w:r>
      <w:r>
        <w:rPr>
          <w:w w:val="110"/>
          <w:sz w:val="14"/>
        </w:rPr>
        <w:t>interest</w:t>
      </w:r>
      <w:r>
        <w:rPr>
          <w:spacing w:val="-17"/>
          <w:w w:val="110"/>
          <w:sz w:val="14"/>
        </w:rPr>
        <w:t> </w:t>
      </w:r>
      <w:r>
        <w:rPr>
          <w:spacing w:val="-3"/>
          <w:w w:val="110"/>
          <w:sz w:val="14"/>
        </w:rPr>
        <w:t>rate</w:t>
      </w:r>
      <w:r>
        <w:rPr>
          <w:spacing w:val="-18"/>
          <w:w w:val="110"/>
          <w:sz w:val="14"/>
        </w:rPr>
        <w:t> </w:t>
      </w:r>
      <w:r>
        <w:rPr>
          <w:w w:val="110"/>
          <w:sz w:val="14"/>
        </w:rPr>
        <w:t>expectations</w:t>
      </w:r>
      <w:r>
        <w:rPr>
          <w:spacing w:val="-17"/>
          <w:w w:val="110"/>
          <w:sz w:val="14"/>
        </w:rPr>
        <w:t> </w:t>
      </w:r>
      <w:r>
        <w:rPr>
          <w:w w:val="110"/>
          <w:sz w:val="14"/>
        </w:rPr>
        <w:t>is</w:t>
      </w:r>
      <w:r>
        <w:rPr>
          <w:spacing w:val="-18"/>
          <w:w w:val="110"/>
          <w:sz w:val="14"/>
        </w:rPr>
        <w:t> </w:t>
      </w:r>
      <w:r>
        <w:rPr>
          <w:w w:val="110"/>
          <w:sz w:val="14"/>
        </w:rPr>
        <w:t>shown below in Chart</w:t>
      </w:r>
      <w:r>
        <w:rPr>
          <w:spacing w:val="-12"/>
          <w:w w:val="110"/>
          <w:sz w:val="14"/>
        </w:rPr>
        <w:t> </w:t>
      </w:r>
      <w:r>
        <w:rPr>
          <w:w w:val="110"/>
          <w:sz w:val="14"/>
        </w:rPr>
        <w:t>6.6.</w:t>
      </w:r>
    </w:p>
    <w:p>
      <w:pPr>
        <w:spacing w:after="0"/>
        <w:jc w:val="both"/>
        <w:rPr>
          <w:sz w:val="14"/>
        </w:rPr>
        <w:sectPr>
          <w:pgSz w:w="11900" w:h="16840"/>
          <w:pgMar w:header="601" w:footer="575" w:top="800" w:bottom="760" w:left="640" w:right="640"/>
        </w:sectPr>
      </w:pPr>
    </w:p>
    <w:p>
      <w:pPr>
        <w:pStyle w:val="BodyText"/>
      </w:pPr>
    </w:p>
    <w:p>
      <w:pPr>
        <w:spacing w:after="0"/>
        <w:sectPr>
          <w:pgSz w:w="11900" w:h="16840"/>
          <w:pgMar w:header="601" w:footer="575" w:top="800" w:bottom="760" w:left="640" w:right="640"/>
        </w:sectPr>
      </w:pPr>
    </w:p>
    <w:p>
      <w:pPr>
        <w:pStyle w:val="BodyText"/>
        <w:rPr>
          <w:sz w:val="22"/>
        </w:rPr>
      </w:pPr>
    </w:p>
    <w:p>
      <w:pPr>
        <w:pStyle w:val="Heading6"/>
        <w:ind w:left="194"/>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7"/>
        </w:rPr>
        <w:t>6.2</w:t>
      </w:r>
    </w:p>
    <w:p>
      <w:pPr>
        <w:spacing w:line="247" w:lineRule="auto" w:before="8"/>
        <w:ind w:left="194" w:right="0" w:firstLine="0"/>
        <w:jc w:val="left"/>
        <w:rPr>
          <w:rFonts w:ascii="Trebuchet MS"/>
          <w:b/>
          <w:sz w:val="20"/>
        </w:rPr>
      </w:pPr>
      <w:r>
        <w:rPr>
          <w:rFonts w:ascii="Trebuchet MS"/>
          <w:b/>
          <w:color w:val="89C6DC"/>
          <w:w w:val="90"/>
          <w:sz w:val="20"/>
        </w:rPr>
        <w:t>Current RPIX </w:t>
      </w:r>
      <w:bookmarkStart w:name="_bookmark49" w:id="97"/>
      <w:bookmarkEnd w:id="97"/>
      <w:r>
        <w:rPr>
          <w:rFonts w:ascii="Trebuchet MS"/>
          <w:b/>
          <w:color w:val="89C6DC"/>
          <w:w w:val="90"/>
          <w:sz w:val="20"/>
        </w:rPr>
        <w:t>inflatio</w:t>
      </w:r>
      <w:r>
        <w:rPr>
          <w:rFonts w:ascii="Trebuchet MS"/>
          <w:b/>
          <w:color w:val="89C6DC"/>
          <w:w w:val="90"/>
          <w:sz w:val="20"/>
        </w:rPr>
        <w:t>n projection based on </w:t>
      </w:r>
      <w:r>
        <w:rPr>
          <w:rFonts w:ascii="Trebuchet MS"/>
          <w:b/>
          <w:color w:val="89C6DC"/>
          <w:w w:val="95"/>
          <w:sz w:val="20"/>
        </w:rPr>
        <w:t>constant nominal interest rates at 5.75%</w:t>
      </w:r>
    </w:p>
    <w:p>
      <w:pPr>
        <w:spacing w:line="117" w:lineRule="exact" w:before="51"/>
        <w:ind w:left="1755" w:right="0" w:firstLine="0"/>
        <w:jc w:val="left"/>
        <w:rPr>
          <w:sz w:val="12"/>
        </w:rPr>
      </w:pPr>
      <w:r>
        <w:rPr>
          <w:w w:val="110"/>
          <w:sz w:val="12"/>
        </w:rPr>
        <w:t>Percentage increase in prices on a year earlier</w:t>
      </w:r>
    </w:p>
    <w:p>
      <w:pPr>
        <w:pStyle w:val="BodyText"/>
        <w:spacing w:before="9"/>
        <w:rPr>
          <w:sz w:val="2"/>
        </w:rPr>
      </w:pPr>
    </w:p>
    <w:p>
      <w:pPr>
        <w:tabs>
          <w:tab w:pos="4029" w:val="left" w:leader="none"/>
        </w:tabs>
        <w:spacing w:line="20" w:lineRule="exact"/>
        <w:ind w:left="191" w:right="0" w:firstLine="0"/>
        <w:rPr>
          <w:sz w:val="2"/>
        </w:rPr>
      </w:pPr>
      <w:r>
        <w:rPr>
          <w:sz w:val="2"/>
        </w:rPr>
        <w:drawing>
          <wp:inline distT="0" distB="0" distL="0" distR="0">
            <wp:extent cx="59181" cy="6286"/>
            <wp:effectExtent l="0" t="0" r="0" b="0"/>
            <wp:docPr id="563" name="image95.png"/>
            <wp:cNvGraphicFramePr>
              <a:graphicFrameLocks noChangeAspect="1"/>
            </wp:cNvGraphicFramePr>
            <a:graphic>
              <a:graphicData uri="http://schemas.openxmlformats.org/drawingml/2006/picture">
                <pic:pic>
                  <pic:nvPicPr>
                    <pic:cNvPr id="564" name="image95.png"/>
                    <pic:cNvPicPr/>
                  </pic:nvPicPr>
                  <pic:blipFill>
                    <a:blip r:embed="rId170" cstate="print"/>
                    <a:stretch>
                      <a:fillRect/>
                    </a:stretch>
                  </pic:blipFill>
                  <pic:spPr>
                    <a:xfrm>
                      <a:off x="0" y="0"/>
                      <a:ext cx="59181" cy="6286"/>
                    </a:xfrm>
                    <a:prstGeom prst="rect">
                      <a:avLst/>
                    </a:prstGeom>
                  </pic:spPr>
                </pic:pic>
              </a:graphicData>
            </a:graphic>
          </wp:inline>
        </w:drawing>
      </w:r>
      <w:r>
        <w:rPr>
          <w:sz w:val="2"/>
        </w:rPr>
      </w:r>
      <w:r>
        <w:rPr>
          <w:sz w:val="2"/>
        </w:rPr>
        <w:tab/>
      </w:r>
      <w:r>
        <w:rPr>
          <w:sz w:val="2"/>
        </w:rPr>
        <w:drawing>
          <wp:inline distT="0" distB="0" distL="0" distR="0">
            <wp:extent cx="59181" cy="6286"/>
            <wp:effectExtent l="0" t="0" r="0" b="0"/>
            <wp:docPr id="565" name="image95.png"/>
            <wp:cNvGraphicFramePr>
              <a:graphicFrameLocks noChangeAspect="1"/>
            </wp:cNvGraphicFramePr>
            <a:graphic>
              <a:graphicData uri="http://schemas.openxmlformats.org/drawingml/2006/picture">
                <pic:pic>
                  <pic:nvPicPr>
                    <pic:cNvPr id="566" name="image95.png"/>
                    <pic:cNvPicPr/>
                  </pic:nvPicPr>
                  <pic:blipFill>
                    <a:blip r:embed="rId170" cstate="print"/>
                    <a:stretch>
                      <a:fillRect/>
                    </a:stretch>
                  </pic:blipFill>
                  <pic:spPr>
                    <a:xfrm>
                      <a:off x="0" y="0"/>
                      <a:ext cx="59181" cy="6286"/>
                    </a:xfrm>
                    <a:prstGeom prst="rect">
                      <a:avLst/>
                    </a:prstGeom>
                  </pic:spPr>
                </pic:pic>
              </a:graphicData>
            </a:graphic>
          </wp:inline>
        </w:drawing>
      </w:r>
      <w:r>
        <w:rPr>
          <w:sz w:val="2"/>
        </w:rPr>
      </w:r>
    </w:p>
    <w:p>
      <w:pPr>
        <w:spacing w:line="65" w:lineRule="exact" w:before="0"/>
        <w:ind w:left="4162" w:right="0" w:firstLine="0"/>
        <w:jc w:val="left"/>
        <w:rPr>
          <w:sz w:val="12"/>
        </w:rPr>
      </w:pPr>
      <w:r>
        <w:rPr>
          <w:w w:val="121"/>
          <w:sz w:val="12"/>
        </w:rPr>
        <w:t>5</w:t>
      </w:r>
    </w:p>
    <w:p>
      <w:pPr>
        <w:pStyle w:val="BodyText"/>
        <w:rPr>
          <w:sz w:val="22"/>
        </w:rPr>
      </w:pPr>
      <w:r>
        <w:rPr/>
        <w:br w:type="column"/>
      </w:r>
      <w:r>
        <w:rPr>
          <w:sz w:val="22"/>
        </w:rPr>
      </w:r>
    </w:p>
    <w:p>
      <w:pPr>
        <w:pStyle w:val="Heading6"/>
        <w:ind w:left="194"/>
      </w:pPr>
      <w:r>
        <w:rPr>
          <w:color w:val="89C6DC"/>
          <w:w w:val="95"/>
        </w:rPr>
        <w:t>Chart 6.3</w:t>
      </w:r>
    </w:p>
    <w:p>
      <w:pPr>
        <w:spacing w:line="247" w:lineRule="auto" w:before="8"/>
        <w:ind w:left="194" w:right="1564" w:firstLine="0"/>
        <w:jc w:val="left"/>
        <w:rPr>
          <w:rFonts w:ascii="Trebuchet MS"/>
          <w:b/>
          <w:sz w:val="20"/>
        </w:rPr>
      </w:pPr>
      <w:r>
        <w:rPr>
          <w:rFonts w:ascii="Trebuchet MS"/>
          <w:b/>
          <w:color w:val="89C6DC"/>
          <w:w w:val="95"/>
          <w:sz w:val="20"/>
        </w:rPr>
        <w:t>RPIX</w:t>
      </w:r>
      <w:r>
        <w:rPr>
          <w:rFonts w:ascii="Trebuchet MS"/>
          <w:b/>
          <w:color w:val="89C6DC"/>
          <w:spacing w:val="-31"/>
          <w:w w:val="95"/>
          <w:sz w:val="20"/>
        </w:rPr>
        <w:t> </w:t>
      </w:r>
      <w:r>
        <w:rPr>
          <w:rFonts w:ascii="Trebuchet MS"/>
          <w:b/>
          <w:color w:val="89C6DC"/>
          <w:w w:val="95"/>
          <w:sz w:val="20"/>
        </w:rPr>
        <w:t>inflation</w:t>
      </w:r>
      <w:r>
        <w:rPr>
          <w:rFonts w:ascii="Trebuchet MS"/>
          <w:b/>
          <w:color w:val="89C6DC"/>
          <w:spacing w:val="-30"/>
          <w:w w:val="95"/>
          <w:sz w:val="20"/>
        </w:rPr>
        <w:t> </w:t>
      </w:r>
      <w:r>
        <w:rPr>
          <w:rFonts w:ascii="Trebuchet MS"/>
          <w:b/>
          <w:color w:val="89C6DC"/>
          <w:w w:val="95"/>
          <w:sz w:val="20"/>
        </w:rPr>
        <w:t>projection</w:t>
      </w:r>
      <w:r>
        <w:rPr>
          <w:rFonts w:ascii="Trebuchet MS"/>
          <w:b/>
          <w:color w:val="89C6DC"/>
          <w:spacing w:val="-30"/>
          <w:w w:val="95"/>
          <w:sz w:val="20"/>
        </w:rPr>
        <w:t> </w:t>
      </w:r>
      <w:r>
        <w:rPr>
          <w:rFonts w:ascii="Trebuchet MS"/>
          <w:b/>
          <w:color w:val="89C6DC"/>
          <w:w w:val="95"/>
          <w:sz w:val="20"/>
        </w:rPr>
        <w:t>in</w:t>
      </w:r>
      <w:r>
        <w:rPr>
          <w:rFonts w:ascii="Trebuchet MS"/>
          <w:b/>
          <w:color w:val="89C6DC"/>
          <w:spacing w:val="-30"/>
          <w:w w:val="95"/>
          <w:sz w:val="20"/>
        </w:rPr>
        <w:t> </w:t>
      </w:r>
      <w:r>
        <w:rPr>
          <w:rFonts w:ascii="Trebuchet MS"/>
          <w:b/>
          <w:color w:val="89C6DC"/>
          <w:w w:val="95"/>
          <w:sz w:val="20"/>
        </w:rPr>
        <w:t>November</w:t>
      </w:r>
      <w:r>
        <w:rPr>
          <w:rFonts w:ascii="Trebuchet MS"/>
          <w:b/>
          <w:color w:val="89C6DC"/>
          <w:spacing w:val="-30"/>
          <w:w w:val="95"/>
          <w:sz w:val="20"/>
        </w:rPr>
        <w:t> </w:t>
      </w:r>
      <w:r>
        <w:rPr>
          <w:rFonts w:ascii="Trebuchet MS"/>
          <w:b/>
          <w:color w:val="89C6DC"/>
          <w:w w:val="95"/>
          <w:sz w:val="20"/>
        </w:rPr>
        <w:t>based</w:t>
      </w:r>
      <w:r>
        <w:rPr>
          <w:rFonts w:ascii="Trebuchet MS"/>
          <w:b/>
          <w:color w:val="89C6DC"/>
          <w:spacing w:val="-30"/>
          <w:w w:val="95"/>
          <w:sz w:val="20"/>
        </w:rPr>
        <w:t> </w:t>
      </w:r>
      <w:r>
        <w:rPr>
          <w:rFonts w:ascii="Trebuchet MS"/>
          <w:b/>
          <w:color w:val="89C6DC"/>
          <w:w w:val="95"/>
          <w:sz w:val="20"/>
        </w:rPr>
        <w:t>on </w:t>
      </w:r>
      <w:r>
        <w:rPr>
          <w:rFonts w:ascii="Trebuchet MS"/>
          <w:b/>
          <w:color w:val="89C6DC"/>
          <w:sz w:val="20"/>
        </w:rPr>
        <w:t>constant</w:t>
      </w:r>
      <w:r>
        <w:rPr>
          <w:rFonts w:ascii="Trebuchet MS"/>
          <w:b/>
          <w:color w:val="89C6DC"/>
          <w:spacing w:val="-13"/>
          <w:sz w:val="20"/>
        </w:rPr>
        <w:t> </w:t>
      </w:r>
      <w:r>
        <w:rPr>
          <w:rFonts w:ascii="Trebuchet MS"/>
          <w:b/>
          <w:color w:val="89C6DC"/>
          <w:sz w:val="20"/>
        </w:rPr>
        <w:t>nominal</w:t>
      </w:r>
      <w:r>
        <w:rPr>
          <w:rFonts w:ascii="Trebuchet MS"/>
          <w:b/>
          <w:color w:val="89C6DC"/>
          <w:spacing w:val="-13"/>
          <w:sz w:val="20"/>
        </w:rPr>
        <w:t> </w:t>
      </w:r>
      <w:r>
        <w:rPr>
          <w:rFonts w:ascii="Trebuchet MS"/>
          <w:b/>
          <w:color w:val="89C6DC"/>
          <w:sz w:val="20"/>
        </w:rPr>
        <w:t>interest</w:t>
      </w:r>
      <w:r>
        <w:rPr>
          <w:rFonts w:ascii="Trebuchet MS"/>
          <w:b/>
          <w:color w:val="89C6DC"/>
          <w:spacing w:val="-13"/>
          <w:sz w:val="20"/>
        </w:rPr>
        <w:t> </w:t>
      </w:r>
      <w:r>
        <w:rPr>
          <w:rFonts w:ascii="Trebuchet MS"/>
          <w:b/>
          <w:color w:val="89C6DC"/>
          <w:sz w:val="20"/>
        </w:rPr>
        <w:t>rates</w:t>
      </w:r>
      <w:r>
        <w:rPr>
          <w:rFonts w:ascii="Trebuchet MS"/>
          <w:b/>
          <w:color w:val="89C6DC"/>
          <w:spacing w:val="-13"/>
          <w:sz w:val="20"/>
        </w:rPr>
        <w:t> </w:t>
      </w:r>
      <w:r>
        <w:rPr>
          <w:rFonts w:ascii="Trebuchet MS"/>
          <w:b/>
          <w:color w:val="89C6DC"/>
          <w:sz w:val="20"/>
        </w:rPr>
        <w:t>at</w:t>
      </w:r>
      <w:r>
        <w:rPr>
          <w:rFonts w:ascii="Trebuchet MS"/>
          <w:b/>
          <w:color w:val="89C6DC"/>
          <w:spacing w:val="-13"/>
          <w:sz w:val="20"/>
        </w:rPr>
        <w:t> </w:t>
      </w:r>
      <w:r>
        <w:rPr>
          <w:rFonts w:ascii="Trebuchet MS"/>
          <w:b/>
          <w:color w:val="89C6DC"/>
          <w:sz w:val="20"/>
        </w:rPr>
        <w:t>6%</w:t>
      </w:r>
    </w:p>
    <w:p>
      <w:pPr>
        <w:spacing w:line="113" w:lineRule="exact" w:before="51"/>
        <w:ind w:left="1755" w:right="0" w:firstLine="0"/>
        <w:jc w:val="left"/>
        <w:rPr>
          <w:sz w:val="12"/>
        </w:rPr>
      </w:pPr>
      <w:r>
        <w:rPr>
          <w:w w:val="110"/>
          <w:sz w:val="12"/>
        </w:rPr>
        <w:t>Percentage increase in prices on a year earlier</w:t>
      </w:r>
    </w:p>
    <w:p>
      <w:pPr>
        <w:spacing w:line="113" w:lineRule="exact" w:before="0"/>
        <w:ind w:left="4177" w:right="0" w:firstLine="0"/>
        <w:jc w:val="left"/>
        <w:rPr>
          <w:sz w:val="12"/>
        </w:rPr>
      </w:pPr>
      <w:r>
        <w:rPr/>
        <w:drawing>
          <wp:anchor distT="0" distB="0" distL="0" distR="0" allowOverlap="1" layoutInCell="1" locked="0" behindDoc="0" simplePos="0" relativeHeight="16373248">
            <wp:simplePos x="0" y="0"/>
            <wp:positionH relativeFrom="page">
              <wp:posOffset>6012941</wp:posOffset>
            </wp:positionH>
            <wp:positionV relativeFrom="paragraph">
              <wp:posOffset>22805</wp:posOffset>
            </wp:positionV>
            <wp:extent cx="59778" cy="6350"/>
            <wp:effectExtent l="0" t="0" r="0" b="0"/>
            <wp:wrapNone/>
            <wp:docPr id="567" name="image95.png"/>
            <wp:cNvGraphicFramePr>
              <a:graphicFrameLocks noChangeAspect="1"/>
            </wp:cNvGraphicFramePr>
            <a:graphic>
              <a:graphicData uri="http://schemas.openxmlformats.org/drawingml/2006/picture">
                <pic:pic>
                  <pic:nvPicPr>
                    <pic:cNvPr id="568" name="image95.png"/>
                    <pic:cNvPicPr/>
                  </pic:nvPicPr>
                  <pic:blipFill>
                    <a:blip r:embed="rId170"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0" simplePos="0" relativeHeight="16374784">
            <wp:simplePos x="0" y="0"/>
            <wp:positionH relativeFrom="page">
              <wp:posOffset>3576027</wp:posOffset>
            </wp:positionH>
            <wp:positionV relativeFrom="paragraph">
              <wp:posOffset>22805</wp:posOffset>
            </wp:positionV>
            <wp:extent cx="59778" cy="6350"/>
            <wp:effectExtent l="0" t="0" r="0" b="0"/>
            <wp:wrapNone/>
            <wp:docPr id="569" name="image95.png"/>
            <wp:cNvGraphicFramePr>
              <a:graphicFrameLocks noChangeAspect="1"/>
            </wp:cNvGraphicFramePr>
            <a:graphic>
              <a:graphicData uri="http://schemas.openxmlformats.org/drawingml/2006/picture">
                <pic:pic>
                  <pic:nvPicPr>
                    <pic:cNvPr id="570" name="image95.png"/>
                    <pic:cNvPicPr/>
                  </pic:nvPicPr>
                  <pic:blipFill>
                    <a:blip r:embed="rId170" cstate="print"/>
                    <a:stretch>
                      <a:fillRect/>
                    </a:stretch>
                  </pic:blipFill>
                  <pic:spPr>
                    <a:xfrm>
                      <a:off x="0" y="0"/>
                      <a:ext cx="59778" cy="6350"/>
                    </a:xfrm>
                    <a:prstGeom prst="rect">
                      <a:avLst/>
                    </a:prstGeom>
                  </pic:spPr>
                </pic:pic>
              </a:graphicData>
            </a:graphic>
          </wp:anchor>
        </w:drawing>
      </w:r>
      <w:r>
        <w:rPr>
          <w:w w:val="121"/>
          <w:sz w:val="12"/>
        </w:rPr>
        <w:t>5</w:t>
      </w:r>
    </w:p>
    <w:p>
      <w:pPr>
        <w:spacing w:after="0" w:line="113" w:lineRule="exact"/>
        <w:jc w:val="left"/>
        <w:rPr>
          <w:sz w:val="12"/>
        </w:rPr>
        <w:sectPr>
          <w:type w:val="continuous"/>
          <w:pgSz w:w="11900" w:h="16840"/>
          <w:pgMar w:top="1260" w:bottom="280" w:left="640" w:right="640"/>
          <w:cols w:num="2" w:equalWidth="0">
            <w:col w:w="4276" w:space="524"/>
            <w:col w:w="5820"/>
          </w:cols>
        </w:sectPr>
      </w:pPr>
    </w:p>
    <w:p>
      <w:pPr>
        <w:pStyle w:val="BodyText"/>
      </w:pPr>
    </w:p>
    <w:p>
      <w:pPr>
        <w:pStyle w:val="BodyText"/>
        <w:rPr>
          <w:sz w:val="12"/>
        </w:rPr>
      </w:pPr>
    </w:p>
    <w:p>
      <w:pPr>
        <w:tabs>
          <w:tab w:pos="8971" w:val="left" w:leader="none"/>
        </w:tabs>
        <w:spacing w:before="87"/>
        <w:ind w:left="4174" w:right="0" w:firstLine="0"/>
        <w:jc w:val="left"/>
        <w:rPr>
          <w:sz w:val="12"/>
        </w:rPr>
      </w:pPr>
      <w:r>
        <w:rPr/>
        <w:drawing>
          <wp:anchor distT="0" distB="0" distL="0" distR="0" allowOverlap="1" layoutInCell="1" locked="0" behindDoc="1" simplePos="0" relativeHeight="480360448">
            <wp:simplePos x="0" y="0"/>
            <wp:positionH relativeFrom="page">
              <wp:posOffset>3576027</wp:posOffset>
            </wp:positionH>
            <wp:positionV relativeFrom="paragraph">
              <wp:posOffset>97045</wp:posOffset>
            </wp:positionV>
            <wp:extent cx="2497683" cy="1077899"/>
            <wp:effectExtent l="0" t="0" r="0" b="0"/>
            <wp:wrapNone/>
            <wp:docPr id="571" name="image96.png"/>
            <wp:cNvGraphicFramePr>
              <a:graphicFrameLocks noChangeAspect="1"/>
            </wp:cNvGraphicFramePr>
            <a:graphic>
              <a:graphicData uri="http://schemas.openxmlformats.org/drawingml/2006/picture">
                <pic:pic>
                  <pic:nvPicPr>
                    <pic:cNvPr id="572" name="image96.png"/>
                    <pic:cNvPicPr/>
                  </pic:nvPicPr>
                  <pic:blipFill>
                    <a:blip r:embed="rId171" cstate="print"/>
                    <a:stretch>
                      <a:fillRect/>
                    </a:stretch>
                  </pic:blipFill>
                  <pic:spPr>
                    <a:xfrm>
                      <a:off x="0" y="0"/>
                      <a:ext cx="2497683" cy="1077899"/>
                    </a:xfrm>
                    <a:prstGeom prst="rect">
                      <a:avLst/>
                    </a:prstGeom>
                  </pic:spPr>
                </pic:pic>
              </a:graphicData>
            </a:graphic>
          </wp:anchor>
        </w:drawing>
      </w:r>
      <w:r>
        <w:rPr/>
        <w:drawing>
          <wp:anchor distT="0" distB="0" distL="0" distR="0" allowOverlap="1" layoutInCell="1" locked="0" behindDoc="0" simplePos="0" relativeHeight="16375808">
            <wp:simplePos x="0" y="0"/>
            <wp:positionH relativeFrom="page">
              <wp:posOffset>2964942</wp:posOffset>
            </wp:positionH>
            <wp:positionV relativeFrom="paragraph">
              <wp:posOffset>97045</wp:posOffset>
            </wp:positionV>
            <wp:extent cx="59778" cy="6350"/>
            <wp:effectExtent l="0" t="0" r="0" b="0"/>
            <wp:wrapNone/>
            <wp:docPr id="573" name="image95.png"/>
            <wp:cNvGraphicFramePr>
              <a:graphicFrameLocks noChangeAspect="1"/>
            </wp:cNvGraphicFramePr>
            <a:graphic>
              <a:graphicData uri="http://schemas.openxmlformats.org/drawingml/2006/picture">
                <pic:pic>
                  <pic:nvPicPr>
                    <pic:cNvPr id="574" name="image95.png"/>
                    <pic:cNvPicPr/>
                  </pic:nvPicPr>
                  <pic:blipFill>
                    <a:blip r:embed="rId170"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0" simplePos="0" relativeHeight="16376832">
            <wp:simplePos x="0" y="0"/>
            <wp:positionH relativeFrom="page">
              <wp:posOffset>528027</wp:posOffset>
            </wp:positionH>
            <wp:positionV relativeFrom="paragraph">
              <wp:posOffset>97045</wp:posOffset>
            </wp:positionV>
            <wp:extent cx="59778" cy="6350"/>
            <wp:effectExtent l="0" t="0" r="0" b="0"/>
            <wp:wrapNone/>
            <wp:docPr id="575" name="image95.png"/>
            <wp:cNvGraphicFramePr>
              <a:graphicFrameLocks noChangeAspect="1"/>
            </wp:cNvGraphicFramePr>
            <a:graphic>
              <a:graphicData uri="http://schemas.openxmlformats.org/drawingml/2006/picture">
                <pic:pic>
                  <pic:nvPicPr>
                    <pic:cNvPr id="576" name="image95.png"/>
                    <pic:cNvPicPr/>
                  </pic:nvPicPr>
                  <pic:blipFill>
                    <a:blip r:embed="rId170" cstate="print"/>
                    <a:stretch>
                      <a:fillRect/>
                    </a:stretch>
                  </pic:blipFill>
                  <pic:spPr>
                    <a:xfrm>
                      <a:off x="0" y="0"/>
                      <a:ext cx="59778" cy="6350"/>
                    </a:xfrm>
                    <a:prstGeom prst="rect">
                      <a:avLst/>
                    </a:prstGeom>
                  </pic:spPr>
                </pic:pic>
              </a:graphicData>
            </a:graphic>
          </wp:anchor>
        </w:drawing>
      </w:r>
      <w:r>
        <w:rPr>
          <w:w w:val="120"/>
          <w:position w:val="1"/>
          <w:sz w:val="12"/>
        </w:rPr>
        <w:t>4</w:t>
        <w:tab/>
      </w:r>
      <w:r>
        <w:rPr>
          <w:w w:val="120"/>
          <w:sz w:val="12"/>
        </w:rPr>
        <w:t>4</w:t>
      </w:r>
    </w:p>
    <w:p>
      <w:pPr>
        <w:pStyle w:val="BodyText"/>
      </w:pPr>
    </w:p>
    <w:p>
      <w:pPr>
        <w:pStyle w:val="BodyText"/>
        <w:rPr>
          <w:sz w:val="12"/>
        </w:rPr>
      </w:pPr>
    </w:p>
    <w:p>
      <w:pPr>
        <w:tabs>
          <w:tab w:pos="8974" w:val="left" w:leader="none"/>
        </w:tabs>
        <w:spacing w:before="98"/>
        <w:ind w:left="4176" w:right="0" w:firstLine="0"/>
        <w:jc w:val="left"/>
        <w:rPr>
          <w:sz w:val="12"/>
        </w:rPr>
      </w:pPr>
      <w:r>
        <w:rPr/>
        <w:drawing>
          <wp:anchor distT="0" distB="0" distL="0" distR="0" allowOverlap="1" layoutInCell="1" locked="0" behindDoc="0" simplePos="0" relativeHeight="16376320">
            <wp:simplePos x="0" y="0"/>
            <wp:positionH relativeFrom="page">
              <wp:posOffset>528027</wp:posOffset>
            </wp:positionH>
            <wp:positionV relativeFrom="paragraph">
              <wp:posOffset>-163886</wp:posOffset>
            </wp:positionV>
            <wp:extent cx="2497683" cy="1078928"/>
            <wp:effectExtent l="0" t="0" r="0" b="0"/>
            <wp:wrapNone/>
            <wp:docPr id="577" name="image97.png"/>
            <wp:cNvGraphicFramePr>
              <a:graphicFrameLocks noChangeAspect="1"/>
            </wp:cNvGraphicFramePr>
            <a:graphic>
              <a:graphicData uri="http://schemas.openxmlformats.org/drawingml/2006/picture">
                <pic:pic>
                  <pic:nvPicPr>
                    <pic:cNvPr id="578" name="image97.png"/>
                    <pic:cNvPicPr/>
                  </pic:nvPicPr>
                  <pic:blipFill>
                    <a:blip r:embed="rId172" cstate="print"/>
                    <a:stretch>
                      <a:fillRect/>
                    </a:stretch>
                  </pic:blipFill>
                  <pic:spPr>
                    <a:xfrm>
                      <a:off x="0" y="0"/>
                      <a:ext cx="2497683" cy="1078928"/>
                    </a:xfrm>
                    <a:prstGeom prst="rect">
                      <a:avLst/>
                    </a:prstGeom>
                  </pic:spPr>
                </pic:pic>
              </a:graphicData>
            </a:graphic>
          </wp:anchor>
        </w:drawing>
      </w:r>
      <w:r>
        <w:rPr>
          <w:w w:val="120"/>
          <w:sz w:val="12"/>
        </w:rPr>
        <w:t>3</w:t>
        <w:tab/>
        <w:t>3</w:t>
      </w:r>
    </w:p>
    <w:p>
      <w:pPr>
        <w:pStyle w:val="BodyText"/>
        <w:spacing w:before="8"/>
        <w:rPr>
          <w:sz w:val="13"/>
        </w:rPr>
      </w:pPr>
    </w:p>
    <w:p>
      <w:pPr>
        <w:tabs>
          <w:tab w:pos="8975" w:val="left" w:leader="none"/>
        </w:tabs>
        <w:spacing w:before="0"/>
        <w:ind w:left="4175" w:right="0" w:firstLine="0"/>
        <w:jc w:val="left"/>
        <w:rPr>
          <w:sz w:val="12"/>
        </w:rPr>
      </w:pPr>
      <w:r>
        <w:rPr>
          <w:w w:val="115"/>
          <w:sz w:val="12"/>
        </w:rPr>
        <w:t>2.5</w:t>
        <w:tab/>
        <w:t>2.5</w:t>
      </w:r>
    </w:p>
    <w:p>
      <w:pPr>
        <w:pStyle w:val="BodyText"/>
        <w:spacing w:before="9"/>
        <w:rPr>
          <w:sz w:val="13"/>
        </w:rPr>
      </w:pPr>
    </w:p>
    <w:p>
      <w:pPr>
        <w:tabs>
          <w:tab w:pos="8976" w:val="left" w:leader="none"/>
        </w:tabs>
        <w:spacing w:before="0"/>
        <w:ind w:left="4180" w:right="0" w:firstLine="0"/>
        <w:jc w:val="left"/>
        <w:rPr>
          <w:sz w:val="12"/>
        </w:rPr>
      </w:pPr>
      <w:r>
        <w:rPr>
          <w:w w:val="120"/>
          <w:sz w:val="12"/>
        </w:rPr>
        <w:t>2</w:t>
        <w:tab/>
      </w:r>
      <w:r>
        <w:rPr>
          <w:w w:val="120"/>
          <w:position w:val="1"/>
          <w:sz w:val="12"/>
        </w:rPr>
        <w:t>2</w:t>
      </w:r>
    </w:p>
    <w:p>
      <w:pPr>
        <w:pStyle w:val="BodyText"/>
        <w:rPr>
          <w:sz w:val="12"/>
        </w:rPr>
      </w:pPr>
    </w:p>
    <w:p>
      <w:pPr>
        <w:pStyle w:val="BodyText"/>
        <w:rPr>
          <w:sz w:val="12"/>
        </w:rPr>
      </w:pPr>
    </w:p>
    <w:p>
      <w:pPr>
        <w:pStyle w:val="BodyText"/>
        <w:spacing w:before="10"/>
        <w:rPr>
          <w:sz w:val="15"/>
        </w:rPr>
      </w:pPr>
    </w:p>
    <w:p>
      <w:pPr>
        <w:tabs>
          <w:tab w:pos="8971" w:val="left" w:leader="none"/>
        </w:tabs>
        <w:spacing w:before="0"/>
        <w:ind w:left="4180" w:right="0" w:firstLine="0"/>
        <w:jc w:val="left"/>
        <w:rPr>
          <w:sz w:val="12"/>
        </w:rPr>
      </w:pPr>
      <w:r>
        <w:rPr/>
        <w:drawing>
          <wp:anchor distT="0" distB="0" distL="0" distR="0" allowOverlap="1" layoutInCell="1" locked="0" behindDoc="1" simplePos="0" relativeHeight="480359424">
            <wp:simplePos x="0" y="0"/>
            <wp:positionH relativeFrom="page">
              <wp:posOffset>6012941</wp:posOffset>
            </wp:positionH>
            <wp:positionV relativeFrom="paragraph">
              <wp:posOffset>46976</wp:posOffset>
            </wp:positionV>
            <wp:extent cx="59778" cy="6350"/>
            <wp:effectExtent l="0" t="0" r="0" b="0"/>
            <wp:wrapNone/>
            <wp:docPr id="579" name="image8.png"/>
            <wp:cNvGraphicFramePr>
              <a:graphicFrameLocks noChangeAspect="1"/>
            </wp:cNvGraphicFramePr>
            <a:graphic>
              <a:graphicData uri="http://schemas.openxmlformats.org/drawingml/2006/picture">
                <pic:pic>
                  <pic:nvPicPr>
                    <pic:cNvPr id="580" name="image8.png"/>
                    <pic:cNvPicPr/>
                  </pic:nvPicPr>
                  <pic:blipFill>
                    <a:blip r:embed="rId29"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1" simplePos="0" relativeHeight="480360960">
            <wp:simplePos x="0" y="0"/>
            <wp:positionH relativeFrom="page">
              <wp:posOffset>3576027</wp:posOffset>
            </wp:positionH>
            <wp:positionV relativeFrom="paragraph">
              <wp:posOffset>46976</wp:posOffset>
            </wp:positionV>
            <wp:extent cx="59778" cy="6350"/>
            <wp:effectExtent l="0" t="0" r="0" b="0"/>
            <wp:wrapNone/>
            <wp:docPr id="581" name="image8.png"/>
            <wp:cNvGraphicFramePr>
              <a:graphicFrameLocks noChangeAspect="1"/>
            </wp:cNvGraphicFramePr>
            <a:graphic>
              <a:graphicData uri="http://schemas.openxmlformats.org/drawingml/2006/picture">
                <pic:pic>
                  <pic:nvPicPr>
                    <pic:cNvPr id="582" name="image8.png"/>
                    <pic:cNvPicPr/>
                  </pic:nvPicPr>
                  <pic:blipFill>
                    <a:blip r:embed="rId29" cstate="print"/>
                    <a:stretch>
                      <a:fillRect/>
                    </a:stretch>
                  </pic:blipFill>
                  <pic:spPr>
                    <a:xfrm>
                      <a:off x="0" y="0"/>
                      <a:ext cx="59778" cy="6350"/>
                    </a:xfrm>
                    <a:prstGeom prst="rect">
                      <a:avLst/>
                    </a:prstGeom>
                  </pic:spPr>
                </pic:pic>
              </a:graphicData>
            </a:graphic>
          </wp:anchor>
        </w:drawing>
      </w:r>
      <w:r>
        <w:rPr>
          <w:w w:val="120"/>
          <w:sz w:val="12"/>
        </w:rPr>
        <w:t>1</w:t>
        <w:tab/>
      </w:r>
      <w:r>
        <w:rPr>
          <w:w w:val="120"/>
          <w:position w:val="1"/>
          <w:sz w:val="12"/>
        </w:rPr>
        <w:t>1</w:t>
      </w:r>
    </w:p>
    <w:p>
      <w:pPr>
        <w:pStyle w:val="BodyText"/>
      </w:pPr>
    </w:p>
    <w:p>
      <w:pPr>
        <w:spacing w:after="0"/>
        <w:sectPr>
          <w:type w:val="continuous"/>
          <w:pgSz w:w="11900" w:h="16840"/>
          <w:pgMar w:top="1260" w:bottom="280" w:left="640" w:right="640"/>
        </w:sectPr>
      </w:pPr>
    </w:p>
    <w:p>
      <w:pPr>
        <w:pStyle w:val="BodyText"/>
        <w:rPr>
          <w:sz w:val="12"/>
        </w:rPr>
      </w:pPr>
    </w:p>
    <w:p>
      <w:pPr>
        <w:spacing w:line="111" w:lineRule="exact" w:before="101"/>
        <w:ind w:left="4186" w:right="0" w:firstLine="0"/>
        <w:jc w:val="left"/>
        <w:rPr>
          <w:sz w:val="12"/>
        </w:rPr>
      </w:pPr>
      <w:r>
        <w:rPr/>
        <w:drawing>
          <wp:anchor distT="0" distB="0" distL="0" distR="0" allowOverlap="1" layoutInCell="1" locked="0" behindDoc="0" simplePos="0" relativeHeight="16375296">
            <wp:simplePos x="0" y="0"/>
            <wp:positionH relativeFrom="page">
              <wp:posOffset>528027</wp:posOffset>
            </wp:positionH>
            <wp:positionV relativeFrom="paragraph">
              <wp:posOffset>28264</wp:posOffset>
            </wp:positionV>
            <wp:extent cx="2496693" cy="82829"/>
            <wp:effectExtent l="0" t="0" r="0" b="0"/>
            <wp:wrapNone/>
            <wp:docPr id="583" name="image98.png"/>
            <wp:cNvGraphicFramePr>
              <a:graphicFrameLocks noChangeAspect="1"/>
            </wp:cNvGraphicFramePr>
            <a:graphic>
              <a:graphicData uri="http://schemas.openxmlformats.org/drawingml/2006/picture">
                <pic:pic>
                  <pic:nvPicPr>
                    <pic:cNvPr id="584" name="image98.png"/>
                    <pic:cNvPicPr/>
                  </pic:nvPicPr>
                  <pic:blipFill>
                    <a:blip r:embed="rId173" cstate="print"/>
                    <a:stretch>
                      <a:fillRect/>
                    </a:stretch>
                  </pic:blipFill>
                  <pic:spPr>
                    <a:xfrm>
                      <a:off x="0" y="0"/>
                      <a:ext cx="2496693" cy="82829"/>
                    </a:xfrm>
                    <a:prstGeom prst="rect">
                      <a:avLst/>
                    </a:prstGeom>
                  </pic:spPr>
                </pic:pic>
              </a:graphicData>
            </a:graphic>
          </wp:anchor>
        </w:drawing>
      </w:r>
      <w:r>
        <w:rPr>
          <w:w w:val="121"/>
          <w:sz w:val="12"/>
        </w:rPr>
        <w:t>0</w:t>
      </w:r>
    </w:p>
    <w:p>
      <w:pPr>
        <w:tabs>
          <w:tab w:pos="1054" w:val="left" w:leader="none"/>
          <w:tab w:pos="1567" w:val="left" w:leader="none"/>
          <w:tab w:pos="2079" w:val="left" w:leader="none"/>
          <w:tab w:pos="2529" w:val="left" w:leader="none"/>
          <w:tab w:pos="3142" w:val="left" w:leader="none"/>
          <w:tab w:pos="3650" w:val="left" w:leader="none"/>
        </w:tabs>
        <w:spacing w:line="111" w:lineRule="exact" w:before="0"/>
        <w:ind w:left="475" w:right="0" w:firstLine="0"/>
        <w:jc w:val="left"/>
        <w:rPr>
          <w:sz w:val="12"/>
        </w:rPr>
      </w:pPr>
      <w:r>
        <w:rPr>
          <w:spacing w:val="-9"/>
          <w:w w:val="120"/>
          <w:sz w:val="12"/>
        </w:rPr>
        <w:t>1996</w:t>
        <w:tab/>
      </w:r>
      <w:r>
        <w:rPr>
          <w:spacing w:val="-6"/>
          <w:w w:val="120"/>
          <w:sz w:val="12"/>
        </w:rPr>
        <w:t>97</w:t>
        <w:tab/>
      </w:r>
      <w:r>
        <w:rPr>
          <w:spacing w:val="-7"/>
          <w:w w:val="120"/>
          <w:sz w:val="12"/>
        </w:rPr>
        <w:t>98</w:t>
        <w:tab/>
      </w:r>
      <w:r>
        <w:rPr>
          <w:spacing w:val="-4"/>
          <w:w w:val="120"/>
          <w:sz w:val="12"/>
        </w:rPr>
        <w:t>99</w:t>
        <w:tab/>
      </w:r>
      <w:r>
        <w:rPr>
          <w:w w:val="120"/>
          <w:sz w:val="12"/>
        </w:rPr>
        <w:t>2000</w:t>
        <w:tab/>
      </w:r>
      <w:r>
        <w:rPr>
          <w:spacing w:val="-9"/>
          <w:w w:val="120"/>
          <w:sz w:val="12"/>
        </w:rPr>
        <w:t>01</w:t>
        <w:tab/>
      </w:r>
      <w:r>
        <w:rPr>
          <w:spacing w:val="-3"/>
          <w:w w:val="120"/>
          <w:sz w:val="12"/>
        </w:rPr>
        <w:t>02</w:t>
      </w:r>
      <w:r>
        <w:rPr>
          <w:spacing w:val="26"/>
          <w:w w:val="120"/>
          <w:sz w:val="12"/>
        </w:rPr>
        <w:t> </w:t>
      </w:r>
      <w:r>
        <w:rPr>
          <w:spacing w:val="-8"/>
          <w:w w:val="120"/>
          <w:sz w:val="12"/>
        </w:rPr>
        <w:t>03</w:t>
      </w:r>
    </w:p>
    <w:p>
      <w:pPr>
        <w:pStyle w:val="BodyText"/>
        <w:rPr>
          <w:sz w:val="12"/>
        </w:rPr>
      </w:pPr>
      <w:r>
        <w:rPr/>
        <w:br w:type="column"/>
      </w:r>
      <w:r>
        <w:rPr>
          <w:sz w:val="12"/>
        </w:rPr>
      </w:r>
    </w:p>
    <w:p>
      <w:pPr>
        <w:spacing w:line="117" w:lineRule="exact" w:before="89"/>
        <w:ind w:left="4456" w:right="0" w:firstLine="0"/>
        <w:jc w:val="left"/>
        <w:rPr>
          <w:sz w:val="12"/>
        </w:rPr>
      </w:pPr>
      <w:r>
        <w:rPr>
          <w:w w:val="121"/>
          <w:sz w:val="12"/>
        </w:rPr>
        <w:t>0</w:t>
      </w:r>
    </w:p>
    <w:p>
      <w:pPr>
        <w:tabs>
          <w:tab w:pos="1359" w:val="left" w:leader="none"/>
          <w:tab w:pos="1911" w:val="left" w:leader="none"/>
          <w:tab w:pos="2444" w:val="left" w:leader="none"/>
          <w:tab w:pos="2914" w:val="left" w:leader="none"/>
          <w:tab w:pos="3527" w:val="left" w:leader="none"/>
          <w:tab w:pos="4055" w:val="left" w:leader="none"/>
        </w:tabs>
        <w:spacing w:line="117" w:lineRule="exact" w:before="0"/>
        <w:ind w:left="760" w:right="0" w:firstLine="0"/>
        <w:jc w:val="left"/>
        <w:rPr>
          <w:sz w:val="12"/>
        </w:rPr>
      </w:pPr>
      <w:r>
        <w:rPr/>
        <w:drawing>
          <wp:anchor distT="0" distB="0" distL="0" distR="0" allowOverlap="1" layoutInCell="1" locked="0" behindDoc="0" simplePos="0" relativeHeight="16372224">
            <wp:simplePos x="0" y="0"/>
            <wp:positionH relativeFrom="page">
              <wp:posOffset>3576027</wp:posOffset>
            </wp:positionH>
            <wp:positionV relativeFrom="paragraph">
              <wp:posOffset>-94578</wp:posOffset>
            </wp:positionV>
            <wp:extent cx="2496692" cy="74904"/>
            <wp:effectExtent l="0" t="0" r="0" b="0"/>
            <wp:wrapNone/>
            <wp:docPr id="585" name="image99.png"/>
            <wp:cNvGraphicFramePr>
              <a:graphicFrameLocks noChangeAspect="1"/>
            </wp:cNvGraphicFramePr>
            <a:graphic>
              <a:graphicData uri="http://schemas.openxmlformats.org/drawingml/2006/picture">
                <pic:pic>
                  <pic:nvPicPr>
                    <pic:cNvPr id="586" name="image99.png"/>
                    <pic:cNvPicPr/>
                  </pic:nvPicPr>
                  <pic:blipFill>
                    <a:blip r:embed="rId174" cstate="print"/>
                    <a:stretch>
                      <a:fillRect/>
                    </a:stretch>
                  </pic:blipFill>
                  <pic:spPr>
                    <a:xfrm>
                      <a:off x="0" y="0"/>
                      <a:ext cx="2496692" cy="74904"/>
                    </a:xfrm>
                    <a:prstGeom prst="rect">
                      <a:avLst/>
                    </a:prstGeom>
                  </pic:spPr>
                </pic:pic>
              </a:graphicData>
            </a:graphic>
          </wp:anchor>
        </w:drawing>
      </w:r>
      <w:r>
        <w:rPr>
          <w:spacing w:val="-9"/>
          <w:w w:val="120"/>
          <w:sz w:val="12"/>
        </w:rPr>
        <w:t>1996</w:t>
        <w:tab/>
      </w:r>
      <w:r>
        <w:rPr>
          <w:spacing w:val="-6"/>
          <w:w w:val="120"/>
          <w:sz w:val="12"/>
        </w:rPr>
        <w:t>97</w:t>
        <w:tab/>
      </w:r>
      <w:r>
        <w:rPr>
          <w:spacing w:val="-7"/>
          <w:w w:val="120"/>
          <w:sz w:val="12"/>
        </w:rPr>
        <w:t>98</w:t>
        <w:tab/>
      </w:r>
      <w:r>
        <w:rPr>
          <w:spacing w:val="-4"/>
          <w:w w:val="120"/>
          <w:sz w:val="12"/>
        </w:rPr>
        <w:t>99</w:t>
        <w:tab/>
      </w:r>
      <w:r>
        <w:rPr>
          <w:w w:val="120"/>
          <w:sz w:val="12"/>
        </w:rPr>
        <w:t>2000</w:t>
        <w:tab/>
      </w:r>
      <w:r>
        <w:rPr>
          <w:spacing w:val="-9"/>
          <w:w w:val="120"/>
          <w:sz w:val="12"/>
        </w:rPr>
        <w:t>01</w:t>
        <w:tab/>
      </w:r>
      <w:r>
        <w:rPr>
          <w:spacing w:val="-3"/>
          <w:w w:val="120"/>
          <w:sz w:val="12"/>
        </w:rPr>
        <w:t>02</w:t>
      </w:r>
    </w:p>
    <w:p>
      <w:pPr>
        <w:spacing w:after="0" w:line="117" w:lineRule="exact"/>
        <w:jc w:val="left"/>
        <w:rPr>
          <w:sz w:val="12"/>
        </w:rPr>
        <w:sectPr>
          <w:type w:val="continuous"/>
          <w:pgSz w:w="11900" w:h="16840"/>
          <w:pgMar w:top="1260" w:bottom="280" w:left="640" w:right="640"/>
          <w:cols w:num="2" w:equalWidth="0">
            <w:col w:w="4299" w:space="216"/>
            <w:col w:w="6105"/>
          </w:cols>
        </w:sectPr>
      </w:pPr>
    </w:p>
    <w:p>
      <w:pPr>
        <w:pStyle w:val="BodyText"/>
        <w:spacing w:before="11"/>
        <w:rPr>
          <w:sz w:val="16"/>
        </w:rPr>
      </w:pPr>
    </w:p>
    <w:p>
      <w:pPr>
        <w:spacing w:before="74"/>
        <w:ind w:left="185" w:right="437" w:firstLine="0"/>
        <w:jc w:val="left"/>
        <w:rPr>
          <w:sz w:val="14"/>
        </w:rPr>
      </w:pPr>
      <w:r>
        <w:rPr>
          <w:w w:val="105"/>
          <w:sz w:val="14"/>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w:t>
      </w:r>
      <w:r>
        <w:rPr>
          <w:spacing w:val="-2"/>
          <w:w w:val="105"/>
          <w:sz w:val="14"/>
        </w:rPr>
        <w:t>covers </w:t>
      </w:r>
      <w:r>
        <w:rPr>
          <w:spacing w:val="-6"/>
          <w:w w:val="105"/>
          <w:sz w:val="14"/>
        </w:rPr>
        <w:t>10% </w:t>
      </w:r>
      <w:r>
        <w:rPr>
          <w:w w:val="105"/>
          <w:sz w:val="14"/>
        </w:rPr>
        <w:t>of the </w:t>
      </w:r>
      <w:r>
        <w:rPr>
          <w:spacing w:val="-3"/>
          <w:w w:val="105"/>
          <w:sz w:val="14"/>
        </w:rPr>
        <w:t>probability. </w:t>
      </w:r>
      <w:r>
        <w:rPr>
          <w:w w:val="105"/>
          <w:sz w:val="14"/>
        </w:rPr>
        <w:t>Each successive pair of bands is drawn </w:t>
      </w:r>
      <w:r>
        <w:rPr>
          <w:spacing w:val="-3"/>
          <w:w w:val="105"/>
          <w:sz w:val="14"/>
        </w:rPr>
        <w:t>to </w:t>
      </w:r>
      <w:r>
        <w:rPr>
          <w:w w:val="105"/>
          <w:sz w:val="14"/>
        </w:rPr>
        <w:t>cover a further </w:t>
      </w:r>
      <w:r>
        <w:rPr>
          <w:spacing w:val="-6"/>
          <w:w w:val="105"/>
          <w:sz w:val="14"/>
        </w:rPr>
        <w:t>10% </w:t>
      </w:r>
      <w:r>
        <w:rPr>
          <w:w w:val="105"/>
          <w:sz w:val="14"/>
        </w:rPr>
        <w:t>of the </w:t>
      </w:r>
      <w:r>
        <w:rPr>
          <w:spacing w:val="-3"/>
          <w:w w:val="105"/>
          <w:sz w:val="14"/>
        </w:rPr>
        <w:t>probability, </w:t>
      </w:r>
      <w:r>
        <w:rPr>
          <w:w w:val="105"/>
          <w:sz w:val="14"/>
        </w:rPr>
        <w:t>until </w:t>
      </w:r>
      <w:r>
        <w:rPr>
          <w:spacing w:val="-3"/>
          <w:w w:val="105"/>
          <w:sz w:val="14"/>
        </w:rPr>
        <w:t>90% </w:t>
      </w:r>
      <w:r>
        <w:rPr>
          <w:w w:val="105"/>
          <w:sz w:val="14"/>
        </w:rPr>
        <w:t>of the probability distribution is covered. The</w:t>
      </w:r>
      <w:r>
        <w:rPr>
          <w:spacing w:val="36"/>
          <w:w w:val="105"/>
          <w:sz w:val="14"/>
        </w:rPr>
        <w:t> </w:t>
      </w:r>
      <w:r>
        <w:rPr>
          <w:w w:val="105"/>
          <w:sz w:val="14"/>
        </w:rPr>
        <w:t>bands widen as the time horizon is extended, indicating increasing uncertainty about outcomes. See the box ‘How fan charts are </w:t>
      </w:r>
      <w:r>
        <w:rPr>
          <w:spacing w:val="-5"/>
          <w:w w:val="105"/>
          <w:sz w:val="14"/>
        </w:rPr>
        <w:t>drawn’, </w:t>
      </w:r>
      <w:r>
        <w:rPr>
          <w:w w:val="105"/>
          <w:sz w:val="14"/>
        </w:rPr>
        <w:t>on page </w:t>
      </w:r>
      <w:r>
        <w:rPr>
          <w:spacing w:val="-6"/>
          <w:w w:val="105"/>
          <w:sz w:val="14"/>
        </w:rPr>
        <w:t>52 </w:t>
      </w:r>
      <w:r>
        <w:rPr>
          <w:w w:val="105"/>
          <w:sz w:val="14"/>
        </w:rPr>
        <w:t>of the February </w:t>
      </w:r>
      <w:r>
        <w:rPr>
          <w:spacing w:val="-11"/>
          <w:w w:val="105"/>
          <w:sz w:val="14"/>
        </w:rPr>
        <w:t>1999 </w:t>
      </w:r>
      <w:r>
        <w:rPr>
          <w:i/>
          <w:w w:val="105"/>
          <w:sz w:val="14"/>
        </w:rPr>
        <w:t>Inflation</w:t>
      </w:r>
      <w:r>
        <w:rPr>
          <w:i/>
          <w:spacing w:val="-2"/>
          <w:w w:val="105"/>
          <w:sz w:val="14"/>
        </w:rPr>
        <w:t> </w:t>
      </w:r>
      <w:r>
        <w:rPr>
          <w:i/>
          <w:w w:val="105"/>
          <w:sz w:val="14"/>
        </w:rPr>
        <w:t>Report</w:t>
      </w:r>
      <w:r>
        <w:rPr>
          <w:w w:val="105"/>
          <w:sz w:val="14"/>
        </w:rPr>
        <w:t>.</w:t>
      </w:r>
    </w:p>
    <w:p>
      <w:pPr>
        <w:pStyle w:val="BodyText"/>
      </w:pPr>
    </w:p>
    <w:p>
      <w:pPr>
        <w:pStyle w:val="BodyText"/>
        <w:spacing w:before="7"/>
        <w:rPr>
          <w:sz w:val="16"/>
        </w:rPr>
      </w:pPr>
    </w:p>
    <w:p>
      <w:pPr>
        <w:pStyle w:val="BodyText"/>
        <w:spacing w:line="292" w:lineRule="auto" w:before="63"/>
        <w:ind w:left="5095" w:right="140"/>
      </w:pPr>
      <w:r>
        <w:rPr>
          <w:w w:val="110"/>
        </w:rPr>
        <w:t>outturns</w:t>
      </w:r>
      <w:r>
        <w:rPr>
          <w:spacing w:val="-15"/>
          <w:w w:val="110"/>
        </w:rPr>
        <w:t> </w:t>
      </w:r>
      <w:r>
        <w:rPr>
          <w:w w:val="110"/>
        </w:rPr>
        <w:t>for</w:t>
      </w:r>
      <w:r>
        <w:rPr>
          <w:spacing w:val="-15"/>
          <w:w w:val="110"/>
        </w:rPr>
        <w:t> </w:t>
      </w:r>
      <w:r>
        <w:rPr>
          <w:w w:val="110"/>
        </w:rPr>
        <w:t>both</w:t>
      </w:r>
      <w:r>
        <w:rPr>
          <w:spacing w:val="-14"/>
          <w:w w:val="110"/>
        </w:rPr>
        <w:t> </w:t>
      </w:r>
      <w:r>
        <w:rPr>
          <w:w w:val="110"/>
        </w:rPr>
        <w:t>growth</w:t>
      </w:r>
      <w:r>
        <w:rPr>
          <w:spacing w:val="-15"/>
          <w:w w:val="110"/>
        </w:rPr>
        <w:t> </w:t>
      </w:r>
      <w:r>
        <w:rPr>
          <w:w w:val="110"/>
        </w:rPr>
        <w:t>and</w:t>
      </w:r>
      <w:r>
        <w:rPr>
          <w:spacing w:val="-14"/>
          <w:w w:val="110"/>
        </w:rPr>
        <w:t> </w:t>
      </w:r>
      <w:r>
        <w:rPr>
          <w:w w:val="110"/>
        </w:rPr>
        <w:t>inflation</w:t>
      </w:r>
      <w:r>
        <w:rPr>
          <w:spacing w:val="-15"/>
          <w:w w:val="110"/>
        </w:rPr>
        <w:t> </w:t>
      </w:r>
      <w:r>
        <w:rPr>
          <w:w w:val="110"/>
        </w:rPr>
        <w:t>in</w:t>
      </w:r>
      <w:r>
        <w:rPr>
          <w:spacing w:val="-14"/>
          <w:w w:val="110"/>
        </w:rPr>
        <w:t> </w:t>
      </w:r>
      <w:r>
        <w:rPr>
          <w:w w:val="110"/>
        </w:rPr>
        <w:t>the</w:t>
      </w:r>
      <w:r>
        <w:rPr>
          <w:spacing w:val="-15"/>
          <w:w w:val="110"/>
        </w:rPr>
        <w:t> </w:t>
      </w:r>
      <w:r>
        <w:rPr>
          <w:w w:val="110"/>
        </w:rPr>
        <w:t>United</w:t>
      </w:r>
      <w:r>
        <w:rPr>
          <w:spacing w:val="-15"/>
          <w:w w:val="110"/>
        </w:rPr>
        <w:t> </w:t>
      </w:r>
      <w:r>
        <w:rPr>
          <w:w w:val="110"/>
        </w:rPr>
        <w:t>Kingdom in the most recent quarter; and the </w:t>
      </w:r>
      <w:r>
        <w:rPr>
          <w:spacing w:val="-3"/>
          <w:w w:val="110"/>
        </w:rPr>
        <w:t>lower </w:t>
      </w:r>
      <w:r>
        <w:rPr>
          <w:w w:val="110"/>
        </w:rPr>
        <w:t>path for business investment.</w:t>
      </w:r>
      <w:r>
        <w:rPr>
          <w:spacing w:val="3"/>
          <w:w w:val="110"/>
        </w:rPr>
        <w:t> </w:t>
      </w:r>
      <w:r>
        <w:rPr>
          <w:w w:val="110"/>
        </w:rPr>
        <w:t>These</w:t>
      </w:r>
      <w:r>
        <w:rPr>
          <w:spacing w:val="-26"/>
          <w:w w:val="110"/>
        </w:rPr>
        <w:t> </w:t>
      </w:r>
      <w:r>
        <w:rPr>
          <w:w w:val="110"/>
        </w:rPr>
        <w:t>effects</w:t>
      </w:r>
      <w:r>
        <w:rPr>
          <w:spacing w:val="-26"/>
          <w:w w:val="110"/>
        </w:rPr>
        <w:t> </w:t>
      </w:r>
      <w:r>
        <w:rPr>
          <w:spacing w:val="-3"/>
          <w:w w:val="110"/>
        </w:rPr>
        <w:t>outweigh</w:t>
      </w:r>
      <w:r>
        <w:rPr>
          <w:spacing w:val="-26"/>
          <w:w w:val="110"/>
        </w:rPr>
        <w:t> </w:t>
      </w:r>
      <w:r>
        <w:rPr>
          <w:w w:val="110"/>
        </w:rPr>
        <w:t>the</w:t>
      </w:r>
      <w:r>
        <w:rPr>
          <w:spacing w:val="-26"/>
          <w:w w:val="110"/>
        </w:rPr>
        <w:t> </w:t>
      </w:r>
      <w:r>
        <w:rPr>
          <w:w w:val="110"/>
        </w:rPr>
        <w:t>main</w:t>
      </w:r>
      <w:r>
        <w:rPr>
          <w:spacing w:val="-26"/>
          <w:w w:val="110"/>
        </w:rPr>
        <w:t> </w:t>
      </w:r>
      <w:r>
        <w:rPr>
          <w:w w:val="110"/>
        </w:rPr>
        <w:t>upside</w:t>
      </w:r>
      <w:r>
        <w:rPr>
          <w:spacing w:val="-26"/>
          <w:w w:val="110"/>
        </w:rPr>
        <w:t> </w:t>
      </w:r>
      <w:r>
        <w:rPr>
          <w:w w:val="110"/>
        </w:rPr>
        <w:t>influences of a </w:t>
      </w:r>
      <w:r>
        <w:rPr>
          <w:spacing w:val="-3"/>
          <w:w w:val="110"/>
        </w:rPr>
        <w:t>weaker exchange </w:t>
      </w:r>
      <w:r>
        <w:rPr>
          <w:spacing w:val="-4"/>
          <w:w w:val="110"/>
        </w:rPr>
        <w:t>rate </w:t>
      </w:r>
      <w:r>
        <w:rPr>
          <w:w w:val="110"/>
        </w:rPr>
        <w:t>profile, an </w:t>
      </w:r>
      <w:r>
        <w:rPr>
          <w:spacing w:val="-3"/>
          <w:w w:val="110"/>
        </w:rPr>
        <w:t>upward </w:t>
      </w:r>
      <w:r>
        <w:rPr>
          <w:w w:val="110"/>
        </w:rPr>
        <w:t>revision </w:t>
      </w:r>
      <w:r>
        <w:rPr>
          <w:spacing w:val="-4"/>
          <w:w w:val="110"/>
        </w:rPr>
        <w:t>to </w:t>
      </w:r>
      <w:r>
        <w:rPr>
          <w:w w:val="110"/>
        </w:rPr>
        <w:t>consumer spending prospects, and the lower level of interest </w:t>
      </w:r>
      <w:r>
        <w:rPr>
          <w:spacing w:val="-4"/>
          <w:w w:val="110"/>
        </w:rPr>
        <w:t>rates.</w:t>
      </w:r>
    </w:p>
    <w:p>
      <w:pPr>
        <w:pStyle w:val="BodyText"/>
        <w:spacing w:before="9"/>
        <w:rPr>
          <w:sz w:val="25"/>
        </w:rPr>
      </w:pPr>
    </w:p>
    <w:p>
      <w:pPr>
        <w:pStyle w:val="BodyText"/>
        <w:spacing w:line="292" w:lineRule="auto"/>
        <w:ind w:left="5095" w:right="140"/>
      </w:pPr>
      <w:r>
        <w:rPr>
          <w:w w:val="110"/>
        </w:rPr>
        <w:t>The fan charts depict the uncertainty surrounding the prospects for inflation and output growth and the balance of risks</w:t>
      </w:r>
      <w:r>
        <w:rPr>
          <w:spacing w:val="-20"/>
          <w:w w:val="110"/>
        </w:rPr>
        <w:t> </w:t>
      </w:r>
      <w:r>
        <w:rPr>
          <w:w w:val="110"/>
        </w:rPr>
        <w:t>around</w:t>
      </w:r>
      <w:r>
        <w:rPr>
          <w:spacing w:val="-19"/>
          <w:w w:val="110"/>
        </w:rPr>
        <w:t> </w:t>
      </w:r>
      <w:r>
        <w:rPr>
          <w:w w:val="110"/>
        </w:rPr>
        <w:t>the</w:t>
      </w:r>
      <w:r>
        <w:rPr>
          <w:spacing w:val="-19"/>
          <w:w w:val="110"/>
        </w:rPr>
        <w:t> </w:t>
      </w:r>
      <w:r>
        <w:rPr>
          <w:w w:val="110"/>
        </w:rPr>
        <w:t>most</w:t>
      </w:r>
      <w:r>
        <w:rPr>
          <w:spacing w:val="-19"/>
          <w:w w:val="110"/>
        </w:rPr>
        <w:t> </w:t>
      </w:r>
      <w:r>
        <w:rPr>
          <w:w w:val="110"/>
        </w:rPr>
        <w:t>likely</w:t>
      </w:r>
      <w:r>
        <w:rPr>
          <w:spacing w:val="-19"/>
          <w:w w:val="110"/>
        </w:rPr>
        <w:t> </w:t>
      </w:r>
      <w:r>
        <w:rPr>
          <w:w w:val="110"/>
        </w:rPr>
        <w:t>outcome.</w:t>
      </w:r>
      <w:r>
        <w:rPr>
          <w:spacing w:val="17"/>
          <w:w w:val="110"/>
        </w:rPr>
        <w:t> </w:t>
      </w:r>
      <w:r>
        <w:rPr>
          <w:w w:val="110"/>
        </w:rPr>
        <w:t>The</w:t>
      </w:r>
      <w:r>
        <w:rPr>
          <w:spacing w:val="-19"/>
          <w:w w:val="110"/>
        </w:rPr>
        <w:t> </w:t>
      </w:r>
      <w:r>
        <w:rPr>
          <w:w w:val="110"/>
        </w:rPr>
        <w:t>Committee</w:t>
      </w:r>
      <w:r>
        <w:rPr>
          <w:spacing w:val="-19"/>
          <w:w w:val="110"/>
        </w:rPr>
        <w:t> </w:t>
      </w:r>
      <w:r>
        <w:rPr>
          <w:w w:val="110"/>
        </w:rPr>
        <w:t>judges that</w:t>
      </w:r>
      <w:r>
        <w:rPr>
          <w:spacing w:val="-9"/>
          <w:w w:val="110"/>
        </w:rPr>
        <w:t> </w:t>
      </w:r>
      <w:r>
        <w:rPr>
          <w:w w:val="110"/>
        </w:rPr>
        <w:t>the</w:t>
      </w:r>
      <w:r>
        <w:rPr>
          <w:spacing w:val="-9"/>
          <w:w w:val="110"/>
        </w:rPr>
        <w:t> </w:t>
      </w:r>
      <w:r>
        <w:rPr>
          <w:w w:val="110"/>
        </w:rPr>
        <w:t>risks</w:t>
      </w:r>
      <w:r>
        <w:rPr>
          <w:spacing w:val="-9"/>
          <w:w w:val="110"/>
        </w:rPr>
        <w:t> </w:t>
      </w:r>
      <w:r>
        <w:rPr>
          <w:spacing w:val="-4"/>
          <w:w w:val="110"/>
        </w:rPr>
        <w:t>to</w:t>
      </w:r>
      <w:r>
        <w:rPr>
          <w:spacing w:val="-9"/>
          <w:w w:val="110"/>
        </w:rPr>
        <w:t> </w:t>
      </w:r>
      <w:r>
        <w:rPr>
          <w:w w:val="110"/>
        </w:rPr>
        <w:t>both</w:t>
      </w:r>
      <w:r>
        <w:rPr>
          <w:spacing w:val="-9"/>
          <w:w w:val="110"/>
        </w:rPr>
        <w:t> </w:t>
      </w:r>
      <w:r>
        <w:rPr>
          <w:w w:val="110"/>
        </w:rPr>
        <w:t>output</w:t>
      </w:r>
      <w:r>
        <w:rPr>
          <w:spacing w:val="-9"/>
          <w:w w:val="110"/>
        </w:rPr>
        <w:t> </w:t>
      </w:r>
      <w:r>
        <w:rPr>
          <w:w w:val="110"/>
        </w:rPr>
        <w:t>growth</w:t>
      </w:r>
      <w:r>
        <w:rPr>
          <w:spacing w:val="-8"/>
          <w:w w:val="110"/>
        </w:rPr>
        <w:t> </w:t>
      </w:r>
      <w:r>
        <w:rPr>
          <w:w w:val="110"/>
        </w:rPr>
        <w:t>and</w:t>
      </w:r>
      <w:r>
        <w:rPr>
          <w:spacing w:val="-9"/>
          <w:w w:val="110"/>
        </w:rPr>
        <w:t> </w:t>
      </w:r>
      <w:r>
        <w:rPr>
          <w:w w:val="110"/>
        </w:rPr>
        <w:t>inflation</w:t>
      </w:r>
      <w:r>
        <w:rPr>
          <w:spacing w:val="-9"/>
          <w:w w:val="110"/>
        </w:rPr>
        <w:t> </w:t>
      </w:r>
      <w:r>
        <w:rPr>
          <w:w w:val="110"/>
        </w:rPr>
        <w:t>are</w:t>
      </w:r>
      <w:r>
        <w:rPr>
          <w:spacing w:val="-9"/>
          <w:w w:val="110"/>
        </w:rPr>
        <w:t> </w:t>
      </w:r>
      <w:r>
        <w:rPr>
          <w:spacing w:val="-3"/>
          <w:w w:val="110"/>
        </w:rPr>
        <w:t>weighted </w:t>
      </w:r>
      <w:r>
        <w:rPr>
          <w:spacing w:val="-4"/>
          <w:w w:val="110"/>
        </w:rPr>
        <w:t>to</w:t>
      </w:r>
      <w:r>
        <w:rPr>
          <w:spacing w:val="-18"/>
          <w:w w:val="110"/>
        </w:rPr>
        <w:t> </w:t>
      </w:r>
      <w:r>
        <w:rPr>
          <w:w w:val="110"/>
        </w:rPr>
        <w:t>the</w:t>
      </w:r>
      <w:r>
        <w:rPr>
          <w:spacing w:val="-18"/>
          <w:w w:val="110"/>
        </w:rPr>
        <w:t> </w:t>
      </w:r>
      <w:r>
        <w:rPr>
          <w:w w:val="110"/>
        </w:rPr>
        <w:t>downside.</w:t>
      </w:r>
      <w:r>
        <w:rPr>
          <w:spacing w:val="20"/>
          <w:w w:val="110"/>
        </w:rPr>
        <w:t> </w:t>
      </w:r>
      <w:r>
        <w:rPr>
          <w:w w:val="110"/>
        </w:rPr>
        <w:t>The</w:t>
      </w:r>
      <w:r>
        <w:rPr>
          <w:spacing w:val="-18"/>
          <w:w w:val="110"/>
        </w:rPr>
        <w:t> </w:t>
      </w:r>
      <w:r>
        <w:rPr>
          <w:w w:val="110"/>
        </w:rPr>
        <w:t>largest</w:t>
      </w:r>
      <w:r>
        <w:rPr>
          <w:spacing w:val="-18"/>
          <w:w w:val="110"/>
        </w:rPr>
        <w:t> </w:t>
      </w:r>
      <w:r>
        <w:rPr>
          <w:w w:val="110"/>
        </w:rPr>
        <w:t>risk</w:t>
      </w:r>
      <w:r>
        <w:rPr>
          <w:spacing w:val="-18"/>
          <w:w w:val="110"/>
        </w:rPr>
        <w:t> </w:t>
      </w:r>
      <w:r>
        <w:rPr>
          <w:w w:val="110"/>
        </w:rPr>
        <w:t>is</w:t>
      </w:r>
      <w:r>
        <w:rPr>
          <w:spacing w:val="-17"/>
          <w:w w:val="110"/>
        </w:rPr>
        <w:t> </w:t>
      </w:r>
      <w:r>
        <w:rPr>
          <w:w w:val="110"/>
        </w:rPr>
        <w:t>that</w:t>
      </w:r>
      <w:r>
        <w:rPr>
          <w:spacing w:val="-18"/>
          <w:w w:val="110"/>
        </w:rPr>
        <w:t> </w:t>
      </w:r>
      <w:r>
        <w:rPr>
          <w:w w:val="110"/>
        </w:rPr>
        <w:t>of</w:t>
      </w:r>
      <w:r>
        <w:rPr>
          <w:spacing w:val="-18"/>
          <w:w w:val="110"/>
        </w:rPr>
        <w:t> </w:t>
      </w:r>
      <w:r>
        <w:rPr>
          <w:w w:val="110"/>
        </w:rPr>
        <w:t>a</w:t>
      </w:r>
      <w:r>
        <w:rPr>
          <w:spacing w:val="-18"/>
          <w:w w:val="110"/>
        </w:rPr>
        <w:t> </w:t>
      </w:r>
      <w:r>
        <w:rPr>
          <w:w w:val="110"/>
        </w:rPr>
        <w:t>sharper</w:t>
      </w:r>
      <w:r>
        <w:rPr>
          <w:spacing w:val="-18"/>
          <w:w w:val="110"/>
        </w:rPr>
        <w:t> </w:t>
      </w:r>
      <w:r>
        <w:rPr>
          <w:spacing w:val="-3"/>
          <w:w w:val="110"/>
        </w:rPr>
        <w:t>slowdown </w:t>
      </w:r>
      <w:r>
        <w:rPr>
          <w:w w:val="110"/>
        </w:rPr>
        <w:t>in</w:t>
      </w:r>
      <w:r>
        <w:rPr>
          <w:spacing w:val="-17"/>
          <w:w w:val="110"/>
        </w:rPr>
        <w:t> </w:t>
      </w:r>
      <w:r>
        <w:rPr>
          <w:spacing w:val="-3"/>
          <w:w w:val="110"/>
        </w:rPr>
        <w:t>world</w:t>
      </w:r>
      <w:r>
        <w:rPr>
          <w:spacing w:val="-17"/>
          <w:w w:val="110"/>
        </w:rPr>
        <w:t> </w:t>
      </w:r>
      <w:r>
        <w:rPr>
          <w:w w:val="110"/>
        </w:rPr>
        <w:t>activity</w:t>
      </w:r>
      <w:r>
        <w:rPr>
          <w:spacing w:val="-16"/>
          <w:w w:val="110"/>
        </w:rPr>
        <w:t> </w:t>
      </w:r>
      <w:r>
        <w:rPr>
          <w:w w:val="110"/>
        </w:rPr>
        <w:t>than</w:t>
      </w:r>
      <w:r>
        <w:rPr>
          <w:spacing w:val="-17"/>
          <w:w w:val="110"/>
        </w:rPr>
        <w:t> </w:t>
      </w:r>
      <w:r>
        <w:rPr>
          <w:w w:val="110"/>
        </w:rPr>
        <w:t>embodied</w:t>
      </w:r>
      <w:r>
        <w:rPr>
          <w:spacing w:val="-17"/>
          <w:w w:val="110"/>
        </w:rPr>
        <w:t> </w:t>
      </w:r>
      <w:r>
        <w:rPr>
          <w:w w:val="110"/>
        </w:rPr>
        <w:t>in</w:t>
      </w:r>
      <w:r>
        <w:rPr>
          <w:spacing w:val="-16"/>
          <w:w w:val="110"/>
        </w:rPr>
        <w:t> </w:t>
      </w:r>
      <w:r>
        <w:rPr>
          <w:w w:val="110"/>
        </w:rPr>
        <w:t>the</w:t>
      </w:r>
      <w:r>
        <w:rPr>
          <w:spacing w:val="-17"/>
          <w:w w:val="110"/>
        </w:rPr>
        <w:t> </w:t>
      </w:r>
      <w:r>
        <w:rPr>
          <w:w w:val="110"/>
        </w:rPr>
        <w:t>central</w:t>
      </w:r>
      <w:r>
        <w:rPr>
          <w:spacing w:val="-17"/>
          <w:w w:val="110"/>
        </w:rPr>
        <w:t> </w:t>
      </w:r>
      <w:r>
        <w:rPr>
          <w:w w:val="110"/>
        </w:rPr>
        <w:t>projection,</w:t>
      </w:r>
      <w:r>
        <w:rPr>
          <w:spacing w:val="-16"/>
          <w:w w:val="110"/>
        </w:rPr>
        <w:t> </w:t>
      </w:r>
      <w:r>
        <w:rPr>
          <w:w w:val="110"/>
        </w:rPr>
        <w:t>most likely </w:t>
      </w:r>
      <w:r>
        <w:rPr>
          <w:spacing w:val="-4"/>
          <w:w w:val="110"/>
        </w:rPr>
        <w:t>to </w:t>
      </w:r>
      <w:r>
        <w:rPr>
          <w:w w:val="110"/>
        </w:rPr>
        <w:t>be associated with a deeper and more prolonged downturn in the United </w:t>
      </w:r>
      <w:r>
        <w:rPr>
          <w:spacing w:val="-3"/>
          <w:w w:val="110"/>
        </w:rPr>
        <w:t>States. </w:t>
      </w:r>
      <w:r>
        <w:rPr>
          <w:spacing w:val="-4"/>
          <w:w w:val="110"/>
        </w:rPr>
        <w:t>Weaker </w:t>
      </w:r>
      <w:r>
        <w:rPr>
          <w:spacing w:val="-3"/>
          <w:w w:val="110"/>
        </w:rPr>
        <w:t>world </w:t>
      </w:r>
      <w:r>
        <w:rPr>
          <w:w w:val="110"/>
        </w:rPr>
        <w:t>demand would </w:t>
      </w:r>
      <w:r>
        <w:rPr>
          <w:spacing w:val="-3"/>
          <w:w w:val="110"/>
        </w:rPr>
        <w:t>lower </w:t>
      </w:r>
      <w:r>
        <w:rPr>
          <w:w w:val="110"/>
        </w:rPr>
        <w:t>the demand for UK exports and would reduce global inflationary </w:t>
      </w:r>
      <w:r>
        <w:rPr>
          <w:spacing w:val="-3"/>
          <w:w w:val="110"/>
        </w:rPr>
        <w:t>pressures. </w:t>
      </w:r>
      <w:r>
        <w:rPr>
          <w:w w:val="110"/>
        </w:rPr>
        <w:t>In such a case, asset prices would also </w:t>
      </w:r>
      <w:r>
        <w:rPr>
          <w:spacing w:val="-3"/>
          <w:w w:val="110"/>
        </w:rPr>
        <w:t>tend </w:t>
      </w:r>
      <w:r>
        <w:rPr>
          <w:spacing w:val="-4"/>
          <w:w w:val="110"/>
        </w:rPr>
        <w:t>to </w:t>
      </w:r>
      <w:r>
        <w:rPr>
          <w:w w:val="110"/>
        </w:rPr>
        <w:t>fall, activity in financial markets could contract, and business and consumer confidence in the United Kingdom could</w:t>
      </w:r>
      <w:r>
        <w:rPr>
          <w:spacing w:val="-15"/>
          <w:w w:val="110"/>
        </w:rPr>
        <w:t> </w:t>
      </w:r>
      <w:r>
        <w:rPr>
          <w:w w:val="110"/>
        </w:rPr>
        <w:t>decline</w:t>
      </w:r>
      <w:r>
        <w:rPr>
          <w:spacing w:val="-14"/>
          <w:w w:val="110"/>
        </w:rPr>
        <w:t> </w:t>
      </w:r>
      <w:r>
        <w:rPr>
          <w:spacing w:val="-3"/>
          <w:w w:val="110"/>
        </w:rPr>
        <w:t>significantly,</w:t>
      </w:r>
      <w:r>
        <w:rPr>
          <w:spacing w:val="-14"/>
          <w:w w:val="110"/>
        </w:rPr>
        <w:t> </w:t>
      </w:r>
      <w:r>
        <w:rPr>
          <w:w w:val="110"/>
        </w:rPr>
        <w:t>accentuating</w:t>
      </w:r>
      <w:r>
        <w:rPr>
          <w:spacing w:val="-14"/>
          <w:w w:val="110"/>
        </w:rPr>
        <w:t> </w:t>
      </w:r>
      <w:r>
        <w:rPr>
          <w:w w:val="110"/>
        </w:rPr>
        <w:t>the</w:t>
      </w:r>
      <w:r>
        <w:rPr>
          <w:spacing w:val="-14"/>
          <w:w w:val="110"/>
        </w:rPr>
        <w:t> </w:t>
      </w:r>
      <w:r>
        <w:rPr>
          <w:w w:val="110"/>
        </w:rPr>
        <w:t>fall</w:t>
      </w:r>
      <w:r>
        <w:rPr>
          <w:spacing w:val="-14"/>
          <w:w w:val="110"/>
        </w:rPr>
        <w:t> </w:t>
      </w:r>
      <w:r>
        <w:rPr>
          <w:w w:val="110"/>
        </w:rPr>
        <w:t>in</w:t>
      </w:r>
      <w:r>
        <w:rPr>
          <w:spacing w:val="-14"/>
          <w:w w:val="110"/>
        </w:rPr>
        <w:t> </w:t>
      </w:r>
      <w:r>
        <w:rPr>
          <w:w w:val="110"/>
        </w:rPr>
        <w:t>demand.</w:t>
      </w:r>
    </w:p>
    <w:p>
      <w:pPr>
        <w:pStyle w:val="BodyText"/>
        <w:spacing w:line="292" w:lineRule="auto"/>
        <w:ind w:left="5095" w:right="73"/>
      </w:pPr>
      <w:r>
        <w:rPr>
          <w:w w:val="110"/>
        </w:rPr>
        <w:t>Inflation pressures in the United Kingdom would then fall, although it is likely that the impact would be partly mitigated by a more rapid depreciation of the sterling ERI than in the central projection. Independent of the risk of lower global demand, the Committee judges that there is a risk that private final demand could slow by more than in the central projection. That would also dampen prospects for both output growth and inflation. These downside risks substantially outweigh the upside risk that earnings could be stronger than in the central projection, given the tightness of the labour market.</w:t>
      </w:r>
    </w:p>
    <w:p>
      <w:pPr>
        <w:spacing w:after="0" w:line="292" w:lineRule="auto"/>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spacing w:before="10"/>
        <w:rPr>
          <w:sz w:val="22"/>
        </w:rPr>
      </w:pPr>
    </w:p>
    <w:p>
      <w:pPr>
        <w:pStyle w:val="Heading6"/>
        <w:ind w:left="194"/>
      </w:pPr>
      <w:r>
        <w:rPr>
          <w:color w:val="89C6DC"/>
          <w:w w:val="95"/>
        </w:rPr>
        <w:t>Chart 6.4</w:t>
      </w:r>
    </w:p>
    <w:p>
      <w:pPr>
        <w:spacing w:line="247" w:lineRule="auto" w:before="8"/>
        <w:ind w:left="194" w:right="65" w:firstLine="0"/>
        <w:jc w:val="left"/>
        <w:rPr>
          <w:rFonts w:ascii="Trebuchet MS"/>
          <w:b/>
          <w:sz w:val="20"/>
        </w:rPr>
      </w:pPr>
      <w:r>
        <w:rPr>
          <w:rFonts w:ascii="Trebuchet MS"/>
          <w:b/>
          <w:color w:val="89C6DC"/>
          <w:spacing w:val="-4"/>
          <w:w w:val="87"/>
          <w:sz w:val="20"/>
        </w:rPr>
        <w:t>C</w:t>
      </w:r>
      <w:r>
        <w:rPr>
          <w:rFonts w:ascii="Trebuchet MS"/>
          <w:b/>
          <w:color w:val="89C6DC"/>
          <w:spacing w:val="-1"/>
          <w:w w:val="83"/>
          <w:sz w:val="20"/>
        </w:rPr>
        <w:t>ur</w:t>
      </w:r>
      <w:r>
        <w:rPr>
          <w:rFonts w:ascii="Trebuchet MS"/>
          <w:b/>
          <w:color w:val="89C6DC"/>
          <w:spacing w:val="-4"/>
          <w:w w:val="83"/>
          <w:sz w:val="20"/>
        </w:rPr>
        <w:t>r</w:t>
      </w:r>
      <w:r>
        <w:rPr>
          <w:rFonts w:ascii="Trebuchet MS"/>
          <w:b/>
          <w:color w:val="89C6DC"/>
          <w:spacing w:val="-1"/>
          <w:w w:val="85"/>
          <w:sz w:val="20"/>
        </w:rPr>
        <w:t>en</w:t>
      </w:r>
      <w:r>
        <w:rPr>
          <w:rFonts w:ascii="Trebuchet MS"/>
          <w:b/>
          <w:color w:val="89C6DC"/>
          <w:w w:val="85"/>
          <w:sz w:val="20"/>
        </w:rPr>
        <w:t>t</w:t>
      </w:r>
      <w:r>
        <w:rPr>
          <w:rFonts w:ascii="Trebuchet MS"/>
          <w:b/>
          <w:color w:val="89C6DC"/>
          <w:spacing w:val="6"/>
          <w:sz w:val="20"/>
        </w:rPr>
        <w:t> </w:t>
      </w:r>
      <w:r>
        <w:rPr>
          <w:rFonts w:ascii="Trebuchet MS"/>
          <w:b/>
          <w:color w:val="89C6DC"/>
          <w:spacing w:val="-1"/>
          <w:w w:val="88"/>
          <w:sz w:val="20"/>
        </w:rPr>
        <w:t>p</w:t>
      </w:r>
      <w:r>
        <w:rPr>
          <w:rFonts w:ascii="Trebuchet MS"/>
          <w:b/>
          <w:color w:val="89C6DC"/>
          <w:spacing w:val="-2"/>
          <w:w w:val="88"/>
          <w:sz w:val="20"/>
        </w:rPr>
        <w:t>r</w:t>
      </w:r>
      <w:r>
        <w:rPr>
          <w:rFonts w:ascii="Trebuchet MS"/>
          <w:b/>
          <w:color w:val="89C6DC"/>
          <w:spacing w:val="-1"/>
          <w:w w:val="85"/>
          <w:sz w:val="20"/>
        </w:rPr>
        <w:t>ojectio</w:t>
      </w:r>
      <w:r>
        <w:rPr>
          <w:rFonts w:ascii="Trebuchet MS"/>
          <w:b/>
          <w:color w:val="89C6DC"/>
          <w:w w:val="85"/>
          <w:sz w:val="20"/>
        </w:rPr>
        <w:t>n</w:t>
      </w:r>
      <w:r>
        <w:rPr>
          <w:rFonts w:ascii="Trebuchet MS"/>
          <w:b/>
          <w:color w:val="89C6DC"/>
          <w:spacing w:val="6"/>
          <w:sz w:val="20"/>
        </w:rPr>
        <w:t> </w:t>
      </w:r>
      <w:r>
        <w:rPr>
          <w:rFonts w:ascii="Trebuchet MS"/>
          <w:b/>
          <w:color w:val="89C6DC"/>
          <w:spacing w:val="-1"/>
          <w:w w:val="83"/>
          <w:sz w:val="20"/>
        </w:rPr>
        <w:t>fo</w:t>
      </w:r>
      <w:r>
        <w:rPr>
          <w:rFonts w:ascii="Trebuchet MS"/>
          <w:b/>
          <w:color w:val="89C6DC"/>
          <w:w w:val="83"/>
          <w:sz w:val="20"/>
        </w:rPr>
        <w:t>r</w:t>
      </w:r>
      <w:r>
        <w:rPr>
          <w:rFonts w:ascii="Trebuchet MS"/>
          <w:b/>
          <w:color w:val="89C6DC"/>
          <w:spacing w:val="6"/>
          <w:sz w:val="20"/>
        </w:rPr>
        <w:t> </w:t>
      </w:r>
      <w:r>
        <w:rPr>
          <w:rFonts w:ascii="Trebuchet MS"/>
          <w:b/>
          <w:color w:val="89C6DC"/>
          <w:spacing w:val="-1"/>
          <w:w w:val="86"/>
          <w:sz w:val="20"/>
        </w:rPr>
        <w:t>th</w:t>
      </w:r>
      <w:r>
        <w:rPr>
          <w:rFonts w:ascii="Trebuchet MS"/>
          <w:b/>
          <w:color w:val="89C6DC"/>
          <w:w w:val="86"/>
          <w:sz w:val="20"/>
        </w:rPr>
        <w:t>e</w:t>
      </w:r>
      <w:r>
        <w:rPr>
          <w:rFonts w:ascii="Trebuchet MS"/>
          <w:b/>
          <w:color w:val="89C6DC"/>
          <w:spacing w:val="6"/>
          <w:sz w:val="20"/>
        </w:rPr>
        <w:t> </w:t>
      </w:r>
      <w:r>
        <w:rPr>
          <w:rFonts w:ascii="Trebuchet MS"/>
          <w:b/>
          <w:color w:val="89C6DC"/>
          <w:spacing w:val="-1"/>
          <w:w w:val="87"/>
          <w:sz w:val="20"/>
        </w:rPr>
        <w:t>pe</w:t>
      </w:r>
      <w:r>
        <w:rPr>
          <w:rFonts w:ascii="Trebuchet MS"/>
          <w:b/>
          <w:color w:val="89C6DC"/>
          <w:spacing w:val="-3"/>
          <w:w w:val="87"/>
          <w:sz w:val="20"/>
        </w:rPr>
        <w:t>r</w:t>
      </w:r>
      <w:r>
        <w:rPr>
          <w:rFonts w:ascii="Trebuchet MS"/>
          <w:b/>
          <w:color w:val="89C6DC"/>
          <w:spacing w:val="-1"/>
          <w:w w:val="90"/>
          <w:sz w:val="20"/>
        </w:rPr>
        <w:t>centag</w:t>
      </w:r>
      <w:r>
        <w:rPr>
          <w:rFonts w:ascii="Trebuchet MS"/>
          <w:b/>
          <w:color w:val="89C6DC"/>
          <w:w w:val="90"/>
          <w:sz w:val="20"/>
        </w:rPr>
        <w:t>e</w:t>
      </w:r>
      <w:r>
        <w:rPr>
          <w:rFonts w:ascii="Trebuchet MS"/>
          <w:b/>
          <w:color w:val="89C6DC"/>
          <w:spacing w:val="6"/>
          <w:sz w:val="20"/>
        </w:rPr>
        <w:t> </w:t>
      </w:r>
      <w:r>
        <w:rPr>
          <w:rFonts w:ascii="Trebuchet MS"/>
          <w:b/>
          <w:color w:val="89C6DC"/>
          <w:spacing w:val="-1"/>
          <w:w w:val="84"/>
          <w:sz w:val="20"/>
        </w:rPr>
        <w:t>inc</w:t>
      </w:r>
      <w:r>
        <w:rPr>
          <w:rFonts w:ascii="Trebuchet MS"/>
          <w:b/>
          <w:color w:val="89C6DC"/>
          <w:spacing w:val="-4"/>
          <w:w w:val="84"/>
          <w:sz w:val="20"/>
        </w:rPr>
        <w:t>r</w:t>
      </w:r>
      <w:r>
        <w:rPr>
          <w:rFonts w:ascii="Trebuchet MS"/>
          <w:b/>
          <w:color w:val="89C6DC"/>
          <w:spacing w:val="-1"/>
          <w:w w:val="92"/>
          <w:sz w:val="20"/>
        </w:rPr>
        <w:t>ease </w:t>
      </w:r>
      <w:r>
        <w:rPr>
          <w:rFonts w:ascii="Trebuchet MS"/>
          <w:b/>
          <w:color w:val="89C6DC"/>
          <w:spacing w:val="-1"/>
          <w:w w:val="88"/>
          <w:sz w:val="20"/>
        </w:rPr>
        <w:t>i</w:t>
      </w:r>
      <w:r>
        <w:rPr>
          <w:rFonts w:ascii="Trebuchet MS"/>
          <w:b/>
          <w:color w:val="89C6DC"/>
          <w:w w:val="88"/>
          <w:sz w:val="20"/>
        </w:rPr>
        <w:t>n</w:t>
      </w:r>
      <w:r>
        <w:rPr>
          <w:rFonts w:ascii="Trebuchet MS"/>
          <w:b/>
          <w:color w:val="89C6DC"/>
          <w:spacing w:val="6"/>
          <w:sz w:val="20"/>
        </w:rPr>
        <w:t> </w:t>
      </w:r>
      <w:r>
        <w:rPr>
          <w:rFonts w:ascii="Trebuchet MS"/>
          <w:b/>
          <w:color w:val="89C6DC"/>
          <w:spacing w:val="-1"/>
          <w:w w:val="95"/>
          <w:sz w:val="20"/>
        </w:rPr>
        <w:t>R</w:t>
      </w:r>
      <w:r>
        <w:rPr>
          <w:rFonts w:ascii="Trebuchet MS"/>
          <w:b/>
          <w:color w:val="89C6DC"/>
          <w:spacing w:val="-3"/>
          <w:w w:val="95"/>
          <w:sz w:val="20"/>
        </w:rPr>
        <w:t>P</w:t>
      </w:r>
      <w:r>
        <w:rPr>
          <w:rFonts w:ascii="Trebuchet MS"/>
          <w:b/>
          <w:color w:val="89C6DC"/>
          <w:spacing w:val="-1"/>
          <w:w w:val="97"/>
          <w:sz w:val="20"/>
        </w:rPr>
        <w:t>I</w:t>
      </w:r>
      <w:r>
        <w:rPr>
          <w:rFonts w:ascii="Trebuchet MS"/>
          <w:b/>
          <w:color w:val="89C6DC"/>
          <w:w w:val="97"/>
          <w:sz w:val="20"/>
        </w:rPr>
        <w:t>X</w:t>
      </w:r>
      <w:r>
        <w:rPr>
          <w:rFonts w:ascii="Trebuchet MS"/>
          <w:b/>
          <w:color w:val="89C6DC"/>
          <w:spacing w:val="6"/>
          <w:sz w:val="20"/>
        </w:rPr>
        <w:t> </w:t>
      </w:r>
      <w:r>
        <w:rPr>
          <w:rFonts w:ascii="Trebuchet MS"/>
          <w:b/>
          <w:color w:val="89C6DC"/>
          <w:spacing w:val="-1"/>
          <w:w w:val="88"/>
          <w:sz w:val="20"/>
        </w:rPr>
        <w:t>i</w:t>
      </w:r>
      <w:r>
        <w:rPr>
          <w:rFonts w:ascii="Trebuchet MS"/>
          <w:b/>
          <w:color w:val="89C6DC"/>
          <w:w w:val="88"/>
          <w:sz w:val="20"/>
        </w:rPr>
        <w:t>n</w:t>
      </w:r>
      <w:r>
        <w:rPr>
          <w:rFonts w:ascii="Trebuchet MS"/>
          <w:b/>
          <w:color w:val="89C6DC"/>
          <w:spacing w:val="6"/>
          <w:sz w:val="20"/>
        </w:rPr>
        <w:t> </w:t>
      </w:r>
      <w:r>
        <w:rPr>
          <w:rFonts w:ascii="Trebuchet MS"/>
          <w:b/>
          <w:color w:val="89C6DC"/>
          <w:spacing w:val="-1"/>
          <w:w w:val="86"/>
          <w:sz w:val="20"/>
        </w:rPr>
        <w:t>th</w:t>
      </w:r>
      <w:r>
        <w:rPr>
          <w:rFonts w:ascii="Trebuchet MS"/>
          <w:b/>
          <w:color w:val="89C6DC"/>
          <w:w w:val="86"/>
          <w:sz w:val="20"/>
        </w:rPr>
        <w:t>e</w:t>
      </w:r>
      <w:r>
        <w:rPr>
          <w:rFonts w:ascii="Trebuchet MS"/>
          <w:b/>
          <w:color w:val="89C6DC"/>
          <w:spacing w:val="6"/>
          <w:sz w:val="20"/>
        </w:rPr>
        <w:t> </w:t>
      </w:r>
      <w:r>
        <w:rPr>
          <w:rFonts w:ascii="Trebuchet MS"/>
          <w:b/>
          <w:color w:val="89C6DC"/>
          <w:spacing w:val="-2"/>
          <w:w w:val="93"/>
          <w:sz w:val="20"/>
        </w:rPr>
        <w:t>y</w:t>
      </w:r>
      <w:r>
        <w:rPr>
          <w:rFonts w:ascii="Trebuchet MS"/>
          <w:b/>
          <w:color w:val="89C6DC"/>
          <w:spacing w:val="-1"/>
          <w:w w:val="87"/>
          <w:sz w:val="20"/>
        </w:rPr>
        <w:t>ea</w:t>
      </w:r>
      <w:r>
        <w:rPr>
          <w:rFonts w:ascii="Trebuchet MS"/>
          <w:b/>
          <w:color w:val="89C6DC"/>
          <w:w w:val="87"/>
          <w:sz w:val="20"/>
        </w:rPr>
        <w:t>r</w:t>
      </w:r>
      <w:r>
        <w:rPr>
          <w:rFonts w:ascii="Trebuchet MS"/>
          <w:b/>
          <w:color w:val="89C6DC"/>
          <w:spacing w:val="6"/>
          <w:sz w:val="20"/>
        </w:rPr>
        <w:t> </w:t>
      </w:r>
      <w:r>
        <w:rPr>
          <w:rFonts w:ascii="Trebuchet MS"/>
          <w:b/>
          <w:color w:val="89C6DC"/>
          <w:spacing w:val="-1"/>
          <w:w w:val="85"/>
          <w:sz w:val="20"/>
        </w:rPr>
        <w:t>t</w:t>
      </w:r>
      <w:r>
        <w:rPr>
          <w:rFonts w:ascii="Trebuchet MS"/>
          <w:b/>
          <w:color w:val="89C6DC"/>
          <w:w w:val="85"/>
          <w:sz w:val="20"/>
        </w:rPr>
        <w:t>o</w:t>
      </w:r>
      <w:r>
        <w:rPr>
          <w:rFonts w:ascii="Trebuchet MS"/>
          <w:b/>
          <w:color w:val="89C6DC"/>
          <w:spacing w:val="6"/>
          <w:sz w:val="20"/>
        </w:rPr>
        <w:t> </w:t>
      </w:r>
      <w:r>
        <w:rPr>
          <w:rFonts w:ascii="Trebuchet MS"/>
          <w:b/>
          <w:smallCaps/>
          <w:color w:val="89C6DC"/>
          <w:spacing w:val="-1"/>
          <w:w w:val="91"/>
          <w:sz w:val="20"/>
        </w:rPr>
        <w:t>200</w:t>
      </w:r>
      <w:r>
        <w:rPr>
          <w:rFonts w:ascii="Trebuchet MS"/>
          <w:b/>
          <w:smallCaps/>
          <w:color w:val="89C6DC"/>
          <w:w w:val="91"/>
          <w:sz w:val="20"/>
        </w:rPr>
        <w:t>3</w:t>
      </w:r>
      <w:r>
        <w:rPr>
          <w:rFonts w:ascii="Trebuchet MS"/>
          <w:b/>
          <w:smallCaps w:val="0"/>
          <w:color w:val="89C6DC"/>
          <w:spacing w:val="6"/>
          <w:sz w:val="20"/>
        </w:rPr>
        <w:t> </w:t>
      </w:r>
      <w:r>
        <w:rPr>
          <w:rFonts w:ascii="Trebuchet MS"/>
          <w:b/>
          <w:smallCaps/>
          <w:color w:val="89C6DC"/>
          <w:spacing w:val="-1"/>
          <w:w w:val="85"/>
          <w:sz w:val="20"/>
        </w:rPr>
        <w:t>Q1</w:t>
      </w:r>
    </w:p>
    <w:p>
      <w:pPr>
        <w:spacing w:line="111" w:lineRule="exact" w:before="75"/>
        <w:ind w:left="2915" w:right="0" w:firstLine="0"/>
        <w:jc w:val="left"/>
        <w:rPr>
          <w:sz w:val="12"/>
        </w:rPr>
      </w:pPr>
      <w:r>
        <w:rPr>
          <w:w w:val="105"/>
          <w:sz w:val="12"/>
        </w:rPr>
        <w:t>Probability, per cent (a)</w:t>
      </w:r>
    </w:p>
    <w:p>
      <w:pPr>
        <w:spacing w:line="111" w:lineRule="exact" w:before="0"/>
        <w:ind w:left="4165" w:right="0" w:firstLine="0"/>
        <w:jc w:val="left"/>
        <w:rPr>
          <w:sz w:val="12"/>
        </w:rPr>
      </w:pPr>
      <w:r>
        <w:rPr/>
        <w:pict>
          <v:line style="position:absolute;mso-position-horizontal-relative:page;mso-position-vertical-relative:paragraph;z-index:16386560" from="45.505001pt,2.725855pt" to="41.172001pt,2.725855pt" stroked="true" strokeweight=".5pt" strokecolor="#000000">
            <v:stroke dashstyle="solid"/>
            <w10:wrap type="none"/>
          </v:line>
        </w:pict>
      </w:r>
      <w:r>
        <w:rPr/>
        <w:pict>
          <v:line style="position:absolute;mso-position-horizontal-relative:page;mso-position-vertical-relative:paragraph;z-index:16389632" from="238.123001pt,2.951855pt" to="233.789001pt,2.951855pt" stroked="true" strokeweight=".5pt" strokecolor="#000000">
            <v:stroke dashstyle="solid"/>
            <w10:wrap type="none"/>
          </v:line>
        </w:pict>
      </w:r>
      <w:r>
        <w:rPr>
          <w:w w:val="121"/>
          <w:sz w:val="12"/>
        </w:rPr>
        <w:t>6</w:t>
      </w:r>
    </w:p>
    <w:p>
      <w:pPr>
        <w:pStyle w:val="BodyText"/>
        <w:spacing w:before="10"/>
        <w:rPr>
          <w:sz w:val="22"/>
        </w:rPr>
      </w:pPr>
      <w:r>
        <w:rPr/>
        <w:br w:type="column"/>
      </w:r>
      <w:r>
        <w:rPr>
          <w:sz w:val="22"/>
        </w:rPr>
      </w:r>
    </w:p>
    <w:p>
      <w:pPr>
        <w:pStyle w:val="Heading6"/>
        <w:ind w:left="194"/>
      </w:pPr>
      <w:r>
        <w:rPr>
          <w:color w:val="89C6DC"/>
          <w:w w:val="95"/>
        </w:rPr>
        <w:t>Chart 6.5</w:t>
      </w:r>
    </w:p>
    <w:p>
      <w:pPr>
        <w:spacing w:line="247" w:lineRule="auto" w:before="8"/>
        <w:ind w:left="194" w:right="1368" w:firstLine="0"/>
        <w:jc w:val="left"/>
        <w:rPr>
          <w:rFonts w:ascii="Trebuchet MS"/>
          <w:b/>
          <w:sz w:val="20"/>
        </w:rPr>
      </w:pPr>
      <w:r>
        <w:rPr>
          <w:rFonts w:ascii="Trebuchet MS"/>
          <w:b/>
          <w:color w:val="89C6DC"/>
          <w:spacing w:val="-7"/>
          <w:w w:val="93"/>
          <w:sz w:val="20"/>
        </w:rPr>
        <w:t>N</w:t>
      </w:r>
      <w:r>
        <w:rPr>
          <w:rFonts w:ascii="Trebuchet MS"/>
          <w:b/>
          <w:color w:val="89C6DC"/>
          <w:spacing w:val="-3"/>
          <w:w w:val="91"/>
          <w:sz w:val="20"/>
        </w:rPr>
        <w:t>o</w:t>
      </w:r>
      <w:r>
        <w:rPr>
          <w:rFonts w:ascii="Trebuchet MS"/>
          <w:b/>
          <w:color w:val="89C6DC"/>
          <w:spacing w:val="-2"/>
          <w:w w:val="91"/>
          <w:sz w:val="20"/>
        </w:rPr>
        <w:t>v</w:t>
      </w:r>
      <w:r>
        <w:rPr>
          <w:rFonts w:ascii="Trebuchet MS"/>
          <w:b/>
          <w:color w:val="89C6DC"/>
          <w:spacing w:val="-1"/>
          <w:w w:val="88"/>
          <w:sz w:val="20"/>
        </w:rPr>
        <w:t>embe</w:t>
      </w:r>
      <w:r>
        <w:rPr>
          <w:rFonts w:ascii="Trebuchet MS"/>
          <w:b/>
          <w:color w:val="89C6DC"/>
          <w:w w:val="88"/>
          <w:sz w:val="20"/>
        </w:rPr>
        <w:t>r</w:t>
      </w:r>
      <w:r>
        <w:rPr>
          <w:rFonts w:ascii="Trebuchet MS"/>
          <w:b/>
          <w:color w:val="89C6DC"/>
          <w:spacing w:val="6"/>
          <w:sz w:val="20"/>
        </w:rPr>
        <w:t> </w:t>
      </w:r>
      <w:r>
        <w:rPr>
          <w:rFonts w:ascii="Trebuchet MS"/>
          <w:b/>
          <w:color w:val="89C6DC"/>
          <w:spacing w:val="-1"/>
          <w:w w:val="88"/>
          <w:sz w:val="20"/>
        </w:rPr>
        <w:t>p</w:t>
      </w:r>
      <w:r>
        <w:rPr>
          <w:rFonts w:ascii="Trebuchet MS"/>
          <w:b/>
          <w:color w:val="89C6DC"/>
          <w:spacing w:val="-2"/>
          <w:w w:val="88"/>
          <w:sz w:val="20"/>
        </w:rPr>
        <w:t>r</w:t>
      </w:r>
      <w:r>
        <w:rPr>
          <w:rFonts w:ascii="Trebuchet MS"/>
          <w:b/>
          <w:color w:val="89C6DC"/>
          <w:spacing w:val="-1"/>
          <w:w w:val="85"/>
          <w:sz w:val="20"/>
        </w:rPr>
        <w:t>ojectio</w:t>
      </w:r>
      <w:r>
        <w:rPr>
          <w:rFonts w:ascii="Trebuchet MS"/>
          <w:b/>
          <w:color w:val="89C6DC"/>
          <w:w w:val="85"/>
          <w:sz w:val="20"/>
        </w:rPr>
        <w:t>n</w:t>
      </w:r>
      <w:r>
        <w:rPr>
          <w:rFonts w:ascii="Trebuchet MS"/>
          <w:b/>
          <w:color w:val="89C6DC"/>
          <w:spacing w:val="6"/>
          <w:sz w:val="20"/>
        </w:rPr>
        <w:t> </w:t>
      </w:r>
      <w:r>
        <w:rPr>
          <w:rFonts w:ascii="Trebuchet MS"/>
          <w:b/>
          <w:color w:val="89C6DC"/>
          <w:spacing w:val="-1"/>
          <w:w w:val="83"/>
          <w:sz w:val="20"/>
        </w:rPr>
        <w:t>fo</w:t>
      </w:r>
      <w:r>
        <w:rPr>
          <w:rFonts w:ascii="Trebuchet MS"/>
          <w:b/>
          <w:color w:val="89C6DC"/>
          <w:w w:val="83"/>
          <w:sz w:val="20"/>
        </w:rPr>
        <w:t>r</w:t>
      </w:r>
      <w:r>
        <w:rPr>
          <w:rFonts w:ascii="Trebuchet MS"/>
          <w:b/>
          <w:color w:val="89C6DC"/>
          <w:spacing w:val="6"/>
          <w:sz w:val="20"/>
        </w:rPr>
        <w:t> </w:t>
      </w:r>
      <w:r>
        <w:rPr>
          <w:rFonts w:ascii="Trebuchet MS"/>
          <w:b/>
          <w:color w:val="89C6DC"/>
          <w:spacing w:val="-1"/>
          <w:w w:val="86"/>
          <w:sz w:val="20"/>
        </w:rPr>
        <w:t>th</w:t>
      </w:r>
      <w:r>
        <w:rPr>
          <w:rFonts w:ascii="Trebuchet MS"/>
          <w:b/>
          <w:color w:val="89C6DC"/>
          <w:w w:val="86"/>
          <w:sz w:val="20"/>
        </w:rPr>
        <w:t>e</w:t>
      </w:r>
      <w:r>
        <w:rPr>
          <w:rFonts w:ascii="Trebuchet MS"/>
          <w:b/>
          <w:color w:val="89C6DC"/>
          <w:spacing w:val="6"/>
          <w:sz w:val="20"/>
        </w:rPr>
        <w:t> </w:t>
      </w:r>
      <w:r>
        <w:rPr>
          <w:rFonts w:ascii="Trebuchet MS"/>
          <w:b/>
          <w:color w:val="89C6DC"/>
          <w:spacing w:val="-1"/>
          <w:w w:val="87"/>
          <w:sz w:val="20"/>
        </w:rPr>
        <w:t>pe</w:t>
      </w:r>
      <w:r>
        <w:rPr>
          <w:rFonts w:ascii="Trebuchet MS"/>
          <w:b/>
          <w:color w:val="89C6DC"/>
          <w:spacing w:val="-3"/>
          <w:w w:val="87"/>
          <w:sz w:val="20"/>
        </w:rPr>
        <w:t>r</w:t>
      </w:r>
      <w:r>
        <w:rPr>
          <w:rFonts w:ascii="Trebuchet MS"/>
          <w:b/>
          <w:color w:val="89C6DC"/>
          <w:spacing w:val="-1"/>
          <w:w w:val="90"/>
          <w:sz w:val="20"/>
        </w:rPr>
        <w:t>centag</w:t>
      </w:r>
      <w:r>
        <w:rPr>
          <w:rFonts w:ascii="Trebuchet MS"/>
          <w:b/>
          <w:color w:val="89C6DC"/>
          <w:w w:val="90"/>
          <w:sz w:val="20"/>
        </w:rPr>
        <w:t>e</w:t>
      </w:r>
      <w:r>
        <w:rPr>
          <w:rFonts w:ascii="Trebuchet MS"/>
          <w:b/>
          <w:color w:val="89C6DC"/>
          <w:spacing w:val="6"/>
          <w:sz w:val="20"/>
        </w:rPr>
        <w:t> </w:t>
      </w:r>
      <w:r>
        <w:rPr>
          <w:rFonts w:ascii="Trebuchet MS"/>
          <w:b/>
          <w:color w:val="89C6DC"/>
          <w:spacing w:val="-1"/>
          <w:w w:val="84"/>
          <w:sz w:val="20"/>
        </w:rPr>
        <w:t>inc</w:t>
      </w:r>
      <w:r>
        <w:rPr>
          <w:rFonts w:ascii="Trebuchet MS"/>
          <w:b/>
          <w:color w:val="89C6DC"/>
          <w:spacing w:val="-4"/>
          <w:w w:val="84"/>
          <w:sz w:val="20"/>
        </w:rPr>
        <w:t>r</w:t>
      </w:r>
      <w:r>
        <w:rPr>
          <w:rFonts w:ascii="Trebuchet MS"/>
          <w:b/>
          <w:color w:val="89C6DC"/>
          <w:spacing w:val="-1"/>
          <w:w w:val="92"/>
          <w:sz w:val="20"/>
        </w:rPr>
        <w:t>ease </w:t>
      </w:r>
      <w:r>
        <w:rPr>
          <w:rFonts w:ascii="Trebuchet MS"/>
          <w:b/>
          <w:color w:val="89C6DC"/>
          <w:spacing w:val="-1"/>
          <w:w w:val="88"/>
          <w:sz w:val="20"/>
        </w:rPr>
        <w:t>i</w:t>
      </w:r>
      <w:r>
        <w:rPr>
          <w:rFonts w:ascii="Trebuchet MS"/>
          <w:b/>
          <w:color w:val="89C6DC"/>
          <w:w w:val="88"/>
          <w:sz w:val="20"/>
        </w:rPr>
        <w:t>n</w:t>
      </w:r>
      <w:r>
        <w:rPr>
          <w:rFonts w:ascii="Trebuchet MS"/>
          <w:b/>
          <w:color w:val="89C6DC"/>
          <w:spacing w:val="6"/>
          <w:sz w:val="20"/>
        </w:rPr>
        <w:t> </w:t>
      </w:r>
      <w:r>
        <w:rPr>
          <w:rFonts w:ascii="Trebuchet MS"/>
          <w:b/>
          <w:color w:val="89C6DC"/>
          <w:spacing w:val="-1"/>
          <w:w w:val="95"/>
          <w:sz w:val="20"/>
        </w:rPr>
        <w:t>R</w:t>
      </w:r>
      <w:r>
        <w:rPr>
          <w:rFonts w:ascii="Trebuchet MS"/>
          <w:b/>
          <w:color w:val="89C6DC"/>
          <w:spacing w:val="-3"/>
          <w:w w:val="95"/>
          <w:sz w:val="20"/>
        </w:rPr>
        <w:t>P</w:t>
      </w:r>
      <w:r>
        <w:rPr>
          <w:rFonts w:ascii="Trebuchet MS"/>
          <w:b/>
          <w:color w:val="89C6DC"/>
          <w:spacing w:val="-1"/>
          <w:w w:val="97"/>
          <w:sz w:val="20"/>
        </w:rPr>
        <w:t>I</w:t>
      </w:r>
      <w:r>
        <w:rPr>
          <w:rFonts w:ascii="Trebuchet MS"/>
          <w:b/>
          <w:color w:val="89C6DC"/>
          <w:w w:val="97"/>
          <w:sz w:val="20"/>
        </w:rPr>
        <w:t>X</w:t>
      </w:r>
      <w:r>
        <w:rPr>
          <w:rFonts w:ascii="Trebuchet MS"/>
          <w:b/>
          <w:color w:val="89C6DC"/>
          <w:spacing w:val="6"/>
          <w:sz w:val="20"/>
        </w:rPr>
        <w:t> </w:t>
      </w:r>
      <w:r>
        <w:rPr>
          <w:rFonts w:ascii="Trebuchet MS"/>
          <w:b/>
          <w:color w:val="89C6DC"/>
          <w:spacing w:val="-1"/>
          <w:w w:val="88"/>
          <w:sz w:val="20"/>
        </w:rPr>
        <w:t>i</w:t>
      </w:r>
      <w:r>
        <w:rPr>
          <w:rFonts w:ascii="Trebuchet MS"/>
          <w:b/>
          <w:color w:val="89C6DC"/>
          <w:w w:val="88"/>
          <w:sz w:val="20"/>
        </w:rPr>
        <w:t>n</w:t>
      </w:r>
      <w:r>
        <w:rPr>
          <w:rFonts w:ascii="Trebuchet MS"/>
          <w:b/>
          <w:color w:val="89C6DC"/>
          <w:spacing w:val="6"/>
          <w:sz w:val="20"/>
        </w:rPr>
        <w:t> </w:t>
      </w:r>
      <w:r>
        <w:rPr>
          <w:rFonts w:ascii="Trebuchet MS"/>
          <w:b/>
          <w:color w:val="89C6DC"/>
          <w:spacing w:val="-1"/>
          <w:w w:val="86"/>
          <w:sz w:val="20"/>
        </w:rPr>
        <w:t>th</w:t>
      </w:r>
      <w:r>
        <w:rPr>
          <w:rFonts w:ascii="Trebuchet MS"/>
          <w:b/>
          <w:color w:val="89C6DC"/>
          <w:w w:val="86"/>
          <w:sz w:val="20"/>
        </w:rPr>
        <w:t>e</w:t>
      </w:r>
      <w:r>
        <w:rPr>
          <w:rFonts w:ascii="Trebuchet MS"/>
          <w:b/>
          <w:color w:val="89C6DC"/>
          <w:spacing w:val="6"/>
          <w:sz w:val="20"/>
        </w:rPr>
        <w:t> </w:t>
      </w:r>
      <w:r>
        <w:rPr>
          <w:rFonts w:ascii="Trebuchet MS"/>
          <w:b/>
          <w:color w:val="89C6DC"/>
          <w:spacing w:val="-2"/>
          <w:w w:val="93"/>
          <w:sz w:val="20"/>
        </w:rPr>
        <w:t>y</w:t>
      </w:r>
      <w:r>
        <w:rPr>
          <w:rFonts w:ascii="Trebuchet MS"/>
          <w:b/>
          <w:color w:val="89C6DC"/>
          <w:spacing w:val="-1"/>
          <w:w w:val="87"/>
          <w:sz w:val="20"/>
        </w:rPr>
        <w:t>ea</w:t>
      </w:r>
      <w:r>
        <w:rPr>
          <w:rFonts w:ascii="Trebuchet MS"/>
          <w:b/>
          <w:color w:val="89C6DC"/>
          <w:w w:val="87"/>
          <w:sz w:val="20"/>
        </w:rPr>
        <w:t>r</w:t>
      </w:r>
      <w:r>
        <w:rPr>
          <w:rFonts w:ascii="Trebuchet MS"/>
          <w:b/>
          <w:color w:val="89C6DC"/>
          <w:spacing w:val="6"/>
          <w:sz w:val="20"/>
        </w:rPr>
        <w:t> </w:t>
      </w:r>
      <w:r>
        <w:rPr>
          <w:rFonts w:ascii="Trebuchet MS"/>
          <w:b/>
          <w:color w:val="89C6DC"/>
          <w:spacing w:val="-1"/>
          <w:w w:val="85"/>
          <w:sz w:val="20"/>
        </w:rPr>
        <w:t>t</w:t>
      </w:r>
      <w:r>
        <w:rPr>
          <w:rFonts w:ascii="Trebuchet MS"/>
          <w:b/>
          <w:color w:val="89C6DC"/>
          <w:w w:val="85"/>
          <w:sz w:val="20"/>
        </w:rPr>
        <w:t>o</w:t>
      </w:r>
      <w:r>
        <w:rPr>
          <w:rFonts w:ascii="Trebuchet MS"/>
          <w:b/>
          <w:color w:val="89C6DC"/>
          <w:spacing w:val="6"/>
          <w:sz w:val="20"/>
        </w:rPr>
        <w:t> </w:t>
      </w:r>
      <w:r>
        <w:rPr>
          <w:rFonts w:ascii="Trebuchet MS"/>
          <w:b/>
          <w:smallCaps/>
          <w:color w:val="89C6DC"/>
          <w:spacing w:val="-1"/>
          <w:w w:val="91"/>
          <w:sz w:val="20"/>
        </w:rPr>
        <w:t>200</w:t>
      </w:r>
      <w:r>
        <w:rPr>
          <w:rFonts w:ascii="Trebuchet MS"/>
          <w:b/>
          <w:smallCaps/>
          <w:color w:val="89C6DC"/>
          <w:w w:val="91"/>
          <w:sz w:val="20"/>
        </w:rPr>
        <w:t>2</w:t>
      </w:r>
      <w:r>
        <w:rPr>
          <w:rFonts w:ascii="Trebuchet MS"/>
          <w:b/>
          <w:smallCaps w:val="0"/>
          <w:color w:val="89C6DC"/>
          <w:spacing w:val="6"/>
          <w:sz w:val="20"/>
        </w:rPr>
        <w:t> </w:t>
      </w:r>
      <w:r>
        <w:rPr>
          <w:rFonts w:ascii="Trebuchet MS"/>
          <w:b/>
          <w:smallCaps w:val="0"/>
          <w:color w:val="89C6DC"/>
          <w:spacing w:val="-1"/>
          <w:w w:val="92"/>
          <w:sz w:val="20"/>
        </w:rPr>
        <w:t>Q4</w:t>
      </w:r>
    </w:p>
    <w:p>
      <w:pPr>
        <w:spacing w:line="113" w:lineRule="exact" w:before="71"/>
        <w:ind w:left="2905" w:right="0" w:firstLine="0"/>
        <w:jc w:val="left"/>
        <w:rPr>
          <w:sz w:val="12"/>
        </w:rPr>
      </w:pPr>
      <w:r>
        <w:rPr>
          <w:w w:val="105"/>
          <w:sz w:val="12"/>
        </w:rPr>
        <w:t>Probability, per cent (a)</w:t>
      </w:r>
    </w:p>
    <w:p>
      <w:pPr>
        <w:spacing w:line="113" w:lineRule="exact" w:before="0"/>
        <w:ind w:left="4171" w:right="0" w:firstLine="0"/>
        <w:jc w:val="left"/>
        <w:rPr>
          <w:sz w:val="12"/>
        </w:rPr>
      </w:pPr>
      <w:r>
        <w:rPr/>
        <w:pict>
          <v:line style="position:absolute;mso-position-horizontal-relative:page;mso-position-vertical-relative:paragraph;z-index:16381440" from="285.583pt,2.120451pt" to="281.25pt,2.120451pt" stroked="true" strokeweight=".5pt" strokecolor="#000000">
            <v:stroke dashstyle="solid"/>
            <w10:wrap type="none"/>
          </v:line>
        </w:pict>
      </w:r>
      <w:r>
        <w:rPr/>
        <w:pict>
          <v:line style="position:absolute;mso-position-horizontal-relative:page;mso-position-vertical-relative:paragraph;z-index:16381952" from="477.579009pt,2.134451pt" to="473.247009pt,2.134451pt" stroked="true" strokeweight=".5pt" strokecolor="#000000">
            <v:stroke dashstyle="solid"/>
            <w10:wrap type="none"/>
          </v:line>
        </w:pict>
      </w:r>
      <w:r>
        <w:rPr>
          <w:w w:val="121"/>
          <w:sz w:val="12"/>
        </w:rPr>
        <w:t>6</w:t>
      </w:r>
    </w:p>
    <w:p>
      <w:pPr>
        <w:spacing w:after="0" w:line="113" w:lineRule="exact"/>
        <w:jc w:val="left"/>
        <w:rPr>
          <w:sz w:val="12"/>
        </w:rPr>
        <w:sectPr>
          <w:type w:val="continuous"/>
          <w:pgSz w:w="11900" w:h="16840"/>
          <w:pgMar w:top="1260" w:bottom="280" w:left="640" w:right="640"/>
          <w:cols w:num="2" w:equalWidth="0">
            <w:col w:w="4279" w:space="521"/>
            <w:col w:w="5820"/>
          </w:cols>
        </w:sectPr>
      </w:pPr>
    </w:p>
    <w:p>
      <w:pPr>
        <w:pStyle w:val="BodyText"/>
        <w:spacing w:before="9"/>
        <w:rPr>
          <w:sz w:val="22"/>
        </w:rPr>
      </w:pPr>
    </w:p>
    <w:p>
      <w:pPr>
        <w:tabs>
          <w:tab w:pos="8971" w:val="left" w:leader="none"/>
        </w:tabs>
        <w:spacing w:before="80"/>
        <w:ind w:left="4165" w:right="0" w:firstLine="0"/>
        <w:jc w:val="left"/>
        <w:rPr>
          <w:sz w:val="12"/>
        </w:rPr>
      </w:pPr>
      <w:r>
        <w:rPr/>
        <w:pict>
          <v:group style="position:absolute;margin-left:289.25pt;margin-top:7.036553pt;width:188.35pt;height:122.6pt;mso-position-horizontal-relative:page;mso-position-vertical-relative:paragraph;z-index:-22951936" coordorigin="5785,141" coordsize="3767,2452">
            <v:shape style="position:absolute;left:6933;top:207;width:1379;height:2335" coordorigin="6934,208" coordsize="1379,2335" path="m7614,208l7537,253,7484,320,7434,421,7410,480,7386,545,7357,615,7333,689,7307,765,7254,933,7230,1019,7206,1103,7153,1275,7127,1359,7103,1443,7074,1522,7050,1601,7026,1677,7000,1749,6976,1819,6947,1883,6934,1917,6937,1919,6935,2537,8310,2542,8312,1925,8308,1926,8281,1864,8255,1797,8231,1725,8204,1653,8152,1500,8128,1416,8101,1333,8077,1247,8051,1163,8024,1074,8000,990,7972,907,7948,823,7921,744,7873,591,7844,524,7820,459,7794,401,7768,351,7741,311,7717,272,7693,243,7664,222,7640,212,7614,208xe" filled="true" fillcolor="#ededed" stroked="false">
              <v:path arrowok="t"/>
              <v:fill type="solid"/>
            </v:shape>
            <v:shape style="position:absolute;left:5792;top:2537;width:3594;height:55" coordorigin="5793,2537" coordsize="3594,55" path="m5793,2537l9387,2537m5797,2539l5797,2592m6310,2540l6310,2592m6823,2540l6823,2592m7336,2540l7336,2592m7848,2539l7848,2592m8361,2540l8361,2592m8874,2540l8874,2592m9387,2540l9387,2592e" filled="false" stroked="true" strokeweight=".5pt" strokecolor="#000000">
              <v:path arrowok="t"/>
              <v:stroke dashstyle="solid"/>
            </v:shape>
            <v:line style="position:absolute" from="5795,2539" to="5819,2541" stroked="true" strokeweight="1pt" strokecolor="#de0035">
              <v:stroke dashstyle="solid"/>
            </v:line>
            <v:line style="position:absolute" from="5809,2540" to="5855,2540" stroked="true" strokeweight="1.120pt" strokecolor="#de0035">
              <v:stroke dashstyle="solid"/>
            </v:line>
            <v:line style="position:absolute" from="5845,2539" to="5869,2541" stroked="true" strokeweight="1pt" strokecolor="#de0035">
              <v:stroke dashstyle="solid"/>
            </v:line>
            <v:line style="position:absolute" from="5859,2540" to="5908,2540" stroked="true" strokeweight="1.120pt" strokecolor="#de0035">
              <v:stroke dashstyle="solid"/>
            </v:line>
            <v:shape style="position:absolute;left:5898;top:2536;width:75;height:5" coordorigin="5898,2536" coordsize="75,5" path="m5898,2539l5922,2541m5922,2539l5949,2536,5973,2539e" filled="false" stroked="true" strokeweight="1pt" strokecolor="#de0035">
              <v:path arrowok="t"/>
              <v:stroke dashstyle="solid"/>
            </v:shape>
            <v:shape style="position:absolute;left:5962;top:2537;width:73;height:2" coordorigin="5963,2537" coordsize="73,0" path="m5963,2537l6009,2537m5989,2537l6035,2537e" filled="false" stroked="true" strokeweight="1.119pt" strokecolor="#de0035">
              <v:path arrowok="t"/>
              <v:stroke dashstyle="solid"/>
            </v:shape>
            <v:shape style="position:absolute;left:6025;top:209;width:3205;height:2330" coordorigin="6025,209" coordsize="3205,2330" path="m6025,2536l6049,2539m6049,2536l6078,2534,6102,2536,6129,2534,6153,2536m6153,2534l6177,2531,6205,2529m6205,2531l6229,2529,6256,2527,6282,2524,6309,2522,6333,2517,6357,2510,6383,2505,6409,2500,6436,2493,6460,2486,6489,2476,6513,2464,6537,2450,6563,2436,6587,2421,6616,2405,6640,2383,6666,2359,6693,2333,6717,2304,6743,2271,6767,2237,6796,2196,6820,2153,6846,2110,6870,2057,6897,2005,6923,1947,6947,1885,6976,1820,7000,1751,7026,1679,7050,1603,7074,1524,7103,1445,7127,1361,7153,1277,7206,1105,7230,1021,7254,935,7307,767,7333,691,7357,616,7386,547,7410,482,7434,422,7461,370,7485,322,7513,284,7537,255,7561,231,7590,217,7614,209,7641,214,7665,224,7693,245,7717,274,7741,312,7768,353,7794,403,7821,461,7845,525,7873,592,7921,746,7948,825,7972,908,8001,992,8025,1076,8051,1165,8077,1248,8101,1335,8128,1418,8152,1502,8205,1655,8231,1727,8255,1799,8281,1866,8308,1928,8332,1988,8358,2043,8382,2093,8411,2139,8435,2184,8459,2225,8488,2261,8512,2294,8538,2323,8562,2352,8591,2373,8615,2397,8639,2417,8665,2431,8692,2448,8718,2462,8742,2472,8771,2481,8795,2491,8819,2498,8845,2503,8869,2510m8869,2510l8898,2517,8922,2519,8949,2522,8975,2527,8999,2529m8999,2527l9025,2529,9049,2531,9076,2534m9076,2531l9102,2534,9129,2536m9129,2534l9153,2536m9153,2534l9179,2536,9205,2539m9205,2536l9229,2539e" filled="false" stroked="true" strokeweight="1pt" strokecolor="#de0035">
              <v:path arrowok="t"/>
              <v:stroke dashstyle="solid"/>
            </v:shape>
            <v:line style="position:absolute" from="9219,2537" to="9266,2537" stroked="true" strokeweight="1.120pt" strokecolor="#de0035">
              <v:stroke dashstyle="solid"/>
            </v:line>
            <v:shape style="position:absolute;left:9255;top:2536;width:101;height:5" coordorigin="9256,2536" coordsize="101,5" path="m9256,2536l9280,2539m9280,2536l9309,2539,9333,2541m9333,2539l9357,2541e" filled="false" stroked="true" strokeweight="1pt" strokecolor="#de0035">
              <v:path arrowok="t"/>
              <v:stroke dashstyle="solid"/>
            </v:shape>
            <v:line style="position:absolute" from="9347,2540" to="9395,2540" stroked="true" strokeweight="1.120pt" strokecolor="#de0035">
              <v:stroke dashstyle="solid"/>
            </v:line>
            <v:line style="position:absolute" from="8115,602" to="7666,942" stroked="true" strokeweight=".5pt" strokecolor="#000000">
              <v:stroke dashstyle="solid"/>
            </v:line>
            <v:shape style="position:absolute;left:7611;top:911;width:83;height:72" coordorigin="7612,911" coordsize="83,72" path="m7664,911l7625,968,7612,983,7620,978,7695,951,7664,911xe" filled="true" fillcolor="#000000" stroked="false">
              <v:path arrowok="t"/>
              <v:fill type="solid"/>
            </v:shape>
            <v:shape style="position:absolute;left:9464;top:145;width:87;height:2394" coordorigin="9465,146" coordsize="87,2394" path="m9552,146l9465,146m9552,624l9465,624m9552,1103l9465,1103m9552,1582l9465,1582m9552,2061l9465,2061m9552,2539l9465,2539e" filled="false" stroked="true" strokeweight=".5pt" strokecolor="#000000">
              <v:path arrowok="t"/>
              <v:stroke dashstyle="solid"/>
            </v:shape>
            <v:shape style="position:absolute;left:8139;top:502;width:1025;height:121" type="#_x0000_t202" filled="false" stroked="false">
              <v:textbox inset="0,0,0,0">
                <w:txbxContent>
                  <w:p>
                    <w:pPr>
                      <w:spacing w:line="116" w:lineRule="exact" w:before="0"/>
                      <w:ind w:left="0" w:right="0" w:firstLine="0"/>
                      <w:jc w:val="left"/>
                      <w:rPr>
                        <w:sz w:val="12"/>
                      </w:rPr>
                    </w:pPr>
                    <w:r>
                      <w:rPr>
                        <w:w w:val="110"/>
                        <w:sz w:val="12"/>
                      </w:rPr>
                      <w:t>90%</w:t>
                    </w:r>
                    <w:r>
                      <w:rPr>
                        <w:spacing w:val="-15"/>
                        <w:w w:val="110"/>
                        <w:sz w:val="12"/>
                      </w:rPr>
                      <w:t> </w:t>
                    </w:r>
                    <w:r>
                      <w:rPr>
                        <w:w w:val="110"/>
                        <w:sz w:val="12"/>
                      </w:rPr>
                      <w:t>probability</w:t>
                    </w:r>
                    <w:r>
                      <w:rPr>
                        <w:spacing w:val="-15"/>
                        <w:w w:val="110"/>
                        <w:sz w:val="12"/>
                      </w:rPr>
                      <w:t> </w:t>
                    </w:r>
                    <w:r>
                      <w:rPr>
                        <w:w w:val="110"/>
                        <w:sz w:val="12"/>
                      </w:rPr>
                      <w:t>(b)</w:t>
                    </w:r>
                  </w:p>
                </w:txbxContent>
              </v:textbox>
              <w10:wrap type="none"/>
            </v:shape>
            <w10:wrap type="none"/>
          </v:group>
        </w:pict>
      </w:r>
      <w:r>
        <w:rPr/>
        <w:pict>
          <v:line style="position:absolute;mso-position-horizontal-relative:page;mso-position-vertical-relative:paragraph;z-index:-22951424" from="285.583pt,7.271553pt" to="281.25pt,7.271553pt" stroked="true" strokeweight=".5pt" strokecolor="#000000">
            <v:stroke dashstyle="solid"/>
            <w10:wrap type="none"/>
          </v:line>
        </w:pict>
      </w:r>
      <w:r>
        <w:rPr/>
        <w:pict>
          <v:group style="position:absolute;margin-left:49.367001pt;margin-top:14.846553pt;width:188.8pt;height:115.85pt;mso-position-horizontal-relative:page;mso-position-vertical-relative:paragraph;z-index:16382976" coordorigin="987,297" coordsize="3776,2317">
            <v:shape style="position:absolute;left:1962;top:312;width:1449;height:2250" coordorigin="1962,312" coordsize="1449,2250" path="m3405,2561l3405,2562,3410,2561,3405,2561xm1965,1968l1962,2558,1974,2559,3405,2561,3408,1981,3410,1981,3405,1968,1971,1968,1965,1968xm3410,1981l3408,1981,3411,1985,3410,1981xm2817,312l2793,317,2769,327,2742,339,2718,356,2691,382,2664,411,2616,483,2586,526,2562,574,2535,624,2511,677,2484,732,2457,792,2433,852,2409,920,2355,1049,2331,1116,2304,1184,2280,1251,2226,1385,2202,1450,2178,1517,2148,1580,2124,1642,2100,1702,2073,1760,2049,1812,2022,1868,1995,1918,1971,1968,3405,1968,3384,1913,3357,1839,3333,1760,3309,1673,3282,1587,3255,1493,3231,1400,3204,1301,3180,1203,3153,1107,3126,1008,3102,917,3078,824,3048,737,3024,653,3000,579,2973,512,2949,454,2922,404,2895,365,2871,336,2847,320,2817,312xe" filled="true" fillcolor="#ededed" stroked="false">
              <v:path arrowok="t"/>
              <v:fill type="solid"/>
            </v:shape>
            <v:shape style="position:absolute;left:998;top:2559;width:3594;height:55" coordorigin="999,2559" coordsize="3594,55" path="m999,2559l4593,2559m1003,2561l1003,2614m1516,2561l1516,2614m2029,2561l2029,2614m2541,2561l2541,2614m3054,2561l3054,2614m3567,2561l3567,2614m4080,2561l4080,2614m4593,2561l4593,2614e" filled="false" stroked="true" strokeweight=".5pt" strokecolor="#000000">
              <v:path arrowok="t"/>
              <v:stroke dashstyle="solid"/>
            </v:shape>
            <v:shape style="position:absolute;left:997;top:306;width:3112;height:2244" coordorigin="997,307" coordsize="3112,2244" path="m997,2549l1021,2551m1021,2549l1051,2546,1075,2544m1075,2546l1099,2544,1126,2541m1126,2544l1153,2541,1177,2539,1204,2537,1228,2532,1252,2527,1282,2525,1306,2520,1330,2515,1357,2510,1384,2503,1408,2498,1435,2491,1459,2481,1486,2472,1513,2460,1537,2448,1561,2433,1588,2421,1615,2402,1639,2385,1666,2366,1690,2342,1720,2321,1744,2297,1768,2268,1795,2239,1822,2205,1846,2172,1873,2136,1921,2054,1951,2011,1975,1963,1999,1913,2026,1862,2053,1807,2077,1754,2104,1697,2128,1637,2152,1574,2182,1512,2206,1445,2230,1380,2284,1245,2308,1178,2335,1111,2359,1044,2413,914,2437,847,2461,787,2488,727,2515,672,2539,619,2566,569,2590,521,2620,477,2668,405,2695,377,2722,350,2746,333,2773,321,2797,312,2821,307,2851,314,2875,331,2899,360,2926,398,2953,449,2977,506,3004,573,3028,648,3052,732,3082,818,3106,912,3130,1003,3157,1101,3184,1197,3208,1296,3235,1394,3259,1488,3286,1581,3313,1668,3337,1754,3361,1833,3388,1908,3415,1980,3439,2045,3466,2105,3490,2160,3520,2210,3544,2256,3568,2297,3595,2333,3622,2366,3646,2393,3673,2419,3697,2438,3721,2457,3751,2474,3775,2486,3799,2498,3826,2508,3853,2515,3877,2522,3904,2527,3928,2534,3952,2539,3982,2541,4006,2544,4030,2546m4030,2544l4057,2546,4084,2549,4108,2551e" filled="false" stroked="true" strokeweight="1pt" strokecolor="#de0035">
              <v:path arrowok="t"/>
              <v:stroke dashstyle="solid"/>
            </v:shape>
            <v:line style="position:absolute" from="4098,2550" to="4145,2550" stroked="true" strokeweight="1.120pt" strokecolor="#de0035">
              <v:stroke dashstyle="solid"/>
            </v:line>
            <v:shape style="position:absolute;left:4135;top:2548;width:51;height:5" coordorigin="4135,2549" coordsize="51,5" path="m4135,2549l4159,2551,4186,2553e" filled="false" stroked="true" strokeweight="1pt" strokecolor="#de0035">
              <v:path arrowok="t"/>
              <v:stroke dashstyle="solid"/>
            </v:shape>
            <v:line style="position:absolute" from="4176,2552" to="4223,2552" stroked="true" strokeweight="1.120pt" strokecolor="#de0035">
              <v:stroke dashstyle="solid"/>
            </v:line>
            <v:shape style="position:absolute;left:4213;top:2550;width:75;height:5" coordorigin="4213,2551" coordsize="75,5" path="m4213,2551l4237,2553m4237,2551l4261,2553,4288,2556e" filled="false" stroked="true" strokeweight="1pt" strokecolor="#de0035">
              <v:path arrowok="t"/>
              <v:stroke dashstyle="solid"/>
            </v:shape>
            <v:line style="position:absolute" from="4278,2555" to="4325,2555" stroked="true" strokeweight="1.120pt" strokecolor="#de0035">
              <v:stroke dashstyle="solid"/>
            </v:line>
            <v:line style="position:absolute" from="4315,2553" to="4339,2556" stroked="true" strokeweight="1pt" strokecolor="#de0035">
              <v:stroke dashstyle="solid"/>
            </v:line>
            <v:line style="position:absolute" from="4329,2555" to="4376,2555" stroked="true" strokeweight="1.120pt" strokecolor="#de0035">
              <v:stroke dashstyle="solid"/>
            </v:line>
            <v:line style="position:absolute" from="4366,2553" to="4390,2556" stroked="true" strokeweight="1pt" strokecolor="#de0035">
              <v:stroke dashstyle="solid"/>
            </v:line>
            <v:line style="position:absolute" from="4380,2555" to="4430,2555" stroked="true" strokeweight="1.120pt" strokecolor="#de0035">
              <v:stroke dashstyle="solid"/>
            </v:line>
            <v:shape style="position:absolute;left:4420;top:2553;width:48;height:3" coordorigin="4420,2553" coordsize="48,3" path="m4420,2553l4444,2556m4444,2553l4468,2556e" filled="false" stroked="true" strokeweight="1pt" strokecolor="#de0035">
              <v:path arrowok="t"/>
              <v:stroke dashstyle="solid"/>
            </v:shape>
            <v:shape style="position:absolute;left:4458;top:2554;width:74;height:2" coordorigin="4458,2555" coordsize="74,0" path="m4458,2555l4505,2555m4485,2555l4532,2555e" filled="false" stroked="true" strokeweight="1.120pt" strokecolor="#de0035">
              <v:path arrowok="t"/>
              <v:stroke dashstyle="solid"/>
            </v:shape>
            <v:line style="position:absolute" from="4522,2553" to="4546,2556" stroked="true" strokeweight="1pt" strokecolor="#de0035">
              <v:stroke dashstyle="solid"/>
            </v:line>
            <v:line style="position:absolute" from="4536,2555" to="4583,2555" stroked="true" strokeweight="1.120pt" strokecolor="#de0035">
              <v:stroke dashstyle="solid"/>
            </v:line>
            <v:line style="position:absolute" from="4762,2558" to="4676,2558" stroked="true" strokeweight=".5pt" strokecolor="#000000">
              <v:stroke dashstyle="solid"/>
            </v:line>
            <v:line style="position:absolute" from="4573,2553" to="4597,2556" stroked="true" strokeweight="1pt" strokecolor="#de0035">
              <v:stroke dashstyle="solid"/>
            </v:line>
            <v:line style="position:absolute" from="3368,549" to="2919,889" stroked="true" strokeweight=".5pt" strokecolor="#000000">
              <v:stroke dashstyle="solid"/>
            </v:line>
            <v:shape style="position:absolute;left:2865;top:858;width:83;height:72" coordorigin="2865,859" coordsize="83,72" path="m2918,859l2879,915,2865,930,2873,926,2948,899,2918,859xe" filled="true" fillcolor="#000000" stroked="false">
              <v:path arrowok="t"/>
              <v:fill type="solid"/>
            </v:shape>
            <v:shape style="position:absolute;left:3393;top:449;width:1025;height:121" type="#_x0000_t202" filled="false" stroked="false">
              <v:textbox inset="0,0,0,0">
                <w:txbxContent>
                  <w:p>
                    <w:pPr>
                      <w:spacing w:line="116" w:lineRule="exact" w:before="0"/>
                      <w:ind w:left="0" w:right="0" w:firstLine="0"/>
                      <w:jc w:val="left"/>
                      <w:rPr>
                        <w:sz w:val="12"/>
                      </w:rPr>
                    </w:pPr>
                    <w:r>
                      <w:rPr>
                        <w:w w:val="110"/>
                        <w:sz w:val="12"/>
                      </w:rPr>
                      <w:t>90%</w:t>
                    </w:r>
                    <w:r>
                      <w:rPr>
                        <w:spacing w:val="-15"/>
                        <w:w w:val="110"/>
                        <w:sz w:val="12"/>
                      </w:rPr>
                      <w:t> </w:t>
                    </w:r>
                    <w:r>
                      <w:rPr>
                        <w:w w:val="110"/>
                        <w:sz w:val="12"/>
                      </w:rPr>
                      <w:t>probability</w:t>
                    </w:r>
                    <w:r>
                      <w:rPr>
                        <w:spacing w:val="-15"/>
                        <w:w w:val="110"/>
                        <w:sz w:val="12"/>
                      </w:rPr>
                      <w:t> </w:t>
                    </w:r>
                    <w:r>
                      <w:rPr>
                        <w:w w:val="110"/>
                        <w:sz w:val="12"/>
                      </w:rPr>
                      <w:t>(b)</w:t>
                    </w:r>
                  </w:p>
                </w:txbxContent>
              </v:textbox>
              <w10:wrap type="none"/>
            </v:shape>
            <w10:wrap type="none"/>
          </v:group>
        </w:pict>
      </w:r>
      <w:r>
        <w:rPr/>
        <w:pict>
          <v:line style="position:absolute;mso-position-horizontal-relative:page;mso-position-vertical-relative:paragraph;z-index:16383488" from="45.505001pt,7.988553pt" to="41.172001pt,7.988553pt" stroked="true" strokeweight=".5pt" strokecolor="#000000">
            <v:stroke dashstyle="solid"/>
            <w10:wrap type="none"/>
          </v:line>
        </w:pict>
      </w:r>
      <w:r>
        <w:rPr/>
        <w:pict>
          <v:line style="position:absolute;mso-position-horizontal-relative:page;mso-position-vertical-relative:paragraph;z-index:16387072" from="238.123001pt,8.214553pt" to="233.789001pt,8.214553pt" stroked="true" strokeweight=".5pt" strokecolor="#000000">
            <v:stroke dashstyle="solid"/>
            <w10:wrap type="none"/>
          </v:line>
        </w:pict>
      </w:r>
      <w:r>
        <w:rPr>
          <w:w w:val="120"/>
          <w:sz w:val="12"/>
        </w:rPr>
        <w:t>5</w:t>
        <w:tab/>
        <w:t>5</w:t>
      </w:r>
    </w:p>
    <w:p>
      <w:pPr>
        <w:pStyle w:val="BodyText"/>
        <w:rPr>
          <w:sz w:val="12"/>
        </w:rPr>
      </w:pPr>
    </w:p>
    <w:p>
      <w:pPr>
        <w:pStyle w:val="BodyText"/>
        <w:spacing w:before="8"/>
        <w:rPr>
          <w:sz w:val="17"/>
        </w:rPr>
      </w:pPr>
    </w:p>
    <w:p>
      <w:pPr>
        <w:tabs>
          <w:tab w:pos="8971" w:val="left" w:leader="none"/>
        </w:tabs>
        <w:spacing w:before="0"/>
        <w:ind w:left="4165" w:right="0" w:firstLine="0"/>
        <w:jc w:val="left"/>
        <w:rPr>
          <w:sz w:val="12"/>
        </w:rPr>
      </w:pPr>
      <w:r>
        <w:rPr/>
        <w:pict>
          <v:line style="position:absolute;mso-position-horizontal-relative:page;mso-position-vertical-relative:paragraph;z-index:-22950912" from="285.583pt,3.207553pt" to="281.25pt,3.207553pt" stroked="true" strokeweight=".5pt" strokecolor="#000000">
            <v:stroke dashstyle="solid"/>
            <w10:wrap type="none"/>
          </v:line>
        </w:pict>
      </w:r>
      <w:r>
        <w:rPr/>
        <w:pict>
          <v:line style="position:absolute;mso-position-horizontal-relative:page;mso-position-vertical-relative:paragraph;z-index:16384000" from="45.505001pt,3.923553pt" to="41.172001pt,3.923553pt" stroked="true" strokeweight=".5pt" strokecolor="#000000">
            <v:stroke dashstyle="solid"/>
            <w10:wrap type="none"/>
          </v:line>
        </w:pict>
      </w:r>
      <w:r>
        <w:rPr/>
        <w:pict>
          <v:line style="position:absolute;mso-position-horizontal-relative:page;mso-position-vertical-relative:paragraph;z-index:16387584" from="238.123001pt,4.149553pt" to="233.789001pt,4.149553pt" stroked="true" strokeweight=".5pt" strokecolor="#000000">
            <v:stroke dashstyle="solid"/>
            <w10:wrap type="none"/>
          </v:line>
        </w:pict>
      </w:r>
      <w:r>
        <w:rPr>
          <w:w w:val="120"/>
          <w:sz w:val="12"/>
        </w:rPr>
        <w:t>4</w:t>
        <w:tab/>
        <w:t>4</w:t>
      </w:r>
    </w:p>
    <w:p>
      <w:pPr>
        <w:pStyle w:val="BodyText"/>
        <w:spacing w:before="5"/>
        <w:rPr>
          <w:sz w:val="22"/>
        </w:rPr>
      </w:pPr>
    </w:p>
    <w:p>
      <w:pPr>
        <w:tabs>
          <w:tab w:pos="8971" w:val="left" w:leader="none"/>
        </w:tabs>
        <w:spacing w:before="82"/>
        <w:ind w:left="4165" w:right="0" w:firstLine="0"/>
        <w:jc w:val="left"/>
        <w:rPr>
          <w:sz w:val="12"/>
        </w:rPr>
      </w:pPr>
      <w:r>
        <w:rPr/>
        <w:pict>
          <v:line style="position:absolute;mso-position-horizontal-relative:page;mso-position-vertical-relative:paragraph;z-index:-22950400" from="285.583pt,7.362548pt" to="281.25pt,7.362548pt" stroked="true" strokeweight=".5pt" strokecolor="#000000">
            <v:stroke dashstyle="solid"/>
            <w10:wrap type="none"/>
          </v:line>
        </w:pict>
      </w:r>
      <w:r>
        <w:rPr/>
        <w:pict>
          <v:line style="position:absolute;mso-position-horizontal-relative:page;mso-position-vertical-relative:paragraph;z-index:16384512" from="45.505001pt,8.078548pt" to="41.172001pt,8.078548pt" stroked="true" strokeweight=".5pt" strokecolor="#000000">
            <v:stroke dashstyle="solid"/>
            <w10:wrap type="none"/>
          </v:line>
        </w:pict>
      </w:r>
      <w:r>
        <w:rPr/>
        <w:pict>
          <v:line style="position:absolute;mso-position-horizontal-relative:page;mso-position-vertical-relative:paragraph;z-index:16388096" from="238.123001pt,8.304548pt" to="233.789001pt,8.304548pt" stroked="true" strokeweight=".5pt" strokecolor="#000000">
            <v:stroke dashstyle="solid"/>
            <w10:wrap type="none"/>
          </v:line>
        </w:pict>
      </w:r>
      <w:r>
        <w:rPr>
          <w:w w:val="120"/>
          <w:sz w:val="12"/>
        </w:rPr>
        <w:t>3</w:t>
        <w:tab/>
        <w:t>3</w:t>
      </w:r>
    </w:p>
    <w:p>
      <w:pPr>
        <w:pStyle w:val="BodyText"/>
        <w:spacing w:before="6"/>
        <w:rPr>
          <w:sz w:val="22"/>
        </w:rPr>
      </w:pPr>
    </w:p>
    <w:p>
      <w:pPr>
        <w:tabs>
          <w:tab w:pos="8971" w:val="left" w:leader="none"/>
        </w:tabs>
        <w:spacing w:before="73"/>
        <w:ind w:left="4165" w:right="0" w:firstLine="0"/>
        <w:jc w:val="left"/>
        <w:rPr>
          <w:sz w:val="12"/>
        </w:rPr>
      </w:pPr>
      <w:r>
        <w:rPr/>
        <w:pict>
          <v:line style="position:absolute;mso-position-horizontal-relative:page;mso-position-vertical-relative:paragraph;z-index:-22949888" from="285.583pt,7.347548pt" to="281.25pt,7.347548pt" stroked="true" strokeweight=".5pt" strokecolor="#000000">
            <v:stroke dashstyle="solid"/>
            <w10:wrap type="none"/>
          </v:line>
        </w:pict>
      </w:r>
      <w:r>
        <w:rPr/>
        <w:pict>
          <v:line style="position:absolute;mso-position-horizontal-relative:page;mso-position-vertical-relative:paragraph;z-index:16385024" from="45.505001pt,8.064548pt" to="41.172001pt,8.064548pt" stroked="true" strokeweight=".5pt" strokecolor="#000000">
            <v:stroke dashstyle="solid"/>
            <w10:wrap type="none"/>
          </v:line>
        </w:pict>
      </w:r>
      <w:r>
        <w:rPr/>
        <w:pict>
          <v:line style="position:absolute;mso-position-horizontal-relative:page;mso-position-vertical-relative:paragraph;z-index:16388608" from="238.123001pt,8.290548pt" to="233.789001pt,8.290548pt" stroked="true" strokeweight=".5pt" strokecolor="#000000">
            <v:stroke dashstyle="solid"/>
            <w10:wrap type="none"/>
          </v:line>
        </w:pict>
      </w:r>
      <w:r>
        <w:rPr>
          <w:w w:val="120"/>
          <w:sz w:val="12"/>
        </w:rPr>
        <w:t>2</w:t>
        <w:tab/>
      </w:r>
      <w:r>
        <w:rPr>
          <w:w w:val="120"/>
          <w:position w:val="1"/>
          <w:sz w:val="12"/>
        </w:rPr>
        <w:t>2</w:t>
      </w:r>
    </w:p>
    <w:p>
      <w:pPr>
        <w:pStyle w:val="BodyText"/>
        <w:spacing w:before="4"/>
        <w:rPr>
          <w:sz w:val="22"/>
        </w:rPr>
      </w:pPr>
    </w:p>
    <w:p>
      <w:pPr>
        <w:tabs>
          <w:tab w:pos="8971" w:val="left" w:leader="none"/>
        </w:tabs>
        <w:spacing w:before="75"/>
        <w:ind w:left="4165" w:right="0" w:firstLine="0"/>
        <w:jc w:val="left"/>
        <w:rPr>
          <w:sz w:val="12"/>
        </w:rPr>
      </w:pPr>
      <w:r>
        <w:rPr/>
        <w:pict>
          <v:line style="position:absolute;mso-position-horizontal-relative:page;mso-position-vertical-relative:paragraph;z-index:-22949376" from="285.583pt,7.383548pt" to="281.25pt,7.383548pt" stroked="true" strokeweight=".5pt" strokecolor="#000000">
            <v:stroke dashstyle="solid"/>
            <w10:wrap type="none"/>
          </v:line>
        </w:pict>
      </w:r>
      <w:r>
        <w:rPr/>
        <w:pict>
          <v:line style="position:absolute;mso-position-horizontal-relative:page;mso-position-vertical-relative:paragraph;z-index:16385536" from="45.505001pt,8.099548pt" to="41.172001pt,8.099548pt" stroked="true" strokeweight=".5pt" strokecolor="#000000">
            <v:stroke dashstyle="solid"/>
            <w10:wrap type="none"/>
          </v:line>
        </w:pict>
      </w:r>
      <w:r>
        <w:rPr/>
        <w:pict>
          <v:line style="position:absolute;mso-position-horizontal-relative:page;mso-position-vertical-relative:paragraph;z-index:16389120" from="238.123001pt,8.325548pt" to="233.789001pt,8.325548pt" stroked="true" strokeweight=".5pt" strokecolor="#000000">
            <v:stroke dashstyle="solid"/>
            <w10:wrap type="none"/>
          </v:line>
        </w:pict>
      </w:r>
      <w:r>
        <w:rPr>
          <w:w w:val="120"/>
          <w:sz w:val="12"/>
        </w:rPr>
        <w:t>1</w:t>
        <w:tab/>
      </w:r>
      <w:r>
        <w:rPr>
          <w:w w:val="120"/>
          <w:position w:val="1"/>
          <w:sz w:val="12"/>
        </w:rPr>
        <w:t>1</w:t>
      </w:r>
    </w:p>
    <w:p>
      <w:pPr>
        <w:pStyle w:val="BodyText"/>
        <w:spacing w:before="3"/>
        <w:rPr>
          <w:sz w:val="22"/>
        </w:rPr>
      </w:pPr>
    </w:p>
    <w:p>
      <w:pPr>
        <w:spacing w:after="0"/>
        <w:rPr>
          <w:sz w:val="22"/>
        </w:rPr>
        <w:sectPr>
          <w:type w:val="continuous"/>
          <w:pgSz w:w="11900" w:h="16840"/>
          <w:pgMar w:top="1260" w:bottom="280" w:left="640" w:right="640"/>
        </w:sectPr>
      </w:pPr>
    </w:p>
    <w:p>
      <w:pPr>
        <w:spacing w:before="86"/>
        <w:ind w:left="4125" w:right="0" w:firstLine="0"/>
        <w:jc w:val="center"/>
        <w:rPr>
          <w:sz w:val="12"/>
        </w:rPr>
      </w:pPr>
      <w:r>
        <w:rPr/>
        <w:pict>
          <v:line style="position:absolute;mso-position-horizontal-relative:page;mso-position-vertical-relative:paragraph;z-index:16386048" from="45.505001pt,8.084548pt" to="41.172001pt,8.084548pt" stroked="true" strokeweight=".5pt" strokecolor="#000000">
            <v:stroke dashstyle="solid"/>
            <w10:wrap type="none"/>
          </v:line>
        </w:pict>
      </w:r>
      <w:r>
        <w:rPr>
          <w:w w:val="121"/>
          <w:sz w:val="12"/>
        </w:rPr>
        <w:t>0</w:t>
      </w:r>
    </w:p>
    <w:p>
      <w:pPr>
        <w:tabs>
          <w:tab w:pos="562" w:val="left" w:leader="none"/>
          <w:tab w:pos="1075" w:val="left" w:leader="none"/>
          <w:tab w:pos="1588" w:val="left" w:leader="none"/>
          <w:tab w:pos="2104" w:val="left" w:leader="none"/>
          <w:tab w:pos="2597" w:val="left" w:leader="none"/>
          <w:tab w:pos="3113" w:val="left" w:leader="none"/>
          <w:tab w:pos="3626" w:val="left" w:leader="none"/>
        </w:tabs>
        <w:spacing w:line="137" w:lineRule="exact" w:before="4"/>
        <w:ind w:left="11" w:right="0" w:firstLine="0"/>
        <w:jc w:val="center"/>
        <w:rPr>
          <w:sz w:val="12"/>
        </w:rPr>
      </w:pPr>
      <w:r>
        <w:rPr>
          <w:w w:val="120"/>
          <w:sz w:val="12"/>
        </w:rPr>
        <w:t>-1</w:t>
        <w:tab/>
        <w:t>0</w:t>
        <w:tab/>
        <w:t>1</w:t>
        <w:tab/>
        <w:t>2</w:t>
        <w:tab/>
        <w:t>3</w:t>
        <w:tab/>
        <w:t>4</w:t>
        <w:tab/>
        <w:t>5</w:t>
        <w:tab/>
        <w:t>6</w:t>
      </w:r>
    </w:p>
    <w:p>
      <w:pPr>
        <w:spacing w:line="137" w:lineRule="exact" w:before="0"/>
        <w:ind w:left="57" w:right="0" w:firstLine="0"/>
        <w:jc w:val="center"/>
        <w:rPr>
          <w:sz w:val="12"/>
        </w:rPr>
      </w:pPr>
      <w:r>
        <w:rPr>
          <w:w w:val="105"/>
          <w:sz w:val="12"/>
        </w:rPr>
        <w:t>Inflation</w:t>
      </w:r>
    </w:p>
    <w:p>
      <w:pPr>
        <w:spacing w:line="136" w:lineRule="exact" w:before="78"/>
        <w:ind w:left="4185" w:right="0" w:firstLine="0"/>
        <w:jc w:val="left"/>
        <w:rPr>
          <w:sz w:val="12"/>
        </w:rPr>
      </w:pPr>
      <w:r>
        <w:rPr/>
        <w:br w:type="column"/>
      </w:r>
      <w:r>
        <w:rPr>
          <w:w w:val="120"/>
          <w:sz w:val="12"/>
        </w:rPr>
        <w:t>0</w:t>
      </w:r>
    </w:p>
    <w:p>
      <w:pPr>
        <w:tabs>
          <w:tab w:pos="858" w:val="left" w:leader="none"/>
          <w:tab w:pos="1371" w:val="left" w:leader="none"/>
          <w:tab w:pos="1885" w:val="left" w:leader="none"/>
          <w:tab w:pos="2396" w:val="left" w:leader="none"/>
          <w:tab w:pos="2910" w:val="left" w:leader="none"/>
          <w:tab w:pos="3423" w:val="left" w:leader="none"/>
          <w:tab w:pos="3937" w:val="left" w:leader="none"/>
        </w:tabs>
        <w:spacing w:line="136" w:lineRule="exact" w:before="0"/>
        <w:ind w:left="301" w:right="0" w:firstLine="0"/>
        <w:jc w:val="left"/>
        <w:rPr>
          <w:sz w:val="12"/>
        </w:rPr>
      </w:pPr>
      <w:r>
        <w:rPr/>
        <w:pict>
          <v:line style="position:absolute;mso-position-horizontal-relative:page;mso-position-vertical-relative:paragraph;z-index:16380928" from="285.583pt,-3.359667pt" to="281.25pt,-3.359667pt" stroked="true" strokeweight=".5pt" strokecolor="#000000">
            <v:stroke dashstyle="solid"/>
            <w10:wrap type="none"/>
          </v:line>
        </w:pict>
      </w:r>
      <w:r>
        <w:rPr>
          <w:w w:val="120"/>
          <w:sz w:val="12"/>
        </w:rPr>
        <w:t>-1</w:t>
        <w:tab/>
        <w:t>0</w:t>
        <w:tab/>
        <w:t>1</w:t>
        <w:tab/>
        <w:t>2</w:t>
        <w:tab/>
        <w:t>3</w:t>
        <w:tab/>
        <w:t>4</w:t>
        <w:tab/>
        <w:t>5</w:t>
        <w:tab/>
        <w:t>6</w:t>
      </w:r>
    </w:p>
    <w:p>
      <w:pPr>
        <w:spacing w:before="8"/>
        <w:ind w:left="2026" w:right="0" w:firstLine="0"/>
        <w:jc w:val="left"/>
        <w:rPr>
          <w:sz w:val="12"/>
        </w:rPr>
      </w:pPr>
      <w:r>
        <w:rPr>
          <w:w w:val="105"/>
          <w:sz w:val="12"/>
        </w:rPr>
        <w:t>Inflation</w:t>
      </w:r>
    </w:p>
    <w:p>
      <w:pPr>
        <w:spacing w:after="0"/>
        <w:jc w:val="left"/>
        <w:rPr>
          <w:sz w:val="12"/>
        </w:rPr>
        <w:sectPr>
          <w:type w:val="continuous"/>
          <w:pgSz w:w="11900" w:h="16840"/>
          <w:pgMar w:top="1260" w:bottom="280" w:left="640" w:right="640"/>
          <w:cols w:num="2" w:equalWidth="0">
            <w:col w:w="4279" w:space="507"/>
            <w:col w:w="5834"/>
          </w:cols>
        </w:sectPr>
      </w:pPr>
    </w:p>
    <w:p>
      <w:pPr>
        <w:pStyle w:val="BodyText"/>
        <w:spacing w:before="1"/>
        <w:rPr>
          <w:sz w:val="11"/>
        </w:rPr>
      </w:pPr>
    </w:p>
    <w:p>
      <w:pPr>
        <w:spacing w:before="75"/>
        <w:ind w:left="185" w:right="0" w:firstLine="0"/>
        <w:jc w:val="left"/>
        <w:rPr>
          <w:sz w:val="14"/>
        </w:rPr>
      </w:pPr>
      <w:r>
        <w:rPr>
          <w:w w:val="105"/>
          <w:sz w:val="14"/>
        </w:rPr>
        <w:t>Source: Bank of England.</w:t>
      </w:r>
    </w:p>
    <w:p>
      <w:pPr>
        <w:pStyle w:val="BodyText"/>
        <w:spacing w:before="11"/>
        <w:rPr>
          <w:sz w:val="12"/>
        </w:rPr>
      </w:pPr>
    </w:p>
    <w:p>
      <w:pPr>
        <w:pStyle w:val="ListParagraph"/>
        <w:numPr>
          <w:ilvl w:val="0"/>
          <w:numId w:val="36"/>
        </w:numPr>
        <w:tabs>
          <w:tab w:pos="425" w:val="left" w:leader="none"/>
        </w:tabs>
        <w:spacing w:line="240" w:lineRule="auto" w:before="0" w:after="0"/>
        <w:ind w:left="425" w:right="258" w:hanging="240"/>
        <w:jc w:val="left"/>
        <w:rPr>
          <w:sz w:val="14"/>
        </w:rPr>
      </w:pPr>
      <w:r>
        <w:rPr>
          <w:w w:val="110"/>
          <w:sz w:val="14"/>
        </w:rPr>
        <w:t>Probability</w:t>
      </w:r>
      <w:r>
        <w:rPr>
          <w:spacing w:val="-17"/>
          <w:w w:val="110"/>
          <w:sz w:val="14"/>
        </w:rPr>
        <w:t> </w:t>
      </w:r>
      <w:r>
        <w:rPr>
          <w:w w:val="110"/>
          <w:sz w:val="14"/>
        </w:rPr>
        <w:t>of</w:t>
      </w:r>
      <w:r>
        <w:rPr>
          <w:spacing w:val="-16"/>
          <w:w w:val="110"/>
          <w:sz w:val="14"/>
        </w:rPr>
        <w:t> </w:t>
      </w:r>
      <w:r>
        <w:rPr>
          <w:w w:val="110"/>
          <w:sz w:val="14"/>
        </w:rPr>
        <w:t>inflation</w:t>
      </w:r>
      <w:r>
        <w:rPr>
          <w:spacing w:val="-16"/>
          <w:w w:val="110"/>
          <w:sz w:val="14"/>
        </w:rPr>
        <w:t> </w:t>
      </w:r>
      <w:r>
        <w:rPr>
          <w:w w:val="110"/>
          <w:sz w:val="14"/>
        </w:rPr>
        <w:t>being</w:t>
      </w:r>
      <w:r>
        <w:rPr>
          <w:spacing w:val="-16"/>
          <w:w w:val="110"/>
          <w:sz w:val="14"/>
        </w:rPr>
        <w:t> </w:t>
      </w:r>
      <w:r>
        <w:rPr>
          <w:w w:val="110"/>
          <w:sz w:val="14"/>
        </w:rPr>
        <w:t>within</w:t>
      </w:r>
      <w:r>
        <w:rPr>
          <w:spacing w:val="-16"/>
          <w:w w:val="110"/>
          <w:sz w:val="14"/>
        </w:rPr>
        <w:t> </w:t>
      </w:r>
      <w:r>
        <w:rPr>
          <w:rFonts w:ascii="Symbol" w:hAnsi="Symbol"/>
          <w:spacing w:val="-3"/>
          <w:w w:val="110"/>
          <w:sz w:val="14"/>
        </w:rPr>
        <w:t></w:t>
      </w:r>
      <w:r>
        <w:rPr>
          <w:spacing w:val="-3"/>
          <w:w w:val="110"/>
          <w:sz w:val="14"/>
        </w:rPr>
        <w:t>0.05</w:t>
      </w:r>
      <w:r>
        <w:rPr>
          <w:spacing w:val="-16"/>
          <w:w w:val="110"/>
          <w:sz w:val="14"/>
        </w:rPr>
        <w:t> </w:t>
      </w:r>
      <w:r>
        <w:rPr>
          <w:w w:val="110"/>
          <w:sz w:val="14"/>
        </w:rPr>
        <w:t>percentage</w:t>
      </w:r>
      <w:r>
        <w:rPr>
          <w:spacing w:val="-16"/>
          <w:w w:val="110"/>
          <w:sz w:val="14"/>
        </w:rPr>
        <w:t> </w:t>
      </w:r>
      <w:r>
        <w:rPr>
          <w:w w:val="110"/>
          <w:sz w:val="14"/>
        </w:rPr>
        <w:t>points</w:t>
      </w:r>
      <w:r>
        <w:rPr>
          <w:spacing w:val="-16"/>
          <w:w w:val="110"/>
          <w:sz w:val="14"/>
        </w:rPr>
        <w:t> </w:t>
      </w:r>
      <w:r>
        <w:rPr>
          <w:w w:val="110"/>
          <w:sz w:val="14"/>
        </w:rPr>
        <w:t>of</w:t>
      </w:r>
      <w:r>
        <w:rPr>
          <w:spacing w:val="-16"/>
          <w:w w:val="110"/>
          <w:sz w:val="14"/>
        </w:rPr>
        <w:t> </w:t>
      </w:r>
      <w:r>
        <w:rPr>
          <w:w w:val="110"/>
          <w:sz w:val="14"/>
        </w:rPr>
        <w:t>any</w:t>
      </w:r>
      <w:r>
        <w:rPr>
          <w:spacing w:val="-16"/>
          <w:w w:val="110"/>
          <w:sz w:val="14"/>
        </w:rPr>
        <w:t> </w:t>
      </w:r>
      <w:r>
        <w:rPr>
          <w:w w:val="110"/>
          <w:sz w:val="14"/>
        </w:rPr>
        <w:t>given</w:t>
      </w:r>
      <w:r>
        <w:rPr>
          <w:spacing w:val="-16"/>
          <w:w w:val="110"/>
          <w:sz w:val="14"/>
        </w:rPr>
        <w:t> </w:t>
      </w:r>
      <w:r>
        <w:rPr>
          <w:w w:val="110"/>
          <w:sz w:val="14"/>
        </w:rPr>
        <w:t>inflation</w:t>
      </w:r>
      <w:r>
        <w:rPr>
          <w:spacing w:val="-16"/>
          <w:w w:val="110"/>
          <w:sz w:val="14"/>
        </w:rPr>
        <w:t> </w:t>
      </w:r>
      <w:r>
        <w:rPr>
          <w:spacing w:val="-3"/>
          <w:w w:val="110"/>
          <w:sz w:val="14"/>
        </w:rPr>
        <w:t>rate,</w:t>
      </w:r>
      <w:r>
        <w:rPr>
          <w:spacing w:val="-16"/>
          <w:w w:val="110"/>
          <w:sz w:val="14"/>
        </w:rPr>
        <w:t> </w:t>
      </w:r>
      <w:r>
        <w:rPr>
          <w:w w:val="110"/>
          <w:sz w:val="14"/>
        </w:rPr>
        <w:t>specified</w:t>
      </w:r>
      <w:r>
        <w:rPr>
          <w:spacing w:val="-16"/>
          <w:w w:val="110"/>
          <w:sz w:val="14"/>
        </w:rPr>
        <w:t> </w:t>
      </w:r>
      <w:r>
        <w:rPr>
          <w:spacing w:val="-3"/>
          <w:w w:val="110"/>
          <w:sz w:val="14"/>
        </w:rPr>
        <w:t>to</w:t>
      </w:r>
      <w:r>
        <w:rPr>
          <w:spacing w:val="-16"/>
          <w:w w:val="110"/>
          <w:sz w:val="14"/>
        </w:rPr>
        <w:t> </w:t>
      </w:r>
      <w:r>
        <w:rPr>
          <w:w w:val="110"/>
          <w:sz w:val="14"/>
        </w:rPr>
        <w:t>one</w:t>
      </w:r>
      <w:r>
        <w:rPr>
          <w:spacing w:val="-16"/>
          <w:w w:val="110"/>
          <w:sz w:val="14"/>
        </w:rPr>
        <w:t> </w:t>
      </w:r>
      <w:r>
        <w:rPr>
          <w:w w:val="110"/>
          <w:sz w:val="14"/>
        </w:rPr>
        <w:t>decimal</w:t>
      </w:r>
      <w:r>
        <w:rPr>
          <w:spacing w:val="-16"/>
          <w:w w:val="110"/>
          <w:sz w:val="14"/>
        </w:rPr>
        <w:t> </w:t>
      </w:r>
      <w:r>
        <w:rPr>
          <w:w w:val="110"/>
          <w:sz w:val="14"/>
        </w:rPr>
        <w:t>place.</w:t>
      </w:r>
      <w:r>
        <w:rPr>
          <w:spacing w:val="7"/>
          <w:w w:val="110"/>
          <w:sz w:val="14"/>
        </w:rPr>
        <w:t> </w:t>
      </w:r>
      <w:r>
        <w:rPr>
          <w:w w:val="110"/>
          <w:sz w:val="14"/>
        </w:rPr>
        <w:t>For</w:t>
      </w:r>
      <w:r>
        <w:rPr>
          <w:spacing w:val="-16"/>
          <w:w w:val="110"/>
          <w:sz w:val="14"/>
        </w:rPr>
        <w:t> </w:t>
      </w:r>
      <w:r>
        <w:rPr>
          <w:w w:val="110"/>
          <w:sz w:val="14"/>
        </w:rPr>
        <w:t>example,</w:t>
      </w:r>
      <w:r>
        <w:rPr>
          <w:spacing w:val="-16"/>
          <w:w w:val="110"/>
          <w:sz w:val="14"/>
        </w:rPr>
        <w:t> </w:t>
      </w:r>
      <w:r>
        <w:rPr>
          <w:w w:val="110"/>
          <w:sz w:val="14"/>
        </w:rPr>
        <w:t>the</w:t>
      </w:r>
      <w:r>
        <w:rPr>
          <w:spacing w:val="-16"/>
          <w:w w:val="110"/>
          <w:sz w:val="14"/>
        </w:rPr>
        <w:t> </w:t>
      </w:r>
      <w:r>
        <w:rPr>
          <w:w w:val="110"/>
          <w:sz w:val="14"/>
        </w:rPr>
        <w:t>probability</w:t>
      </w:r>
      <w:r>
        <w:rPr>
          <w:spacing w:val="-16"/>
          <w:w w:val="110"/>
          <w:sz w:val="14"/>
        </w:rPr>
        <w:t> </w:t>
      </w:r>
      <w:r>
        <w:rPr>
          <w:w w:val="110"/>
          <w:sz w:val="14"/>
        </w:rPr>
        <w:t>of</w:t>
      </w:r>
      <w:r>
        <w:rPr>
          <w:spacing w:val="-17"/>
          <w:w w:val="110"/>
          <w:sz w:val="14"/>
        </w:rPr>
        <w:t> </w:t>
      </w:r>
      <w:r>
        <w:rPr>
          <w:w w:val="110"/>
          <w:sz w:val="14"/>
        </w:rPr>
        <w:t>inflation</w:t>
      </w:r>
      <w:r>
        <w:rPr>
          <w:spacing w:val="-16"/>
          <w:w w:val="110"/>
          <w:sz w:val="14"/>
        </w:rPr>
        <w:t> </w:t>
      </w:r>
      <w:r>
        <w:rPr>
          <w:w w:val="110"/>
          <w:sz w:val="14"/>
        </w:rPr>
        <w:t>being 2.5%</w:t>
      </w:r>
      <w:r>
        <w:rPr>
          <w:spacing w:val="-4"/>
          <w:w w:val="110"/>
          <w:sz w:val="14"/>
        </w:rPr>
        <w:t> </w:t>
      </w:r>
      <w:r>
        <w:rPr>
          <w:w w:val="110"/>
          <w:sz w:val="14"/>
        </w:rPr>
        <w:t>(between</w:t>
      </w:r>
      <w:r>
        <w:rPr>
          <w:spacing w:val="-4"/>
          <w:w w:val="110"/>
          <w:sz w:val="14"/>
        </w:rPr>
        <w:t> 2.45% </w:t>
      </w:r>
      <w:r>
        <w:rPr>
          <w:w w:val="110"/>
          <w:sz w:val="14"/>
        </w:rPr>
        <w:t>and</w:t>
      </w:r>
      <w:r>
        <w:rPr>
          <w:spacing w:val="-4"/>
          <w:w w:val="110"/>
          <w:sz w:val="14"/>
        </w:rPr>
        <w:t> 2.55%) </w:t>
      </w:r>
      <w:r>
        <w:rPr>
          <w:w w:val="110"/>
          <w:sz w:val="14"/>
        </w:rPr>
        <w:t>in</w:t>
      </w:r>
      <w:r>
        <w:rPr>
          <w:spacing w:val="-4"/>
          <w:w w:val="110"/>
          <w:sz w:val="14"/>
        </w:rPr>
        <w:t> </w:t>
      </w:r>
      <w:r>
        <w:rPr>
          <w:w w:val="110"/>
          <w:sz w:val="14"/>
        </w:rPr>
        <w:t>the</w:t>
      </w:r>
      <w:r>
        <w:rPr>
          <w:spacing w:val="-4"/>
          <w:w w:val="110"/>
          <w:sz w:val="14"/>
        </w:rPr>
        <w:t> </w:t>
      </w:r>
      <w:r>
        <w:rPr>
          <w:w w:val="110"/>
          <w:sz w:val="14"/>
        </w:rPr>
        <w:t>current</w:t>
      </w:r>
      <w:r>
        <w:rPr>
          <w:spacing w:val="-4"/>
          <w:w w:val="110"/>
          <w:sz w:val="14"/>
        </w:rPr>
        <w:t> </w:t>
      </w:r>
      <w:r>
        <w:rPr>
          <w:w w:val="110"/>
          <w:sz w:val="14"/>
        </w:rPr>
        <w:t>projection</w:t>
      </w:r>
      <w:r>
        <w:rPr>
          <w:spacing w:val="-4"/>
          <w:w w:val="110"/>
          <w:sz w:val="14"/>
        </w:rPr>
        <w:t> </w:t>
      </w:r>
      <w:r>
        <w:rPr>
          <w:w w:val="110"/>
          <w:sz w:val="14"/>
        </w:rPr>
        <w:t>is</w:t>
      </w:r>
      <w:r>
        <w:rPr>
          <w:spacing w:val="-4"/>
          <w:w w:val="110"/>
          <w:sz w:val="14"/>
        </w:rPr>
        <w:t> </w:t>
      </w:r>
      <w:r>
        <w:rPr>
          <w:w w:val="110"/>
          <w:sz w:val="14"/>
        </w:rPr>
        <w:t>just</w:t>
      </w:r>
      <w:r>
        <w:rPr>
          <w:spacing w:val="-4"/>
          <w:w w:val="110"/>
          <w:sz w:val="14"/>
        </w:rPr>
        <w:t> </w:t>
      </w:r>
      <w:r>
        <w:rPr>
          <w:w w:val="110"/>
          <w:sz w:val="14"/>
        </w:rPr>
        <w:t>under</w:t>
      </w:r>
      <w:r>
        <w:rPr>
          <w:spacing w:val="-4"/>
          <w:w w:val="110"/>
          <w:sz w:val="14"/>
        </w:rPr>
        <w:t> </w:t>
      </w:r>
      <w:r>
        <w:rPr>
          <w:w w:val="110"/>
          <w:sz w:val="14"/>
        </w:rPr>
        <w:t>5%.</w:t>
      </w:r>
    </w:p>
    <w:p>
      <w:pPr>
        <w:pStyle w:val="ListParagraph"/>
        <w:numPr>
          <w:ilvl w:val="0"/>
          <w:numId w:val="36"/>
        </w:numPr>
        <w:tabs>
          <w:tab w:pos="425" w:val="left" w:leader="none"/>
        </w:tabs>
        <w:spacing w:line="237" w:lineRule="auto" w:before="0" w:after="0"/>
        <w:ind w:left="425" w:right="180" w:hanging="240"/>
        <w:jc w:val="left"/>
        <w:rPr>
          <w:sz w:val="14"/>
        </w:rPr>
      </w:pPr>
      <w:r>
        <w:rPr>
          <w:w w:val="110"/>
          <w:sz w:val="14"/>
        </w:rPr>
        <w:t>The</w:t>
      </w:r>
      <w:r>
        <w:rPr>
          <w:spacing w:val="-11"/>
          <w:w w:val="110"/>
          <w:sz w:val="14"/>
        </w:rPr>
        <w:t> </w:t>
      </w:r>
      <w:r>
        <w:rPr>
          <w:w w:val="110"/>
          <w:sz w:val="14"/>
        </w:rPr>
        <w:t>areas</w:t>
      </w:r>
      <w:r>
        <w:rPr>
          <w:spacing w:val="-11"/>
          <w:w w:val="110"/>
          <w:sz w:val="14"/>
        </w:rPr>
        <w:t> </w:t>
      </w:r>
      <w:r>
        <w:rPr>
          <w:w w:val="110"/>
          <w:sz w:val="14"/>
        </w:rPr>
        <w:t>shaded</w:t>
      </w:r>
      <w:r>
        <w:rPr>
          <w:spacing w:val="-11"/>
          <w:w w:val="110"/>
          <w:sz w:val="14"/>
        </w:rPr>
        <w:t> </w:t>
      </w:r>
      <w:r>
        <w:rPr>
          <w:w w:val="110"/>
          <w:sz w:val="14"/>
        </w:rPr>
        <w:t>light</w:t>
      </w:r>
      <w:r>
        <w:rPr>
          <w:spacing w:val="-11"/>
          <w:w w:val="110"/>
          <w:sz w:val="14"/>
        </w:rPr>
        <w:t> </w:t>
      </w:r>
      <w:r>
        <w:rPr>
          <w:spacing w:val="-3"/>
          <w:w w:val="110"/>
          <w:sz w:val="14"/>
        </w:rPr>
        <w:t>grey</w:t>
      </w:r>
      <w:r>
        <w:rPr>
          <w:spacing w:val="-10"/>
          <w:w w:val="110"/>
          <w:sz w:val="14"/>
        </w:rPr>
        <w:t> </w:t>
      </w:r>
      <w:r>
        <w:rPr>
          <w:w w:val="110"/>
          <w:sz w:val="14"/>
        </w:rPr>
        <w:t>contain</w:t>
      </w:r>
      <w:r>
        <w:rPr>
          <w:spacing w:val="-11"/>
          <w:w w:val="110"/>
          <w:sz w:val="14"/>
        </w:rPr>
        <w:t> </w:t>
      </w:r>
      <w:r>
        <w:rPr>
          <w:spacing w:val="-3"/>
          <w:w w:val="110"/>
          <w:sz w:val="14"/>
        </w:rPr>
        <w:t>90%</w:t>
      </w:r>
      <w:r>
        <w:rPr>
          <w:spacing w:val="-11"/>
          <w:w w:val="110"/>
          <w:sz w:val="14"/>
        </w:rPr>
        <w:t> </w:t>
      </w:r>
      <w:r>
        <w:rPr>
          <w:w w:val="110"/>
          <w:sz w:val="14"/>
        </w:rPr>
        <w:t>of</w:t>
      </w:r>
      <w:r>
        <w:rPr>
          <w:spacing w:val="-11"/>
          <w:w w:val="110"/>
          <w:sz w:val="14"/>
        </w:rPr>
        <w:t> </w:t>
      </w:r>
      <w:r>
        <w:rPr>
          <w:w w:val="110"/>
          <w:sz w:val="14"/>
        </w:rPr>
        <w:t>the</w:t>
      </w:r>
      <w:r>
        <w:rPr>
          <w:spacing w:val="-11"/>
          <w:w w:val="110"/>
          <w:sz w:val="14"/>
        </w:rPr>
        <w:t> </w:t>
      </w:r>
      <w:r>
        <w:rPr>
          <w:spacing w:val="-3"/>
          <w:w w:val="110"/>
          <w:sz w:val="14"/>
        </w:rPr>
        <w:t>probability,</w:t>
      </w:r>
      <w:r>
        <w:rPr>
          <w:spacing w:val="-10"/>
          <w:w w:val="110"/>
          <w:sz w:val="14"/>
        </w:rPr>
        <w:t> </w:t>
      </w:r>
      <w:r>
        <w:rPr>
          <w:w w:val="110"/>
          <w:sz w:val="14"/>
        </w:rPr>
        <w:t>and</w:t>
      </w:r>
      <w:r>
        <w:rPr>
          <w:spacing w:val="-11"/>
          <w:w w:val="110"/>
          <w:sz w:val="14"/>
        </w:rPr>
        <w:t> </w:t>
      </w:r>
      <w:r>
        <w:rPr>
          <w:w w:val="110"/>
          <w:sz w:val="14"/>
        </w:rPr>
        <w:t>are</w:t>
      </w:r>
      <w:r>
        <w:rPr>
          <w:spacing w:val="-11"/>
          <w:w w:val="110"/>
          <w:sz w:val="14"/>
        </w:rPr>
        <w:t> </w:t>
      </w:r>
      <w:r>
        <w:rPr>
          <w:w w:val="110"/>
          <w:sz w:val="14"/>
        </w:rPr>
        <w:t>consistent</w:t>
      </w:r>
      <w:r>
        <w:rPr>
          <w:spacing w:val="-11"/>
          <w:w w:val="110"/>
          <w:sz w:val="14"/>
        </w:rPr>
        <w:t> </w:t>
      </w:r>
      <w:r>
        <w:rPr>
          <w:w w:val="110"/>
          <w:sz w:val="14"/>
        </w:rPr>
        <w:t>with</w:t>
      </w:r>
      <w:r>
        <w:rPr>
          <w:spacing w:val="-11"/>
          <w:w w:val="110"/>
          <w:sz w:val="14"/>
        </w:rPr>
        <w:t> </w:t>
      </w:r>
      <w:r>
        <w:rPr>
          <w:w w:val="110"/>
          <w:sz w:val="14"/>
        </w:rPr>
        <w:t>the</w:t>
      </w:r>
      <w:r>
        <w:rPr>
          <w:spacing w:val="-10"/>
          <w:w w:val="110"/>
          <w:sz w:val="14"/>
        </w:rPr>
        <w:t> </w:t>
      </w:r>
      <w:r>
        <w:rPr>
          <w:w w:val="110"/>
          <w:sz w:val="14"/>
        </w:rPr>
        <w:t>widest</w:t>
      </w:r>
      <w:r>
        <w:rPr>
          <w:spacing w:val="-11"/>
          <w:w w:val="110"/>
          <w:sz w:val="14"/>
        </w:rPr>
        <w:t> </w:t>
      </w:r>
      <w:r>
        <w:rPr>
          <w:w w:val="110"/>
          <w:sz w:val="14"/>
        </w:rPr>
        <w:t>bands</w:t>
      </w:r>
      <w:r>
        <w:rPr>
          <w:spacing w:val="-11"/>
          <w:w w:val="110"/>
          <w:sz w:val="14"/>
        </w:rPr>
        <w:t> </w:t>
      </w:r>
      <w:r>
        <w:rPr>
          <w:w w:val="110"/>
          <w:sz w:val="14"/>
        </w:rPr>
        <w:t>shown</w:t>
      </w:r>
      <w:r>
        <w:rPr>
          <w:spacing w:val="-11"/>
          <w:w w:val="110"/>
          <w:sz w:val="14"/>
        </w:rPr>
        <w:t> </w:t>
      </w:r>
      <w:r>
        <w:rPr>
          <w:w w:val="110"/>
          <w:sz w:val="14"/>
        </w:rPr>
        <w:t>in</w:t>
      </w:r>
      <w:r>
        <w:rPr>
          <w:spacing w:val="-11"/>
          <w:w w:val="110"/>
          <w:sz w:val="14"/>
        </w:rPr>
        <w:t> </w:t>
      </w:r>
      <w:r>
        <w:rPr>
          <w:w w:val="110"/>
          <w:sz w:val="14"/>
        </w:rPr>
        <w:t>Charts</w:t>
      </w:r>
      <w:r>
        <w:rPr>
          <w:spacing w:val="-10"/>
          <w:w w:val="110"/>
          <w:sz w:val="14"/>
        </w:rPr>
        <w:t> </w:t>
      </w:r>
      <w:r>
        <w:rPr>
          <w:w w:val="110"/>
          <w:sz w:val="14"/>
        </w:rPr>
        <w:t>6.2</w:t>
      </w:r>
      <w:r>
        <w:rPr>
          <w:spacing w:val="-11"/>
          <w:w w:val="110"/>
          <w:sz w:val="14"/>
        </w:rPr>
        <w:t> </w:t>
      </w:r>
      <w:r>
        <w:rPr>
          <w:w w:val="110"/>
          <w:sz w:val="14"/>
        </w:rPr>
        <w:t>and</w:t>
      </w:r>
      <w:r>
        <w:rPr>
          <w:spacing w:val="-11"/>
          <w:w w:val="110"/>
          <w:sz w:val="14"/>
        </w:rPr>
        <w:t> </w:t>
      </w:r>
      <w:r>
        <w:rPr>
          <w:w w:val="110"/>
          <w:sz w:val="14"/>
        </w:rPr>
        <w:t>6.3.</w:t>
      </w:r>
      <w:r>
        <w:rPr>
          <w:spacing w:val="17"/>
          <w:w w:val="110"/>
          <w:sz w:val="14"/>
        </w:rPr>
        <w:t> </w:t>
      </w:r>
      <w:r>
        <w:rPr>
          <w:w w:val="110"/>
          <w:sz w:val="14"/>
        </w:rPr>
        <w:t>For</w:t>
      </w:r>
      <w:r>
        <w:rPr>
          <w:spacing w:val="-11"/>
          <w:w w:val="110"/>
          <w:sz w:val="14"/>
        </w:rPr>
        <w:t> </w:t>
      </w:r>
      <w:r>
        <w:rPr>
          <w:w w:val="110"/>
          <w:sz w:val="14"/>
        </w:rPr>
        <w:t>further</w:t>
      </w:r>
      <w:r>
        <w:rPr>
          <w:spacing w:val="-11"/>
          <w:w w:val="110"/>
          <w:sz w:val="14"/>
        </w:rPr>
        <w:t> </w:t>
      </w:r>
      <w:r>
        <w:rPr>
          <w:w w:val="110"/>
          <w:sz w:val="14"/>
        </w:rPr>
        <w:t>details</w:t>
      </w:r>
      <w:r>
        <w:rPr>
          <w:spacing w:val="-11"/>
          <w:w w:val="110"/>
          <w:sz w:val="14"/>
        </w:rPr>
        <w:t> </w:t>
      </w:r>
      <w:r>
        <w:rPr>
          <w:w w:val="110"/>
          <w:sz w:val="14"/>
        </w:rPr>
        <w:t>see</w:t>
      </w:r>
      <w:r>
        <w:rPr>
          <w:spacing w:val="-10"/>
          <w:w w:val="110"/>
          <w:sz w:val="14"/>
        </w:rPr>
        <w:t> </w:t>
      </w:r>
      <w:r>
        <w:rPr>
          <w:w w:val="110"/>
          <w:sz w:val="14"/>
        </w:rPr>
        <w:t>‘The</w:t>
      </w:r>
      <w:r>
        <w:rPr>
          <w:spacing w:val="-11"/>
          <w:w w:val="110"/>
          <w:sz w:val="14"/>
        </w:rPr>
        <w:t> </w:t>
      </w:r>
      <w:r>
        <w:rPr>
          <w:i/>
          <w:w w:val="110"/>
          <w:sz w:val="14"/>
        </w:rPr>
        <w:t>Inflation </w:t>
      </w:r>
      <w:r>
        <w:rPr>
          <w:i/>
          <w:w w:val="110"/>
          <w:sz w:val="14"/>
        </w:rPr>
        <w:t>Report</w:t>
      </w:r>
      <w:r>
        <w:rPr>
          <w:i/>
          <w:spacing w:val="-8"/>
          <w:w w:val="110"/>
          <w:sz w:val="14"/>
        </w:rPr>
        <w:t> </w:t>
      </w:r>
      <w:r>
        <w:rPr>
          <w:w w:val="110"/>
          <w:sz w:val="14"/>
        </w:rPr>
        <w:t>projections:</w:t>
      </w:r>
      <w:r>
        <w:rPr>
          <w:spacing w:val="24"/>
          <w:w w:val="110"/>
          <w:sz w:val="14"/>
        </w:rPr>
        <w:t> </w:t>
      </w:r>
      <w:r>
        <w:rPr>
          <w:w w:val="110"/>
          <w:sz w:val="14"/>
        </w:rPr>
        <w:t>understanding</w:t>
      </w:r>
      <w:r>
        <w:rPr>
          <w:spacing w:val="-8"/>
          <w:w w:val="110"/>
          <w:sz w:val="14"/>
        </w:rPr>
        <w:t> </w:t>
      </w:r>
      <w:r>
        <w:rPr>
          <w:w w:val="110"/>
          <w:sz w:val="14"/>
        </w:rPr>
        <w:t>the</w:t>
      </w:r>
      <w:r>
        <w:rPr>
          <w:spacing w:val="-7"/>
          <w:w w:val="110"/>
          <w:sz w:val="14"/>
        </w:rPr>
        <w:t> </w:t>
      </w:r>
      <w:r>
        <w:rPr>
          <w:w w:val="110"/>
          <w:sz w:val="14"/>
        </w:rPr>
        <w:t>fan</w:t>
      </w:r>
      <w:r>
        <w:rPr>
          <w:spacing w:val="-7"/>
          <w:w w:val="110"/>
          <w:sz w:val="14"/>
        </w:rPr>
        <w:t> </w:t>
      </w:r>
      <w:r>
        <w:rPr>
          <w:spacing w:val="-4"/>
          <w:w w:val="110"/>
          <w:sz w:val="14"/>
        </w:rPr>
        <w:t>chart’,</w:t>
      </w:r>
      <w:r>
        <w:rPr>
          <w:spacing w:val="-8"/>
          <w:w w:val="110"/>
          <w:sz w:val="14"/>
        </w:rPr>
        <w:t> </w:t>
      </w:r>
      <w:r>
        <w:rPr>
          <w:w w:val="110"/>
          <w:sz w:val="14"/>
        </w:rPr>
        <w:t>February</w:t>
      </w:r>
      <w:r>
        <w:rPr>
          <w:spacing w:val="-7"/>
          <w:w w:val="110"/>
          <w:sz w:val="14"/>
        </w:rPr>
        <w:t> </w:t>
      </w:r>
      <w:r>
        <w:rPr>
          <w:spacing w:val="-12"/>
          <w:w w:val="110"/>
          <w:sz w:val="14"/>
        </w:rPr>
        <w:t>1998</w:t>
      </w:r>
      <w:r>
        <w:rPr>
          <w:spacing w:val="-7"/>
          <w:w w:val="110"/>
          <w:sz w:val="14"/>
        </w:rPr>
        <w:t> </w:t>
      </w:r>
      <w:r>
        <w:rPr>
          <w:i/>
          <w:w w:val="110"/>
          <w:sz w:val="14"/>
        </w:rPr>
        <w:t>Quarterly</w:t>
      </w:r>
      <w:r>
        <w:rPr>
          <w:i/>
          <w:spacing w:val="-8"/>
          <w:w w:val="110"/>
          <w:sz w:val="14"/>
        </w:rPr>
        <w:t> </w:t>
      </w:r>
      <w:r>
        <w:rPr>
          <w:i/>
          <w:w w:val="110"/>
          <w:sz w:val="14"/>
        </w:rPr>
        <w:t>Bulletin</w:t>
      </w:r>
      <w:r>
        <w:rPr>
          <w:w w:val="110"/>
          <w:sz w:val="14"/>
        </w:rPr>
        <w:t>,</w:t>
      </w:r>
      <w:r>
        <w:rPr>
          <w:spacing w:val="-7"/>
          <w:w w:val="110"/>
          <w:sz w:val="14"/>
        </w:rPr>
        <w:t> </w:t>
      </w:r>
      <w:r>
        <w:rPr>
          <w:w w:val="110"/>
          <w:sz w:val="14"/>
        </w:rPr>
        <w:t>pages</w:t>
      </w:r>
      <w:r>
        <w:rPr>
          <w:spacing w:val="-8"/>
          <w:w w:val="110"/>
          <w:sz w:val="14"/>
        </w:rPr>
        <w:t> </w:t>
      </w:r>
      <w:r>
        <w:rPr>
          <w:spacing w:val="-10"/>
          <w:w w:val="110"/>
          <w:sz w:val="14"/>
        </w:rPr>
        <w:t>30–37,</w:t>
      </w:r>
      <w:r>
        <w:rPr>
          <w:spacing w:val="-7"/>
          <w:w w:val="110"/>
          <w:sz w:val="14"/>
        </w:rPr>
        <w:t> </w:t>
      </w:r>
      <w:r>
        <w:rPr>
          <w:w w:val="110"/>
          <w:sz w:val="14"/>
        </w:rPr>
        <w:t>and</w:t>
      </w:r>
      <w:r>
        <w:rPr>
          <w:spacing w:val="-7"/>
          <w:w w:val="110"/>
          <w:sz w:val="14"/>
        </w:rPr>
        <w:t> </w:t>
      </w:r>
      <w:r>
        <w:rPr>
          <w:w w:val="110"/>
          <w:sz w:val="14"/>
        </w:rPr>
        <w:t>the</w:t>
      </w:r>
      <w:r>
        <w:rPr>
          <w:spacing w:val="-8"/>
          <w:w w:val="110"/>
          <w:sz w:val="14"/>
        </w:rPr>
        <w:t> </w:t>
      </w:r>
      <w:r>
        <w:rPr>
          <w:w w:val="110"/>
          <w:sz w:val="14"/>
        </w:rPr>
        <w:t>box</w:t>
      </w:r>
      <w:r>
        <w:rPr>
          <w:spacing w:val="-7"/>
          <w:w w:val="110"/>
          <w:sz w:val="14"/>
        </w:rPr>
        <w:t> </w:t>
      </w:r>
      <w:r>
        <w:rPr>
          <w:w w:val="110"/>
          <w:sz w:val="14"/>
        </w:rPr>
        <w:t>on</w:t>
      </w:r>
      <w:r>
        <w:rPr>
          <w:spacing w:val="-8"/>
          <w:w w:val="110"/>
          <w:sz w:val="14"/>
        </w:rPr>
        <w:t> </w:t>
      </w:r>
      <w:r>
        <w:rPr>
          <w:w w:val="110"/>
          <w:sz w:val="14"/>
        </w:rPr>
        <w:t>page</w:t>
      </w:r>
      <w:r>
        <w:rPr>
          <w:spacing w:val="-7"/>
          <w:w w:val="110"/>
          <w:sz w:val="14"/>
        </w:rPr>
        <w:t> </w:t>
      </w:r>
      <w:r>
        <w:rPr>
          <w:spacing w:val="-6"/>
          <w:w w:val="110"/>
          <w:sz w:val="14"/>
        </w:rPr>
        <w:t>52</w:t>
      </w:r>
      <w:r>
        <w:rPr>
          <w:spacing w:val="-7"/>
          <w:w w:val="110"/>
          <w:sz w:val="14"/>
        </w:rPr>
        <w:t> </w:t>
      </w:r>
      <w:r>
        <w:rPr>
          <w:w w:val="110"/>
          <w:sz w:val="14"/>
        </w:rPr>
        <w:t>of</w:t>
      </w:r>
      <w:r>
        <w:rPr>
          <w:spacing w:val="-8"/>
          <w:w w:val="110"/>
          <w:sz w:val="14"/>
        </w:rPr>
        <w:t> </w:t>
      </w:r>
      <w:r>
        <w:rPr>
          <w:w w:val="110"/>
          <w:sz w:val="14"/>
        </w:rPr>
        <w:t>the</w:t>
      </w:r>
      <w:r>
        <w:rPr>
          <w:spacing w:val="-7"/>
          <w:w w:val="110"/>
          <w:sz w:val="14"/>
        </w:rPr>
        <w:t> </w:t>
      </w:r>
      <w:r>
        <w:rPr>
          <w:w w:val="110"/>
          <w:sz w:val="14"/>
        </w:rPr>
        <w:t>February</w:t>
      </w:r>
      <w:r>
        <w:rPr>
          <w:spacing w:val="-7"/>
          <w:w w:val="110"/>
          <w:sz w:val="14"/>
        </w:rPr>
        <w:t> </w:t>
      </w:r>
      <w:r>
        <w:rPr>
          <w:spacing w:val="-11"/>
          <w:w w:val="110"/>
          <w:sz w:val="14"/>
        </w:rPr>
        <w:t>1999</w:t>
      </w:r>
      <w:r>
        <w:rPr>
          <w:spacing w:val="-8"/>
          <w:w w:val="110"/>
          <w:sz w:val="14"/>
        </w:rPr>
        <w:t> </w:t>
      </w:r>
      <w:r>
        <w:rPr>
          <w:i/>
          <w:w w:val="110"/>
          <w:sz w:val="14"/>
        </w:rPr>
        <w:t>Inflation</w:t>
      </w:r>
      <w:r>
        <w:rPr>
          <w:i/>
          <w:spacing w:val="-7"/>
          <w:w w:val="110"/>
          <w:sz w:val="14"/>
        </w:rPr>
        <w:t> </w:t>
      </w:r>
      <w:r>
        <w:rPr>
          <w:i/>
          <w:w w:val="110"/>
          <w:sz w:val="14"/>
        </w:rPr>
        <w:t>Report</w:t>
      </w:r>
      <w:r>
        <w:rPr>
          <w:w w:val="110"/>
          <w:sz w:val="14"/>
        </w:rPr>
        <w:t>.</w:t>
      </w:r>
    </w:p>
    <w:p>
      <w:pPr>
        <w:pStyle w:val="BodyText"/>
      </w:pPr>
    </w:p>
    <w:p>
      <w:pPr>
        <w:pStyle w:val="BodyText"/>
        <w:rPr>
          <w:sz w:val="27"/>
        </w:rPr>
      </w:pPr>
    </w:p>
    <w:p>
      <w:pPr>
        <w:spacing w:after="0"/>
        <w:rPr>
          <w:sz w:val="27"/>
        </w:rPr>
        <w:sectPr>
          <w:type w:val="continuous"/>
          <w:pgSz w:w="11900" w:h="16840"/>
          <w:pgMar w:top="1260" w:bottom="280" w:left="640" w:right="640"/>
        </w:sectPr>
      </w:pPr>
    </w:p>
    <w:p>
      <w:pPr>
        <w:pStyle w:val="Heading6"/>
        <w:spacing w:before="109"/>
        <w:ind w:left="189"/>
      </w:pPr>
      <w:r>
        <w:rPr>
          <w:color w:val="89C6DC"/>
        </w:rPr>
        <w:t>Table 6.A</w:t>
      </w:r>
    </w:p>
    <w:p>
      <w:pPr>
        <w:spacing w:line="247" w:lineRule="auto" w:before="7"/>
        <w:ind w:left="189" w:right="212" w:firstLine="0"/>
        <w:jc w:val="left"/>
        <w:rPr>
          <w:sz w:val="12"/>
        </w:rPr>
      </w:pPr>
      <w:r>
        <w:rPr>
          <w:rFonts w:ascii="Trebuchet MS" w:hAnsi="Trebuchet MS"/>
          <w:b/>
          <w:color w:val="89C6DC"/>
          <w:w w:val="95"/>
          <w:sz w:val="20"/>
        </w:rPr>
        <w:t>The </w:t>
      </w:r>
      <w:r>
        <w:rPr>
          <w:rFonts w:ascii="Trebuchet MS" w:hAnsi="Trebuchet MS"/>
          <w:b/>
          <w:color w:val="89C6DC"/>
          <w:spacing w:val="-3"/>
          <w:w w:val="95"/>
          <w:sz w:val="20"/>
        </w:rPr>
        <w:t>MPC’s </w:t>
      </w:r>
      <w:r>
        <w:rPr>
          <w:rFonts w:ascii="Trebuchet MS" w:hAnsi="Trebuchet MS"/>
          <w:b/>
          <w:color w:val="89C6DC"/>
          <w:w w:val="95"/>
          <w:sz w:val="20"/>
        </w:rPr>
        <w:t>expectations for RPIX inflation and GDP</w:t>
      </w:r>
      <w:r>
        <w:rPr>
          <w:rFonts w:ascii="Trebuchet MS" w:hAnsi="Trebuchet MS"/>
          <w:b/>
          <w:color w:val="89C6DC"/>
          <w:spacing w:val="-27"/>
          <w:w w:val="95"/>
          <w:sz w:val="20"/>
        </w:rPr>
        <w:t> </w:t>
      </w:r>
      <w:r>
        <w:rPr>
          <w:rFonts w:ascii="Trebuchet MS" w:hAnsi="Trebuchet MS"/>
          <w:b/>
          <w:color w:val="89C6DC"/>
          <w:w w:val="95"/>
          <w:sz w:val="20"/>
        </w:rPr>
        <w:t>growth</w:t>
      </w:r>
      <w:r>
        <w:rPr>
          <w:rFonts w:ascii="Trebuchet MS" w:hAnsi="Trebuchet MS"/>
          <w:b/>
          <w:color w:val="89C6DC"/>
          <w:spacing w:val="-24"/>
          <w:w w:val="95"/>
          <w:sz w:val="20"/>
        </w:rPr>
        <w:t> </w:t>
      </w:r>
      <w:r>
        <w:rPr>
          <w:rFonts w:ascii="Trebuchet MS" w:hAnsi="Trebuchet MS"/>
          <w:b/>
          <w:color w:val="89C6DC"/>
          <w:w w:val="95"/>
          <w:sz w:val="20"/>
        </w:rPr>
        <w:t>based</w:t>
      </w:r>
      <w:r>
        <w:rPr>
          <w:rFonts w:ascii="Trebuchet MS" w:hAnsi="Trebuchet MS"/>
          <w:b/>
          <w:color w:val="89C6DC"/>
          <w:spacing w:val="-24"/>
          <w:w w:val="95"/>
          <w:sz w:val="20"/>
        </w:rPr>
        <w:t> </w:t>
      </w:r>
      <w:r>
        <w:rPr>
          <w:rFonts w:ascii="Trebuchet MS" w:hAnsi="Trebuchet MS"/>
          <w:b/>
          <w:color w:val="89C6DC"/>
          <w:w w:val="95"/>
          <w:sz w:val="20"/>
        </w:rPr>
        <w:t>on</w:t>
      </w:r>
      <w:r>
        <w:rPr>
          <w:rFonts w:ascii="Trebuchet MS" w:hAnsi="Trebuchet MS"/>
          <w:b/>
          <w:color w:val="89C6DC"/>
          <w:spacing w:val="-24"/>
          <w:w w:val="95"/>
          <w:sz w:val="20"/>
        </w:rPr>
        <w:t> </w:t>
      </w:r>
      <w:r>
        <w:rPr>
          <w:rFonts w:ascii="Trebuchet MS" w:hAnsi="Trebuchet MS"/>
          <w:b/>
          <w:color w:val="89C6DC"/>
          <w:w w:val="95"/>
          <w:sz w:val="20"/>
        </w:rPr>
        <w:t>constant</w:t>
      </w:r>
      <w:r>
        <w:rPr>
          <w:rFonts w:ascii="Trebuchet MS" w:hAnsi="Trebuchet MS"/>
          <w:b/>
          <w:color w:val="89C6DC"/>
          <w:spacing w:val="-25"/>
          <w:w w:val="95"/>
          <w:sz w:val="20"/>
        </w:rPr>
        <w:t> </w:t>
      </w:r>
      <w:r>
        <w:rPr>
          <w:rFonts w:ascii="Trebuchet MS" w:hAnsi="Trebuchet MS"/>
          <w:b/>
          <w:color w:val="89C6DC"/>
          <w:w w:val="95"/>
          <w:sz w:val="20"/>
        </w:rPr>
        <w:t>nominal</w:t>
      </w:r>
      <w:r>
        <w:rPr>
          <w:rFonts w:ascii="Trebuchet MS" w:hAnsi="Trebuchet MS"/>
          <w:b/>
          <w:color w:val="89C6DC"/>
          <w:spacing w:val="-24"/>
          <w:w w:val="95"/>
          <w:sz w:val="20"/>
        </w:rPr>
        <w:t> </w:t>
      </w:r>
      <w:r>
        <w:rPr>
          <w:rFonts w:ascii="Trebuchet MS" w:hAnsi="Trebuchet MS"/>
          <w:b/>
          <w:color w:val="89C6DC"/>
          <w:w w:val="95"/>
          <w:sz w:val="20"/>
        </w:rPr>
        <w:t>interest </w:t>
      </w:r>
      <w:r>
        <w:rPr>
          <w:rFonts w:ascii="Trebuchet MS" w:hAnsi="Trebuchet MS"/>
          <w:b/>
          <w:color w:val="89C6DC"/>
          <w:sz w:val="20"/>
        </w:rPr>
        <w:t>rates at</w:t>
      </w:r>
      <w:r>
        <w:rPr>
          <w:rFonts w:ascii="Trebuchet MS" w:hAnsi="Trebuchet MS"/>
          <w:b/>
          <w:color w:val="89C6DC"/>
          <w:spacing w:val="7"/>
          <w:sz w:val="20"/>
        </w:rPr>
        <w:t> </w:t>
      </w:r>
      <w:r>
        <w:rPr>
          <w:rFonts w:ascii="Trebuchet MS" w:hAnsi="Trebuchet MS"/>
          <w:b/>
          <w:color w:val="89C6DC"/>
          <w:sz w:val="20"/>
        </w:rPr>
        <w:t>5.75%</w:t>
      </w:r>
      <w:r>
        <w:rPr>
          <w:position w:val="4"/>
          <w:sz w:val="12"/>
        </w:rPr>
        <w:t>(a)</w:t>
      </w:r>
    </w:p>
    <w:p>
      <w:pPr>
        <w:spacing w:before="102"/>
        <w:ind w:left="189" w:right="0" w:firstLine="0"/>
        <w:jc w:val="left"/>
        <w:rPr>
          <w:rFonts w:ascii="Georgia"/>
          <w:sz w:val="14"/>
        </w:rPr>
      </w:pPr>
      <w:r>
        <w:rPr>
          <w:rFonts w:ascii="Georgia"/>
          <w:w w:val="105"/>
          <w:sz w:val="14"/>
        </w:rPr>
        <w:t>RPIX inflation</w:t>
      </w:r>
    </w:p>
    <w:p>
      <w:pPr>
        <w:tabs>
          <w:tab w:pos="4464" w:val="left" w:leader="none"/>
        </w:tabs>
        <w:spacing w:before="119"/>
        <w:ind w:left="189" w:right="0" w:firstLine="0"/>
        <w:jc w:val="both"/>
        <w:rPr>
          <w:sz w:val="14"/>
        </w:rPr>
      </w:pPr>
      <w:r>
        <w:rPr>
          <w:spacing w:val="-3"/>
          <w:w w:val="105"/>
          <w:sz w:val="14"/>
        </w:rPr>
        <w:t>Probability, </w:t>
      </w:r>
      <w:r>
        <w:rPr>
          <w:w w:val="105"/>
          <w:sz w:val="14"/>
        </w:rPr>
        <w:t>per cent   </w:t>
      </w:r>
      <w:r>
        <w:rPr>
          <w:spacing w:val="22"/>
          <w:w w:val="105"/>
          <w:sz w:val="14"/>
        </w:rPr>
        <w:t> </w:t>
      </w:r>
      <w:r>
        <w:rPr>
          <w:w w:val="105"/>
          <w:sz w:val="14"/>
          <w:u w:val="single"/>
        </w:rPr>
        <w:t>Range:</w:t>
      </w:r>
      <w:r>
        <w:rPr>
          <w:sz w:val="14"/>
          <w:u w:val="single"/>
        </w:rPr>
        <w:tab/>
      </w:r>
    </w:p>
    <w:p>
      <w:pPr>
        <w:tabs>
          <w:tab w:pos="3080" w:val="left" w:leader="none"/>
          <w:tab w:pos="3639" w:val="left" w:leader="none"/>
        </w:tabs>
        <w:spacing w:line="208" w:lineRule="auto" w:before="36"/>
        <w:ind w:left="1550" w:right="76" w:firstLine="0"/>
        <w:jc w:val="both"/>
        <w:rPr>
          <w:sz w:val="14"/>
        </w:rPr>
      </w:pPr>
      <w:r>
        <w:rPr>
          <w:w w:val="105"/>
          <w:sz w:val="14"/>
        </w:rPr>
        <w:t>less  </w:t>
      </w:r>
      <w:r>
        <w:rPr>
          <w:spacing w:val="36"/>
          <w:w w:val="105"/>
          <w:sz w:val="14"/>
        </w:rPr>
        <w:t> </w:t>
      </w:r>
      <w:r>
        <w:rPr>
          <w:w w:val="105"/>
          <w:sz w:val="14"/>
        </w:rPr>
        <w:t>1.5%    2.0%     2.5%     3.0%    more  than     </w:t>
      </w:r>
      <w:r>
        <w:rPr>
          <w:spacing w:val="18"/>
          <w:w w:val="105"/>
          <w:sz w:val="14"/>
        </w:rPr>
        <w:t> </w:t>
      </w:r>
      <w:r>
        <w:rPr>
          <w:spacing w:val="-3"/>
          <w:w w:val="105"/>
          <w:sz w:val="14"/>
        </w:rPr>
        <w:t>to          </w:t>
      </w:r>
      <w:r>
        <w:rPr>
          <w:spacing w:val="6"/>
          <w:w w:val="105"/>
          <w:sz w:val="14"/>
        </w:rPr>
        <w:t> </w:t>
      </w:r>
      <w:r>
        <w:rPr>
          <w:spacing w:val="-3"/>
          <w:w w:val="105"/>
          <w:sz w:val="14"/>
        </w:rPr>
        <w:t>to</w:t>
        <w:tab/>
        <w:t>to</w:t>
        <w:tab/>
        <w:t>to   </w:t>
      </w:r>
      <w:r>
        <w:rPr>
          <w:w w:val="105"/>
          <w:sz w:val="14"/>
        </w:rPr>
        <w:t>than </w:t>
      </w:r>
      <w:r>
        <w:rPr>
          <w:w w:val="105"/>
          <w:sz w:val="14"/>
          <w:u w:val="single"/>
        </w:rPr>
        <w:t>1.5%</w:t>
      </w:r>
      <w:r>
        <w:rPr>
          <w:w w:val="105"/>
          <w:sz w:val="14"/>
        </w:rPr>
        <w:t> </w:t>
      </w:r>
      <w:r>
        <w:rPr>
          <w:w w:val="105"/>
          <w:sz w:val="14"/>
          <w:u w:val="single"/>
        </w:rPr>
        <w:t>2.0%</w:t>
      </w:r>
      <w:r>
        <w:rPr>
          <w:w w:val="105"/>
          <w:sz w:val="14"/>
        </w:rPr>
        <w:t> </w:t>
      </w:r>
      <w:r>
        <w:rPr>
          <w:w w:val="105"/>
          <w:sz w:val="14"/>
          <w:u w:val="single"/>
        </w:rPr>
        <w:t>2.5%</w:t>
      </w:r>
      <w:r>
        <w:rPr>
          <w:w w:val="105"/>
          <w:sz w:val="14"/>
        </w:rPr>
        <w:t> </w:t>
      </w:r>
      <w:r>
        <w:rPr>
          <w:w w:val="105"/>
          <w:sz w:val="14"/>
          <w:u w:val="single"/>
        </w:rPr>
        <w:t>3.0%</w:t>
      </w:r>
      <w:r>
        <w:rPr>
          <w:w w:val="105"/>
          <w:sz w:val="14"/>
        </w:rPr>
        <w:t> </w:t>
      </w:r>
      <w:r>
        <w:rPr>
          <w:w w:val="105"/>
          <w:sz w:val="14"/>
          <w:u w:val="single"/>
        </w:rPr>
        <w:t>3.5%</w:t>
      </w:r>
      <w:r>
        <w:rPr>
          <w:spacing w:val="25"/>
          <w:w w:val="105"/>
          <w:sz w:val="14"/>
        </w:rPr>
        <w:t> </w:t>
      </w:r>
      <w:r>
        <w:rPr>
          <w:w w:val="105"/>
          <w:sz w:val="14"/>
          <w:u w:val="single"/>
        </w:rPr>
        <w:t>3.5%</w:t>
      </w:r>
    </w:p>
    <w:p>
      <w:pPr>
        <w:tabs>
          <w:tab w:pos="1610" w:val="left" w:leader="none"/>
          <w:tab w:pos="2103" w:val="left" w:leader="none"/>
          <w:tab w:pos="2582" w:val="left" w:leader="none"/>
          <w:tab w:pos="3196" w:val="left" w:leader="none"/>
          <w:tab w:pos="3732" w:val="left" w:leader="none"/>
          <w:tab w:pos="4147" w:val="left" w:leader="none"/>
        </w:tabs>
        <w:spacing w:line="150" w:lineRule="exact" w:before="123"/>
        <w:ind w:left="189" w:right="0" w:firstLine="0"/>
        <w:jc w:val="left"/>
        <w:rPr>
          <w:sz w:val="14"/>
        </w:rPr>
      </w:pPr>
      <w:r>
        <w:rPr>
          <w:spacing w:val="-8"/>
          <w:w w:val="115"/>
          <w:sz w:val="14"/>
        </w:rPr>
        <w:t>2001</w:t>
      </w:r>
      <w:r>
        <w:rPr>
          <w:spacing w:val="-2"/>
          <w:w w:val="115"/>
          <w:sz w:val="14"/>
        </w:rPr>
        <w:t> </w:t>
      </w:r>
      <w:r>
        <w:rPr>
          <w:w w:val="115"/>
          <w:sz w:val="14"/>
        </w:rPr>
        <w:t>Q4</w:t>
        <w:tab/>
      </w:r>
      <w:r>
        <w:rPr>
          <w:spacing w:val="-8"/>
          <w:w w:val="115"/>
          <w:sz w:val="14"/>
        </w:rPr>
        <w:t>25</w:t>
        <w:tab/>
      </w:r>
      <w:r>
        <w:rPr>
          <w:spacing w:val="-10"/>
          <w:w w:val="115"/>
          <w:sz w:val="14"/>
        </w:rPr>
        <w:t>38</w:t>
        <w:tab/>
      </w:r>
      <w:r>
        <w:rPr>
          <w:spacing w:val="-6"/>
          <w:w w:val="115"/>
          <w:sz w:val="14"/>
        </w:rPr>
        <w:t>29</w:t>
        <w:tab/>
      </w:r>
      <w:r>
        <w:rPr>
          <w:w w:val="115"/>
          <w:sz w:val="14"/>
        </w:rPr>
        <w:t>8</w:t>
        <w:tab/>
        <w:t>1</w:t>
        <w:tab/>
        <w:t>&lt;1</w:t>
      </w:r>
    </w:p>
    <w:p>
      <w:pPr>
        <w:tabs>
          <w:tab w:pos="1617" w:val="left" w:leader="none"/>
          <w:tab w:pos="2107" w:val="left" w:leader="none"/>
          <w:tab w:pos="2586" w:val="left" w:leader="none"/>
          <w:tab w:pos="3122" w:val="left" w:leader="none"/>
          <w:tab w:pos="3664" w:val="left" w:leader="none"/>
          <w:tab w:pos="4284" w:val="right" w:leader="none"/>
        </w:tabs>
        <w:spacing w:line="140" w:lineRule="exact" w:before="0"/>
        <w:ind w:left="189" w:right="0" w:firstLine="0"/>
        <w:jc w:val="left"/>
        <w:rPr>
          <w:sz w:val="14"/>
        </w:rPr>
      </w:pPr>
      <w:r>
        <w:rPr>
          <w:spacing w:val="-5"/>
          <w:w w:val="120"/>
          <w:sz w:val="14"/>
        </w:rPr>
        <w:t>2002</w:t>
      </w:r>
      <w:r>
        <w:rPr>
          <w:spacing w:val="-10"/>
          <w:w w:val="120"/>
          <w:sz w:val="14"/>
        </w:rPr>
        <w:t> </w:t>
      </w:r>
      <w:r>
        <w:rPr>
          <w:w w:val="120"/>
          <w:sz w:val="14"/>
        </w:rPr>
        <w:t>Q4</w:t>
        <w:tab/>
      </w:r>
      <w:r>
        <w:rPr>
          <w:spacing w:val="-12"/>
          <w:w w:val="120"/>
          <w:sz w:val="14"/>
        </w:rPr>
        <w:t>19</w:t>
        <w:tab/>
        <w:t>19</w:t>
        <w:tab/>
      </w:r>
      <w:r>
        <w:rPr>
          <w:spacing w:val="-8"/>
          <w:w w:val="120"/>
          <w:sz w:val="14"/>
        </w:rPr>
        <w:t>25</w:t>
        <w:tab/>
      </w:r>
      <w:r>
        <w:rPr>
          <w:spacing w:val="-6"/>
          <w:w w:val="120"/>
          <w:sz w:val="14"/>
        </w:rPr>
        <w:t>22</w:t>
        <w:tab/>
      </w:r>
      <w:r>
        <w:rPr>
          <w:spacing w:val="-9"/>
          <w:w w:val="120"/>
          <w:sz w:val="14"/>
        </w:rPr>
        <w:t>12</w:t>
        <w:tab/>
      </w:r>
      <w:r>
        <w:rPr>
          <w:w w:val="120"/>
          <w:sz w:val="14"/>
        </w:rPr>
        <w:t>4</w:t>
      </w:r>
    </w:p>
    <w:p>
      <w:pPr>
        <w:tabs>
          <w:tab w:pos="1617" w:val="left" w:leader="none"/>
          <w:tab w:pos="2103" w:val="left" w:leader="none"/>
          <w:tab w:pos="2582" w:val="left" w:leader="none"/>
          <w:tab w:pos="3122" w:val="left" w:leader="none"/>
          <w:tab w:pos="3670" w:val="left" w:leader="none"/>
          <w:tab w:pos="4284" w:val="right" w:leader="none"/>
        </w:tabs>
        <w:spacing w:line="150" w:lineRule="exact" w:before="0"/>
        <w:ind w:left="189" w:right="0" w:firstLine="0"/>
        <w:jc w:val="left"/>
        <w:rPr>
          <w:sz w:val="14"/>
        </w:rPr>
      </w:pPr>
      <w:r>
        <w:rPr>
          <w:spacing w:val="-5"/>
          <w:w w:val="120"/>
          <w:sz w:val="14"/>
        </w:rPr>
        <w:t>2003</w:t>
      </w:r>
      <w:r>
        <w:rPr>
          <w:spacing w:val="-11"/>
          <w:w w:val="120"/>
          <w:sz w:val="14"/>
        </w:rPr>
        <w:t> </w:t>
      </w:r>
      <w:r>
        <w:rPr>
          <w:w w:val="120"/>
          <w:sz w:val="14"/>
        </w:rPr>
        <w:t>Q1</w:t>
        <w:tab/>
      </w:r>
      <w:r>
        <w:rPr>
          <w:spacing w:val="-12"/>
          <w:w w:val="120"/>
          <w:sz w:val="14"/>
        </w:rPr>
        <w:t>18</w:t>
        <w:tab/>
      </w:r>
      <w:r>
        <w:rPr>
          <w:spacing w:val="-10"/>
          <w:w w:val="120"/>
          <w:sz w:val="14"/>
        </w:rPr>
        <w:t>17</w:t>
        <w:tab/>
      </w:r>
      <w:r>
        <w:rPr>
          <w:spacing w:val="-6"/>
          <w:w w:val="120"/>
          <w:sz w:val="14"/>
        </w:rPr>
        <w:t>22</w:t>
        <w:tab/>
        <w:t>22</w:t>
        <w:tab/>
      </w:r>
      <w:r>
        <w:rPr>
          <w:spacing w:val="-12"/>
          <w:w w:val="120"/>
          <w:sz w:val="14"/>
        </w:rPr>
        <w:t>14</w:t>
        <w:tab/>
      </w:r>
      <w:r>
        <w:rPr>
          <w:w w:val="120"/>
          <w:sz w:val="14"/>
        </w:rPr>
        <w:t>7</w:t>
      </w:r>
    </w:p>
    <w:p>
      <w:pPr>
        <w:pStyle w:val="BodyText"/>
        <w:rPr>
          <w:sz w:val="14"/>
        </w:rPr>
      </w:pPr>
    </w:p>
    <w:p>
      <w:pPr>
        <w:spacing w:before="0"/>
        <w:ind w:left="189" w:right="0" w:firstLine="0"/>
        <w:jc w:val="left"/>
        <w:rPr>
          <w:rFonts w:ascii="Georgia"/>
          <w:sz w:val="14"/>
        </w:rPr>
      </w:pPr>
      <w:r>
        <w:rPr>
          <w:rFonts w:ascii="Georgia"/>
          <w:sz w:val="14"/>
        </w:rPr>
        <w:t>GDP growth</w:t>
      </w:r>
    </w:p>
    <w:p>
      <w:pPr>
        <w:spacing w:before="119"/>
        <w:ind w:left="189" w:right="0" w:firstLine="0"/>
        <w:jc w:val="both"/>
        <w:rPr>
          <w:sz w:val="14"/>
        </w:rPr>
      </w:pPr>
      <w:r>
        <w:rPr>
          <w:w w:val="105"/>
          <w:sz w:val="14"/>
        </w:rPr>
        <w:t>Probability, per cent Range:</w:t>
      </w:r>
    </w:p>
    <w:tbl>
      <w:tblPr>
        <w:tblW w:w="0" w:type="auto"/>
        <w:jc w:val="lef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4"/>
        <w:gridCol w:w="415"/>
        <w:gridCol w:w="498"/>
        <w:gridCol w:w="512"/>
        <w:gridCol w:w="553"/>
        <w:gridCol w:w="518"/>
        <w:gridCol w:w="460"/>
      </w:tblGrid>
      <w:tr>
        <w:trPr>
          <w:trHeight w:val="301" w:hRule="atLeast"/>
        </w:trPr>
        <w:tc>
          <w:tcPr>
            <w:tcW w:w="1819" w:type="dxa"/>
            <w:gridSpan w:val="2"/>
          </w:tcPr>
          <w:p>
            <w:pPr>
              <w:pStyle w:val="TableParagraph"/>
              <w:spacing w:line="140" w:lineRule="exact" w:before="14"/>
              <w:ind w:left="1410" w:right="123"/>
              <w:rPr>
                <w:sz w:val="14"/>
              </w:rPr>
            </w:pPr>
            <w:r>
              <w:rPr>
                <w:w w:val="110"/>
                <w:sz w:val="14"/>
              </w:rPr>
              <w:t>less than</w:t>
            </w:r>
          </w:p>
        </w:tc>
        <w:tc>
          <w:tcPr>
            <w:tcW w:w="498" w:type="dxa"/>
            <w:tcBorders>
              <w:top w:val="single" w:sz="2" w:space="0" w:color="000000"/>
            </w:tcBorders>
          </w:tcPr>
          <w:p>
            <w:pPr>
              <w:pStyle w:val="TableParagraph"/>
              <w:spacing w:line="146" w:lineRule="exact"/>
              <w:ind w:left="93"/>
              <w:rPr>
                <w:sz w:val="14"/>
              </w:rPr>
            </w:pPr>
            <w:r>
              <w:rPr>
                <w:w w:val="105"/>
                <w:sz w:val="14"/>
              </w:rPr>
              <w:t>0%</w:t>
            </w:r>
          </w:p>
          <w:p>
            <w:pPr>
              <w:pStyle w:val="TableParagraph"/>
              <w:spacing w:line="136" w:lineRule="exact"/>
              <w:ind w:left="93"/>
              <w:rPr>
                <w:sz w:val="14"/>
              </w:rPr>
            </w:pPr>
            <w:r>
              <w:rPr>
                <w:w w:val="115"/>
                <w:sz w:val="14"/>
              </w:rPr>
              <w:t>to</w:t>
            </w:r>
          </w:p>
        </w:tc>
        <w:tc>
          <w:tcPr>
            <w:tcW w:w="512" w:type="dxa"/>
            <w:tcBorders>
              <w:top w:val="single" w:sz="2" w:space="0" w:color="000000"/>
            </w:tcBorders>
          </w:tcPr>
          <w:p>
            <w:pPr>
              <w:pStyle w:val="TableParagraph"/>
              <w:spacing w:line="146" w:lineRule="exact"/>
              <w:ind w:left="72"/>
              <w:rPr>
                <w:sz w:val="14"/>
              </w:rPr>
            </w:pPr>
            <w:r>
              <w:rPr>
                <w:w w:val="105"/>
                <w:sz w:val="14"/>
              </w:rPr>
              <w:t>1%</w:t>
            </w:r>
          </w:p>
          <w:p>
            <w:pPr>
              <w:pStyle w:val="TableParagraph"/>
              <w:spacing w:line="136" w:lineRule="exact"/>
              <w:ind w:left="72"/>
              <w:rPr>
                <w:sz w:val="14"/>
              </w:rPr>
            </w:pPr>
            <w:r>
              <w:rPr>
                <w:w w:val="115"/>
                <w:sz w:val="14"/>
              </w:rPr>
              <w:t>to</w:t>
            </w:r>
          </w:p>
        </w:tc>
        <w:tc>
          <w:tcPr>
            <w:tcW w:w="553" w:type="dxa"/>
            <w:tcBorders>
              <w:top w:val="single" w:sz="2" w:space="0" w:color="000000"/>
            </w:tcBorders>
          </w:tcPr>
          <w:p>
            <w:pPr>
              <w:pStyle w:val="TableParagraph"/>
              <w:spacing w:line="146" w:lineRule="exact"/>
              <w:ind w:left="112"/>
              <w:rPr>
                <w:sz w:val="14"/>
              </w:rPr>
            </w:pPr>
            <w:r>
              <w:rPr>
                <w:w w:val="105"/>
                <w:sz w:val="14"/>
              </w:rPr>
              <w:t>2%</w:t>
            </w:r>
          </w:p>
          <w:p>
            <w:pPr>
              <w:pStyle w:val="TableParagraph"/>
              <w:spacing w:line="136" w:lineRule="exact"/>
              <w:ind w:left="112"/>
              <w:rPr>
                <w:sz w:val="14"/>
              </w:rPr>
            </w:pPr>
            <w:r>
              <w:rPr>
                <w:w w:val="115"/>
                <w:sz w:val="14"/>
              </w:rPr>
              <w:t>to</w:t>
            </w:r>
          </w:p>
        </w:tc>
        <w:tc>
          <w:tcPr>
            <w:tcW w:w="518" w:type="dxa"/>
            <w:tcBorders>
              <w:top w:val="single" w:sz="2" w:space="0" w:color="000000"/>
            </w:tcBorders>
          </w:tcPr>
          <w:p>
            <w:pPr>
              <w:pStyle w:val="TableParagraph"/>
              <w:spacing w:line="146" w:lineRule="exact"/>
              <w:ind w:left="118"/>
              <w:rPr>
                <w:sz w:val="14"/>
              </w:rPr>
            </w:pPr>
            <w:r>
              <w:rPr>
                <w:w w:val="105"/>
                <w:sz w:val="14"/>
              </w:rPr>
              <w:t>3%</w:t>
            </w:r>
          </w:p>
          <w:p>
            <w:pPr>
              <w:pStyle w:val="TableParagraph"/>
              <w:spacing w:line="136" w:lineRule="exact"/>
              <w:ind w:left="118"/>
              <w:rPr>
                <w:sz w:val="14"/>
              </w:rPr>
            </w:pPr>
            <w:r>
              <w:rPr>
                <w:w w:val="115"/>
                <w:sz w:val="14"/>
              </w:rPr>
              <w:t>to</w:t>
            </w:r>
          </w:p>
        </w:tc>
        <w:tc>
          <w:tcPr>
            <w:tcW w:w="460" w:type="dxa"/>
            <w:tcBorders>
              <w:top w:val="single" w:sz="2" w:space="0" w:color="000000"/>
            </w:tcBorders>
          </w:tcPr>
          <w:p>
            <w:pPr>
              <w:pStyle w:val="TableParagraph"/>
              <w:spacing w:line="140" w:lineRule="exact" w:before="14"/>
              <w:ind w:left="77" w:right="60"/>
              <w:rPr>
                <w:sz w:val="14"/>
              </w:rPr>
            </w:pPr>
            <w:r>
              <w:rPr>
                <w:w w:val="105"/>
                <w:sz w:val="14"/>
              </w:rPr>
              <w:t>more </w:t>
            </w:r>
            <w:r>
              <w:rPr>
                <w:w w:val="110"/>
                <w:sz w:val="14"/>
              </w:rPr>
              <w:t>than</w:t>
            </w:r>
          </w:p>
        </w:tc>
      </w:tr>
      <w:tr>
        <w:trPr>
          <w:trHeight w:val="209" w:hRule="atLeast"/>
        </w:trPr>
        <w:tc>
          <w:tcPr>
            <w:tcW w:w="1404" w:type="dxa"/>
          </w:tcPr>
          <w:p>
            <w:pPr>
              <w:pStyle w:val="TableParagraph"/>
              <w:rPr>
                <w:sz w:val="14"/>
              </w:rPr>
            </w:pPr>
          </w:p>
        </w:tc>
        <w:tc>
          <w:tcPr>
            <w:tcW w:w="415" w:type="dxa"/>
          </w:tcPr>
          <w:p>
            <w:pPr>
              <w:pStyle w:val="TableParagraph"/>
              <w:spacing w:line="135" w:lineRule="exact"/>
              <w:ind w:left="48" w:right="131"/>
              <w:jc w:val="center"/>
              <w:rPr>
                <w:sz w:val="14"/>
              </w:rPr>
            </w:pPr>
            <w:r>
              <w:rPr>
                <w:w w:val="105"/>
                <w:sz w:val="14"/>
                <w:u w:val="single"/>
              </w:rPr>
              <w:t>0%</w:t>
            </w:r>
            <w:r>
              <w:rPr>
                <w:sz w:val="14"/>
                <w:u w:val="single"/>
              </w:rPr>
              <w:t> </w:t>
            </w:r>
          </w:p>
        </w:tc>
        <w:tc>
          <w:tcPr>
            <w:tcW w:w="498" w:type="dxa"/>
          </w:tcPr>
          <w:p>
            <w:pPr>
              <w:pStyle w:val="TableParagraph"/>
              <w:spacing w:line="135" w:lineRule="exact"/>
              <w:ind w:left="93"/>
              <w:rPr>
                <w:sz w:val="14"/>
              </w:rPr>
            </w:pPr>
            <w:r>
              <w:rPr>
                <w:w w:val="105"/>
                <w:sz w:val="14"/>
                <w:u w:val="single"/>
              </w:rPr>
              <w:t>1%</w:t>
            </w:r>
            <w:r>
              <w:rPr>
                <w:sz w:val="14"/>
                <w:u w:val="single"/>
              </w:rPr>
              <w:t> </w:t>
            </w:r>
          </w:p>
        </w:tc>
        <w:tc>
          <w:tcPr>
            <w:tcW w:w="512" w:type="dxa"/>
          </w:tcPr>
          <w:p>
            <w:pPr>
              <w:pStyle w:val="TableParagraph"/>
              <w:spacing w:line="135" w:lineRule="exact"/>
              <w:ind w:left="102" w:right="137"/>
              <w:jc w:val="center"/>
              <w:rPr>
                <w:sz w:val="14"/>
              </w:rPr>
            </w:pPr>
            <w:r>
              <w:rPr>
                <w:w w:val="105"/>
                <w:sz w:val="14"/>
                <w:u w:val="single"/>
              </w:rPr>
              <w:t>2%</w:t>
            </w:r>
            <w:r>
              <w:rPr>
                <w:sz w:val="14"/>
                <w:u w:val="single"/>
              </w:rPr>
              <w:t> </w:t>
            </w:r>
          </w:p>
        </w:tc>
        <w:tc>
          <w:tcPr>
            <w:tcW w:w="553" w:type="dxa"/>
          </w:tcPr>
          <w:p>
            <w:pPr>
              <w:pStyle w:val="TableParagraph"/>
              <w:spacing w:line="135" w:lineRule="exact"/>
              <w:ind w:left="112"/>
              <w:rPr>
                <w:sz w:val="14"/>
              </w:rPr>
            </w:pPr>
            <w:r>
              <w:rPr>
                <w:w w:val="105"/>
                <w:sz w:val="14"/>
                <w:u w:val="single"/>
              </w:rPr>
              <w:t>3%</w:t>
            </w:r>
            <w:r>
              <w:rPr>
                <w:sz w:val="14"/>
                <w:u w:val="single"/>
              </w:rPr>
              <w:t> </w:t>
            </w:r>
          </w:p>
        </w:tc>
        <w:tc>
          <w:tcPr>
            <w:tcW w:w="518" w:type="dxa"/>
          </w:tcPr>
          <w:p>
            <w:pPr>
              <w:pStyle w:val="TableParagraph"/>
              <w:spacing w:line="135" w:lineRule="exact"/>
              <w:ind w:left="118"/>
              <w:rPr>
                <w:sz w:val="14"/>
              </w:rPr>
            </w:pPr>
            <w:r>
              <w:rPr>
                <w:w w:val="105"/>
                <w:sz w:val="14"/>
                <w:u w:val="single"/>
              </w:rPr>
              <w:t>4%</w:t>
            </w:r>
            <w:r>
              <w:rPr>
                <w:sz w:val="14"/>
                <w:u w:val="single"/>
              </w:rPr>
              <w:t> </w:t>
            </w:r>
          </w:p>
        </w:tc>
        <w:tc>
          <w:tcPr>
            <w:tcW w:w="460" w:type="dxa"/>
          </w:tcPr>
          <w:p>
            <w:pPr>
              <w:pStyle w:val="TableParagraph"/>
              <w:spacing w:line="135" w:lineRule="exact"/>
              <w:ind w:left="65" w:right="37"/>
              <w:jc w:val="center"/>
              <w:rPr>
                <w:sz w:val="14"/>
              </w:rPr>
            </w:pPr>
            <w:r>
              <w:rPr>
                <w:w w:val="105"/>
                <w:sz w:val="14"/>
                <w:u w:val="single"/>
              </w:rPr>
              <w:t>4%</w:t>
            </w:r>
            <w:r>
              <w:rPr>
                <w:sz w:val="14"/>
                <w:u w:val="single"/>
              </w:rPr>
              <w:t> </w:t>
            </w:r>
          </w:p>
        </w:tc>
      </w:tr>
      <w:tr>
        <w:trPr>
          <w:trHeight w:val="210" w:hRule="atLeast"/>
        </w:trPr>
        <w:tc>
          <w:tcPr>
            <w:tcW w:w="1404" w:type="dxa"/>
          </w:tcPr>
          <w:p>
            <w:pPr>
              <w:pStyle w:val="TableParagraph"/>
              <w:spacing w:line="146" w:lineRule="exact" w:before="44"/>
              <w:ind w:left="50"/>
              <w:rPr>
                <w:sz w:val="14"/>
              </w:rPr>
            </w:pPr>
            <w:r>
              <w:rPr>
                <w:w w:val="120"/>
                <w:sz w:val="14"/>
              </w:rPr>
              <w:t>2001 Q4</w:t>
            </w:r>
          </w:p>
        </w:tc>
        <w:tc>
          <w:tcPr>
            <w:tcW w:w="415" w:type="dxa"/>
          </w:tcPr>
          <w:p>
            <w:pPr>
              <w:pStyle w:val="TableParagraph"/>
              <w:spacing w:line="146" w:lineRule="exact" w:before="44"/>
              <w:ind w:right="54"/>
              <w:jc w:val="center"/>
              <w:rPr>
                <w:sz w:val="14"/>
              </w:rPr>
            </w:pPr>
            <w:r>
              <w:rPr>
                <w:w w:val="121"/>
                <w:sz w:val="14"/>
              </w:rPr>
              <w:t>3</w:t>
            </w:r>
          </w:p>
        </w:tc>
        <w:tc>
          <w:tcPr>
            <w:tcW w:w="498" w:type="dxa"/>
          </w:tcPr>
          <w:p>
            <w:pPr>
              <w:pStyle w:val="TableParagraph"/>
              <w:spacing w:line="146" w:lineRule="exact" w:before="44"/>
              <w:ind w:left="153"/>
              <w:rPr>
                <w:sz w:val="14"/>
              </w:rPr>
            </w:pPr>
            <w:r>
              <w:rPr>
                <w:w w:val="120"/>
                <w:sz w:val="14"/>
              </w:rPr>
              <w:t>13</w:t>
            </w:r>
          </w:p>
        </w:tc>
        <w:tc>
          <w:tcPr>
            <w:tcW w:w="512" w:type="dxa"/>
          </w:tcPr>
          <w:p>
            <w:pPr>
              <w:pStyle w:val="TableParagraph"/>
              <w:spacing w:line="146" w:lineRule="exact" w:before="44"/>
              <w:ind w:left="58" w:right="155"/>
              <w:jc w:val="center"/>
              <w:rPr>
                <w:sz w:val="14"/>
              </w:rPr>
            </w:pPr>
            <w:r>
              <w:rPr>
                <w:w w:val="120"/>
                <w:sz w:val="14"/>
              </w:rPr>
              <w:t>32</w:t>
            </w:r>
          </w:p>
        </w:tc>
        <w:tc>
          <w:tcPr>
            <w:tcW w:w="553" w:type="dxa"/>
          </w:tcPr>
          <w:p>
            <w:pPr>
              <w:pStyle w:val="TableParagraph"/>
              <w:spacing w:line="146" w:lineRule="exact" w:before="44"/>
              <w:ind w:left="157"/>
              <w:rPr>
                <w:sz w:val="14"/>
              </w:rPr>
            </w:pPr>
            <w:r>
              <w:rPr>
                <w:w w:val="120"/>
                <w:sz w:val="14"/>
              </w:rPr>
              <w:t>36</w:t>
            </w:r>
          </w:p>
        </w:tc>
        <w:tc>
          <w:tcPr>
            <w:tcW w:w="518" w:type="dxa"/>
          </w:tcPr>
          <w:p>
            <w:pPr>
              <w:pStyle w:val="TableParagraph"/>
              <w:spacing w:line="146" w:lineRule="exact" w:before="44"/>
              <w:ind w:left="148"/>
              <w:rPr>
                <w:sz w:val="14"/>
              </w:rPr>
            </w:pPr>
            <w:r>
              <w:rPr>
                <w:w w:val="120"/>
                <w:sz w:val="14"/>
              </w:rPr>
              <w:t>14</w:t>
            </w:r>
          </w:p>
        </w:tc>
        <w:tc>
          <w:tcPr>
            <w:tcW w:w="460" w:type="dxa"/>
          </w:tcPr>
          <w:p>
            <w:pPr>
              <w:pStyle w:val="TableParagraph"/>
              <w:spacing w:line="146" w:lineRule="exact" w:before="44"/>
              <w:ind w:right="53"/>
              <w:jc w:val="center"/>
              <w:rPr>
                <w:sz w:val="14"/>
              </w:rPr>
            </w:pPr>
            <w:r>
              <w:rPr>
                <w:w w:val="121"/>
                <w:sz w:val="14"/>
              </w:rPr>
              <w:t>1</w:t>
            </w:r>
          </w:p>
        </w:tc>
      </w:tr>
      <w:tr>
        <w:trPr>
          <w:trHeight w:val="140" w:hRule="atLeast"/>
        </w:trPr>
        <w:tc>
          <w:tcPr>
            <w:tcW w:w="1404" w:type="dxa"/>
          </w:tcPr>
          <w:p>
            <w:pPr>
              <w:pStyle w:val="TableParagraph"/>
              <w:spacing w:line="120" w:lineRule="exact"/>
              <w:ind w:left="50"/>
              <w:rPr>
                <w:sz w:val="14"/>
              </w:rPr>
            </w:pPr>
            <w:r>
              <w:rPr>
                <w:w w:val="120"/>
                <w:sz w:val="14"/>
              </w:rPr>
              <w:t>2002 Q4</w:t>
            </w:r>
          </w:p>
        </w:tc>
        <w:tc>
          <w:tcPr>
            <w:tcW w:w="415" w:type="dxa"/>
          </w:tcPr>
          <w:p>
            <w:pPr>
              <w:pStyle w:val="TableParagraph"/>
              <w:spacing w:line="120" w:lineRule="exact"/>
              <w:ind w:right="54"/>
              <w:jc w:val="center"/>
              <w:rPr>
                <w:sz w:val="14"/>
              </w:rPr>
            </w:pPr>
            <w:r>
              <w:rPr>
                <w:w w:val="121"/>
                <w:sz w:val="14"/>
              </w:rPr>
              <w:t>3</w:t>
            </w:r>
          </w:p>
        </w:tc>
        <w:tc>
          <w:tcPr>
            <w:tcW w:w="498" w:type="dxa"/>
          </w:tcPr>
          <w:p>
            <w:pPr>
              <w:pStyle w:val="TableParagraph"/>
              <w:spacing w:line="120" w:lineRule="exact"/>
              <w:ind w:left="142"/>
              <w:rPr>
                <w:sz w:val="14"/>
              </w:rPr>
            </w:pPr>
            <w:r>
              <w:rPr>
                <w:w w:val="120"/>
                <w:sz w:val="14"/>
              </w:rPr>
              <w:t>10</w:t>
            </w:r>
          </w:p>
        </w:tc>
        <w:tc>
          <w:tcPr>
            <w:tcW w:w="512" w:type="dxa"/>
          </w:tcPr>
          <w:p>
            <w:pPr>
              <w:pStyle w:val="TableParagraph"/>
              <w:spacing w:line="120" w:lineRule="exact"/>
              <w:ind w:left="55" w:right="155"/>
              <w:jc w:val="center"/>
              <w:rPr>
                <w:sz w:val="14"/>
              </w:rPr>
            </w:pPr>
            <w:r>
              <w:rPr>
                <w:w w:val="120"/>
                <w:sz w:val="14"/>
              </w:rPr>
              <w:t>22</w:t>
            </w:r>
          </w:p>
        </w:tc>
        <w:tc>
          <w:tcPr>
            <w:tcW w:w="553" w:type="dxa"/>
          </w:tcPr>
          <w:p>
            <w:pPr>
              <w:pStyle w:val="TableParagraph"/>
              <w:spacing w:line="120" w:lineRule="exact"/>
              <w:ind w:left="165"/>
              <w:rPr>
                <w:sz w:val="14"/>
              </w:rPr>
            </w:pPr>
            <w:r>
              <w:rPr>
                <w:w w:val="120"/>
                <w:sz w:val="14"/>
              </w:rPr>
              <w:t>31</w:t>
            </w:r>
          </w:p>
        </w:tc>
        <w:tc>
          <w:tcPr>
            <w:tcW w:w="518" w:type="dxa"/>
          </w:tcPr>
          <w:p>
            <w:pPr>
              <w:pStyle w:val="TableParagraph"/>
              <w:spacing w:line="120" w:lineRule="exact"/>
              <w:ind w:left="142"/>
              <w:rPr>
                <w:sz w:val="14"/>
              </w:rPr>
            </w:pPr>
            <w:r>
              <w:rPr>
                <w:w w:val="120"/>
                <w:sz w:val="14"/>
              </w:rPr>
              <w:t>25</w:t>
            </w:r>
          </w:p>
        </w:tc>
        <w:tc>
          <w:tcPr>
            <w:tcW w:w="460" w:type="dxa"/>
          </w:tcPr>
          <w:p>
            <w:pPr>
              <w:pStyle w:val="TableParagraph"/>
              <w:spacing w:line="120" w:lineRule="exact"/>
              <w:ind w:right="53"/>
              <w:jc w:val="center"/>
              <w:rPr>
                <w:sz w:val="14"/>
              </w:rPr>
            </w:pPr>
            <w:r>
              <w:rPr>
                <w:w w:val="121"/>
                <w:sz w:val="14"/>
              </w:rPr>
              <w:t>9</w:t>
            </w:r>
          </w:p>
        </w:tc>
      </w:tr>
      <w:tr>
        <w:trPr>
          <w:trHeight w:val="140" w:hRule="atLeast"/>
        </w:trPr>
        <w:tc>
          <w:tcPr>
            <w:tcW w:w="1404" w:type="dxa"/>
          </w:tcPr>
          <w:p>
            <w:pPr>
              <w:pStyle w:val="TableParagraph"/>
              <w:spacing w:line="120" w:lineRule="exact"/>
              <w:ind w:left="50"/>
              <w:rPr>
                <w:sz w:val="14"/>
              </w:rPr>
            </w:pPr>
            <w:r>
              <w:rPr>
                <w:w w:val="120"/>
                <w:sz w:val="14"/>
              </w:rPr>
              <w:t>2003 Q1</w:t>
            </w:r>
          </w:p>
        </w:tc>
        <w:tc>
          <w:tcPr>
            <w:tcW w:w="415" w:type="dxa"/>
          </w:tcPr>
          <w:p>
            <w:pPr>
              <w:pStyle w:val="TableParagraph"/>
              <w:spacing w:line="120" w:lineRule="exact"/>
              <w:ind w:right="54"/>
              <w:jc w:val="center"/>
              <w:rPr>
                <w:sz w:val="14"/>
              </w:rPr>
            </w:pPr>
            <w:r>
              <w:rPr>
                <w:w w:val="121"/>
                <w:sz w:val="14"/>
              </w:rPr>
              <w:t>3</w:t>
            </w:r>
          </w:p>
        </w:tc>
        <w:tc>
          <w:tcPr>
            <w:tcW w:w="498" w:type="dxa"/>
          </w:tcPr>
          <w:p>
            <w:pPr>
              <w:pStyle w:val="TableParagraph"/>
              <w:spacing w:line="120" w:lineRule="exact"/>
              <w:ind w:left="9"/>
              <w:jc w:val="center"/>
              <w:rPr>
                <w:sz w:val="14"/>
              </w:rPr>
            </w:pPr>
            <w:r>
              <w:rPr>
                <w:w w:val="121"/>
                <w:sz w:val="14"/>
              </w:rPr>
              <w:t>9</w:t>
            </w:r>
          </w:p>
        </w:tc>
        <w:tc>
          <w:tcPr>
            <w:tcW w:w="512" w:type="dxa"/>
          </w:tcPr>
          <w:p>
            <w:pPr>
              <w:pStyle w:val="TableParagraph"/>
              <w:spacing w:line="120" w:lineRule="exact"/>
              <w:ind w:left="66" w:right="155"/>
              <w:jc w:val="center"/>
              <w:rPr>
                <w:sz w:val="14"/>
              </w:rPr>
            </w:pPr>
            <w:r>
              <w:rPr>
                <w:w w:val="120"/>
                <w:sz w:val="14"/>
              </w:rPr>
              <w:t>21</w:t>
            </w:r>
          </w:p>
        </w:tc>
        <w:tc>
          <w:tcPr>
            <w:tcW w:w="553" w:type="dxa"/>
          </w:tcPr>
          <w:p>
            <w:pPr>
              <w:pStyle w:val="TableParagraph"/>
              <w:spacing w:line="120" w:lineRule="exact"/>
              <w:ind w:left="165"/>
              <w:rPr>
                <w:sz w:val="14"/>
              </w:rPr>
            </w:pPr>
            <w:r>
              <w:rPr>
                <w:w w:val="120"/>
                <w:sz w:val="14"/>
              </w:rPr>
              <w:t>31</w:t>
            </w:r>
          </w:p>
        </w:tc>
        <w:tc>
          <w:tcPr>
            <w:tcW w:w="518" w:type="dxa"/>
          </w:tcPr>
          <w:p>
            <w:pPr>
              <w:pStyle w:val="TableParagraph"/>
              <w:spacing w:line="120" w:lineRule="exact"/>
              <w:ind w:left="139"/>
              <w:rPr>
                <w:sz w:val="14"/>
              </w:rPr>
            </w:pPr>
            <w:r>
              <w:rPr>
                <w:w w:val="120"/>
                <w:sz w:val="14"/>
              </w:rPr>
              <w:t>26</w:t>
            </w:r>
          </w:p>
        </w:tc>
        <w:tc>
          <w:tcPr>
            <w:tcW w:w="460" w:type="dxa"/>
          </w:tcPr>
          <w:p>
            <w:pPr>
              <w:pStyle w:val="TableParagraph"/>
              <w:spacing w:line="120" w:lineRule="exact"/>
              <w:ind w:left="65" w:right="186"/>
              <w:jc w:val="center"/>
              <w:rPr>
                <w:sz w:val="14"/>
              </w:rPr>
            </w:pPr>
            <w:r>
              <w:rPr>
                <w:w w:val="120"/>
                <w:sz w:val="14"/>
              </w:rPr>
              <w:t>10</w:t>
            </w:r>
          </w:p>
        </w:tc>
      </w:tr>
    </w:tbl>
    <w:p>
      <w:pPr>
        <w:pStyle w:val="BodyText"/>
        <w:spacing w:before="9"/>
        <w:rPr>
          <w:sz w:val="12"/>
        </w:rPr>
      </w:pPr>
    </w:p>
    <w:p>
      <w:pPr>
        <w:spacing w:line="208" w:lineRule="auto" w:before="1"/>
        <w:ind w:left="429" w:right="186" w:hanging="240"/>
        <w:jc w:val="left"/>
        <w:rPr>
          <w:sz w:val="12"/>
        </w:rPr>
      </w:pPr>
      <w:r>
        <w:rPr>
          <w:w w:val="110"/>
          <w:sz w:val="12"/>
        </w:rPr>
        <w:t>(a) These figures are from the same distributions as the GDP and inflation fan charts, Charts 6.1 and 6.2.</w:t>
      </w:r>
    </w:p>
    <w:p>
      <w:pPr>
        <w:pStyle w:val="BodyText"/>
        <w:rPr>
          <w:sz w:val="12"/>
        </w:rPr>
      </w:pPr>
    </w:p>
    <w:p>
      <w:pPr>
        <w:pStyle w:val="BodyText"/>
        <w:rPr>
          <w:sz w:val="12"/>
        </w:rPr>
      </w:pPr>
    </w:p>
    <w:p>
      <w:pPr>
        <w:pStyle w:val="BodyText"/>
        <w:rPr>
          <w:sz w:val="12"/>
        </w:rPr>
      </w:pPr>
    </w:p>
    <w:p>
      <w:pPr>
        <w:pStyle w:val="BodyText"/>
        <w:spacing w:before="5"/>
        <w:rPr>
          <w:sz w:val="9"/>
        </w:rPr>
      </w:pPr>
    </w:p>
    <w:p>
      <w:pPr>
        <w:pStyle w:val="Heading6"/>
        <w:ind w:left="180"/>
      </w:pPr>
      <w:r>
        <w:rPr>
          <w:color w:val="89C6DC"/>
        </w:rPr>
        <w:t>Table 6.B</w:t>
      </w:r>
    </w:p>
    <w:p>
      <w:pPr>
        <w:spacing w:line="247" w:lineRule="auto" w:before="8"/>
        <w:ind w:left="180" w:right="586" w:firstLine="0"/>
        <w:jc w:val="left"/>
        <w:rPr>
          <w:rFonts w:ascii="Trebuchet MS"/>
          <w:b/>
          <w:sz w:val="20"/>
        </w:rPr>
      </w:pPr>
      <w:r>
        <w:rPr>
          <w:rFonts w:ascii="Trebuchet MS"/>
          <w:b/>
          <w:color w:val="89C6DC"/>
          <w:w w:val="95"/>
          <w:sz w:val="20"/>
        </w:rPr>
        <w:t>Possible effects on RPIX inflation and GDP </w:t>
      </w:r>
      <w:r>
        <w:rPr>
          <w:rFonts w:ascii="Trebuchet MS"/>
          <w:b/>
          <w:color w:val="89C6DC"/>
          <w:sz w:val="20"/>
        </w:rPr>
        <w:t>growth of the alternative assumptions</w:t>
      </w:r>
    </w:p>
    <w:p>
      <w:pPr>
        <w:spacing w:before="99"/>
        <w:ind w:left="180" w:right="0" w:firstLine="0"/>
        <w:jc w:val="both"/>
        <w:rPr>
          <w:sz w:val="14"/>
        </w:rPr>
      </w:pPr>
      <w:r>
        <w:rPr>
          <w:w w:val="110"/>
          <w:sz w:val="14"/>
        </w:rPr>
        <w:t>Difference from central projection, percentage points</w:t>
      </w:r>
    </w:p>
    <w:p>
      <w:pPr>
        <w:pStyle w:val="BodyText"/>
        <w:spacing w:before="9"/>
        <w:rPr>
          <w:sz w:val="11"/>
        </w:rPr>
      </w:pPr>
    </w:p>
    <w:p>
      <w:pPr>
        <w:tabs>
          <w:tab w:pos="2957" w:val="left" w:leader="none"/>
        </w:tabs>
        <w:spacing w:line="208" w:lineRule="auto" w:before="0"/>
        <w:ind w:left="1399" w:right="706" w:firstLine="0"/>
        <w:jc w:val="both"/>
        <w:rPr>
          <w:sz w:val="14"/>
        </w:rPr>
      </w:pPr>
      <w:r>
        <w:rPr>
          <w:w w:val="105"/>
          <w:sz w:val="14"/>
        </w:rPr>
        <w:t>Change</w:t>
      </w:r>
      <w:r>
        <w:rPr>
          <w:spacing w:val="3"/>
          <w:w w:val="105"/>
          <w:sz w:val="14"/>
        </w:rPr>
        <w:t> </w:t>
      </w:r>
      <w:r>
        <w:rPr>
          <w:w w:val="105"/>
          <w:sz w:val="14"/>
        </w:rPr>
        <w:t>in</w:t>
        <w:tab/>
        <w:t>Scale of</w:t>
      </w:r>
      <w:r>
        <w:rPr>
          <w:spacing w:val="-24"/>
          <w:w w:val="105"/>
          <w:sz w:val="14"/>
        </w:rPr>
        <w:t> </w:t>
      </w:r>
      <w:r>
        <w:rPr>
          <w:w w:val="105"/>
          <w:sz w:val="14"/>
        </w:rPr>
        <w:t>world UK</w:t>
      </w:r>
      <w:r>
        <w:rPr>
          <w:spacing w:val="-7"/>
          <w:w w:val="105"/>
          <w:sz w:val="14"/>
        </w:rPr>
        <w:t> </w:t>
      </w:r>
      <w:r>
        <w:rPr>
          <w:w w:val="105"/>
          <w:sz w:val="14"/>
        </w:rPr>
        <w:t>supply-side</w:t>
      </w:r>
      <w:r>
        <w:rPr>
          <w:spacing w:val="-7"/>
          <w:w w:val="105"/>
          <w:sz w:val="14"/>
        </w:rPr>
        <w:t> </w:t>
      </w:r>
      <w:r>
        <w:rPr>
          <w:w w:val="105"/>
          <w:sz w:val="14"/>
        </w:rPr>
        <w:t>and</w:t>
        <w:tab/>
        <w:t>slowdown</w:t>
      </w:r>
      <w:r>
        <w:rPr>
          <w:spacing w:val="-17"/>
          <w:w w:val="105"/>
          <w:sz w:val="14"/>
        </w:rPr>
        <w:t> </w:t>
      </w:r>
      <w:r>
        <w:rPr>
          <w:w w:val="105"/>
          <w:sz w:val="14"/>
        </w:rPr>
        <w:t>and labour</w:t>
      </w:r>
      <w:r>
        <w:rPr>
          <w:spacing w:val="1"/>
          <w:w w:val="105"/>
          <w:sz w:val="14"/>
        </w:rPr>
        <w:t> </w:t>
      </w:r>
      <w:r>
        <w:rPr>
          <w:w w:val="105"/>
          <w:sz w:val="14"/>
        </w:rPr>
        <w:t>market</w:t>
        <w:tab/>
        <w:t>impact on</w:t>
      </w:r>
    </w:p>
    <w:p>
      <w:pPr>
        <w:tabs>
          <w:tab w:pos="2583" w:val="left" w:leader="none"/>
          <w:tab w:pos="2957" w:val="left" w:leader="none"/>
        </w:tabs>
        <w:spacing w:line="144" w:lineRule="exact" w:before="0"/>
        <w:ind w:left="1399" w:right="0" w:firstLine="0"/>
        <w:jc w:val="both"/>
        <w:rPr>
          <w:sz w:val="14"/>
        </w:rPr>
      </w:pPr>
      <w:r>
        <w:rPr>
          <w:w w:val="105"/>
          <w:sz w:val="14"/>
          <w:u w:val="single"/>
        </w:rPr>
        <w:t>performance</w:t>
        <w:tab/>
      </w:r>
      <w:r>
        <w:rPr>
          <w:w w:val="105"/>
          <w:sz w:val="14"/>
        </w:rPr>
        <w:tab/>
      </w:r>
      <w:r>
        <w:rPr>
          <w:w w:val="105"/>
          <w:sz w:val="14"/>
          <w:u w:val="single"/>
        </w:rPr>
        <w:t>United</w:t>
      </w:r>
      <w:r>
        <w:rPr>
          <w:spacing w:val="-2"/>
          <w:w w:val="105"/>
          <w:sz w:val="14"/>
          <w:u w:val="single"/>
        </w:rPr>
        <w:t> </w:t>
      </w:r>
      <w:r>
        <w:rPr>
          <w:w w:val="105"/>
          <w:sz w:val="14"/>
          <w:u w:val="single"/>
        </w:rPr>
        <w:t>Kingdom</w:t>
      </w:r>
      <w:r>
        <w:rPr>
          <w:sz w:val="14"/>
          <w:u w:val="single"/>
        </w:rPr>
        <w:t>   </w:t>
      </w:r>
    </w:p>
    <w:p>
      <w:pPr>
        <w:spacing w:before="121"/>
        <w:ind w:left="180" w:right="0" w:firstLine="0"/>
        <w:jc w:val="left"/>
        <w:rPr>
          <w:rFonts w:ascii="Georgia"/>
          <w:sz w:val="14"/>
        </w:rPr>
      </w:pPr>
      <w:r>
        <w:rPr>
          <w:rFonts w:ascii="Georgia"/>
          <w:w w:val="105"/>
          <w:sz w:val="14"/>
        </w:rPr>
        <w:t>RPIX inflation</w:t>
      </w:r>
    </w:p>
    <w:p>
      <w:pPr>
        <w:tabs>
          <w:tab w:pos="1625" w:val="left" w:leader="none"/>
          <w:tab w:pos="3350" w:val="left" w:leader="none"/>
        </w:tabs>
        <w:spacing w:line="150" w:lineRule="exact" w:before="119"/>
        <w:ind w:left="180" w:right="0" w:firstLine="0"/>
        <w:jc w:val="left"/>
        <w:rPr>
          <w:sz w:val="14"/>
        </w:rPr>
      </w:pPr>
      <w:r>
        <w:rPr>
          <w:spacing w:val="-5"/>
          <w:w w:val="115"/>
          <w:sz w:val="14"/>
        </w:rPr>
        <w:t>2002</w:t>
      </w:r>
      <w:r>
        <w:rPr>
          <w:spacing w:val="-2"/>
          <w:w w:val="115"/>
          <w:sz w:val="14"/>
        </w:rPr>
        <w:t> </w:t>
      </w:r>
      <w:r>
        <w:rPr>
          <w:w w:val="115"/>
          <w:sz w:val="14"/>
        </w:rPr>
        <w:t>Q1</w:t>
        <w:tab/>
        <w:t>-0.1</w:t>
      </w:r>
      <w:r>
        <w:rPr>
          <w:spacing w:val="-9"/>
          <w:w w:val="115"/>
          <w:sz w:val="14"/>
        </w:rPr>
        <w:t> </w:t>
      </w:r>
      <w:r>
        <w:rPr>
          <w:spacing w:val="-3"/>
          <w:w w:val="115"/>
          <w:sz w:val="14"/>
        </w:rPr>
        <w:t>to</w:t>
      </w:r>
      <w:r>
        <w:rPr>
          <w:spacing w:val="-9"/>
          <w:w w:val="115"/>
          <w:sz w:val="14"/>
        </w:rPr>
        <w:t> </w:t>
      </w:r>
      <w:r>
        <w:rPr>
          <w:w w:val="115"/>
          <w:sz w:val="14"/>
        </w:rPr>
        <w:t>+0.1</w:t>
        <w:tab/>
        <w:t>-0.1</w:t>
      </w:r>
    </w:p>
    <w:p>
      <w:pPr>
        <w:tabs>
          <w:tab w:pos="1555" w:val="left" w:leader="none"/>
          <w:tab w:pos="3281" w:val="left" w:leader="none"/>
        </w:tabs>
        <w:spacing w:line="150" w:lineRule="exact" w:before="0"/>
        <w:ind w:left="180" w:right="0" w:firstLine="0"/>
        <w:jc w:val="left"/>
        <w:rPr>
          <w:sz w:val="14"/>
        </w:rPr>
      </w:pPr>
      <w:r>
        <w:rPr>
          <w:spacing w:val="-5"/>
          <w:w w:val="115"/>
          <w:sz w:val="14"/>
        </w:rPr>
        <w:t>2003</w:t>
      </w:r>
      <w:r>
        <w:rPr>
          <w:spacing w:val="-2"/>
          <w:w w:val="115"/>
          <w:sz w:val="14"/>
        </w:rPr>
        <w:t> </w:t>
      </w:r>
      <w:r>
        <w:rPr>
          <w:w w:val="115"/>
          <w:sz w:val="14"/>
        </w:rPr>
        <w:t>Q1</w:t>
        <w:tab/>
      </w:r>
      <w:r>
        <w:rPr>
          <w:spacing w:val="-4"/>
          <w:w w:val="115"/>
          <w:sz w:val="14"/>
        </w:rPr>
        <w:t>-0.25</w:t>
      </w:r>
      <w:r>
        <w:rPr>
          <w:spacing w:val="-7"/>
          <w:w w:val="115"/>
          <w:sz w:val="14"/>
        </w:rPr>
        <w:t> </w:t>
      </w:r>
      <w:r>
        <w:rPr>
          <w:spacing w:val="-3"/>
          <w:w w:val="115"/>
          <w:sz w:val="14"/>
        </w:rPr>
        <w:t>to</w:t>
      </w:r>
      <w:r>
        <w:rPr>
          <w:spacing w:val="-8"/>
          <w:w w:val="115"/>
          <w:sz w:val="14"/>
        </w:rPr>
        <w:t> </w:t>
      </w:r>
      <w:r>
        <w:rPr>
          <w:w w:val="115"/>
          <w:sz w:val="14"/>
        </w:rPr>
        <w:t>+0.2</w:t>
        <w:tab/>
      </w:r>
      <w:r>
        <w:rPr>
          <w:spacing w:val="-4"/>
          <w:w w:val="115"/>
          <w:sz w:val="14"/>
        </w:rPr>
        <w:t>-0.25</w:t>
      </w:r>
    </w:p>
    <w:p>
      <w:pPr>
        <w:pStyle w:val="BodyText"/>
        <w:rPr>
          <w:sz w:val="14"/>
        </w:rPr>
      </w:pPr>
    </w:p>
    <w:p>
      <w:pPr>
        <w:spacing w:before="0"/>
        <w:ind w:left="180" w:right="0" w:firstLine="0"/>
        <w:jc w:val="left"/>
        <w:rPr>
          <w:rFonts w:ascii="Georgia"/>
          <w:sz w:val="14"/>
        </w:rPr>
      </w:pPr>
      <w:r>
        <w:rPr>
          <w:rFonts w:ascii="Georgia"/>
          <w:sz w:val="14"/>
        </w:rPr>
        <w:t>GDP growth</w:t>
      </w:r>
    </w:p>
    <w:p>
      <w:pPr>
        <w:tabs>
          <w:tab w:pos="2150" w:val="left" w:leader="none"/>
          <w:tab w:pos="3291" w:val="left" w:leader="none"/>
        </w:tabs>
        <w:spacing w:line="150" w:lineRule="exact" w:before="119"/>
        <w:ind w:left="180" w:right="0" w:firstLine="0"/>
        <w:jc w:val="left"/>
        <w:rPr>
          <w:sz w:val="14"/>
        </w:rPr>
      </w:pPr>
      <w:r>
        <w:rPr>
          <w:spacing w:val="-5"/>
          <w:w w:val="115"/>
          <w:sz w:val="14"/>
        </w:rPr>
        <w:t>2002</w:t>
      </w:r>
      <w:r>
        <w:rPr>
          <w:spacing w:val="-2"/>
          <w:w w:val="115"/>
          <w:sz w:val="14"/>
        </w:rPr>
        <w:t> </w:t>
      </w:r>
      <w:r>
        <w:rPr>
          <w:w w:val="115"/>
          <w:sz w:val="14"/>
        </w:rPr>
        <w:t>Q1</w:t>
        <w:tab/>
        <w:t>0.0</w:t>
        <w:tab/>
      </w:r>
      <w:r>
        <w:rPr>
          <w:spacing w:val="-6"/>
          <w:w w:val="115"/>
          <w:sz w:val="14"/>
        </w:rPr>
        <w:t>-0.15</w:t>
      </w:r>
    </w:p>
    <w:p>
      <w:pPr>
        <w:tabs>
          <w:tab w:pos="1625" w:val="left" w:leader="none"/>
          <w:tab w:pos="3350" w:val="left" w:leader="none"/>
        </w:tabs>
        <w:spacing w:line="150" w:lineRule="exact" w:before="0"/>
        <w:ind w:left="180" w:right="0" w:firstLine="0"/>
        <w:jc w:val="left"/>
        <w:rPr>
          <w:sz w:val="14"/>
        </w:rPr>
      </w:pPr>
      <w:r>
        <w:rPr>
          <w:spacing w:val="-5"/>
          <w:w w:val="115"/>
          <w:sz w:val="14"/>
        </w:rPr>
        <w:t>2003</w:t>
      </w:r>
      <w:r>
        <w:rPr>
          <w:spacing w:val="-2"/>
          <w:w w:val="115"/>
          <w:sz w:val="14"/>
        </w:rPr>
        <w:t> </w:t>
      </w:r>
      <w:r>
        <w:rPr>
          <w:w w:val="115"/>
          <w:sz w:val="14"/>
        </w:rPr>
        <w:t>Q1</w:t>
        <w:tab/>
        <w:t>+0.1</w:t>
      </w:r>
      <w:r>
        <w:rPr>
          <w:spacing w:val="-9"/>
          <w:w w:val="115"/>
          <w:sz w:val="14"/>
        </w:rPr>
        <w:t> </w:t>
      </w:r>
      <w:r>
        <w:rPr>
          <w:spacing w:val="-3"/>
          <w:w w:val="115"/>
          <w:sz w:val="14"/>
        </w:rPr>
        <w:t>to</w:t>
      </w:r>
      <w:r>
        <w:rPr>
          <w:spacing w:val="-10"/>
          <w:w w:val="115"/>
          <w:sz w:val="14"/>
        </w:rPr>
        <w:t> </w:t>
      </w:r>
      <w:r>
        <w:rPr>
          <w:w w:val="115"/>
          <w:sz w:val="14"/>
        </w:rPr>
        <w:t>-0.1</w:t>
        <w:tab/>
        <w:t>-0.1</w:t>
      </w:r>
    </w:p>
    <w:p>
      <w:pPr>
        <w:pStyle w:val="BodyText"/>
        <w:spacing w:line="292" w:lineRule="auto" w:before="63"/>
        <w:ind w:left="180" w:right="90"/>
      </w:pPr>
      <w:r>
        <w:rPr/>
        <w:br w:type="column"/>
      </w:r>
      <w:r>
        <w:rPr>
          <w:w w:val="110"/>
        </w:rPr>
        <w:t>Maintaining a similar judgment on the degree of </w:t>
      </w:r>
      <w:r>
        <w:rPr>
          <w:spacing w:val="-3"/>
          <w:w w:val="110"/>
        </w:rPr>
        <w:t>overall </w:t>
      </w:r>
      <w:r>
        <w:rPr>
          <w:w w:val="110"/>
        </w:rPr>
        <w:t>uncertainty</w:t>
      </w:r>
      <w:r>
        <w:rPr>
          <w:spacing w:val="-20"/>
          <w:w w:val="110"/>
        </w:rPr>
        <w:t> </w:t>
      </w:r>
      <w:r>
        <w:rPr>
          <w:w w:val="110"/>
        </w:rPr>
        <w:t>surrounding</w:t>
      </w:r>
      <w:r>
        <w:rPr>
          <w:spacing w:val="-19"/>
          <w:w w:val="110"/>
        </w:rPr>
        <w:t> </w:t>
      </w:r>
      <w:r>
        <w:rPr>
          <w:w w:val="110"/>
        </w:rPr>
        <w:t>prospects</w:t>
      </w:r>
      <w:r>
        <w:rPr>
          <w:spacing w:val="-19"/>
          <w:w w:val="110"/>
        </w:rPr>
        <w:t> </w:t>
      </w:r>
      <w:r>
        <w:rPr>
          <w:w w:val="110"/>
        </w:rPr>
        <w:t>as</w:t>
      </w:r>
      <w:r>
        <w:rPr>
          <w:spacing w:val="-19"/>
          <w:w w:val="110"/>
        </w:rPr>
        <w:t> </w:t>
      </w:r>
      <w:r>
        <w:rPr>
          <w:w w:val="110"/>
        </w:rPr>
        <w:t>in</w:t>
      </w:r>
      <w:r>
        <w:rPr>
          <w:spacing w:val="-19"/>
          <w:w w:val="110"/>
        </w:rPr>
        <w:t> </w:t>
      </w:r>
      <w:r>
        <w:rPr>
          <w:w w:val="110"/>
        </w:rPr>
        <w:t>the</w:t>
      </w:r>
      <w:r>
        <w:rPr>
          <w:spacing w:val="-19"/>
          <w:w w:val="110"/>
        </w:rPr>
        <w:t> </w:t>
      </w:r>
      <w:r>
        <w:rPr>
          <w:w w:val="110"/>
        </w:rPr>
        <w:t>November</w:t>
      </w:r>
      <w:r>
        <w:rPr>
          <w:spacing w:val="-19"/>
          <w:w w:val="110"/>
        </w:rPr>
        <w:t> </w:t>
      </w:r>
      <w:r>
        <w:rPr>
          <w:i/>
          <w:w w:val="110"/>
        </w:rPr>
        <w:t>Report</w:t>
      </w:r>
      <w:r>
        <w:rPr>
          <w:w w:val="110"/>
        </w:rPr>
        <w:t>, Chart 6.4 </w:t>
      </w:r>
      <w:r>
        <w:rPr>
          <w:spacing w:val="-3"/>
          <w:w w:val="110"/>
        </w:rPr>
        <w:t>illustrates </w:t>
      </w:r>
      <w:r>
        <w:rPr>
          <w:w w:val="110"/>
        </w:rPr>
        <w:t>the </w:t>
      </w:r>
      <w:r>
        <w:rPr>
          <w:spacing w:val="-3"/>
          <w:w w:val="110"/>
        </w:rPr>
        <w:t>overall </w:t>
      </w:r>
      <w:r>
        <w:rPr>
          <w:w w:val="110"/>
        </w:rPr>
        <w:t>balance of risks </w:t>
      </w:r>
      <w:r>
        <w:rPr>
          <w:spacing w:val="-4"/>
          <w:w w:val="110"/>
        </w:rPr>
        <w:t>to </w:t>
      </w:r>
      <w:r>
        <w:rPr>
          <w:w w:val="110"/>
        </w:rPr>
        <w:t>inflation at the </w:t>
      </w:r>
      <w:r>
        <w:rPr>
          <w:spacing w:val="-5"/>
          <w:w w:val="110"/>
        </w:rPr>
        <w:t>two-year </w:t>
      </w:r>
      <w:r>
        <w:rPr>
          <w:w w:val="110"/>
        </w:rPr>
        <w:t>horizon. Chart 6.5 shows the corresponding balance</w:t>
      </w:r>
      <w:r>
        <w:rPr>
          <w:spacing w:val="-22"/>
          <w:w w:val="110"/>
        </w:rPr>
        <w:t> </w:t>
      </w:r>
      <w:r>
        <w:rPr>
          <w:w w:val="110"/>
        </w:rPr>
        <w:t>from</w:t>
      </w:r>
      <w:r>
        <w:rPr>
          <w:spacing w:val="-22"/>
          <w:w w:val="110"/>
        </w:rPr>
        <w:t> </w:t>
      </w:r>
      <w:r>
        <w:rPr>
          <w:w w:val="110"/>
        </w:rPr>
        <w:t>the</w:t>
      </w:r>
      <w:r>
        <w:rPr>
          <w:spacing w:val="-22"/>
          <w:w w:val="110"/>
        </w:rPr>
        <w:t> </w:t>
      </w:r>
      <w:r>
        <w:rPr>
          <w:w w:val="110"/>
        </w:rPr>
        <w:t>November</w:t>
      </w:r>
      <w:r>
        <w:rPr>
          <w:spacing w:val="-22"/>
          <w:w w:val="110"/>
        </w:rPr>
        <w:t> </w:t>
      </w:r>
      <w:r>
        <w:rPr>
          <w:w w:val="110"/>
        </w:rPr>
        <w:t>projection.</w:t>
      </w:r>
      <w:r>
        <w:rPr>
          <w:spacing w:val="13"/>
          <w:w w:val="110"/>
        </w:rPr>
        <w:t> </w:t>
      </w:r>
      <w:r>
        <w:rPr>
          <w:w w:val="110"/>
        </w:rPr>
        <w:t>The</w:t>
      </w:r>
      <w:r>
        <w:rPr>
          <w:spacing w:val="-22"/>
          <w:w w:val="110"/>
        </w:rPr>
        <w:t> </w:t>
      </w:r>
      <w:r>
        <w:rPr>
          <w:spacing w:val="-3"/>
          <w:w w:val="110"/>
        </w:rPr>
        <w:t>Committee’s</w:t>
      </w:r>
      <w:r>
        <w:rPr>
          <w:spacing w:val="-22"/>
          <w:w w:val="110"/>
        </w:rPr>
        <w:t> </w:t>
      </w:r>
      <w:r>
        <w:rPr>
          <w:w w:val="110"/>
        </w:rPr>
        <w:t>best collective judgment of the probabilities of various outcomes for</w:t>
      </w:r>
      <w:r>
        <w:rPr>
          <w:spacing w:val="-13"/>
          <w:w w:val="110"/>
        </w:rPr>
        <w:t> </w:t>
      </w:r>
      <w:r>
        <w:rPr>
          <w:w w:val="110"/>
        </w:rPr>
        <w:t>inflation</w:t>
      </w:r>
      <w:r>
        <w:rPr>
          <w:spacing w:val="-13"/>
          <w:w w:val="110"/>
        </w:rPr>
        <w:t> </w:t>
      </w:r>
      <w:r>
        <w:rPr>
          <w:w w:val="110"/>
        </w:rPr>
        <w:t>and</w:t>
      </w:r>
      <w:r>
        <w:rPr>
          <w:spacing w:val="-13"/>
          <w:w w:val="110"/>
        </w:rPr>
        <w:t> </w:t>
      </w:r>
      <w:r>
        <w:rPr>
          <w:w w:val="110"/>
        </w:rPr>
        <w:t>GDP</w:t>
      </w:r>
      <w:r>
        <w:rPr>
          <w:spacing w:val="-13"/>
          <w:w w:val="110"/>
        </w:rPr>
        <w:t> </w:t>
      </w:r>
      <w:r>
        <w:rPr>
          <w:w w:val="110"/>
        </w:rPr>
        <w:t>growth</w:t>
      </w:r>
      <w:r>
        <w:rPr>
          <w:spacing w:val="-13"/>
          <w:w w:val="110"/>
        </w:rPr>
        <w:t> </w:t>
      </w:r>
      <w:r>
        <w:rPr>
          <w:w w:val="110"/>
        </w:rPr>
        <w:t>is</w:t>
      </w:r>
      <w:r>
        <w:rPr>
          <w:spacing w:val="-12"/>
          <w:w w:val="110"/>
        </w:rPr>
        <w:t> </w:t>
      </w:r>
      <w:r>
        <w:rPr>
          <w:w w:val="110"/>
        </w:rPr>
        <w:t>shown</w:t>
      </w:r>
      <w:r>
        <w:rPr>
          <w:spacing w:val="-13"/>
          <w:w w:val="110"/>
        </w:rPr>
        <w:t> </w:t>
      </w:r>
      <w:r>
        <w:rPr>
          <w:w w:val="110"/>
        </w:rPr>
        <w:t>in</w:t>
      </w:r>
      <w:r>
        <w:rPr>
          <w:spacing w:val="-13"/>
          <w:w w:val="110"/>
        </w:rPr>
        <w:t> </w:t>
      </w:r>
      <w:r>
        <w:rPr>
          <w:spacing w:val="-5"/>
          <w:w w:val="110"/>
        </w:rPr>
        <w:t>Table</w:t>
      </w:r>
      <w:r>
        <w:rPr>
          <w:spacing w:val="-13"/>
          <w:w w:val="110"/>
        </w:rPr>
        <w:t> </w:t>
      </w:r>
      <w:r>
        <w:rPr>
          <w:w w:val="110"/>
        </w:rPr>
        <w:t>6.A.</w:t>
      </w:r>
    </w:p>
    <w:p>
      <w:pPr>
        <w:pStyle w:val="BodyText"/>
        <w:rPr>
          <w:sz w:val="24"/>
        </w:rPr>
      </w:pPr>
    </w:p>
    <w:p>
      <w:pPr>
        <w:pStyle w:val="BodyText"/>
        <w:spacing w:line="292" w:lineRule="auto"/>
        <w:ind w:left="180" w:right="160"/>
      </w:pPr>
      <w:r>
        <w:rPr>
          <w:w w:val="110"/>
        </w:rPr>
        <w:t>As emphasised in the previous </w:t>
      </w:r>
      <w:r>
        <w:rPr>
          <w:i/>
          <w:w w:val="110"/>
        </w:rPr>
        <w:t>Report</w:t>
      </w:r>
      <w:r>
        <w:rPr>
          <w:w w:val="110"/>
        </w:rPr>
        <w:t>, when forming their individual judgments of the appropriate setting for </w:t>
      </w:r>
      <w:r>
        <w:rPr>
          <w:spacing w:val="-3"/>
          <w:w w:val="110"/>
        </w:rPr>
        <w:t>interest </w:t>
      </w:r>
      <w:r>
        <w:rPr>
          <w:spacing w:val="-4"/>
          <w:w w:val="110"/>
        </w:rPr>
        <w:t>rates, </w:t>
      </w:r>
      <w:r>
        <w:rPr>
          <w:spacing w:val="-3"/>
          <w:w w:val="110"/>
        </w:rPr>
        <w:t>Committee </w:t>
      </w:r>
      <w:r>
        <w:rPr>
          <w:w w:val="110"/>
        </w:rPr>
        <w:t>members </w:t>
      </w:r>
      <w:r>
        <w:rPr>
          <w:spacing w:val="-3"/>
          <w:w w:val="110"/>
        </w:rPr>
        <w:t>draw </w:t>
      </w:r>
      <w:r>
        <w:rPr>
          <w:w w:val="110"/>
        </w:rPr>
        <w:t>on their assessment of the likely prospects for inflation and output, placing particular emphasis on the uncertainties and risks. The </w:t>
      </w:r>
      <w:r>
        <w:rPr>
          <w:spacing w:val="-3"/>
          <w:w w:val="110"/>
        </w:rPr>
        <w:t>probability </w:t>
      </w:r>
      <w:r>
        <w:rPr>
          <w:w w:val="110"/>
        </w:rPr>
        <w:t>distributions</w:t>
      </w:r>
      <w:r>
        <w:rPr>
          <w:spacing w:val="-9"/>
          <w:w w:val="110"/>
        </w:rPr>
        <w:t> </w:t>
      </w:r>
      <w:r>
        <w:rPr>
          <w:spacing w:val="-3"/>
          <w:w w:val="110"/>
        </w:rPr>
        <w:t>portrayed</w:t>
      </w:r>
      <w:r>
        <w:rPr>
          <w:spacing w:val="-8"/>
          <w:w w:val="110"/>
        </w:rPr>
        <w:t> </w:t>
      </w:r>
      <w:r>
        <w:rPr>
          <w:w w:val="110"/>
        </w:rPr>
        <w:t>in</w:t>
      </w:r>
      <w:r>
        <w:rPr>
          <w:spacing w:val="-8"/>
          <w:w w:val="110"/>
        </w:rPr>
        <w:t> </w:t>
      </w:r>
      <w:r>
        <w:rPr>
          <w:w w:val="110"/>
        </w:rPr>
        <w:t>the</w:t>
      </w:r>
      <w:r>
        <w:rPr>
          <w:spacing w:val="-8"/>
          <w:w w:val="110"/>
        </w:rPr>
        <w:t> </w:t>
      </w:r>
      <w:r>
        <w:rPr>
          <w:w w:val="110"/>
        </w:rPr>
        <w:t>fan</w:t>
      </w:r>
      <w:r>
        <w:rPr>
          <w:spacing w:val="-8"/>
          <w:w w:val="110"/>
        </w:rPr>
        <w:t> </w:t>
      </w:r>
      <w:r>
        <w:rPr>
          <w:w w:val="110"/>
        </w:rPr>
        <w:t>charts</w:t>
      </w:r>
      <w:r>
        <w:rPr>
          <w:spacing w:val="-9"/>
          <w:w w:val="110"/>
        </w:rPr>
        <w:t> </w:t>
      </w:r>
      <w:r>
        <w:rPr>
          <w:w w:val="110"/>
        </w:rPr>
        <w:t>provide</w:t>
      </w:r>
      <w:r>
        <w:rPr>
          <w:spacing w:val="-8"/>
          <w:w w:val="110"/>
        </w:rPr>
        <w:t> </w:t>
      </w:r>
      <w:r>
        <w:rPr>
          <w:w w:val="110"/>
        </w:rPr>
        <w:t>an</w:t>
      </w:r>
      <w:r>
        <w:rPr>
          <w:spacing w:val="-8"/>
          <w:w w:val="110"/>
        </w:rPr>
        <w:t> </w:t>
      </w:r>
      <w:r>
        <w:rPr>
          <w:w w:val="110"/>
        </w:rPr>
        <w:t>indication of the general uncertainty around the most likely outcome, drawing on experience from earlier forecasting errors, and provide</w:t>
      </w:r>
      <w:r>
        <w:rPr>
          <w:spacing w:val="-28"/>
          <w:w w:val="110"/>
        </w:rPr>
        <w:t> </w:t>
      </w:r>
      <w:r>
        <w:rPr>
          <w:w w:val="110"/>
        </w:rPr>
        <w:t>a</w:t>
      </w:r>
      <w:r>
        <w:rPr>
          <w:spacing w:val="-27"/>
          <w:w w:val="110"/>
        </w:rPr>
        <w:t> </w:t>
      </w:r>
      <w:r>
        <w:rPr>
          <w:w w:val="110"/>
        </w:rPr>
        <w:t>calibration</w:t>
      </w:r>
      <w:r>
        <w:rPr>
          <w:spacing w:val="-28"/>
          <w:w w:val="110"/>
        </w:rPr>
        <w:t> </w:t>
      </w:r>
      <w:r>
        <w:rPr>
          <w:w w:val="110"/>
        </w:rPr>
        <w:t>of</w:t>
      </w:r>
      <w:r>
        <w:rPr>
          <w:spacing w:val="-27"/>
          <w:w w:val="110"/>
        </w:rPr>
        <w:t> </w:t>
      </w:r>
      <w:r>
        <w:rPr>
          <w:w w:val="110"/>
        </w:rPr>
        <w:t>the</w:t>
      </w:r>
      <w:r>
        <w:rPr>
          <w:spacing w:val="-27"/>
          <w:w w:val="110"/>
        </w:rPr>
        <w:t> </w:t>
      </w:r>
      <w:r>
        <w:rPr>
          <w:spacing w:val="-4"/>
          <w:w w:val="110"/>
        </w:rPr>
        <w:t>Committee’s</w:t>
      </w:r>
      <w:r>
        <w:rPr>
          <w:spacing w:val="-28"/>
          <w:w w:val="110"/>
        </w:rPr>
        <w:t> </w:t>
      </w:r>
      <w:r>
        <w:rPr>
          <w:w w:val="110"/>
        </w:rPr>
        <w:t>collective</w:t>
      </w:r>
      <w:r>
        <w:rPr>
          <w:spacing w:val="-27"/>
          <w:w w:val="110"/>
        </w:rPr>
        <w:t> </w:t>
      </w:r>
      <w:r>
        <w:rPr>
          <w:w w:val="110"/>
        </w:rPr>
        <w:t>assessment of the </w:t>
      </w:r>
      <w:r>
        <w:rPr>
          <w:spacing w:val="-3"/>
          <w:w w:val="110"/>
        </w:rPr>
        <w:t>overall </w:t>
      </w:r>
      <w:r>
        <w:rPr>
          <w:w w:val="110"/>
        </w:rPr>
        <w:t>balance of risks. </w:t>
      </w:r>
      <w:r>
        <w:rPr>
          <w:spacing w:val="-4"/>
          <w:w w:val="110"/>
        </w:rPr>
        <w:t>However, </w:t>
      </w:r>
      <w:r>
        <w:rPr>
          <w:w w:val="110"/>
        </w:rPr>
        <w:t>for certain </w:t>
      </w:r>
      <w:r>
        <w:rPr>
          <w:spacing w:val="-4"/>
          <w:w w:val="110"/>
        </w:rPr>
        <w:t>key </w:t>
      </w:r>
      <w:r>
        <w:rPr>
          <w:w w:val="110"/>
        </w:rPr>
        <w:t>assumptions, some Committee members prefer </w:t>
      </w:r>
      <w:r>
        <w:rPr>
          <w:spacing w:val="-4"/>
          <w:w w:val="110"/>
        </w:rPr>
        <w:t>to </w:t>
      </w:r>
      <w:r>
        <w:rPr>
          <w:w w:val="110"/>
        </w:rPr>
        <w:t>make different</w:t>
      </w:r>
      <w:r>
        <w:rPr>
          <w:spacing w:val="-16"/>
          <w:w w:val="110"/>
        </w:rPr>
        <w:t> </w:t>
      </w:r>
      <w:r>
        <w:rPr>
          <w:w w:val="110"/>
        </w:rPr>
        <w:t>judgments</w:t>
      </w:r>
      <w:r>
        <w:rPr>
          <w:spacing w:val="-16"/>
          <w:w w:val="110"/>
        </w:rPr>
        <w:t> </w:t>
      </w:r>
      <w:r>
        <w:rPr>
          <w:w w:val="110"/>
        </w:rPr>
        <w:t>from</w:t>
      </w:r>
      <w:r>
        <w:rPr>
          <w:spacing w:val="-16"/>
          <w:w w:val="110"/>
        </w:rPr>
        <w:t> </w:t>
      </w:r>
      <w:r>
        <w:rPr>
          <w:w w:val="110"/>
        </w:rPr>
        <w:t>those</w:t>
      </w:r>
      <w:r>
        <w:rPr>
          <w:spacing w:val="-16"/>
          <w:w w:val="110"/>
        </w:rPr>
        <w:t> </w:t>
      </w:r>
      <w:r>
        <w:rPr>
          <w:w w:val="110"/>
        </w:rPr>
        <w:t>incorporated</w:t>
      </w:r>
      <w:r>
        <w:rPr>
          <w:spacing w:val="-16"/>
          <w:w w:val="110"/>
        </w:rPr>
        <w:t> </w:t>
      </w:r>
      <w:r>
        <w:rPr>
          <w:w w:val="110"/>
        </w:rPr>
        <w:t>in</w:t>
      </w:r>
      <w:r>
        <w:rPr>
          <w:spacing w:val="-15"/>
          <w:w w:val="110"/>
        </w:rPr>
        <w:t> </w:t>
      </w:r>
      <w:r>
        <w:rPr>
          <w:w w:val="110"/>
        </w:rPr>
        <w:t>the</w:t>
      </w:r>
      <w:r>
        <w:rPr>
          <w:spacing w:val="-16"/>
          <w:w w:val="110"/>
        </w:rPr>
        <w:t> </w:t>
      </w:r>
      <w:r>
        <w:rPr>
          <w:w w:val="110"/>
        </w:rPr>
        <w:t>fan</w:t>
      </w:r>
      <w:r>
        <w:rPr>
          <w:spacing w:val="-16"/>
          <w:w w:val="110"/>
        </w:rPr>
        <w:t> </w:t>
      </w:r>
      <w:r>
        <w:rPr>
          <w:w w:val="110"/>
        </w:rPr>
        <w:t>charts. Committee members continue </w:t>
      </w:r>
      <w:r>
        <w:rPr>
          <w:spacing w:val="-4"/>
          <w:w w:val="110"/>
        </w:rPr>
        <w:t>to </w:t>
      </w:r>
      <w:r>
        <w:rPr>
          <w:w w:val="110"/>
        </w:rPr>
        <w:t>hold different views on the impact and scale of improvements in supply-side and labour market performance. And given the considerable uncertainties at present on both the outlook for the global economy</w:t>
      </w:r>
      <w:r>
        <w:rPr>
          <w:spacing w:val="-7"/>
          <w:w w:val="110"/>
        </w:rPr>
        <w:t> </w:t>
      </w:r>
      <w:r>
        <w:rPr>
          <w:w w:val="110"/>
        </w:rPr>
        <w:t>and</w:t>
      </w:r>
      <w:r>
        <w:rPr>
          <w:spacing w:val="-6"/>
          <w:w w:val="110"/>
        </w:rPr>
        <w:t> </w:t>
      </w:r>
      <w:r>
        <w:rPr>
          <w:w w:val="110"/>
        </w:rPr>
        <w:t>on</w:t>
      </w:r>
      <w:r>
        <w:rPr>
          <w:spacing w:val="-6"/>
          <w:w w:val="110"/>
        </w:rPr>
        <w:t> </w:t>
      </w:r>
      <w:r>
        <w:rPr>
          <w:w w:val="110"/>
        </w:rPr>
        <w:t>the</w:t>
      </w:r>
      <w:r>
        <w:rPr>
          <w:spacing w:val="-7"/>
          <w:w w:val="110"/>
        </w:rPr>
        <w:t> </w:t>
      </w:r>
      <w:r>
        <w:rPr>
          <w:w w:val="110"/>
        </w:rPr>
        <w:t>impact</w:t>
      </w:r>
      <w:r>
        <w:rPr>
          <w:spacing w:val="-6"/>
          <w:w w:val="110"/>
        </w:rPr>
        <w:t> </w:t>
      </w:r>
      <w:r>
        <w:rPr>
          <w:w w:val="110"/>
        </w:rPr>
        <w:t>of</w:t>
      </w:r>
      <w:r>
        <w:rPr>
          <w:spacing w:val="-6"/>
          <w:w w:val="110"/>
        </w:rPr>
        <w:t> </w:t>
      </w:r>
      <w:r>
        <w:rPr>
          <w:w w:val="110"/>
        </w:rPr>
        <w:t>the</w:t>
      </w:r>
      <w:r>
        <w:rPr>
          <w:spacing w:val="-6"/>
          <w:w w:val="110"/>
        </w:rPr>
        <w:t> </w:t>
      </w:r>
      <w:r>
        <w:rPr>
          <w:w w:val="110"/>
        </w:rPr>
        <w:t>change</w:t>
      </w:r>
      <w:r>
        <w:rPr>
          <w:spacing w:val="-7"/>
          <w:w w:val="110"/>
        </w:rPr>
        <w:t> </w:t>
      </w:r>
      <w:r>
        <w:rPr>
          <w:w w:val="110"/>
        </w:rPr>
        <w:t>in</w:t>
      </w:r>
      <w:r>
        <w:rPr>
          <w:spacing w:val="-6"/>
          <w:w w:val="110"/>
        </w:rPr>
        <w:t> </w:t>
      </w:r>
      <w:r>
        <w:rPr>
          <w:w w:val="110"/>
        </w:rPr>
        <w:t>the</w:t>
      </w:r>
      <w:r>
        <w:rPr>
          <w:spacing w:val="-6"/>
          <w:w w:val="110"/>
        </w:rPr>
        <w:t> </w:t>
      </w:r>
      <w:r>
        <w:rPr>
          <w:w w:val="110"/>
        </w:rPr>
        <w:t>international environment on economic prospects in the United Kingdom, individual </w:t>
      </w:r>
      <w:r>
        <w:rPr>
          <w:spacing w:val="-3"/>
          <w:w w:val="110"/>
        </w:rPr>
        <w:t>Committee </w:t>
      </w:r>
      <w:r>
        <w:rPr>
          <w:w w:val="110"/>
        </w:rPr>
        <w:t>members hold different views on the most likely outcome and on the magnitude of the potential risks. The major differences in their preferred alternative assumptions</w:t>
      </w:r>
      <w:r>
        <w:rPr>
          <w:spacing w:val="-11"/>
          <w:w w:val="110"/>
        </w:rPr>
        <w:t> </w:t>
      </w:r>
      <w:r>
        <w:rPr>
          <w:w w:val="110"/>
        </w:rPr>
        <w:t>are</w:t>
      </w:r>
      <w:r>
        <w:rPr>
          <w:spacing w:val="-11"/>
          <w:w w:val="110"/>
        </w:rPr>
        <w:t> </w:t>
      </w:r>
      <w:r>
        <w:rPr>
          <w:spacing w:val="-3"/>
          <w:w w:val="110"/>
        </w:rPr>
        <w:t>calibrated</w:t>
      </w:r>
      <w:r>
        <w:rPr>
          <w:spacing w:val="-10"/>
          <w:w w:val="110"/>
        </w:rPr>
        <w:t> </w:t>
      </w:r>
      <w:r>
        <w:rPr>
          <w:w w:val="110"/>
        </w:rPr>
        <w:t>in</w:t>
      </w:r>
      <w:r>
        <w:rPr>
          <w:spacing w:val="-11"/>
          <w:w w:val="110"/>
        </w:rPr>
        <w:t> </w:t>
      </w:r>
      <w:r>
        <w:rPr>
          <w:spacing w:val="-5"/>
          <w:w w:val="110"/>
        </w:rPr>
        <w:t>Table</w:t>
      </w:r>
      <w:r>
        <w:rPr>
          <w:spacing w:val="-11"/>
          <w:w w:val="110"/>
        </w:rPr>
        <w:t> </w:t>
      </w:r>
      <w:r>
        <w:rPr>
          <w:w w:val="110"/>
        </w:rPr>
        <w:t>6.B,</w:t>
      </w:r>
      <w:r>
        <w:rPr>
          <w:spacing w:val="-10"/>
          <w:w w:val="110"/>
        </w:rPr>
        <w:t> </w:t>
      </w:r>
      <w:r>
        <w:rPr>
          <w:w w:val="110"/>
        </w:rPr>
        <w:t>but</w:t>
      </w:r>
      <w:r>
        <w:rPr>
          <w:spacing w:val="-11"/>
          <w:w w:val="110"/>
        </w:rPr>
        <w:t> </w:t>
      </w:r>
      <w:r>
        <w:rPr>
          <w:w w:val="110"/>
        </w:rPr>
        <w:t>there</w:t>
      </w:r>
      <w:r>
        <w:rPr>
          <w:spacing w:val="-10"/>
          <w:w w:val="110"/>
        </w:rPr>
        <w:t> </w:t>
      </w:r>
      <w:r>
        <w:rPr>
          <w:w w:val="110"/>
        </w:rPr>
        <w:t>are</w:t>
      </w:r>
      <w:r>
        <w:rPr>
          <w:spacing w:val="-11"/>
          <w:w w:val="110"/>
        </w:rPr>
        <w:t> </w:t>
      </w:r>
      <w:r>
        <w:rPr>
          <w:w w:val="110"/>
        </w:rPr>
        <w:t>also</w:t>
      </w:r>
    </w:p>
    <w:p>
      <w:pPr>
        <w:spacing w:after="0" w:line="292" w:lineRule="auto"/>
        <w:sectPr>
          <w:type w:val="continuous"/>
          <w:pgSz w:w="11900" w:h="16840"/>
          <w:pgMar w:top="1260" w:bottom="280" w:left="640" w:right="640"/>
          <w:cols w:num="2" w:equalWidth="0">
            <w:col w:w="4505" w:space="427"/>
            <w:col w:w="5688"/>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spacing w:before="1"/>
        <w:ind w:left="182"/>
      </w:pPr>
      <w:bookmarkStart w:name="Other forecasts" w:id="98"/>
      <w:bookmarkEnd w:id="98"/>
      <w:r>
        <w:rPr>
          <w:b w:val="0"/>
        </w:rPr>
      </w:r>
      <w:bookmarkStart w:name="_bookmark50" w:id="99"/>
      <w:bookmarkEnd w:id="99"/>
      <w:r>
        <w:rPr>
          <w:b w:val="0"/>
        </w:rPr>
      </w:r>
      <w:r>
        <w:rPr>
          <w:color w:val="89C6DC"/>
          <w:w w:val="95"/>
        </w:rPr>
        <w:t>Chart 6.6</w:t>
      </w:r>
    </w:p>
    <w:p>
      <w:pPr>
        <w:spacing w:line="247" w:lineRule="auto" w:before="7"/>
        <w:ind w:left="182" w:right="746" w:firstLine="0"/>
        <w:jc w:val="left"/>
        <w:rPr>
          <w:rFonts w:ascii="Trebuchet MS"/>
          <w:b/>
          <w:sz w:val="20"/>
        </w:rPr>
      </w:pPr>
      <w:r>
        <w:rPr>
          <w:rFonts w:ascii="Trebuchet MS"/>
          <w:b/>
          <w:color w:val="89C6DC"/>
          <w:w w:val="90"/>
          <w:sz w:val="20"/>
        </w:rPr>
        <w:t>Current RPIX </w:t>
      </w:r>
      <w:bookmarkStart w:name="_bookmark51" w:id="100"/>
      <w:bookmarkEnd w:id="100"/>
      <w:r>
        <w:rPr>
          <w:rFonts w:ascii="Trebuchet MS"/>
          <w:b/>
          <w:color w:val="89C6DC"/>
          <w:w w:val="90"/>
          <w:sz w:val="20"/>
        </w:rPr>
        <w:t>inflatio</w:t>
      </w:r>
      <w:r>
        <w:rPr>
          <w:rFonts w:ascii="Trebuchet MS"/>
          <w:b/>
          <w:color w:val="89C6DC"/>
          <w:w w:val="90"/>
          <w:sz w:val="20"/>
        </w:rPr>
        <w:t>n projection based </w:t>
      </w:r>
      <w:r>
        <w:rPr>
          <w:rFonts w:ascii="Trebuchet MS"/>
          <w:b/>
          <w:color w:val="89C6DC"/>
          <w:w w:val="95"/>
          <w:sz w:val="20"/>
        </w:rPr>
        <w:t>on market interest rate expectations</w:t>
      </w:r>
    </w:p>
    <w:p>
      <w:pPr>
        <w:spacing w:line="117" w:lineRule="exact" w:before="102"/>
        <w:ind w:left="1742" w:right="0" w:firstLine="0"/>
        <w:jc w:val="left"/>
        <w:rPr>
          <w:sz w:val="12"/>
        </w:rPr>
      </w:pPr>
      <w:r>
        <w:rPr>
          <w:w w:val="110"/>
          <w:sz w:val="12"/>
        </w:rPr>
        <w:t>Percentage increase in prices on a year earlier</w:t>
      </w:r>
    </w:p>
    <w:p>
      <w:pPr>
        <w:spacing w:line="117" w:lineRule="exact" w:before="0"/>
        <w:ind w:left="4150" w:right="0" w:firstLine="0"/>
        <w:jc w:val="left"/>
        <w:rPr>
          <w:sz w:val="12"/>
        </w:rPr>
      </w:pPr>
      <w:r>
        <w:rPr/>
        <w:drawing>
          <wp:anchor distT="0" distB="0" distL="0" distR="0" allowOverlap="1" layoutInCell="1" locked="0" behindDoc="0" simplePos="0" relativeHeight="16391168">
            <wp:simplePos x="0" y="0"/>
            <wp:positionH relativeFrom="page">
              <wp:posOffset>2956941</wp:posOffset>
            </wp:positionH>
            <wp:positionV relativeFrom="paragraph">
              <wp:posOffset>20130</wp:posOffset>
            </wp:positionV>
            <wp:extent cx="59778" cy="6350"/>
            <wp:effectExtent l="0" t="0" r="0" b="0"/>
            <wp:wrapNone/>
            <wp:docPr id="587" name="image8.png"/>
            <wp:cNvGraphicFramePr>
              <a:graphicFrameLocks noChangeAspect="1"/>
            </wp:cNvGraphicFramePr>
            <a:graphic>
              <a:graphicData uri="http://schemas.openxmlformats.org/drawingml/2006/picture">
                <pic:pic>
                  <pic:nvPicPr>
                    <pic:cNvPr id="588" name="image8.png"/>
                    <pic:cNvPicPr/>
                  </pic:nvPicPr>
                  <pic:blipFill>
                    <a:blip r:embed="rId29"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0" simplePos="0" relativeHeight="16392704">
            <wp:simplePos x="0" y="0"/>
            <wp:positionH relativeFrom="page">
              <wp:posOffset>520026</wp:posOffset>
            </wp:positionH>
            <wp:positionV relativeFrom="paragraph">
              <wp:posOffset>20130</wp:posOffset>
            </wp:positionV>
            <wp:extent cx="59778" cy="6350"/>
            <wp:effectExtent l="0" t="0" r="0" b="0"/>
            <wp:wrapNone/>
            <wp:docPr id="589" name="image100.png"/>
            <wp:cNvGraphicFramePr>
              <a:graphicFrameLocks noChangeAspect="1"/>
            </wp:cNvGraphicFramePr>
            <a:graphic>
              <a:graphicData uri="http://schemas.openxmlformats.org/drawingml/2006/picture">
                <pic:pic>
                  <pic:nvPicPr>
                    <pic:cNvPr id="590" name="image100.png"/>
                    <pic:cNvPicPr/>
                  </pic:nvPicPr>
                  <pic:blipFill>
                    <a:blip r:embed="rId175" cstate="print"/>
                    <a:stretch>
                      <a:fillRect/>
                    </a:stretch>
                  </pic:blipFill>
                  <pic:spPr>
                    <a:xfrm>
                      <a:off x="0" y="0"/>
                      <a:ext cx="59778" cy="6350"/>
                    </a:xfrm>
                    <a:prstGeom prst="rect">
                      <a:avLst/>
                    </a:prstGeom>
                  </pic:spPr>
                </pic:pic>
              </a:graphicData>
            </a:graphic>
          </wp:anchor>
        </w:drawing>
      </w:r>
      <w:r>
        <w:rPr>
          <w:w w:val="121"/>
          <w:sz w:val="12"/>
        </w:rPr>
        <w:t>5</w:t>
      </w:r>
    </w:p>
    <w:p>
      <w:pPr>
        <w:pStyle w:val="BodyText"/>
        <w:spacing w:before="5"/>
        <w:rPr>
          <w:sz w:val="22"/>
        </w:rPr>
      </w:pPr>
      <w:r>
        <w:rPr/>
        <w:br w:type="column"/>
      </w:r>
      <w:r>
        <w:rPr>
          <w:sz w:val="22"/>
        </w:rPr>
      </w:r>
    </w:p>
    <w:p>
      <w:pPr>
        <w:pStyle w:val="Heading6"/>
        <w:ind w:left="182"/>
      </w:pPr>
      <w:r>
        <w:rPr>
          <w:color w:val="89C6DC"/>
          <w:w w:val="95"/>
        </w:rPr>
        <w:t>Chart 6.7</w:t>
      </w:r>
    </w:p>
    <w:p>
      <w:pPr>
        <w:spacing w:line="247" w:lineRule="auto" w:before="8"/>
        <w:ind w:left="182" w:right="2179" w:firstLine="0"/>
        <w:jc w:val="left"/>
        <w:rPr>
          <w:rFonts w:ascii="Trebuchet MS"/>
          <w:b/>
          <w:sz w:val="20"/>
        </w:rPr>
      </w:pPr>
      <w:r>
        <w:rPr>
          <w:rFonts w:ascii="Trebuchet MS"/>
          <w:b/>
          <w:color w:val="89C6DC"/>
          <w:w w:val="90"/>
          <w:sz w:val="20"/>
        </w:rPr>
        <w:t>Current GDP projection based on market </w:t>
      </w:r>
      <w:r>
        <w:rPr>
          <w:rFonts w:ascii="Trebuchet MS"/>
          <w:b/>
          <w:color w:val="89C6DC"/>
          <w:sz w:val="20"/>
        </w:rPr>
        <w:t>interest rate expectations</w:t>
      </w:r>
    </w:p>
    <w:p>
      <w:pPr>
        <w:spacing w:line="117" w:lineRule="exact" w:before="90"/>
        <w:ind w:left="1714" w:right="0" w:firstLine="0"/>
        <w:jc w:val="left"/>
        <w:rPr>
          <w:sz w:val="12"/>
        </w:rPr>
      </w:pPr>
      <w:r>
        <w:rPr>
          <w:w w:val="110"/>
          <w:sz w:val="12"/>
        </w:rPr>
        <w:t>Percentage increase in output on a year earlier</w:t>
      </w:r>
    </w:p>
    <w:p>
      <w:pPr>
        <w:spacing w:line="117" w:lineRule="exact" w:before="0"/>
        <w:ind w:left="4163" w:right="0" w:firstLine="0"/>
        <w:jc w:val="left"/>
        <w:rPr>
          <w:sz w:val="12"/>
        </w:rPr>
      </w:pPr>
      <w:r>
        <w:rPr/>
        <w:drawing>
          <wp:anchor distT="0" distB="0" distL="0" distR="0" allowOverlap="1" layoutInCell="1" locked="0" behindDoc="0" simplePos="0" relativeHeight="16394752">
            <wp:simplePos x="0" y="0"/>
            <wp:positionH relativeFrom="page">
              <wp:posOffset>6004712</wp:posOffset>
            </wp:positionH>
            <wp:positionV relativeFrom="paragraph">
              <wp:posOffset>27177</wp:posOffset>
            </wp:positionV>
            <wp:extent cx="59778" cy="6350"/>
            <wp:effectExtent l="0" t="0" r="0" b="0"/>
            <wp:wrapNone/>
            <wp:docPr id="591" name="image8.png"/>
            <wp:cNvGraphicFramePr>
              <a:graphicFrameLocks noChangeAspect="1"/>
            </wp:cNvGraphicFramePr>
            <a:graphic>
              <a:graphicData uri="http://schemas.openxmlformats.org/drawingml/2006/picture">
                <pic:pic>
                  <pic:nvPicPr>
                    <pic:cNvPr id="592" name="image8.png"/>
                    <pic:cNvPicPr/>
                  </pic:nvPicPr>
                  <pic:blipFill>
                    <a:blip r:embed="rId29"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0" simplePos="0" relativeHeight="16396800">
            <wp:simplePos x="0" y="0"/>
            <wp:positionH relativeFrom="page">
              <wp:posOffset>3568026</wp:posOffset>
            </wp:positionH>
            <wp:positionV relativeFrom="paragraph">
              <wp:posOffset>27177</wp:posOffset>
            </wp:positionV>
            <wp:extent cx="59778" cy="6350"/>
            <wp:effectExtent l="0" t="0" r="0" b="0"/>
            <wp:wrapNone/>
            <wp:docPr id="593" name="image100.png"/>
            <wp:cNvGraphicFramePr>
              <a:graphicFrameLocks noChangeAspect="1"/>
            </wp:cNvGraphicFramePr>
            <a:graphic>
              <a:graphicData uri="http://schemas.openxmlformats.org/drawingml/2006/picture">
                <pic:pic>
                  <pic:nvPicPr>
                    <pic:cNvPr id="594" name="image100.png"/>
                    <pic:cNvPicPr/>
                  </pic:nvPicPr>
                  <pic:blipFill>
                    <a:blip r:embed="rId175" cstate="print"/>
                    <a:stretch>
                      <a:fillRect/>
                    </a:stretch>
                  </pic:blipFill>
                  <pic:spPr>
                    <a:xfrm>
                      <a:off x="0" y="0"/>
                      <a:ext cx="59778" cy="6350"/>
                    </a:xfrm>
                    <a:prstGeom prst="rect">
                      <a:avLst/>
                    </a:prstGeom>
                  </pic:spPr>
                </pic:pic>
              </a:graphicData>
            </a:graphic>
          </wp:anchor>
        </w:drawing>
      </w:r>
      <w:r>
        <w:rPr>
          <w:w w:val="121"/>
          <w:sz w:val="12"/>
        </w:rPr>
        <w:t>6</w:t>
      </w:r>
    </w:p>
    <w:p>
      <w:pPr>
        <w:spacing w:after="0" w:line="117" w:lineRule="exact"/>
        <w:jc w:val="left"/>
        <w:rPr>
          <w:sz w:val="12"/>
        </w:rPr>
        <w:sectPr>
          <w:type w:val="continuous"/>
          <w:pgSz w:w="11900" w:h="16840"/>
          <w:pgMar w:top="1260" w:bottom="280" w:left="640" w:right="640"/>
          <w:cols w:num="2" w:equalWidth="0">
            <w:col w:w="4264" w:space="536"/>
            <w:col w:w="5820"/>
          </w:cols>
        </w:sectPr>
      </w:pPr>
    </w:p>
    <w:p>
      <w:pPr>
        <w:pStyle w:val="BodyText"/>
        <w:spacing w:before="10"/>
        <w:rPr>
          <w:sz w:val="17"/>
        </w:rPr>
      </w:pPr>
    </w:p>
    <w:p>
      <w:pPr>
        <w:spacing w:before="79"/>
        <w:ind w:left="7370" w:right="0" w:firstLine="0"/>
        <w:jc w:val="center"/>
        <w:rPr>
          <w:sz w:val="12"/>
        </w:rPr>
      </w:pPr>
      <w:r>
        <w:rPr/>
        <w:drawing>
          <wp:anchor distT="0" distB="0" distL="0" distR="0" allowOverlap="1" layoutInCell="1" locked="0" behindDoc="0" simplePos="0" relativeHeight="16394240">
            <wp:simplePos x="0" y="0"/>
            <wp:positionH relativeFrom="page">
              <wp:posOffset>6004940</wp:posOffset>
            </wp:positionH>
            <wp:positionV relativeFrom="paragraph">
              <wp:posOffset>90395</wp:posOffset>
            </wp:positionV>
            <wp:extent cx="59778" cy="6350"/>
            <wp:effectExtent l="0" t="0" r="0" b="0"/>
            <wp:wrapNone/>
            <wp:docPr id="595" name="image8.png"/>
            <wp:cNvGraphicFramePr>
              <a:graphicFrameLocks noChangeAspect="1"/>
            </wp:cNvGraphicFramePr>
            <a:graphic>
              <a:graphicData uri="http://schemas.openxmlformats.org/drawingml/2006/picture">
                <pic:pic>
                  <pic:nvPicPr>
                    <pic:cNvPr id="596" name="image8.png"/>
                    <pic:cNvPicPr/>
                  </pic:nvPicPr>
                  <pic:blipFill>
                    <a:blip r:embed="rId29"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0" simplePos="0" relativeHeight="16396288">
            <wp:simplePos x="0" y="0"/>
            <wp:positionH relativeFrom="page">
              <wp:posOffset>3568026</wp:posOffset>
            </wp:positionH>
            <wp:positionV relativeFrom="paragraph">
              <wp:posOffset>90395</wp:posOffset>
            </wp:positionV>
            <wp:extent cx="59778" cy="6350"/>
            <wp:effectExtent l="0" t="0" r="0" b="0"/>
            <wp:wrapNone/>
            <wp:docPr id="597" name="image100.png"/>
            <wp:cNvGraphicFramePr>
              <a:graphicFrameLocks noChangeAspect="1"/>
            </wp:cNvGraphicFramePr>
            <a:graphic>
              <a:graphicData uri="http://schemas.openxmlformats.org/drawingml/2006/picture">
                <pic:pic>
                  <pic:nvPicPr>
                    <pic:cNvPr id="598" name="image100.png"/>
                    <pic:cNvPicPr/>
                  </pic:nvPicPr>
                  <pic:blipFill>
                    <a:blip r:embed="rId175" cstate="print"/>
                    <a:stretch>
                      <a:fillRect/>
                    </a:stretch>
                  </pic:blipFill>
                  <pic:spPr>
                    <a:xfrm>
                      <a:off x="0" y="0"/>
                      <a:ext cx="59778" cy="6350"/>
                    </a:xfrm>
                    <a:prstGeom prst="rect">
                      <a:avLst/>
                    </a:prstGeom>
                  </pic:spPr>
                </pic:pic>
              </a:graphicData>
            </a:graphic>
          </wp:anchor>
        </w:drawing>
      </w:r>
      <w:r>
        <w:rPr>
          <w:w w:val="121"/>
          <w:sz w:val="12"/>
        </w:rPr>
        <w:t>5</w:t>
      </w:r>
    </w:p>
    <w:p>
      <w:pPr>
        <w:spacing w:before="34"/>
        <w:ind w:left="0" w:right="2221" w:firstLine="0"/>
        <w:jc w:val="center"/>
        <w:rPr>
          <w:sz w:val="12"/>
        </w:rPr>
      </w:pPr>
      <w:r>
        <w:rPr/>
        <w:drawing>
          <wp:anchor distT="0" distB="0" distL="0" distR="0" allowOverlap="1" layoutInCell="1" locked="0" behindDoc="0" simplePos="0" relativeHeight="16390656">
            <wp:simplePos x="0" y="0"/>
            <wp:positionH relativeFrom="page">
              <wp:posOffset>2956941</wp:posOffset>
            </wp:positionH>
            <wp:positionV relativeFrom="paragraph">
              <wp:posOffset>62211</wp:posOffset>
            </wp:positionV>
            <wp:extent cx="59778" cy="6350"/>
            <wp:effectExtent l="0" t="0" r="0" b="0"/>
            <wp:wrapNone/>
            <wp:docPr id="599" name="image8.png"/>
            <wp:cNvGraphicFramePr>
              <a:graphicFrameLocks noChangeAspect="1"/>
            </wp:cNvGraphicFramePr>
            <a:graphic>
              <a:graphicData uri="http://schemas.openxmlformats.org/drawingml/2006/picture">
                <pic:pic>
                  <pic:nvPicPr>
                    <pic:cNvPr id="600" name="image8.png"/>
                    <pic:cNvPicPr/>
                  </pic:nvPicPr>
                  <pic:blipFill>
                    <a:blip r:embed="rId29"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0" simplePos="0" relativeHeight="16392192">
            <wp:simplePos x="0" y="0"/>
            <wp:positionH relativeFrom="page">
              <wp:posOffset>520026</wp:posOffset>
            </wp:positionH>
            <wp:positionV relativeFrom="paragraph">
              <wp:posOffset>62211</wp:posOffset>
            </wp:positionV>
            <wp:extent cx="59778" cy="6350"/>
            <wp:effectExtent l="0" t="0" r="0" b="0"/>
            <wp:wrapNone/>
            <wp:docPr id="601" name="image100.png"/>
            <wp:cNvGraphicFramePr>
              <a:graphicFrameLocks noChangeAspect="1"/>
            </wp:cNvGraphicFramePr>
            <a:graphic>
              <a:graphicData uri="http://schemas.openxmlformats.org/drawingml/2006/picture">
                <pic:pic>
                  <pic:nvPicPr>
                    <pic:cNvPr id="602" name="image100.png"/>
                    <pic:cNvPicPr/>
                  </pic:nvPicPr>
                  <pic:blipFill>
                    <a:blip r:embed="rId175" cstate="print"/>
                    <a:stretch>
                      <a:fillRect/>
                    </a:stretch>
                  </pic:blipFill>
                  <pic:spPr>
                    <a:xfrm>
                      <a:off x="0" y="0"/>
                      <a:ext cx="59778" cy="6350"/>
                    </a:xfrm>
                    <a:prstGeom prst="rect">
                      <a:avLst/>
                    </a:prstGeom>
                  </pic:spPr>
                </pic:pic>
              </a:graphicData>
            </a:graphic>
          </wp:anchor>
        </w:drawing>
      </w:r>
      <w:r>
        <w:rPr/>
        <w:pict>
          <v:group style="position:absolute;margin-left:280.946991pt;margin-top:2.970537pt;width:201.3pt;height:98.05pt;mso-position-horizontal-relative:page;mso-position-vertical-relative:paragraph;z-index:-22934016" coordorigin="5619,59" coordsize="4026,1961">
            <v:shape style="position:absolute;left:5618;top:59;width:3932;height:1925" type="#_x0000_t75" stroked="false">
              <v:imagedata r:id="rId176" o:title=""/>
            </v:shape>
            <v:shape style="position:absolute;left:9527;top:1859;width:118;height:161" type="#_x0000_t202" filled="false" stroked="false">
              <v:textbox inset="0,0,0,0">
                <w:txbxContent>
                  <w:p>
                    <w:pPr>
                      <w:spacing w:line="155" w:lineRule="exact" w:before="0"/>
                      <w:ind w:left="0" w:right="0" w:firstLine="0"/>
                      <w:jc w:val="left"/>
                      <w:rPr>
                        <w:sz w:val="16"/>
                      </w:rPr>
                    </w:pPr>
                    <w:r>
                      <w:rPr>
                        <w:w w:val="107"/>
                        <w:sz w:val="16"/>
                      </w:rPr>
                      <w:t>+</w:t>
                    </w:r>
                  </w:p>
                </w:txbxContent>
              </v:textbox>
              <w10:wrap type="none"/>
            </v:shape>
            <w10:wrap type="none"/>
          </v:group>
        </w:pict>
      </w:r>
      <w:r>
        <w:rPr>
          <w:w w:val="121"/>
          <w:sz w:val="12"/>
        </w:rPr>
        <w:t>4</w:t>
      </w:r>
    </w:p>
    <w:p>
      <w:pPr>
        <w:spacing w:before="106"/>
        <w:ind w:left="8964" w:right="0" w:firstLine="0"/>
        <w:jc w:val="left"/>
        <w:rPr>
          <w:sz w:val="12"/>
        </w:rPr>
      </w:pPr>
      <w:r>
        <w:rPr/>
        <w:drawing>
          <wp:anchor distT="0" distB="0" distL="0" distR="0" allowOverlap="1" layoutInCell="1" locked="0" behindDoc="0" simplePos="0" relativeHeight="16391680">
            <wp:simplePos x="0" y="0"/>
            <wp:positionH relativeFrom="page">
              <wp:posOffset>520026</wp:posOffset>
            </wp:positionH>
            <wp:positionV relativeFrom="paragraph">
              <wp:posOffset>4781</wp:posOffset>
            </wp:positionV>
            <wp:extent cx="2497683" cy="1110691"/>
            <wp:effectExtent l="0" t="0" r="0" b="0"/>
            <wp:wrapNone/>
            <wp:docPr id="603" name="image102.png"/>
            <wp:cNvGraphicFramePr>
              <a:graphicFrameLocks noChangeAspect="1"/>
            </wp:cNvGraphicFramePr>
            <a:graphic>
              <a:graphicData uri="http://schemas.openxmlformats.org/drawingml/2006/picture">
                <pic:pic>
                  <pic:nvPicPr>
                    <pic:cNvPr id="604" name="image102.png"/>
                    <pic:cNvPicPr/>
                  </pic:nvPicPr>
                  <pic:blipFill>
                    <a:blip r:embed="rId177" cstate="print"/>
                    <a:stretch>
                      <a:fillRect/>
                    </a:stretch>
                  </pic:blipFill>
                  <pic:spPr>
                    <a:xfrm>
                      <a:off x="0" y="0"/>
                      <a:ext cx="2497683" cy="1110691"/>
                    </a:xfrm>
                    <a:prstGeom prst="rect">
                      <a:avLst/>
                    </a:prstGeom>
                  </pic:spPr>
                </pic:pic>
              </a:graphicData>
            </a:graphic>
          </wp:anchor>
        </w:drawing>
      </w:r>
      <w:r>
        <w:rPr>
          <w:w w:val="121"/>
          <w:sz w:val="12"/>
        </w:rPr>
        <w:t>4</w:t>
      </w:r>
    </w:p>
    <w:p>
      <w:pPr>
        <w:pStyle w:val="BodyText"/>
        <w:rPr>
          <w:sz w:val="12"/>
        </w:rPr>
      </w:pPr>
    </w:p>
    <w:p>
      <w:pPr>
        <w:pStyle w:val="BodyText"/>
        <w:spacing w:before="7"/>
        <w:rPr>
          <w:sz w:val="9"/>
        </w:rPr>
      </w:pPr>
    </w:p>
    <w:p>
      <w:pPr>
        <w:tabs>
          <w:tab w:pos="8958" w:val="left" w:leader="none"/>
        </w:tabs>
        <w:spacing w:before="0"/>
        <w:ind w:left="4164" w:right="0" w:firstLine="0"/>
        <w:jc w:val="left"/>
        <w:rPr>
          <w:sz w:val="12"/>
        </w:rPr>
      </w:pPr>
      <w:r>
        <w:rPr>
          <w:w w:val="120"/>
          <w:sz w:val="12"/>
        </w:rPr>
        <w:t>3</w:t>
        <w:tab/>
      </w:r>
      <w:r>
        <w:rPr>
          <w:w w:val="120"/>
          <w:position w:val="-5"/>
          <w:sz w:val="12"/>
        </w:rPr>
        <w:t>3</w:t>
      </w:r>
    </w:p>
    <w:p>
      <w:pPr>
        <w:spacing w:before="79"/>
        <w:ind w:left="1101" w:right="3221" w:firstLine="0"/>
        <w:jc w:val="center"/>
        <w:rPr>
          <w:sz w:val="12"/>
        </w:rPr>
      </w:pPr>
      <w:r>
        <w:rPr>
          <w:w w:val="115"/>
          <w:sz w:val="12"/>
        </w:rPr>
        <w:t>2.5</w:t>
      </w:r>
    </w:p>
    <w:p>
      <w:pPr>
        <w:spacing w:line="115" w:lineRule="exact" w:before="77"/>
        <w:ind w:left="8964" w:right="0" w:firstLine="0"/>
        <w:jc w:val="left"/>
        <w:rPr>
          <w:sz w:val="12"/>
        </w:rPr>
      </w:pPr>
      <w:r>
        <w:rPr>
          <w:w w:val="121"/>
          <w:sz w:val="12"/>
        </w:rPr>
        <w:t>2</w:t>
      </w:r>
    </w:p>
    <w:p>
      <w:pPr>
        <w:spacing w:line="115" w:lineRule="exact" w:before="0"/>
        <w:ind w:left="0" w:right="2209" w:firstLine="0"/>
        <w:jc w:val="center"/>
        <w:rPr>
          <w:sz w:val="12"/>
        </w:rPr>
      </w:pPr>
      <w:r>
        <w:rPr>
          <w:w w:val="121"/>
          <w:sz w:val="12"/>
        </w:rPr>
        <w:t>2</w:t>
      </w:r>
    </w:p>
    <w:p>
      <w:pPr>
        <w:pStyle w:val="BodyText"/>
        <w:spacing w:before="8"/>
        <w:rPr>
          <w:sz w:val="16"/>
        </w:rPr>
      </w:pPr>
    </w:p>
    <w:p>
      <w:pPr>
        <w:spacing w:before="0"/>
        <w:ind w:left="8964" w:right="0" w:firstLine="0"/>
        <w:jc w:val="left"/>
        <w:rPr>
          <w:sz w:val="12"/>
        </w:rPr>
      </w:pPr>
      <w:r>
        <w:rPr>
          <w:w w:val="121"/>
          <w:sz w:val="12"/>
        </w:rPr>
        <w:t>1</w:t>
      </w:r>
    </w:p>
    <w:p>
      <w:pPr>
        <w:pStyle w:val="BodyText"/>
        <w:rPr>
          <w:sz w:val="12"/>
        </w:rPr>
      </w:pPr>
    </w:p>
    <w:p>
      <w:pPr>
        <w:spacing w:before="1"/>
        <w:ind w:left="0" w:right="2209" w:firstLine="0"/>
        <w:jc w:val="center"/>
        <w:rPr>
          <w:sz w:val="12"/>
        </w:rPr>
      </w:pPr>
      <w:r>
        <w:rPr>
          <w:w w:val="121"/>
          <w:sz w:val="12"/>
        </w:rPr>
        <w:t>1</w:t>
      </w:r>
    </w:p>
    <w:p>
      <w:pPr>
        <w:spacing w:line="122" w:lineRule="exact" w:before="30"/>
        <w:ind w:left="8964" w:right="0" w:firstLine="0"/>
        <w:jc w:val="left"/>
        <w:rPr>
          <w:sz w:val="12"/>
        </w:rPr>
      </w:pPr>
      <w:r>
        <w:rPr/>
        <w:drawing>
          <wp:anchor distT="0" distB="0" distL="0" distR="0" allowOverlap="1" layoutInCell="1" locked="0" behindDoc="0" simplePos="0" relativeHeight="16393728">
            <wp:simplePos x="0" y="0"/>
            <wp:positionH relativeFrom="page">
              <wp:posOffset>3568026</wp:posOffset>
            </wp:positionH>
            <wp:positionV relativeFrom="paragraph">
              <wp:posOffset>62854</wp:posOffset>
            </wp:positionV>
            <wp:extent cx="2496692" cy="7772"/>
            <wp:effectExtent l="0" t="0" r="0" b="0"/>
            <wp:wrapNone/>
            <wp:docPr id="605" name="image103.png"/>
            <wp:cNvGraphicFramePr>
              <a:graphicFrameLocks noChangeAspect="1"/>
            </wp:cNvGraphicFramePr>
            <a:graphic>
              <a:graphicData uri="http://schemas.openxmlformats.org/drawingml/2006/picture">
                <pic:pic>
                  <pic:nvPicPr>
                    <pic:cNvPr id="606" name="image103.png"/>
                    <pic:cNvPicPr/>
                  </pic:nvPicPr>
                  <pic:blipFill>
                    <a:blip r:embed="rId178" cstate="print"/>
                    <a:stretch>
                      <a:fillRect/>
                    </a:stretch>
                  </pic:blipFill>
                  <pic:spPr>
                    <a:xfrm>
                      <a:off x="0" y="0"/>
                      <a:ext cx="2496692" cy="7772"/>
                    </a:xfrm>
                    <a:prstGeom prst="rect">
                      <a:avLst/>
                    </a:prstGeom>
                  </pic:spPr>
                </pic:pic>
              </a:graphicData>
            </a:graphic>
          </wp:anchor>
        </w:drawing>
      </w:r>
      <w:r>
        <w:rPr>
          <w:w w:val="121"/>
          <w:sz w:val="12"/>
        </w:rPr>
        <w:t>0</w:t>
      </w:r>
    </w:p>
    <w:p>
      <w:pPr>
        <w:spacing w:line="168" w:lineRule="exact" w:before="0"/>
        <w:ind w:left="8889" w:right="0" w:firstLine="0"/>
        <w:jc w:val="left"/>
        <w:rPr>
          <w:sz w:val="16"/>
        </w:rPr>
      </w:pPr>
      <w:r>
        <w:rPr>
          <w:w w:val="117"/>
          <w:sz w:val="16"/>
        </w:rPr>
        <w:t>–</w:t>
      </w:r>
    </w:p>
    <w:p>
      <w:pPr>
        <w:spacing w:after="0" w:line="168" w:lineRule="exact"/>
        <w:jc w:val="left"/>
        <w:rPr>
          <w:sz w:val="16"/>
        </w:rPr>
        <w:sectPr>
          <w:type w:val="continuous"/>
          <w:pgSz w:w="11900" w:h="16840"/>
          <w:pgMar w:top="1260" w:bottom="280" w:left="640" w:right="640"/>
        </w:sectPr>
      </w:pPr>
    </w:p>
    <w:p>
      <w:pPr>
        <w:pStyle w:val="BodyText"/>
        <w:spacing w:before="10"/>
        <w:rPr>
          <w:sz w:val="12"/>
        </w:rPr>
      </w:pPr>
    </w:p>
    <w:p>
      <w:pPr>
        <w:spacing w:line="111" w:lineRule="exact" w:before="0"/>
        <w:ind w:left="4173" w:right="0" w:firstLine="0"/>
        <w:jc w:val="left"/>
        <w:rPr>
          <w:sz w:val="12"/>
        </w:rPr>
      </w:pPr>
      <w:r>
        <w:rPr/>
        <w:drawing>
          <wp:anchor distT="0" distB="0" distL="0" distR="0" allowOverlap="1" layoutInCell="1" locked="0" behindDoc="0" simplePos="0" relativeHeight="16390144">
            <wp:simplePos x="0" y="0"/>
            <wp:positionH relativeFrom="page">
              <wp:posOffset>520026</wp:posOffset>
            </wp:positionH>
            <wp:positionV relativeFrom="paragraph">
              <wp:posOffset>-30930</wp:posOffset>
            </wp:positionV>
            <wp:extent cx="2496693" cy="77889"/>
            <wp:effectExtent l="0" t="0" r="0" b="0"/>
            <wp:wrapNone/>
            <wp:docPr id="607" name="image104.png"/>
            <wp:cNvGraphicFramePr>
              <a:graphicFrameLocks noChangeAspect="1"/>
            </wp:cNvGraphicFramePr>
            <a:graphic>
              <a:graphicData uri="http://schemas.openxmlformats.org/drawingml/2006/picture">
                <pic:pic>
                  <pic:nvPicPr>
                    <pic:cNvPr id="608" name="image104.png"/>
                    <pic:cNvPicPr/>
                  </pic:nvPicPr>
                  <pic:blipFill>
                    <a:blip r:embed="rId179" cstate="print"/>
                    <a:stretch>
                      <a:fillRect/>
                    </a:stretch>
                  </pic:blipFill>
                  <pic:spPr>
                    <a:xfrm>
                      <a:off x="0" y="0"/>
                      <a:ext cx="2496693" cy="77889"/>
                    </a:xfrm>
                    <a:prstGeom prst="rect">
                      <a:avLst/>
                    </a:prstGeom>
                  </pic:spPr>
                </pic:pic>
              </a:graphicData>
            </a:graphic>
          </wp:anchor>
        </w:drawing>
      </w:r>
      <w:r>
        <w:rPr>
          <w:w w:val="121"/>
          <w:sz w:val="12"/>
        </w:rPr>
        <w:t>0</w:t>
      </w:r>
    </w:p>
    <w:p>
      <w:pPr>
        <w:tabs>
          <w:tab w:pos="1042" w:val="left" w:leader="none"/>
          <w:tab w:pos="1554" w:val="left" w:leader="none"/>
          <w:tab w:pos="2066" w:val="left" w:leader="none"/>
          <w:tab w:pos="2517" w:val="left" w:leader="none"/>
          <w:tab w:pos="3129" w:val="left" w:leader="none"/>
          <w:tab w:pos="3637" w:val="left" w:leader="none"/>
        </w:tabs>
        <w:spacing w:line="111" w:lineRule="exact" w:before="0"/>
        <w:ind w:left="463" w:right="0" w:firstLine="0"/>
        <w:jc w:val="left"/>
        <w:rPr>
          <w:sz w:val="12"/>
        </w:rPr>
      </w:pPr>
      <w:r>
        <w:rPr>
          <w:spacing w:val="-9"/>
          <w:w w:val="120"/>
          <w:sz w:val="12"/>
        </w:rPr>
        <w:t>1996</w:t>
        <w:tab/>
      </w:r>
      <w:r>
        <w:rPr>
          <w:spacing w:val="-6"/>
          <w:w w:val="120"/>
          <w:sz w:val="12"/>
        </w:rPr>
        <w:t>97</w:t>
        <w:tab/>
      </w:r>
      <w:r>
        <w:rPr>
          <w:spacing w:val="-7"/>
          <w:w w:val="120"/>
          <w:sz w:val="12"/>
        </w:rPr>
        <w:t>98</w:t>
        <w:tab/>
      </w:r>
      <w:r>
        <w:rPr>
          <w:spacing w:val="-4"/>
          <w:w w:val="120"/>
          <w:sz w:val="12"/>
        </w:rPr>
        <w:t>99</w:t>
        <w:tab/>
      </w:r>
      <w:r>
        <w:rPr>
          <w:w w:val="120"/>
          <w:sz w:val="12"/>
        </w:rPr>
        <w:t>2000</w:t>
        <w:tab/>
      </w:r>
      <w:r>
        <w:rPr>
          <w:spacing w:val="-9"/>
          <w:w w:val="120"/>
          <w:sz w:val="12"/>
        </w:rPr>
        <w:t>01</w:t>
        <w:tab/>
      </w:r>
      <w:r>
        <w:rPr>
          <w:spacing w:val="-3"/>
          <w:w w:val="120"/>
          <w:sz w:val="12"/>
        </w:rPr>
        <w:t>02</w:t>
      </w:r>
      <w:r>
        <w:rPr>
          <w:spacing w:val="17"/>
          <w:w w:val="120"/>
          <w:sz w:val="12"/>
        </w:rPr>
        <w:t> </w:t>
      </w:r>
      <w:r>
        <w:rPr>
          <w:spacing w:val="-8"/>
          <w:w w:val="120"/>
          <w:sz w:val="12"/>
        </w:rPr>
        <w:t>03</w:t>
      </w:r>
    </w:p>
    <w:p>
      <w:pPr>
        <w:pStyle w:val="BodyText"/>
        <w:spacing w:before="10"/>
        <w:rPr>
          <w:sz w:val="11"/>
        </w:rPr>
      </w:pPr>
      <w:r>
        <w:rPr/>
        <w:br w:type="column"/>
      </w:r>
      <w:r>
        <w:rPr>
          <w:sz w:val="11"/>
        </w:rPr>
      </w:r>
    </w:p>
    <w:p>
      <w:pPr>
        <w:spacing w:line="117" w:lineRule="exact" w:before="1"/>
        <w:ind w:left="4158" w:right="0" w:firstLine="0"/>
        <w:jc w:val="left"/>
        <w:rPr>
          <w:sz w:val="12"/>
        </w:rPr>
      </w:pPr>
      <w:r>
        <w:rPr>
          <w:w w:val="121"/>
          <w:sz w:val="12"/>
        </w:rPr>
        <w:t>1</w:t>
      </w:r>
    </w:p>
    <w:p>
      <w:pPr>
        <w:tabs>
          <w:tab w:pos="1042" w:val="left" w:leader="none"/>
          <w:tab w:pos="1554" w:val="left" w:leader="none"/>
          <w:tab w:pos="2087" w:val="left" w:leader="none"/>
          <w:tab w:pos="2537" w:val="left" w:leader="none"/>
          <w:tab w:pos="3109" w:val="left" w:leader="none"/>
          <w:tab w:pos="3637" w:val="left" w:leader="none"/>
        </w:tabs>
        <w:spacing w:line="117" w:lineRule="exact" w:before="0"/>
        <w:ind w:left="463" w:right="0" w:firstLine="0"/>
        <w:jc w:val="left"/>
        <w:rPr>
          <w:sz w:val="12"/>
        </w:rPr>
      </w:pPr>
      <w:r>
        <w:rPr/>
        <w:drawing>
          <wp:anchor distT="0" distB="0" distL="0" distR="0" allowOverlap="1" layoutInCell="1" locked="0" behindDoc="0" simplePos="0" relativeHeight="16393216">
            <wp:simplePos x="0" y="0"/>
            <wp:positionH relativeFrom="page">
              <wp:posOffset>3568026</wp:posOffset>
            </wp:positionH>
            <wp:positionV relativeFrom="paragraph">
              <wp:posOffset>-96644</wp:posOffset>
            </wp:positionV>
            <wp:extent cx="2500045" cy="76834"/>
            <wp:effectExtent l="0" t="0" r="0" b="0"/>
            <wp:wrapNone/>
            <wp:docPr id="609" name="image105.png"/>
            <wp:cNvGraphicFramePr>
              <a:graphicFrameLocks noChangeAspect="1"/>
            </wp:cNvGraphicFramePr>
            <a:graphic>
              <a:graphicData uri="http://schemas.openxmlformats.org/drawingml/2006/picture">
                <pic:pic>
                  <pic:nvPicPr>
                    <pic:cNvPr id="610" name="image105.png"/>
                    <pic:cNvPicPr/>
                  </pic:nvPicPr>
                  <pic:blipFill>
                    <a:blip r:embed="rId180" cstate="print"/>
                    <a:stretch>
                      <a:fillRect/>
                    </a:stretch>
                  </pic:blipFill>
                  <pic:spPr>
                    <a:xfrm>
                      <a:off x="0" y="0"/>
                      <a:ext cx="2500045" cy="76834"/>
                    </a:xfrm>
                    <a:prstGeom prst="rect">
                      <a:avLst/>
                    </a:prstGeom>
                  </pic:spPr>
                </pic:pic>
              </a:graphicData>
            </a:graphic>
          </wp:anchor>
        </w:drawing>
      </w:r>
      <w:r>
        <w:rPr>
          <w:spacing w:val="-9"/>
          <w:w w:val="120"/>
          <w:sz w:val="12"/>
        </w:rPr>
        <w:t>1996</w:t>
        <w:tab/>
      </w:r>
      <w:r>
        <w:rPr>
          <w:spacing w:val="-6"/>
          <w:w w:val="120"/>
          <w:sz w:val="12"/>
        </w:rPr>
        <w:t>97</w:t>
        <w:tab/>
      </w:r>
      <w:r>
        <w:rPr>
          <w:spacing w:val="-7"/>
          <w:w w:val="120"/>
          <w:sz w:val="12"/>
        </w:rPr>
        <w:t>98</w:t>
        <w:tab/>
      </w:r>
      <w:r>
        <w:rPr>
          <w:spacing w:val="-4"/>
          <w:w w:val="120"/>
          <w:sz w:val="12"/>
        </w:rPr>
        <w:t>99</w:t>
        <w:tab/>
      </w:r>
      <w:r>
        <w:rPr>
          <w:w w:val="120"/>
          <w:sz w:val="12"/>
        </w:rPr>
        <w:t>2000</w:t>
        <w:tab/>
      </w:r>
      <w:r>
        <w:rPr>
          <w:spacing w:val="-9"/>
          <w:w w:val="120"/>
          <w:sz w:val="12"/>
        </w:rPr>
        <w:t>01</w:t>
        <w:tab/>
      </w:r>
      <w:r>
        <w:rPr>
          <w:spacing w:val="-3"/>
          <w:w w:val="120"/>
          <w:sz w:val="12"/>
        </w:rPr>
        <w:t>02</w:t>
      </w:r>
      <w:r>
        <w:rPr>
          <w:spacing w:val="2"/>
          <w:w w:val="120"/>
          <w:sz w:val="12"/>
        </w:rPr>
        <w:t> </w:t>
      </w:r>
      <w:r>
        <w:rPr>
          <w:spacing w:val="-8"/>
          <w:w w:val="120"/>
          <w:sz w:val="12"/>
        </w:rPr>
        <w:t>03</w:t>
      </w:r>
    </w:p>
    <w:p>
      <w:pPr>
        <w:spacing w:after="0" w:line="117" w:lineRule="exact"/>
        <w:jc w:val="left"/>
        <w:rPr>
          <w:sz w:val="12"/>
        </w:rPr>
        <w:sectPr>
          <w:type w:val="continuous"/>
          <w:pgSz w:w="11900" w:h="16840"/>
          <w:pgMar w:top="1260" w:bottom="280" w:left="640" w:right="640"/>
          <w:cols w:num="2" w:equalWidth="0">
            <w:col w:w="4287" w:space="519"/>
            <w:col w:w="5814"/>
          </w:cols>
        </w:sectPr>
      </w:pPr>
    </w:p>
    <w:p>
      <w:pPr>
        <w:pStyle w:val="BodyText"/>
      </w:pPr>
    </w:p>
    <w:p>
      <w:pPr>
        <w:pStyle w:val="BodyText"/>
      </w:pPr>
    </w:p>
    <w:p>
      <w:pPr>
        <w:spacing w:after="0"/>
        <w:sectPr>
          <w:type w:val="continuous"/>
          <w:pgSz w:w="11900" w:h="16840"/>
          <w:pgMar w:top="1260" w:bottom="28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9"/>
        </w:rPr>
      </w:pPr>
    </w:p>
    <w:p>
      <w:pPr>
        <w:pStyle w:val="Heading6"/>
        <w:ind w:left="187"/>
      </w:pPr>
      <w:r>
        <w:rPr>
          <w:color w:val="89C6DC"/>
        </w:rPr>
        <w:t>Table 6.C</w:t>
      </w:r>
    </w:p>
    <w:p>
      <w:pPr>
        <w:spacing w:line="247" w:lineRule="auto" w:before="8"/>
        <w:ind w:left="187" w:right="32" w:firstLine="0"/>
        <w:jc w:val="left"/>
        <w:rPr>
          <w:sz w:val="12"/>
        </w:rPr>
      </w:pPr>
      <w:r>
        <w:rPr>
          <w:rFonts w:ascii="Trebuchet MS" w:hAnsi="Trebuchet MS"/>
          <w:b/>
          <w:color w:val="89C6DC"/>
          <w:w w:val="95"/>
          <w:sz w:val="20"/>
        </w:rPr>
        <w:t>Market</w:t>
      </w:r>
      <w:r>
        <w:rPr>
          <w:rFonts w:ascii="Trebuchet MS" w:hAnsi="Trebuchet MS"/>
          <w:b/>
          <w:color w:val="89C6DC"/>
          <w:spacing w:val="-32"/>
          <w:w w:val="95"/>
          <w:sz w:val="20"/>
        </w:rPr>
        <w:t> </w:t>
      </w:r>
      <w:r>
        <w:rPr>
          <w:rFonts w:ascii="Trebuchet MS" w:hAnsi="Trebuchet MS"/>
          <w:b/>
          <w:color w:val="89C6DC"/>
          <w:w w:val="95"/>
          <w:sz w:val="20"/>
        </w:rPr>
        <w:t>expectations</w:t>
      </w:r>
      <w:r>
        <w:rPr>
          <w:rFonts w:ascii="Trebuchet MS" w:hAnsi="Trebuchet MS"/>
          <w:b/>
          <w:color w:val="89C6DC"/>
          <w:spacing w:val="-31"/>
          <w:w w:val="95"/>
          <w:sz w:val="20"/>
        </w:rPr>
        <w:t> </w:t>
      </w:r>
      <w:r>
        <w:rPr>
          <w:rFonts w:ascii="Trebuchet MS" w:hAnsi="Trebuchet MS"/>
          <w:b/>
          <w:color w:val="89C6DC"/>
          <w:w w:val="95"/>
          <w:sz w:val="20"/>
        </w:rPr>
        <w:t>of</w:t>
      </w:r>
      <w:r>
        <w:rPr>
          <w:rFonts w:ascii="Trebuchet MS" w:hAnsi="Trebuchet MS"/>
          <w:b/>
          <w:color w:val="89C6DC"/>
          <w:spacing w:val="-32"/>
          <w:w w:val="95"/>
          <w:sz w:val="20"/>
        </w:rPr>
        <w:t> </w:t>
      </w:r>
      <w:r>
        <w:rPr>
          <w:rFonts w:ascii="Trebuchet MS" w:hAnsi="Trebuchet MS"/>
          <w:b/>
          <w:color w:val="89C6DC"/>
          <w:w w:val="95"/>
          <w:sz w:val="20"/>
        </w:rPr>
        <w:t>the</w:t>
      </w:r>
      <w:r>
        <w:rPr>
          <w:rFonts w:ascii="Trebuchet MS" w:hAnsi="Trebuchet MS"/>
          <w:b/>
          <w:color w:val="89C6DC"/>
          <w:spacing w:val="-31"/>
          <w:w w:val="95"/>
          <w:sz w:val="20"/>
        </w:rPr>
        <w:t> </w:t>
      </w:r>
      <w:r>
        <w:rPr>
          <w:rFonts w:ascii="Trebuchet MS" w:hAnsi="Trebuchet MS"/>
          <w:b/>
          <w:color w:val="89C6DC"/>
          <w:spacing w:val="-4"/>
          <w:w w:val="95"/>
          <w:sz w:val="20"/>
        </w:rPr>
        <w:t>Bank’s</w:t>
      </w:r>
      <w:r>
        <w:rPr>
          <w:rFonts w:ascii="Trebuchet MS" w:hAnsi="Trebuchet MS"/>
          <w:b/>
          <w:color w:val="89C6DC"/>
          <w:spacing w:val="-32"/>
          <w:w w:val="95"/>
          <w:sz w:val="20"/>
        </w:rPr>
        <w:t> </w:t>
      </w:r>
      <w:r>
        <w:rPr>
          <w:rFonts w:ascii="Trebuchet MS" w:hAnsi="Trebuchet MS"/>
          <w:b/>
          <w:color w:val="89C6DC"/>
          <w:w w:val="95"/>
          <w:sz w:val="20"/>
        </w:rPr>
        <w:t>official </w:t>
      </w:r>
      <w:r>
        <w:rPr>
          <w:rFonts w:ascii="Trebuchet MS" w:hAnsi="Trebuchet MS"/>
          <w:b/>
          <w:color w:val="89C6DC"/>
          <w:sz w:val="20"/>
        </w:rPr>
        <w:t>interest</w:t>
      </w:r>
      <w:r>
        <w:rPr>
          <w:rFonts w:ascii="Trebuchet MS" w:hAnsi="Trebuchet MS"/>
          <w:b/>
          <w:color w:val="89C6DC"/>
          <w:spacing w:val="1"/>
          <w:sz w:val="20"/>
        </w:rPr>
        <w:t> </w:t>
      </w:r>
      <w:r>
        <w:rPr>
          <w:rFonts w:ascii="Trebuchet MS" w:hAnsi="Trebuchet MS"/>
          <w:b/>
          <w:color w:val="89C6DC"/>
          <w:sz w:val="20"/>
        </w:rPr>
        <w:t>rate</w:t>
      </w:r>
      <w:r>
        <w:rPr>
          <w:position w:val="4"/>
          <w:sz w:val="12"/>
        </w:rPr>
        <w:t>(a)</w:t>
      </w:r>
    </w:p>
    <w:p>
      <w:pPr>
        <w:spacing w:before="99"/>
        <w:ind w:left="187" w:right="0" w:firstLine="0"/>
        <w:jc w:val="left"/>
        <w:rPr>
          <w:sz w:val="14"/>
        </w:rPr>
      </w:pPr>
      <w:r>
        <w:rPr>
          <w:w w:val="110"/>
          <w:sz w:val="14"/>
        </w:rPr>
        <w:t>Per cent</w:t>
      </w:r>
    </w:p>
    <w:p>
      <w:pPr>
        <w:pStyle w:val="BodyText"/>
        <w:spacing w:before="11"/>
        <w:rPr>
          <w:sz w:val="19"/>
        </w:rPr>
      </w:pPr>
      <w:r>
        <w:rPr/>
        <w:br w:type="column"/>
      </w:r>
      <w:r>
        <w:rPr>
          <w:sz w:val="19"/>
        </w:rPr>
      </w:r>
    </w:p>
    <w:p>
      <w:pPr>
        <w:pStyle w:val="BodyText"/>
        <w:spacing w:line="292" w:lineRule="auto"/>
        <w:ind w:left="187" w:right="312"/>
      </w:pPr>
      <w:r>
        <w:rPr>
          <w:w w:val="105"/>
        </w:rPr>
        <w:t>small differences with respect </w:t>
      </w:r>
      <w:r>
        <w:rPr>
          <w:spacing w:val="-4"/>
          <w:w w:val="105"/>
        </w:rPr>
        <w:t>to </w:t>
      </w:r>
      <w:r>
        <w:rPr>
          <w:w w:val="105"/>
        </w:rPr>
        <w:t>other assumptions. As a result, some Committee members consider that the profile for inflation at the </w:t>
      </w:r>
      <w:r>
        <w:rPr>
          <w:spacing w:val="-5"/>
          <w:w w:val="105"/>
        </w:rPr>
        <w:t>two-year </w:t>
      </w:r>
      <w:r>
        <w:rPr>
          <w:w w:val="105"/>
        </w:rPr>
        <w:t>horizon could be up </w:t>
      </w:r>
      <w:r>
        <w:rPr>
          <w:spacing w:val="-4"/>
          <w:w w:val="105"/>
        </w:rPr>
        <w:t>to </w:t>
      </w:r>
      <w:r>
        <w:rPr>
          <w:w w:val="105"/>
          <w:position w:val="7"/>
          <w:sz w:val="10"/>
        </w:rPr>
        <w:t>1</w:t>
      </w:r>
      <w:r>
        <w:rPr>
          <w:w w:val="105"/>
        </w:rPr>
        <w:t>/</w:t>
      </w:r>
      <w:r>
        <w:rPr>
          <w:w w:val="105"/>
          <w:position w:val="1"/>
          <w:sz w:val="10"/>
        </w:rPr>
        <w:t>2</w:t>
      </w:r>
      <w:r>
        <w:rPr>
          <w:w w:val="105"/>
        </w:rPr>
        <w:t>% lower  than in the central projection shown in Chart</w:t>
      </w:r>
      <w:r>
        <w:rPr>
          <w:spacing w:val="21"/>
          <w:w w:val="105"/>
        </w:rPr>
        <w:t> </w:t>
      </w:r>
      <w:r>
        <w:rPr>
          <w:w w:val="105"/>
        </w:rPr>
        <w:t>6.2.</w:t>
      </w:r>
    </w:p>
    <w:p>
      <w:pPr>
        <w:pStyle w:val="BodyText"/>
        <w:spacing w:line="292" w:lineRule="auto"/>
        <w:ind w:left="187"/>
      </w:pPr>
      <w:r>
        <w:rPr>
          <w:w w:val="110"/>
        </w:rPr>
        <w:t>Assessments</w:t>
      </w:r>
      <w:r>
        <w:rPr>
          <w:spacing w:val="-22"/>
          <w:w w:val="110"/>
        </w:rPr>
        <w:t> </w:t>
      </w:r>
      <w:r>
        <w:rPr>
          <w:w w:val="110"/>
        </w:rPr>
        <w:t>of</w:t>
      </w:r>
      <w:r>
        <w:rPr>
          <w:spacing w:val="-21"/>
          <w:w w:val="110"/>
        </w:rPr>
        <w:t> </w:t>
      </w:r>
      <w:r>
        <w:rPr>
          <w:w w:val="110"/>
        </w:rPr>
        <w:t>the</w:t>
      </w:r>
      <w:r>
        <w:rPr>
          <w:spacing w:val="-21"/>
          <w:w w:val="110"/>
        </w:rPr>
        <w:t> </w:t>
      </w:r>
      <w:r>
        <w:rPr>
          <w:w w:val="110"/>
        </w:rPr>
        <w:t>balance</w:t>
      </w:r>
      <w:r>
        <w:rPr>
          <w:spacing w:val="-21"/>
          <w:w w:val="110"/>
        </w:rPr>
        <w:t> </w:t>
      </w:r>
      <w:r>
        <w:rPr>
          <w:w w:val="110"/>
        </w:rPr>
        <w:t>of</w:t>
      </w:r>
      <w:r>
        <w:rPr>
          <w:spacing w:val="-21"/>
          <w:w w:val="110"/>
        </w:rPr>
        <w:t> </w:t>
      </w:r>
      <w:r>
        <w:rPr>
          <w:w w:val="110"/>
        </w:rPr>
        <w:t>risks</w:t>
      </w:r>
      <w:r>
        <w:rPr>
          <w:spacing w:val="-21"/>
          <w:w w:val="110"/>
        </w:rPr>
        <w:t> </w:t>
      </w:r>
      <w:r>
        <w:rPr>
          <w:w w:val="110"/>
        </w:rPr>
        <w:t>are</w:t>
      </w:r>
      <w:r>
        <w:rPr>
          <w:spacing w:val="-22"/>
          <w:w w:val="110"/>
        </w:rPr>
        <w:t> </w:t>
      </w:r>
      <w:r>
        <w:rPr>
          <w:w w:val="110"/>
        </w:rPr>
        <w:t>an</w:t>
      </w:r>
      <w:r>
        <w:rPr>
          <w:spacing w:val="-21"/>
          <w:w w:val="110"/>
        </w:rPr>
        <w:t> </w:t>
      </w:r>
      <w:r>
        <w:rPr>
          <w:w w:val="110"/>
        </w:rPr>
        <w:t>essential</w:t>
      </w:r>
      <w:r>
        <w:rPr>
          <w:spacing w:val="-21"/>
          <w:w w:val="110"/>
        </w:rPr>
        <w:t> </w:t>
      </w:r>
      <w:r>
        <w:rPr>
          <w:w w:val="110"/>
        </w:rPr>
        <w:t>element</w:t>
      </w:r>
      <w:r>
        <w:rPr>
          <w:spacing w:val="-21"/>
          <w:w w:val="110"/>
        </w:rPr>
        <w:t> </w:t>
      </w:r>
      <w:r>
        <w:rPr>
          <w:w w:val="110"/>
        </w:rPr>
        <w:t>in the</w:t>
      </w:r>
      <w:r>
        <w:rPr>
          <w:spacing w:val="-23"/>
          <w:w w:val="110"/>
        </w:rPr>
        <w:t> </w:t>
      </w:r>
      <w:r>
        <w:rPr>
          <w:w w:val="110"/>
        </w:rPr>
        <w:t>policy</w:t>
      </w:r>
      <w:r>
        <w:rPr>
          <w:spacing w:val="-22"/>
          <w:w w:val="110"/>
        </w:rPr>
        <w:t> </w:t>
      </w:r>
      <w:r>
        <w:rPr>
          <w:w w:val="110"/>
        </w:rPr>
        <w:t>discussion</w:t>
      </w:r>
      <w:r>
        <w:rPr>
          <w:spacing w:val="-22"/>
          <w:w w:val="110"/>
        </w:rPr>
        <w:t> </w:t>
      </w:r>
      <w:r>
        <w:rPr>
          <w:w w:val="110"/>
        </w:rPr>
        <w:t>and</w:t>
      </w:r>
      <w:r>
        <w:rPr>
          <w:spacing w:val="-22"/>
          <w:w w:val="110"/>
        </w:rPr>
        <w:t> </w:t>
      </w:r>
      <w:r>
        <w:rPr>
          <w:w w:val="110"/>
        </w:rPr>
        <w:t>decisions.</w:t>
      </w:r>
      <w:r>
        <w:rPr>
          <w:spacing w:val="12"/>
          <w:w w:val="110"/>
        </w:rPr>
        <w:t> </w:t>
      </w:r>
      <w:r>
        <w:rPr>
          <w:spacing w:val="-3"/>
          <w:w w:val="110"/>
        </w:rPr>
        <w:t>Committee</w:t>
      </w:r>
      <w:r>
        <w:rPr>
          <w:spacing w:val="-22"/>
          <w:w w:val="110"/>
        </w:rPr>
        <w:t> </w:t>
      </w:r>
      <w:r>
        <w:rPr>
          <w:w w:val="110"/>
        </w:rPr>
        <w:t>members</w:t>
      </w:r>
      <w:r>
        <w:rPr>
          <w:spacing w:val="-22"/>
          <w:w w:val="110"/>
        </w:rPr>
        <w:t> </w:t>
      </w:r>
      <w:r>
        <w:rPr>
          <w:spacing w:val="-3"/>
          <w:w w:val="110"/>
        </w:rPr>
        <w:t>take </w:t>
      </w:r>
      <w:r>
        <w:rPr>
          <w:w w:val="110"/>
        </w:rPr>
        <w:t>different views on the weight </w:t>
      </w:r>
      <w:r>
        <w:rPr>
          <w:spacing w:val="-4"/>
          <w:w w:val="110"/>
        </w:rPr>
        <w:t>to </w:t>
      </w:r>
      <w:r>
        <w:rPr>
          <w:spacing w:val="-3"/>
          <w:w w:val="110"/>
        </w:rPr>
        <w:t>attach </w:t>
      </w:r>
      <w:r>
        <w:rPr>
          <w:spacing w:val="-4"/>
          <w:w w:val="110"/>
        </w:rPr>
        <w:t>to </w:t>
      </w:r>
      <w:r>
        <w:rPr>
          <w:w w:val="110"/>
        </w:rPr>
        <w:t>the individual risks described </w:t>
      </w:r>
      <w:r>
        <w:rPr>
          <w:spacing w:val="-3"/>
          <w:w w:val="110"/>
        </w:rPr>
        <w:t>above. </w:t>
      </w:r>
      <w:r>
        <w:rPr>
          <w:w w:val="110"/>
        </w:rPr>
        <w:t>Some members believe that the downside risks</w:t>
      </w:r>
      <w:r>
        <w:rPr>
          <w:spacing w:val="-18"/>
          <w:w w:val="110"/>
        </w:rPr>
        <w:t> </w:t>
      </w:r>
      <w:r>
        <w:rPr>
          <w:spacing w:val="-3"/>
          <w:w w:val="110"/>
        </w:rPr>
        <w:t>taken</w:t>
      </w:r>
      <w:r>
        <w:rPr>
          <w:spacing w:val="-18"/>
          <w:w w:val="110"/>
        </w:rPr>
        <w:t> </w:t>
      </w:r>
      <w:r>
        <w:rPr>
          <w:w w:val="110"/>
        </w:rPr>
        <w:t>as</w:t>
      </w:r>
      <w:r>
        <w:rPr>
          <w:spacing w:val="-18"/>
          <w:w w:val="110"/>
        </w:rPr>
        <w:t> </w:t>
      </w:r>
      <w:r>
        <w:rPr>
          <w:w w:val="110"/>
        </w:rPr>
        <w:t>a</w:t>
      </w:r>
      <w:r>
        <w:rPr>
          <w:spacing w:val="-17"/>
          <w:w w:val="110"/>
        </w:rPr>
        <w:t> </w:t>
      </w:r>
      <w:r>
        <w:rPr>
          <w:w w:val="110"/>
        </w:rPr>
        <w:t>whole</w:t>
      </w:r>
      <w:r>
        <w:rPr>
          <w:spacing w:val="-18"/>
          <w:w w:val="110"/>
        </w:rPr>
        <w:t> </w:t>
      </w:r>
      <w:r>
        <w:rPr>
          <w:w w:val="110"/>
        </w:rPr>
        <w:t>could</w:t>
      </w:r>
      <w:r>
        <w:rPr>
          <w:spacing w:val="-18"/>
          <w:w w:val="110"/>
        </w:rPr>
        <w:t> </w:t>
      </w:r>
      <w:r>
        <w:rPr>
          <w:w w:val="110"/>
        </w:rPr>
        <w:t>be</w:t>
      </w:r>
      <w:r>
        <w:rPr>
          <w:spacing w:val="-17"/>
          <w:w w:val="110"/>
        </w:rPr>
        <w:t> </w:t>
      </w:r>
      <w:r>
        <w:rPr>
          <w:w w:val="110"/>
        </w:rPr>
        <w:t>larger</w:t>
      </w:r>
      <w:r>
        <w:rPr>
          <w:spacing w:val="-18"/>
          <w:w w:val="110"/>
        </w:rPr>
        <w:t> </w:t>
      </w:r>
      <w:r>
        <w:rPr>
          <w:w w:val="110"/>
        </w:rPr>
        <w:t>or</w:t>
      </w:r>
      <w:r>
        <w:rPr>
          <w:spacing w:val="-18"/>
          <w:w w:val="110"/>
        </w:rPr>
        <w:t> </w:t>
      </w:r>
      <w:r>
        <w:rPr>
          <w:w w:val="110"/>
        </w:rPr>
        <w:t>smaller</w:t>
      </w:r>
      <w:r>
        <w:rPr>
          <w:spacing w:val="-18"/>
          <w:w w:val="110"/>
        </w:rPr>
        <w:t> </w:t>
      </w:r>
      <w:r>
        <w:rPr>
          <w:w w:val="110"/>
        </w:rPr>
        <w:t>than</w:t>
      </w:r>
      <w:r>
        <w:rPr>
          <w:spacing w:val="-17"/>
          <w:w w:val="110"/>
        </w:rPr>
        <w:t> </w:t>
      </w:r>
      <w:r>
        <w:rPr>
          <w:w w:val="110"/>
        </w:rPr>
        <w:t>shown</w:t>
      </w:r>
      <w:r>
        <w:rPr>
          <w:spacing w:val="-18"/>
          <w:w w:val="110"/>
        </w:rPr>
        <w:t> </w:t>
      </w:r>
      <w:r>
        <w:rPr>
          <w:w w:val="110"/>
        </w:rPr>
        <w:t>in Chart</w:t>
      </w:r>
      <w:r>
        <w:rPr>
          <w:spacing w:val="-6"/>
          <w:w w:val="110"/>
        </w:rPr>
        <w:t> </w:t>
      </w:r>
      <w:r>
        <w:rPr>
          <w:w w:val="110"/>
        </w:rPr>
        <w:t>6.2.</w:t>
      </w:r>
    </w:p>
    <w:p>
      <w:pPr>
        <w:spacing w:after="0" w:line="292" w:lineRule="auto"/>
        <w:sectPr>
          <w:type w:val="continuous"/>
          <w:pgSz w:w="11900" w:h="16840"/>
          <w:pgMar w:top="1260" w:bottom="280" w:left="640" w:right="640"/>
          <w:cols w:num="2" w:equalWidth="0">
            <w:col w:w="3770" w:space="1139"/>
            <w:col w:w="5711"/>
          </w:cols>
        </w:sectPr>
      </w:pPr>
    </w:p>
    <w:p>
      <w:pPr>
        <w:pStyle w:val="BodyText"/>
        <w:spacing w:before="6" w:after="1"/>
        <w:rPr>
          <w:sz w:val="12"/>
        </w:rPr>
      </w:pPr>
    </w:p>
    <w:tbl>
      <w:tblPr>
        <w:tblW w:w="0" w:type="auto"/>
        <w:jc w:val="left"/>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3"/>
        <w:gridCol w:w="541"/>
        <w:gridCol w:w="533"/>
        <w:gridCol w:w="502"/>
        <w:gridCol w:w="481"/>
        <w:gridCol w:w="500"/>
        <w:gridCol w:w="473"/>
        <w:gridCol w:w="501"/>
        <w:gridCol w:w="5961"/>
      </w:tblGrid>
      <w:tr>
        <w:trPr>
          <w:trHeight w:val="118" w:hRule="atLeast"/>
        </w:trPr>
        <w:tc>
          <w:tcPr>
            <w:tcW w:w="1907" w:type="dxa"/>
            <w:gridSpan w:val="3"/>
          </w:tcPr>
          <w:p>
            <w:pPr>
              <w:pStyle w:val="TableParagraph"/>
              <w:tabs>
                <w:tab w:pos="1750" w:val="left" w:leader="none"/>
              </w:tabs>
              <w:spacing w:line="99" w:lineRule="exact"/>
              <w:ind w:left="50"/>
              <w:rPr>
                <w:sz w:val="14"/>
              </w:rPr>
            </w:pPr>
            <w:r>
              <w:rPr>
                <w:spacing w:val="-8"/>
                <w:w w:val="120"/>
                <w:sz w:val="14"/>
                <w:u w:val="single"/>
              </w:rPr>
              <w:t>2001</w:t>
            </w:r>
            <w:r>
              <w:rPr>
                <w:spacing w:val="-8"/>
                <w:sz w:val="14"/>
                <w:u w:val="single"/>
              </w:rPr>
              <w:tab/>
            </w:r>
          </w:p>
        </w:tc>
        <w:tc>
          <w:tcPr>
            <w:tcW w:w="1956" w:type="dxa"/>
            <w:gridSpan w:val="4"/>
          </w:tcPr>
          <w:p>
            <w:pPr>
              <w:pStyle w:val="TableParagraph"/>
              <w:tabs>
                <w:tab w:pos="1826" w:val="left" w:leader="none"/>
              </w:tabs>
              <w:spacing w:line="99" w:lineRule="exact"/>
              <w:ind w:left="159"/>
              <w:rPr>
                <w:sz w:val="14"/>
              </w:rPr>
            </w:pPr>
            <w:r>
              <w:rPr>
                <w:spacing w:val="-5"/>
                <w:w w:val="120"/>
                <w:sz w:val="14"/>
                <w:u w:val="single"/>
              </w:rPr>
              <w:t>2002</w:t>
            </w:r>
            <w:r>
              <w:rPr>
                <w:spacing w:val="-5"/>
                <w:sz w:val="14"/>
                <w:u w:val="single"/>
              </w:rPr>
              <w:tab/>
            </w:r>
          </w:p>
        </w:tc>
        <w:tc>
          <w:tcPr>
            <w:tcW w:w="6462" w:type="dxa"/>
            <w:gridSpan w:val="2"/>
          </w:tcPr>
          <w:p>
            <w:pPr>
              <w:pStyle w:val="TableParagraph"/>
              <w:spacing w:line="99" w:lineRule="exact"/>
              <w:ind w:left="146"/>
              <w:rPr>
                <w:sz w:val="14"/>
              </w:rPr>
            </w:pPr>
            <w:r>
              <w:rPr>
                <w:w w:val="120"/>
                <w:sz w:val="14"/>
                <w:u w:val="single"/>
              </w:rPr>
              <w:t>2003</w:t>
            </w:r>
          </w:p>
        </w:tc>
      </w:tr>
      <w:tr>
        <w:trPr>
          <w:trHeight w:val="240" w:hRule="atLeast"/>
        </w:trPr>
        <w:tc>
          <w:tcPr>
            <w:tcW w:w="833" w:type="dxa"/>
          </w:tcPr>
          <w:p>
            <w:pPr>
              <w:pStyle w:val="TableParagraph"/>
              <w:tabs>
                <w:tab w:pos="452" w:val="left" w:leader="none"/>
              </w:tabs>
              <w:spacing w:before="35"/>
              <w:ind w:left="50"/>
              <w:rPr>
                <w:sz w:val="14"/>
              </w:rPr>
            </w:pPr>
            <w:r>
              <w:rPr>
                <w:w w:val="110"/>
                <w:sz w:val="14"/>
                <w:u w:val="single"/>
              </w:rPr>
              <w:t>Q1</w:t>
            </w:r>
            <w:r>
              <w:rPr>
                <w:w w:val="110"/>
                <w:sz w:val="14"/>
              </w:rPr>
              <w:tab/>
            </w:r>
            <w:r>
              <w:rPr>
                <w:w w:val="110"/>
                <w:sz w:val="14"/>
                <w:u w:val="single"/>
              </w:rPr>
              <w:t> Q2</w:t>
            </w:r>
          </w:p>
        </w:tc>
        <w:tc>
          <w:tcPr>
            <w:tcW w:w="541" w:type="dxa"/>
          </w:tcPr>
          <w:p>
            <w:pPr>
              <w:pStyle w:val="TableParagraph"/>
              <w:spacing w:before="35"/>
              <w:jc w:val="center"/>
              <w:rPr>
                <w:sz w:val="14"/>
              </w:rPr>
            </w:pPr>
            <w:r>
              <w:rPr>
                <w:sz w:val="14"/>
                <w:u w:val="single"/>
              </w:rPr>
              <w:t> </w:t>
            </w:r>
            <w:r>
              <w:rPr>
                <w:w w:val="110"/>
                <w:sz w:val="14"/>
                <w:u w:val="single"/>
              </w:rPr>
              <w:t>Q3</w:t>
            </w:r>
          </w:p>
        </w:tc>
        <w:tc>
          <w:tcPr>
            <w:tcW w:w="533" w:type="dxa"/>
          </w:tcPr>
          <w:p>
            <w:pPr>
              <w:pStyle w:val="TableParagraph"/>
              <w:spacing w:before="35"/>
              <w:ind w:left="166"/>
              <w:rPr>
                <w:sz w:val="14"/>
              </w:rPr>
            </w:pPr>
            <w:r>
              <w:rPr>
                <w:w w:val="110"/>
                <w:sz w:val="14"/>
                <w:u w:val="single"/>
              </w:rPr>
              <w:t>Q4</w:t>
            </w:r>
          </w:p>
        </w:tc>
        <w:tc>
          <w:tcPr>
            <w:tcW w:w="502" w:type="dxa"/>
          </w:tcPr>
          <w:p>
            <w:pPr>
              <w:pStyle w:val="TableParagraph"/>
              <w:spacing w:before="35"/>
              <w:ind w:left="124" w:right="117"/>
              <w:jc w:val="center"/>
              <w:rPr>
                <w:sz w:val="14"/>
              </w:rPr>
            </w:pPr>
            <w:r>
              <w:rPr>
                <w:w w:val="110"/>
                <w:sz w:val="14"/>
                <w:u w:val="single"/>
              </w:rPr>
              <w:t>Q1</w:t>
            </w:r>
          </w:p>
        </w:tc>
        <w:tc>
          <w:tcPr>
            <w:tcW w:w="481" w:type="dxa"/>
          </w:tcPr>
          <w:p>
            <w:pPr>
              <w:pStyle w:val="TableParagraph"/>
              <w:spacing w:before="35"/>
              <w:ind w:left="119" w:right="116"/>
              <w:jc w:val="center"/>
              <w:rPr>
                <w:sz w:val="14"/>
              </w:rPr>
            </w:pPr>
            <w:r>
              <w:rPr>
                <w:w w:val="110"/>
                <w:sz w:val="14"/>
                <w:u w:val="single"/>
              </w:rPr>
              <w:t>Q2</w:t>
            </w:r>
          </w:p>
        </w:tc>
        <w:tc>
          <w:tcPr>
            <w:tcW w:w="500" w:type="dxa"/>
          </w:tcPr>
          <w:p>
            <w:pPr>
              <w:pStyle w:val="TableParagraph"/>
              <w:spacing w:before="35"/>
              <w:ind w:left="6"/>
              <w:jc w:val="center"/>
              <w:rPr>
                <w:sz w:val="14"/>
              </w:rPr>
            </w:pPr>
            <w:r>
              <w:rPr>
                <w:sz w:val="14"/>
                <w:u w:val="single"/>
              </w:rPr>
              <w:t> </w:t>
            </w:r>
            <w:r>
              <w:rPr>
                <w:w w:val="110"/>
                <w:sz w:val="14"/>
                <w:u w:val="single"/>
              </w:rPr>
              <w:t>Q3</w:t>
            </w:r>
          </w:p>
        </w:tc>
        <w:tc>
          <w:tcPr>
            <w:tcW w:w="473" w:type="dxa"/>
          </w:tcPr>
          <w:p>
            <w:pPr>
              <w:pStyle w:val="TableParagraph"/>
              <w:spacing w:before="35"/>
              <w:ind w:left="123" w:right="102"/>
              <w:jc w:val="center"/>
              <w:rPr>
                <w:sz w:val="14"/>
              </w:rPr>
            </w:pPr>
            <w:r>
              <w:rPr>
                <w:w w:val="110"/>
                <w:sz w:val="14"/>
                <w:u w:val="single"/>
              </w:rPr>
              <w:t>Q4</w:t>
            </w:r>
          </w:p>
        </w:tc>
        <w:tc>
          <w:tcPr>
            <w:tcW w:w="501" w:type="dxa"/>
          </w:tcPr>
          <w:p>
            <w:pPr>
              <w:pStyle w:val="TableParagraph"/>
              <w:spacing w:before="35"/>
              <w:ind w:left="120" w:right="135"/>
              <w:jc w:val="center"/>
              <w:rPr>
                <w:sz w:val="14"/>
              </w:rPr>
            </w:pPr>
            <w:r>
              <w:rPr>
                <w:w w:val="110"/>
                <w:sz w:val="14"/>
                <w:u w:val="single"/>
              </w:rPr>
              <w:t>Q1</w:t>
            </w:r>
          </w:p>
        </w:tc>
        <w:tc>
          <w:tcPr>
            <w:tcW w:w="5961" w:type="dxa"/>
          </w:tcPr>
          <w:p>
            <w:pPr>
              <w:pStyle w:val="TableParagraph"/>
              <w:spacing w:line="193" w:lineRule="exact"/>
              <w:ind w:right="35"/>
              <w:jc w:val="right"/>
              <w:rPr>
                <w:sz w:val="20"/>
              </w:rPr>
            </w:pPr>
            <w:r>
              <w:rPr>
                <w:w w:val="110"/>
                <w:sz w:val="20"/>
              </w:rPr>
              <w:t>Although there is no unique quantification of financial market</w:t>
            </w:r>
          </w:p>
        </w:tc>
      </w:tr>
      <w:tr>
        <w:trPr>
          <w:trHeight w:val="240" w:hRule="atLeast"/>
        </w:trPr>
        <w:tc>
          <w:tcPr>
            <w:tcW w:w="833" w:type="dxa"/>
          </w:tcPr>
          <w:p>
            <w:pPr>
              <w:pStyle w:val="TableParagraph"/>
              <w:tabs>
                <w:tab w:pos="463" w:val="left" w:leader="none"/>
              </w:tabs>
              <w:spacing w:line="146" w:lineRule="exact" w:before="74"/>
              <w:ind w:left="50"/>
              <w:rPr>
                <w:sz w:val="14"/>
              </w:rPr>
            </w:pPr>
            <w:r>
              <w:rPr>
                <w:w w:val="115"/>
                <w:sz w:val="14"/>
              </w:rPr>
              <w:t>5.8</w:t>
              <w:tab/>
              <w:t>5.4</w:t>
            </w:r>
          </w:p>
        </w:tc>
        <w:tc>
          <w:tcPr>
            <w:tcW w:w="541" w:type="dxa"/>
          </w:tcPr>
          <w:p>
            <w:pPr>
              <w:pStyle w:val="TableParagraph"/>
              <w:spacing w:line="146" w:lineRule="exact" w:before="74"/>
              <w:ind w:left="1"/>
              <w:jc w:val="center"/>
              <w:rPr>
                <w:sz w:val="14"/>
              </w:rPr>
            </w:pPr>
            <w:r>
              <w:rPr>
                <w:w w:val="115"/>
                <w:sz w:val="14"/>
              </w:rPr>
              <w:t>5.3</w:t>
            </w:r>
          </w:p>
        </w:tc>
        <w:tc>
          <w:tcPr>
            <w:tcW w:w="533" w:type="dxa"/>
          </w:tcPr>
          <w:p>
            <w:pPr>
              <w:pStyle w:val="TableParagraph"/>
              <w:spacing w:line="146" w:lineRule="exact" w:before="74"/>
              <w:ind w:left="163"/>
              <w:rPr>
                <w:sz w:val="14"/>
              </w:rPr>
            </w:pPr>
            <w:r>
              <w:rPr>
                <w:w w:val="115"/>
                <w:sz w:val="14"/>
              </w:rPr>
              <w:t>5.2</w:t>
            </w:r>
          </w:p>
        </w:tc>
        <w:tc>
          <w:tcPr>
            <w:tcW w:w="502" w:type="dxa"/>
          </w:tcPr>
          <w:p>
            <w:pPr>
              <w:pStyle w:val="TableParagraph"/>
              <w:spacing w:line="146" w:lineRule="exact" w:before="74"/>
              <w:ind w:left="140" w:right="115"/>
              <w:jc w:val="center"/>
              <w:rPr>
                <w:sz w:val="14"/>
              </w:rPr>
            </w:pPr>
            <w:r>
              <w:rPr>
                <w:w w:val="115"/>
                <w:sz w:val="14"/>
              </w:rPr>
              <w:t>5.3</w:t>
            </w:r>
          </w:p>
        </w:tc>
        <w:tc>
          <w:tcPr>
            <w:tcW w:w="481" w:type="dxa"/>
          </w:tcPr>
          <w:p>
            <w:pPr>
              <w:pStyle w:val="TableParagraph"/>
              <w:spacing w:line="146" w:lineRule="exact" w:before="74"/>
              <w:ind w:left="123" w:right="116"/>
              <w:jc w:val="center"/>
              <w:rPr>
                <w:sz w:val="14"/>
              </w:rPr>
            </w:pPr>
            <w:r>
              <w:rPr>
                <w:w w:val="115"/>
                <w:sz w:val="14"/>
              </w:rPr>
              <w:t>5.3</w:t>
            </w:r>
          </w:p>
        </w:tc>
        <w:tc>
          <w:tcPr>
            <w:tcW w:w="500" w:type="dxa"/>
          </w:tcPr>
          <w:p>
            <w:pPr>
              <w:pStyle w:val="TableParagraph"/>
              <w:spacing w:line="146" w:lineRule="exact" w:before="74"/>
              <w:ind w:left="34"/>
              <w:jc w:val="center"/>
              <w:rPr>
                <w:sz w:val="14"/>
              </w:rPr>
            </w:pPr>
            <w:r>
              <w:rPr>
                <w:w w:val="115"/>
                <w:sz w:val="14"/>
              </w:rPr>
              <w:t>5.3</w:t>
            </w:r>
          </w:p>
        </w:tc>
        <w:tc>
          <w:tcPr>
            <w:tcW w:w="473" w:type="dxa"/>
          </w:tcPr>
          <w:p>
            <w:pPr>
              <w:pStyle w:val="TableParagraph"/>
              <w:spacing w:line="146" w:lineRule="exact" w:before="74"/>
              <w:ind w:left="123" w:right="107"/>
              <w:jc w:val="center"/>
              <w:rPr>
                <w:sz w:val="14"/>
              </w:rPr>
            </w:pPr>
            <w:r>
              <w:rPr>
                <w:w w:val="115"/>
                <w:sz w:val="14"/>
              </w:rPr>
              <w:t>5.3</w:t>
            </w:r>
          </w:p>
        </w:tc>
        <w:tc>
          <w:tcPr>
            <w:tcW w:w="501" w:type="dxa"/>
          </w:tcPr>
          <w:p>
            <w:pPr>
              <w:pStyle w:val="TableParagraph"/>
              <w:spacing w:line="146" w:lineRule="exact" w:before="74"/>
              <w:ind w:left="124" w:right="135"/>
              <w:jc w:val="center"/>
              <w:rPr>
                <w:sz w:val="14"/>
              </w:rPr>
            </w:pPr>
            <w:r>
              <w:rPr>
                <w:w w:val="115"/>
                <w:sz w:val="14"/>
              </w:rPr>
              <w:t>5.3</w:t>
            </w:r>
          </w:p>
        </w:tc>
        <w:tc>
          <w:tcPr>
            <w:tcW w:w="5961" w:type="dxa"/>
          </w:tcPr>
          <w:p>
            <w:pPr>
              <w:pStyle w:val="TableParagraph"/>
              <w:spacing w:line="218" w:lineRule="exact" w:before="2"/>
              <w:ind w:right="133"/>
              <w:jc w:val="right"/>
              <w:rPr>
                <w:sz w:val="20"/>
              </w:rPr>
            </w:pPr>
            <w:r>
              <w:rPr>
                <w:w w:val="105"/>
                <w:sz w:val="20"/>
              </w:rPr>
              <w:t>participants’ views on the likely course of future official rates,</w:t>
            </w:r>
          </w:p>
        </w:tc>
      </w:tr>
    </w:tbl>
    <w:p>
      <w:pPr>
        <w:spacing w:after="0" w:line="218" w:lineRule="exact"/>
        <w:jc w:val="right"/>
        <w:rPr>
          <w:sz w:val="20"/>
        </w:rPr>
        <w:sectPr>
          <w:type w:val="continuous"/>
          <w:pgSz w:w="11900" w:h="16840"/>
          <w:pgMar w:top="1260" w:bottom="280" w:left="640" w:right="640"/>
        </w:sectPr>
      </w:pPr>
    </w:p>
    <w:p>
      <w:pPr>
        <w:pStyle w:val="BodyText"/>
        <w:rPr>
          <w:sz w:val="11"/>
        </w:rPr>
      </w:pPr>
    </w:p>
    <w:p>
      <w:pPr>
        <w:spacing w:line="208" w:lineRule="auto" w:before="0"/>
        <w:ind w:left="427" w:right="0" w:hanging="240"/>
        <w:jc w:val="left"/>
        <w:rPr>
          <w:sz w:val="12"/>
        </w:rPr>
      </w:pPr>
      <w:r>
        <w:rPr>
          <w:w w:val="110"/>
          <w:sz w:val="12"/>
        </w:rPr>
        <w:t>(a) Based on the interest </w:t>
      </w:r>
      <w:r>
        <w:rPr>
          <w:spacing w:val="-3"/>
          <w:w w:val="110"/>
          <w:sz w:val="12"/>
        </w:rPr>
        <w:t>rate </w:t>
      </w:r>
      <w:r>
        <w:rPr>
          <w:w w:val="110"/>
          <w:sz w:val="12"/>
        </w:rPr>
        <w:t>available on gilt-edged securities, including those used</w:t>
      </w:r>
      <w:r>
        <w:rPr>
          <w:spacing w:val="-14"/>
          <w:w w:val="110"/>
          <w:sz w:val="12"/>
        </w:rPr>
        <w:t> </w:t>
      </w:r>
      <w:r>
        <w:rPr>
          <w:w w:val="110"/>
          <w:sz w:val="12"/>
        </w:rPr>
        <w:t>as</w:t>
      </w:r>
      <w:r>
        <w:rPr>
          <w:spacing w:val="-14"/>
          <w:w w:val="110"/>
          <w:sz w:val="12"/>
        </w:rPr>
        <w:t> </w:t>
      </w:r>
      <w:r>
        <w:rPr>
          <w:w w:val="110"/>
          <w:sz w:val="12"/>
        </w:rPr>
        <w:t>collateral</w:t>
      </w:r>
      <w:r>
        <w:rPr>
          <w:spacing w:val="-13"/>
          <w:w w:val="110"/>
          <w:sz w:val="12"/>
        </w:rPr>
        <w:t> </w:t>
      </w:r>
      <w:r>
        <w:rPr>
          <w:w w:val="110"/>
          <w:sz w:val="12"/>
        </w:rPr>
        <w:t>in</w:t>
      </w:r>
      <w:r>
        <w:rPr>
          <w:spacing w:val="-14"/>
          <w:w w:val="110"/>
          <w:sz w:val="12"/>
        </w:rPr>
        <w:t> </w:t>
      </w:r>
      <w:r>
        <w:rPr>
          <w:w w:val="110"/>
          <w:sz w:val="12"/>
        </w:rPr>
        <w:t>short-term</w:t>
      </w:r>
      <w:r>
        <w:rPr>
          <w:spacing w:val="-14"/>
          <w:w w:val="110"/>
          <w:sz w:val="12"/>
        </w:rPr>
        <w:t> </w:t>
      </w:r>
      <w:r>
        <w:rPr>
          <w:w w:val="110"/>
          <w:sz w:val="12"/>
        </w:rPr>
        <w:t>repo</w:t>
      </w:r>
      <w:r>
        <w:rPr>
          <w:spacing w:val="-13"/>
          <w:w w:val="110"/>
          <w:sz w:val="12"/>
        </w:rPr>
        <w:t> </w:t>
      </w:r>
      <w:r>
        <w:rPr>
          <w:w w:val="110"/>
          <w:sz w:val="12"/>
        </w:rPr>
        <w:t>contracts,</w:t>
      </w:r>
      <w:r>
        <w:rPr>
          <w:spacing w:val="-14"/>
          <w:w w:val="110"/>
          <w:sz w:val="12"/>
        </w:rPr>
        <w:t> </w:t>
      </w:r>
      <w:r>
        <w:rPr>
          <w:w w:val="110"/>
          <w:sz w:val="12"/>
        </w:rPr>
        <w:t>plus</w:t>
      </w:r>
      <w:r>
        <w:rPr>
          <w:spacing w:val="-14"/>
          <w:w w:val="110"/>
          <w:sz w:val="12"/>
        </w:rPr>
        <w:t> </w:t>
      </w:r>
      <w:r>
        <w:rPr>
          <w:w w:val="110"/>
          <w:sz w:val="12"/>
        </w:rPr>
        <w:t>a</w:t>
      </w:r>
      <w:r>
        <w:rPr>
          <w:spacing w:val="-13"/>
          <w:w w:val="110"/>
          <w:sz w:val="12"/>
        </w:rPr>
        <w:t> </w:t>
      </w:r>
      <w:r>
        <w:rPr>
          <w:w w:val="110"/>
          <w:sz w:val="12"/>
        </w:rPr>
        <w:t>small</w:t>
      </w:r>
      <w:r>
        <w:rPr>
          <w:spacing w:val="-14"/>
          <w:w w:val="110"/>
          <w:sz w:val="12"/>
        </w:rPr>
        <w:t> </w:t>
      </w:r>
      <w:r>
        <w:rPr>
          <w:w w:val="110"/>
          <w:sz w:val="12"/>
        </w:rPr>
        <w:t>upward</w:t>
      </w:r>
      <w:r>
        <w:rPr>
          <w:spacing w:val="-13"/>
          <w:w w:val="110"/>
          <w:sz w:val="12"/>
        </w:rPr>
        <w:t> </w:t>
      </w:r>
      <w:r>
        <w:rPr>
          <w:w w:val="110"/>
          <w:sz w:val="12"/>
        </w:rPr>
        <w:t>adjustment to allow for the average difference between this </w:t>
      </w:r>
      <w:r>
        <w:rPr>
          <w:spacing w:val="-3"/>
          <w:w w:val="110"/>
          <w:sz w:val="12"/>
        </w:rPr>
        <w:t>rate </w:t>
      </w:r>
      <w:r>
        <w:rPr>
          <w:w w:val="110"/>
          <w:sz w:val="12"/>
        </w:rPr>
        <w:t>and the </w:t>
      </w:r>
      <w:r>
        <w:rPr>
          <w:spacing w:val="-3"/>
          <w:w w:val="110"/>
          <w:sz w:val="12"/>
        </w:rPr>
        <w:t>Bank’s </w:t>
      </w:r>
      <w:r>
        <w:rPr>
          <w:w w:val="110"/>
          <w:sz w:val="12"/>
        </w:rPr>
        <w:t>official interest rate. The data are </w:t>
      </w:r>
      <w:r>
        <w:rPr>
          <w:spacing w:val="-5"/>
          <w:w w:val="110"/>
          <w:sz w:val="12"/>
        </w:rPr>
        <w:t>15-day </w:t>
      </w:r>
      <w:r>
        <w:rPr>
          <w:w w:val="110"/>
          <w:sz w:val="12"/>
        </w:rPr>
        <w:t>averages to 7 February</w:t>
      </w:r>
      <w:r>
        <w:rPr>
          <w:spacing w:val="-11"/>
          <w:w w:val="110"/>
          <w:sz w:val="12"/>
        </w:rPr>
        <w:t> </w:t>
      </w:r>
      <w:r>
        <w:rPr>
          <w:spacing w:val="-6"/>
          <w:w w:val="110"/>
          <w:sz w:val="12"/>
        </w:rPr>
        <w:t>2001.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79"/>
        <w:ind w:left="209"/>
      </w:pPr>
      <w:r>
        <w:rPr>
          <w:color w:val="89C6DC"/>
          <w:w w:val="95"/>
        </w:rPr>
        <w:t>Chart 6.8</w:t>
      </w:r>
    </w:p>
    <w:p>
      <w:pPr>
        <w:spacing w:line="247" w:lineRule="auto" w:before="8"/>
        <w:ind w:left="209" w:right="860" w:firstLine="0"/>
        <w:jc w:val="left"/>
        <w:rPr>
          <w:rFonts w:ascii="Trebuchet MS"/>
          <w:b/>
          <w:sz w:val="20"/>
        </w:rPr>
      </w:pPr>
      <w:r>
        <w:rPr>
          <w:rFonts w:ascii="Trebuchet MS"/>
          <w:b/>
          <w:color w:val="89C6DC"/>
          <w:spacing w:val="-3"/>
          <w:w w:val="94"/>
          <w:sz w:val="20"/>
        </w:rPr>
        <w:t>D</w:t>
      </w:r>
      <w:r>
        <w:rPr>
          <w:rFonts w:ascii="Trebuchet MS"/>
          <w:b/>
          <w:color w:val="89C6DC"/>
          <w:spacing w:val="-1"/>
          <w:w w:val="87"/>
          <w:sz w:val="20"/>
        </w:rPr>
        <w:t>ist</w:t>
      </w:r>
      <w:r>
        <w:rPr>
          <w:rFonts w:ascii="Trebuchet MS"/>
          <w:b/>
          <w:color w:val="89C6DC"/>
          <w:spacing w:val="-2"/>
          <w:w w:val="87"/>
          <w:sz w:val="20"/>
        </w:rPr>
        <w:t>r</w:t>
      </w:r>
      <w:r>
        <w:rPr>
          <w:rFonts w:ascii="Trebuchet MS"/>
          <w:b/>
          <w:color w:val="89C6DC"/>
          <w:spacing w:val="-1"/>
          <w:w w:val="88"/>
          <w:sz w:val="20"/>
        </w:rPr>
        <w:t>ibutio</w:t>
      </w:r>
      <w:r>
        <w:rPr>
          <w:rFonts w:ascii="Trebuchet MS"/>
          <w:b/>
          <w:color w:val="89C6DC"/>
          <w:w w:val="88"/>
          <w:sz w:val="20"/>
        </w:rPr>
        <w:t>n</w:t>
      </w:r>
      <w:r>
        <w:rPr>
          <w:rFonts w:ascii="Trebuchet MS"/>
          <w:b/>
          <w:color w:val="89C6DC"/>
          <w:spacing w:val="6"/>
          <w:sz w:val="20"/>
        </w:rPr>
        <w:t> </w:t>
      </w:r>
      <w:r>
        <w:rPr>
          <w:rFonts w:ascii="Trebuchet MS"/>
          <w:b/>
          <w:color w:val="89C6DC"/>
          <w:spacing w:val="-1"/>
          <w:w w:val="85"/>
          <w:sz w:val="20"/>
        </w:rPr>
        <w:t>o</w:t>
      </w:r>
      <w:r>
        <w:rPr>
          <w:rFonts w:ascii="Trebuchet MS"/>
          <w:b/>
          <w:color w:val="89C6DC"/>
          <w:w w:val="85"/>
          <w:sz w:val="20"/>
        </w:rPr>
        <w:t>f</w:t>
      </w:r>
      <w:r>
        <w:rPr>
          <w:rFonts w:ascii="Trebuchet MS"/>
          <w:b/>
          <w:color w:val="89C6DC"/>
          <w:spacing w:val="6"/>
          <w:sz w:val="20"/>
        </w:rPr>
        <w:t> </w:t>
      </w:r>
      <w:r>
        <w:rPr>
          <w:rFonts w:ascii="Trebuchet MS"/>
          <w:b/>
          <w:color w:val="89C6DC"/>
          <w:spacing w:val="-1"/>
          <w:w w:val="95"/>
          <w:sz w:val="20"/>
        </w:rPr>
        <w:t>R</w:t>
      </w:r>
      <w:r>
        <w:rPr>
          <w:rFonts w:ascii="Trebuchet MS"/>
          <w:b/>
          <w:color w:val="89C6DC"/>
          <w:spacing w:val="-3"/>
          <w:w w:val="95"/>
          <w:sz w:val="20"/>
        </w:rPr>
        <w:t>P</w:t>
      </w:r>
      <w:r>
        <w:rPr>
          <w:rFonts w:ascii="Trebuchet MS"/>
          <w:b/>
          <w:color w:val="89C6DC"/>
          <w:spacing w:val="-1"/>
          <w:w w:val="97"/>
          <w:sz w:val="20"/>
        </w:rPr>
        <w:t>I</w:t>
      </w:r>
      <w:r>
        <w:rPr>
          <w:rFonts w:ascii="Trebuchet MS"/>
          <w:b/>
          <w:color w:val="89C6DC"/>
          <w:w w:val="97"/>
          <w:sz w:val="20"/>
        </w:rPr>
        <w:t>X</w:t>
      </w:r>
      <w:r>
        <w:rPr>
          <w:rFonts w:ascii="Trebuchet MS"/>
          <w:b/>
          <w:color w:val="89C6DC"/>
          <w:spacing w:val="6"/>
          <w:sz w:val="20"/>
        </w:rPr>
        <w:t> </w:t>
      </w:r>
      <w:r>
        <w:rPr>
          <w:rFonts w:ascii="Trebuchet MS"/>
          <w:b/>
          <w:color w:val="89C6DC"/>
          <w:spacing w:val="-1"/>
          <w:w w:val="87"/>
          <w:sz w:val="20"/>
        </w:rPr>
        <w:t>inflatio</w:t>
      </w:r>
      <w:r>
        <w:rPr>
          <w:rFonts w:ascii="Trebuchet MS"/>
          <w:b/>
          <w:color w:val="89C6DC"/>
          <w:w w:val="87"/>
          <w:sz w:val="20"/>
        </w:rPr>
        <w:t>n</w:t>
      </w:r>
      <w:r>
        <w:rPr>
          <w:rFonts w:ascii="Trebuchet MS"/>
          <w:b/>
          <w:color w:val="89C6DC"/>
          <w:spacing w:val="6"/>
          <w:sz w:val="20"/>
        </w:rPr>
        <w:t> </w:t>
      </w:r>
      <w:r>
        <w:rPr>
          <w:rFonts w:ascii="Trebuchet MS"/>
          <w:b/>
          <w:color w:val="89C6DC"/>
          <w:spacing w:val="-1"/>
          <w:w w:val="83"/>
          <w:sz w:val="20"/>
        </w:rPr>
        <w:t>fo</w:t>
      </w:r>
      <w:r>
        <w:rPr>
          <w:rFonts w:ascii="Trebuchet MS"/>
          <w:b/>
          <w:color w:val="89C6DC"/>
          <w:spacing w:val="-4"/>
          <w:w w:val="83"/>
          <w:sz w:val="20"/>
        </w:rPr>
        <w:t>r</w:t>
      </w:r>
      <w:r>
        <w:rPr>
          <w:rFonts w:ascii="Trebuchet MS"/>
          <w:b/>
          <w:color w:val="89C6DC"/>
          <w:spacing w:val="-1"/>
          <w:w w:val="92"/>
          <w:sz w:val="20"/>
        </w:rPr>
        <w:t>ecasts </w:t>
      </w:r>
      <w:r>
        <w:rPr>
          <w:rFonts w:ascii="Trebuchet MS"/>
          <w:b/>
          <w:color w:val="89C6DC"/>
          <w:spacing w:val="-1"/>
          <w:w w:val="83"/>
          <w:sz w:val="20"/>
        </w:rPr>
        <w:t>fo</w:t>
      </w:r>
      <w:r>
        <w:rPr>
          <w:rFonts w:ascii="Trebuchet MS"/>
          <w:b/>
          <w:color w:val="89C6DC"/>
          <w:w w:val="83"/>
          <w:sz w:val="20"/>
        </w:rPr>
        <w:t>r</w:t>
      </w:r>
      <w:r>
        <w:rPr>
          <w:rFonts w:ascii="Trebuchet MS"/>
          <w:b/>
          <w:color w:val="89C6DC"/>
          <w:spacing w:val="6"/>
          <w:sz w:val="20"/>
        </w:rPr>
        <w:t> </w:t>
      </w:r>
      <w:r>
        <w:rPr>
          <w:rFonts w:ascii="Trebuchet MS"/>
          <w:b/>
          <w:smallCaps/>
          <w:color w:val="89C6DC"/>
          <w:spacing w:val="-1"/>
          <w:w w:val="91"/>
          <w:sz w:val="20"/>
        </w:rPr>
        <w:t>200</w:t>
      </w:r>
      <w:r>
        <w:rPr>
          <w:rFonts w:ascii="Trebuchet MS"/>
          <w:b/>
          <w:smallCaps/>
          <w:color w:val="89C6DC"/>
          <w:w w:val="91"/>
          <w:sz w:val="20"/>
        </w:rPr>
        <w:t>3</w:t>
      </w:r>
      <w:r>
        <w:rPr>
          <w:rFonts w:ascii="Trebuchet MS"/>
          <w:b/>
          <w:smallCaps w:val="0"/>
          <w:color w:val="89C6DC"/>
          <w:spacing w:val="6"/>
          <w:sz w:val="20"/>
        </w:rPr>
        <w:t> </w:t>
      </w:r>
      <w:r>
        <w:rPr>
          <w:rFonts w:ascii="Trebuchet MS"/>
          <w:b/>
          <w:smallCaps/>
          <w:color w:val="89C6DC"/>
          <w:spacing w:val="-1"/>
          <w:w w:val="85"/>
          <w:sz w:val="20"/>
        </w:rPr>
        <w:t>Q1</w:t>
      </w:r>
    </w:p>
    <w:p>
      <w:pPr>
        <w:spacing w:before="20"/>
        <w:ind w:left="2326" w:right="0" w:firstLine="0"/>
        <w:jc w:val="left"/>
        <w:rPr>
          <w:sz w:val="12"/>
        </w:rPr>
      </w:pPr>
      <w:r>
        <w:rPr/>
        <w:drawing>
          <wp:anchor distT="0" distB="0" distL="0" distR="0" allowOverlap="1" layoutInCell="1" locked="0" behindDoc="0" simplePos="0" relativeHeight="16397824">
            <wp:simplePos x="0" y="0"/>
            <wp:positionH relativeFrom="page">
              <wp:posOffset>521220</wp:posOffset>
            </wp:positionH>
            <wp:positionV relativeFrom="paragraph">
              <wp:posOffset>105274</wp:posOffset>
            </wp:positionV>
            <wp:extent cx="55029" cy="6350"/>
            <wp:effectExtent l="0" t="0" r="0" b="0"/>
            <wp:wrapNone/>
            <wp:docPr id="611" name="image8.png"/>
            <wp:cNvGraphicFramePr>
              <a:graphicFrameLocks noChangeAspect="1"/>
            </wp:cNvGraphicFramePr>
            <a:graphic>
              <a:graphicData uri="http://schemas.openxmlformats.org/drawingml/2006/picture">
                <pic:pic>
                  <pic:nvPicPr>
                    <pic:cNvPr id="612" name="image8.png"/>
                    <pic:cNvPicPr/>
                  </pic:nvPicPr>
                  <pic:blipFill>
                    <a:blip r:embed="rId29" cstate="print"/>
                    <a:stretch>
                      <a:fillRect/>
                    </a:stretch>
                  </pic:blipFill>
                  <pic:spPr>
                    <a:xfrm>
                      <a:off x="0" y="0"/>
                      <a:ext cx="55029" cy="6350"/>
                    </a:xfrm>
                    <a:prstGeom prst="rect">
                      <a:avLst/>
                    </a:prstGeom>
                  </pic:spPr>
                </pic:pic>
              </a:graphicData>
            </a:graphic>
          </wp:anchor>
        </w:drawing>
      </w:r>
      <w:r>
        <w:rPr>
          <w:w w:val="110"/>
          <w:sz w:val="12"/>
        </w:rPr>
        <w:t>Number of forecas</w:t>
      </w:r>
      <w:r>
        <w:rPr>
          <w:w w:val="110"/>
          <w:sz w:val="12"/>
          <w:u w:val="single"/>
        </w:rPr>
        <w:t>ts</w:t>
      </w:r>
      <w:r>
        <w:rPr>
          <w:w w:val="110"/>
          <w:sz w:val="12"/>
        </w:rPr>
        <w:t> </w:t>
      </w:r>
      <w:r>
        <w:rPr>
          <w:w w:val="110"/>
          <w:position w:val="-6"/>
          <w:sz w:val="12"/>
        </w:rPr>
        <w:t>10</w:t>
      </w:r>
    </w:p>
    <w:p>
      <w:pPr>
        <w:pStyle w:val="BodyText"/>
        <w:rPr>
          <w:sz w:val="18"/>
        </w:rPr>
      </w:pPr>
    </w:p>
    <w:p>
      <w:pPr>
        <w:pStyle w:val="BodyText"/>
        <w:spacing w:before="9"/>
        <w:rPr>
          <w:sz w:val="19"/>
        </w:rPr>
      </w:pPr>
    </w:p>
    <w:p>
      <w:pPr>
        <w:spacing w:before="0"/>
        <w:ind w:left="3455" w:right="0" w:firstLine="0"/>
        <w:jc w:val="left"/>
        <w:rPr>
          <w:sz w:val="12"/>
        </w:rPr>
      </w:pPr>
      <w:r>
        <w:rPr/>
        <w:pict>
          <v:group style="position:absolute;margin-left:41.041pt;margin-top:-10.588967pt;width:159.450pt;height:133.25pt;mso-position-horizontal-relative:page;mso-position-vertical-relative:paragraph;z-index:16397312" coordorigin="821,-212" coordsize="3189,2665">
            <v:shape style="position:absolute;left:820;top:-212;width:3189;height:2665" type="#_x0000_t75" stroked="false">
              <v:imagedata r:id="rId181" o:title=""/>
            </v:shape>
            <v:shape style="position:absolute;left:820;top:76;width:87;height:10" type="#_x0000_t75" stroked="false">
              <v:imagedata r:id="rId29" o:title=""/>
            </v:shape>
            <v:shape style="position:absolute;left:820;top:650;width:87;height:10" type="#_x0000_t75" stroked="false">
              <v:imagedata r:id="rId29" o:title=""/>
            </v:shape>
            <v:shape style="position:absolute;left:820;top:1223;width:87;height:10" type="#_x0000_t75" stroked="false">
              <v:imagedata r:id="rId34" o:title=""/>
            </v:shape>
            <v:shape style="position:absolute;left:820;top:1796;width:87;height:10" type="#_x0000_t75" stroked="false">
              <v:imagedata r:id="rId29" o:title=""/>
            </v:shape>
            <w10:wrap type="none"/>
          </v:group>
        </w:pict>
      </w:r>
      <w:r>
        <w:rPr>
          <w:w w:val="121"/>
          <w:sz w:val="12"/>
        </w:rPr>
        <w:t>8</w:t>
      </w:r>
    </w:p>
    <w:p>
      <w:pPr>
        <w:pStyle w:val="BodyText"/>
        <w:rPr>
          <w:sz w:val="12"/>
        </w:rPr>
      </w:pPr>
    </w:p>
    <w:p>
      <w:pPr>
        <w:pStyle w:val="BodyText"/>
        <w:rPr>
          <w:sz w:val="12"/>
        </w:rPr>
      </w:pPr>
    </w:p>
    <w:p>
      <w:pPr>
        <w:pStyle w:val="BodyText"/>
        <w:spacing w:before="11"/>
        <w:rPr>
          <w:sz w:val="13"/>
        </w:rPr>
      </w:pPr>
    </w:p>
    <w:p>
      <w:pPr>
        <w:spacing w:before="0"/>
        <w:ind w:left="3455" w:right="0" w:firstLine="0"/>
        <w:jc w:val="left"/>
        <w:rPr>
          <w:sz w:val="12"/>
        </w:rPr>
      </w:pPr>
      <w:r>
        <w:rPr>
          <w:w w:val="121"/>
          <w:sz w:val="12"/>
        </w:rPr>
        <w:t>6</w:t>
      </w:r>
    </w:p>
    <w:p>
      <w:pPr>
        <w:pStyle w:val="BodyText"/>
        <w:spacing w:line="292" w:lineRule="auto" w:before="41"/>
        <w:ind w:left="180" w:right="201"/>
      </w:pPr>
      <w:r>
        <w:rPr/>
        <w:br w:type="column"/>
      </w:r>
      <w:r>
        <w:rPr>
          <w:w w:val="110"/>
        </w:rPr>
        <w:t>it is clear that there has been a substantial lowering of the expected path since the November </w:t>
      </w:r>
      <w:r>
        <w:rPr>
          <w:i/>
          <w:w w:val="110"/>
        </w:rPr>
        <w:t>Report</w:t>
      </w:r>
      <w:r>
        <w:rPr>
          <w:w w:val="110"/>
        </w:rPr>
        <w:t>. Drawing on estimates derived from </w:t>
      </w:r>
      <w:r>
        <w:rPr>
          <w:spacing w:val="-4"/>
          <w:w w:val="110"/>
        </w:rPr>
        <w:t>rates </w:t>
      </w:r>
      <w:r>
        <w:rPr>
          <w:w w:val="110"/>
        </w:rPr>
        <w:t>of </w:t>
      </w:r>
      <w:r>
        <w:rPr>
          <w:spacing w:val="-3"/>
          <w:w w:val="110"/>
        </w:rPr>
        <w:t>interest </w:t>
      </w:r>
      <w:r>
        <w:rPr>
          <w:w w:val="110"/>
        </w:rPr>
        <w:t>on </w:t>
      </w:r>
      <w:r>
        <w:rPr>
          <w:spacing w:val="-3"/>
          <w:w w:val="110"/>
        </w:rPr>
        <w:t>gilt-edged </w:t>
      </w:r>
      <w:r>
        <w:rPr>
          <w:w w:val="110"/>
        </w:rPr>
        <w:t>securities, including those used as </w:t>
      </w:r>
      <w:r>
        <w:rPr>
          <w:spacing w:val="-3"/>
          <w:w w:val="110"/>
        </w:rPr>
        <w:t>collateral </w:t>
      </w:r>
      <w:r>
        <w:rPr>
          <w:w w:val="110"/>
        </w:rPr>
        <w:t>in </w:t>
      </w:r>
      <w:r>
        <w:rPr>
          <w:spacing w:val="-3"/>
          <w:w w:val="110"/>
        </w:rPr>
        <w:t>short-term </w:t>
      </w:r>
      <w:r>
        <w:rPr>
          <w:w w:val="110"/>
        </w:rPr>
        <w:t>repo contracts, the </w:t>
      </w:r>
      <w:r>
        <w:rPr>
          <w:spacing w:val="-3"/>
          <w:w w:val="110"/>
        </w:rPr>
        <w:t>latest </w:t>
      </w:r>
      <w:r>
        <w:rPr>
          <w:w w:val="110"/>
        </w:rPr>
        <w:t>evidence suggests that the market expects</w:t>
      </w:r>
      <w:r>
        <w:rPr>
          <w:spacing w:val="-19"/>
          <w:w w:val="110"/>
        </w:rPr>
        <w:t> </w:t>
      </w:r>
      <w:r>
        <w:rPr>
          <w:w w:val="110"/>
        </w:rPr>
        <w:t>official</w:t>
      </w:r>
      <w:r>
        <w:rPr>
          <w:spacing w:val="-18"/>
          <w:w w:val="110"/>
        </w:rPr>
        <w:t> </w:t>
      </w:r>
      <w:r>
        <w:rPr>
          <w:spacing w:val="-4"/>
          <w:w w:val="110"/>
        </w:rPr>
        <w:t>rates</w:t>
      </w:r>
      <w:r>
        <w:rPr>
          <w:spacing w:val="-18"/>
          <w:w w:val="110"/>
        </w:rPr>
        <w:t> </w:t>
      </w:r>
      <w:r>
        <w:rPr>
          <w:spacing w:val="-4"/>
          <w:w w:val="110"/>
        </w:rPr>
        <w:t>to</w:t>
      </w:r>
      <w:r>
        <w:rPr>
          <w:spacing w:val="-18"/>
          <w:w w:val="110"/>
        </w:rPr>
        <w:t> </w:t>
      </w:r>
      <w:r>
        <w:rPr>
          <w:w w:val="110"/>
        </w:rPr>
        <w:t>decline</w:t>
      </w:r>
      <w:r>
        <w:rPr>
          <w:spacing w:val="-18"/>
          <w:w w:val="110"/>
        </w:rPr>
        <w:t> </w:t>
      </w:r>
      <w:r>
        <w:rPr>
          <w:spacing w:val="-3"/>
          <w:w w:val="110"/>
        </w:rPr>
        <w:t>over</w:t>
      </w:r>
      <w:r>
        <w:rPr>
          <w:spacing w:val="-18"/>
          <w:w w:val="110"/>
        </w:rPr>
        <w:t> </w:t>
      </w:r>
      <w:r>
        <w:rPr>
          <w:w w:val="110"/>
        </w:rPr>
        <w:t>the</w:t>
      </w:r>
      <w:r>
        <w:rPr>
          <w:spacing w:val="-19"/>
          <w:w w:val="110"/>
        </w:rPr>
        <w:t> </w:t>
      </w:r>
      <w:r>
        <w:rPr>
          <w:w w:val="110"/>
        </w:rPr>
        <w:t>next</w:t>
      </w:r>
      <w:r>
        <w:rPr>
          <w:spacing w:val="-18"/>
          <w:w w:val="110"/>
        </w:rPr>
        <w:t> </w:t>
      </w:r>
      <w:r>
        <w:rPr>
          <w:w w:val="110"/>
        </w:rPr>
        <w:t>six</w:t>
      </w:r>
      <w:r>
        <w:rPr>
          <w:spacing w:val="-18"/>
          <w:w w:val="110"/>
        </w:rPr>
        <w:t> </w:t>
      </w:r>
      <w:r>
        <w:rPr>
          <w:w w:val="110"/>
        </w:rPr>
        <w:t>months</w:t>
      </w:r>
      <w:r>
        <w:rPr>
          <w:spacing w:val="-18"/>
          <w:w w:val="110"/>
        </w:rPr>
        <w:t> </w:t>
      </w:r>
      <w:r>
        <w:rPr>
          <w:w w:val="110"/>
        </w:rPr>
        <w:t>or</w:t>
      </w:r>
      <w:r>
        <w:rPr>
          <w:spacing w:val="-18"/>
          <w:w w:val="110"/>
        </w:rPr>
        <w:t> </w:t>
      </w:r>
      <w:r>
        <w:rPr>
          <w:w w:val="110"/>
        </w:rPr>
        <w:t>so </w:t>
      </w:r>
      <w:r>
        <w:rPr>
          <w:spacing w:val="-4"/>
          <w:w w:val="110"/>
        </w:rPr>
        <w:t>to </w:t>
      </w:r>
      <w:r>
        <w:rPr>
          <w:w w:val="110"/>
        </w:rPr>
        <w:t>around </w:t>
      </w:r>
      <w:r>
        <w:rPr>
          <w:spacing w:val="-6"/>
          <w:w w:val="110"/>
        </w:rPr>
        <w:t>5.25% </w:t>
      </w:r>
      <w:r>
        <w:rPr>
          <w:w w:val="110"/>
        </w:rPr>
        <w:t>and </w:t>
      </w:r>
      <w:r>
        <w:rPr>
          <w:spacing w:val="-4"/>
          <w:w w:val="110"/>
        </w:rPr>
        <w:t>to </w:t>
      </w:r>
      <w:r>
        <w:rPr>
          <w:w w:val="110"/>
        </w:rPr>
        <w:t>remain around this </w:t>
      </w:r>
      <w:r>
        <w:rPr>
          <w:spacing w:val="-3"/>
          <w:w w:val="110"/>
        </w:rPr>
        <w:t>level over </w:t>
      </w:r>
      <w:r>
        <w:rPr>
          <w:w w:val="110"/>
        </w:rPr>
        <w:t>the following </w:t>
      </w:r>
      <w:r>
        <w:rPr>
          <w:spacing w:val="-4"/>
          <w:w w:val="110"/>
        </w:rPr>
        <w:t>twelve to </w:t>
      </w:r>
      <w:r>
        <w:rPr>
          <w:w w:val="110"/>
        </w:rPr>
        <w:t>eighteen months (see </w:t>
      </w:r>
      <w:r>
        <w:rPr>
          <w:spacing w:val="-5"/>
          <w:w w:val="110"/>
        </w:rPr>
        <w:t>Table </w:t>
      </w:r>
      <w:r>
        <w:rPr>
          <w:w w:val="110"/>
        </w:rPr>
        <w:t>6.C). The </w:t>
      </w:r>
      <w:r>
        <w:rPr>
          <w:spacing w:val="-4"/>
          <w:w w:val="110"/>
        </w:rPr>
        <w:t>Committee’s </w:t>
      </w:r>
      <w:r>
        <w:rPr>
          <w:w w:val="110"/>
        </w:rPr>
        <w:t>projections under the assumption that official </w:t>
      </w:r>
      <w:r>
        <w:rPr>
          <w:spacing w:val="-4"/>
          <w:w w:val="110"/>
        </w:rPr>
        <w:t>rates </w:t>
      </w:r>
      <w:r>
        <w:rPr>
          <w:w w:val="110"/>
        </w:rPr>
        <w:t>fall in line with market expectations are shown in Charts 6.6 and </w:t>
      </w:r>
      <w:r>
        <w:rPr>
          <w:spacing w:val="-10"/>
          <w:w w:val="110"/>
        </w:rPr>
        <w:t>6.7. </w:t>
      </w:r>
      <w:r>
        <w:rPr>
          <w:w w:val="110"/>
        </w:rPr>
        <w:t>Reflecting the </w:t>
      </w:r>
      <w:r>
        <w:rPr>
          <w:spacing w:val="-3"/>
          <w:w w:val="110"/>
        </w:rPr>
        <w:t>lower interest </w:t>
      </w:r>
      <w:r>
        <w:rPr>
          <w:spacing w:val="-4"/>
          <w:w w:val="110"/>
        </w:rPr>
        <w:t>rate trajectory,</w:t>
      </w:r>
      <w:r>
        <w:rPr>
          <w:spacing w:val="-11"/>
          <w:w w:val="110"/>
        </w:rPr>
        <w:t> </w:t>
      </w:r>
      <w:r>
        <w:rPr>
          <w:w w:val="110"/>
        </w:rPr>
        <w:t>the</w:t>
      </w:r>
      <w:r>
        <w:rPr>
          <w:spacing w:val="-11"/>
          <w:w w:val="110"/>
        </w:rPr>
        <w:t> </w:t>
      </w:r>
      <w:r>
        <w:rPr>
          <w:w w:val="110"/>
        </w:rPr>
        <w:t>prospects</w:t>
      </w:r>
      <w:r>
        <w:rPr>
          <w:spacing w:val="-10"/>
          <w:w w:val="110"/>
        </w:rPr>
        <w:t> </w:t>
      </w:r>
      <w:r>
        <w:rPr>
          <w:w w:val="110"/>
        </w:rPr>
        <w:t>for</w:t>
      </w:r>
      <w:r>
        <w:rPr>
          <w:spacing w:val="-11"/>
          <w:w w:val="110"/>
        </w:rPr>
        <w:t> </w:t>
      </w:r>
      <w:r>
        <w:rPr>
          <w:w w:val="110"/>
        </w:rPr>
        <w:t>both</w:t>
      </w:r>
      <w:r>
        <w:rPr>
          <w:spacing w:val="-10"/>
          <w:w w:val="110"/>
        </w:rPr>
        <w:t> </w:t>
      </w:r>
      <w:r>
        <w:rPr>
          <w:w w:val="110"/>
        </w:rPr>
        <w:t>output</w:t>
      </w:r>
      <w:r>
        <w:rPr>
          <w:spacing w:val="-11"/>
          <w:w w:val="110"/>
        </w:rPr>
        <w:t> </w:t>
      </w:r>
      <w:r>
        <w:rPr>
          <w:w w:val="110"/>
        </w:rPr>
        <w:t>growth</w:t>
      </w:r>
      <w:r>
        <w:rPr>
          <w:spacing w:val="-10"/>
          <w:w w:val="110"/>
        </w:rPr>
        <w:t> </w:t>
      </w:r>
      <w:r>
        <w:rPr>
          <w:w w:val="110"/>
        </w:rPr>
        <w:t>and</w:t>
      </w:r>
      <w:r>
        <w:rPr>
          <w:spacing w:val="-11"/>
          <w:w w:val="110"/>
        </w:rPr>
        <w:t> </w:t>
      </w:r>
      <w:r>
        <w:rPr>
          <w:w w:val="110"/>
        </w:rPr>
        <w:t>inflation are higher under this assumption than in the projections based on constant nominal </w:t>
      </w:r>
      <w:r>
        <w:rPr>
          <w:spacing w:val="-3"/>
          <w:w w:val="110"/>
        </w:rPr>
        <w:t>interest</w:t>
      </w:r>
      <w:r>
        <w:rPr>
          <w:spacing w:val="-26"/>
          <w:w w:val="110"/>
        </w:rPr>
        <w:t> </w:t>
      </w:r>
      <w:r>
        <w:rPr>
          <w:spacing w:val="-4"/>
          <w:w w:val="110"/>
        </w:rPr>
        <w:t>rates.</w:t>
      </w:r>
    </w:p>
    <w:p>
      <w:pPr>
        <w:spacing w:after="0" w:line="292" w:lineRule="auto"/>
        <w:sectPr>
          <w:type w:val="continuous"/>
          <w:pgSz w:w="11900" w:h="16840"/>
          <w:pgMar w:top="1260" w:bottom="280" w:left="640" w:right="640"/>
          <w:cols w:num="2" w:equalWidth="0">
            <w:col w:w="4493" w:space="422"/>
            <w:col w:w="5705"/>
          </w:cols>
        </w:sectPr>
      </w:pPr>
    </w:p>
    <w:p>
      <w:pPr>
        <w:spacing w:line="130" w:lineRule="exact" w:before="74"/>
        <w:ind w:left="3455" w:right="0" w:firstLine="0"/>
        <w:jc w:val="left"/>
        <w:rPr>
          <w:sz w:val="12"/>
        </w:rPr>
      </w:pPr>
      <w:r>
        <w:rPr>
          <w:w w:val="121"/>
          <w:sz w:val="12"/>
        </w:rPr>
        <w:t>4</w:t>
      </w:r>
    </w:p>
    <w:p>
      <w:pPr>
        <w:pStyle w:val="Heading3"/>
        <w:numPr>
          <w:ilvl w:val="1"/>
          <w:numId w:val="35"/>
        </w:numPr>
        <w:tabs>
          <w:tab w:pos="5575" w:val="left" w:leader="none"/>
          <w:tab w:pos="5577" w:val="left" w:leader="none"/>
          <w:tab w:pos="10472" w:val="left" w:leader="none"/>
        </w:tabs>
        <w:spacing w:line="317" w:lineRule="exact" w:before="0" w:after="0"/>
        <w:ind w:left="5576" w:right="0" w:hanging="602"/>
        <w:jc w:val="left"/>
        <w:rPr>
          <w:color w:val="89C6DC"/>
          <w:sz w:val="26"/>
          <w:u w:val="none"/>
        </w:rPr>
      </w:pPr>
      <w:r>
        <w:rPr>
          <w:color w:val="89C6DC"/>
          <w:w w:val="90"/>
          <w:u w:val="single" w:color="006CB4"/>
        </w:rPr>
        <w:t>Other</w:t>
      </w:r>
      <w:r>
        <w:rPr>
          <w:color w:val="89C6DC"/>
          <w:spacing w:val="-25"/>
          <w:w w:val="90"/>
          <w:u w:val="single" w:color="006CB4"/>
        </w:rPr>
        <w:t> </w:t>
      </w:r>
      <w:r>
        <w:rPr>
          <w:color w:val="89C6DC"/>
          <w:w w:val="90"/>
          <w:u w:val="single" w:color="006CB4"/>
        </w:rPr>
        <w:t>forecasts</w:t>
      </w:r>
      <w:r>
        <w:rPr>
          <w:color w:val="89C6DC"/>
          <w:u w:val="single" w:color="006CB4"/>
        </w:rPr>
        <w:tab/>
      </w:r>
    </w:p>
    <w:p>
      <w:pPr>
        <w:spacing w:after="0" w:line="317" w:lineRule="exact"/>
        <w:jc w:val="left"/>
        <w:rPr>
          <w:sz w:val="26"/>
        </w:rPr>
        <w:sectPr>
          <w:type w:val="continuous"/>
          <w:pgSz w:w="11900" w:h="16840"/>
          <w:pgMar w:top="1260" w:bottom="280" w:left="640" w:right="640"/>
        </w:sect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7"/>
        <w:rPr>
          <w:rFonts w:ascii="Trebuchet MS"/>
          <w:b/>
          <w:sz w:val="13"/>
        </w:rPr>
      </w:pPr>
    </w:p>
    <w:p>
      <w:pPr>
        <w:spacing w:before="0"/>
        <w:ind w:left="258" w:right="0" w:firstLine="0"/>
        <w:jc w:val="left"/>
        <w:rPr>
          <w:sz w:val="12"/>
        </w:rPr>
      </w:pPr>
      <w:r>
        <w:rPr>
          <w:w w:val="115"/>
          <w:sz w:val="12"/>
        </w:rPr>
        <w:t>1.2 1.5 1.8 2.1 2.4 2.7 3.0 3.3 3.6 3.9</w:t>
      </w:r>
    </w:p>
    <w:p>
      <w:pPr>
        <w:spacing w:before="18"/>
        <w:ind w:left="1304" w:right="0" w:firstLine="0"/>
        <w:jc w:val="left"/>
        <w:rPr>
          <w:sz w:val="12"/>
        </w:rPr>
      </w:pPr>
      <w:r>
        <w:rPr>
          <w:w w:val="105"/>
          <w:sz w:val="12"/>
        </w:rPr>
        <w:t>Range of forecasts</w:t>
      </w:r>
    </w:p>
    <w:p>
      <w:pPr>
        <w:pStyle w:val="BodyText"/>
        <w:rPr>
          <w:sz w:val="11"/>
        </w:rPr>
      </w:pPr>
      <w:r>
        <w:rPr/>
        <w:br w:type="column"/>
      </w:r>
      <w:r>
        <w:rPr>
          <w:sz w:val="11"/>
        </w:rPr>
      </w:r>
    </w:p>
    <w:p>
      <w:pPr>
        <w:spacing w:before="0"/>
        <w:ind w:left="389" w:right="0" w:firstLine="0"/>
        <w:jc w:val="left"/>
        <w:rPr>
          <w:sz w:val="12"/>
        </w:rPr>
      </w:pPr>
      <w:r>
        <w:rPr>
          <w:w w:val="121"/>
          <w:sz w:val="12"/>
        </w:rPr>
        <w:t>2</w:t>
      </w:r>
    </w:p>
    <w:p>
      <w:pPr>
        <w:pStyle w:val="BodyText"/>
        <w:rPr>
          <w:sz w:val="12"/>
        </w:rPr>
      </w:pPr>
    </w:p>
    <w:p>
      <w:pPr>
        <w:pStyle w:val="BodyText"/>
        <w:rPr>
          <w:sz w:val="12"/>
        </w:rPr>
      </w:pPr>
    </w:p>
    <w:p>
      <w:pPr>
        <w:pStyle w:val="BodyText"/>
        <w:spacing w:before="10"/>
        <w:rPr>
          <w:sz w:val="13"/>
        </w:rPr>
      </w:pPr>
    </w:p>
    <w:p>
      <w:pPr>
        <w:spacing w:before="0"/>
        <w:ind w:left="389" w:right="0" w:firstLine="0"/>
        <w:jc w:val="left"/>
        <w:rPr>
          <w:sz w:val="12"/>
        </w:rPr>
      </w:pPr>
      <w:r>
        <w:rPr>
          <w:w w:val="121"/>
          <w:sz w:val="12"/>
        </w:rPr>
        <w:t>0</w:t>
      </w:r>
    </w:p>
    <w:p>
      <w:pPr>
        <w:spacing w:before="17"/>
        <w:ind w:left="76" w:right="0" w:firstLine="0"/>
        <w:jc w:val="left"/>
        <w:rPr>
          <w:sz w:val="12"/>
        </w:rPr>
      </w:pPr>
      <w:r>
        <w:rPr>
          <w:w w:val="115"/>
          <w:sz w:val="12"/>
        </w:rPr>
        <w:t>4.2</w:t>
      </w:r>
    </w:p>
    <w:p>
      <w:pPr>
        <w:pStyle w:val="BodyText"/>
        <w:rPr>
          <w:sz w:val="27"/>
        </w:rPr>
      </w:pPr>
      <w:r>
        <w:rPr/>
        <w:br w:type="column"/>
      </w:r>
      <w:r>
        <w:rPr>
          <w:sz w:val="27"/>
        </w:rPr>
      </w:r>
    </w:p>
    <w:p>
      <w:pPr>
        <w:pStyle w:val="BodyText"/>
        <w:spacing w:line="292" w:lineRule="auto"/>
        <w:ind w:left="258" w:right="40"/>
      </w:pPr>
      <w:r>
        <w:rPr>
          <w:w w:val="105"/>
        </w:rPr>
        <w:t>In early February, the Bank asked a sample of external forecasters for their latest projections of inflation and output. Based on this survey, the mean forecast for the twelve-month</w:t>
      </w:r>
    </w:p>
    <w:p>
      <w:pPr>
        <w:spacing w:after="0" w:line="292" w:lineRule="auto"/>
        <w:sectPr>
          <w:type w:val="continuous"/>
          <w:pgSz w:w="11900" w:h="16840"/>
          <w:pgMar w:top="1260" w:bottom="280" w:left="640" w:right="640"/>
          <w:cols w:num="3" w:equalWidth="0">
            <w:col w:w="3027" w:space="40"/>
            <w:col w:w="502" w:space="1268"/>
            <w:col w:w="5783"/>
          </w:cols>
        </w:sectPr>
      </w:pPr>
    </w:p>
    <w:p>
      <w:pPr>
        <w:spacing w:before="82"/>
        <w:ind w:left="205" w:right="0" w:firstLine="0"/>
        <w:jc w:val="left"/>
        <w:rPr>
          <w:sz w:val="12"/>
        </w:rPr>
      </w:pPr>
      <w:r>
        <w:rPr>
          <w:w w:val="110"/>
          <w:sz w:val="12"/>
        </w:rPr>
        <w:t>Source:</w:t>
      </w:r>
      <w:r>
        <w:rPr>
          <w:spacing w:val="10"/>
          <w:w w:val="110"/>
          <w:sz w:val="12"/>
        </w:rPr>
        <w:t> </w:t>
      </w:r>
      <w:r>
        <w:rPr>
          <w:w w:val="110"/>
          <w:sz w:val="12"/>
        </w:rPr>
        <w:t>Survey</w:t>
      </w:r>
      <w:r>
        <w:rPr>
          <w:spacing w:val="-11"/>
          <w:w w:val="110"/>
          <w:sz w:val="12"/>
        </w:rPr>
        <w:t> </w:t>
      </w:r>
      <w:r>
        <w:rPr>
          <w:w w:val="110"/>
          <w:sz w:val="12"/>
        </w:rPr>
        <w:t>of</w:t>
      </w:r>
      <w:r>
        <w:rPr>
          <w:spacing w:val="-11"/>
          <w:w w:val="110"/>
          <w:sz w:val="12"/>
        </w:rPr>
        <w:t> </w:t>
      </w:r>
      <w:r>
        <w:rPr>
          <w:spacing w:val="-8"/>
          <w:w w:val="110"/>
          <w:sz w:val="12"/>
        </w:rPr>
        <w:t>27</w:t>
      </w:r>
      <w:r>
        <w:rPr>
          <w:spacing w:val="-11"/>
          <w:w w:val="110"/>
          <w:sz w:val="12"/>
        </w:rPr>
        <w:t> </w:t>
      </w:r>
      <w:r>
        <w:rPr>
          <w:w w:val="110"/>
          <w:sz w:val="12"/>
        </w:rPr>
        <w:t>outside</w:t>
      </w:r>
      <w:r>
        <w:rPr>
          <w:spacing w:val="-12"/>
          <w:w w:val="110"/>
          <w:sz w:val="12"/>
        </w:rPr>
        <w:t> </w:t>
      </w:r>
      <w:r>
        <w:rPr>
          <w:w w:val="110"/>
          <w:sz w:val="12"/>
        </w:rPr>
        <w:t>forecasters</w:t>
      </w:r>
      <w:r>
        <w:rPr>
          <w:spacing w:val="-11"/>
          <w:w w:val="110"/>
          <w:sz w:val="12"/>
        </w:rPr>
        <w:t> </w:t>
      </w:r>
      <w:r>
        <w:rPr>
          <w:w w:val="110"/>
          <w:sz w:val="12"/>
        </w:rPr>
        <w:t>as</w:t>
      </w:r>
      <w:r>
        <w:rPr>
          <w:spacing w:val="-11"/>
          <w:w w:val="110"/>
          <w:sz w:val="12"/>
        </w:rPr>
        <w:t> </w:t>
      </w:r>
      <w:r>
        <w:rPr>
          <w:w w:val="110"/>
          <w:sz w:val="12"/>
        </w:rPr>
        <w:t>of</w:t>
      </w:r>
      <w:r>
        <w:rPr>
          <w:spacing w:val="-11"/>
          <w:w w:val="110"/>
          <w:sz w:val="12"/>
        </w:rPr>
        <w:t> </w:t>
      </w:r>
      <w:r>
        <w:rPr>
          <w:w w:val="110"/>
          <w:sz w:val="12"/>
        </w:rPr>
        <w:t>7</w:t>
      </w:r>
      <w:r>
        <w:rPr>
          <w:spacing w:val="-11"/>
          <w:w w:val="110"/>
          <w:sz w:val="12"/>
        </w:rPr>
        <w:t> </w:t>
      </w:r>
      <w:r>
        <w:rPr>
          <w:w w:val="110"/>
          <w:sz w:val="12"/>
        </w:rPr>
        <w:t>February</w:t>
      </w:r>
      <w:r>
        <w:rPr>
          <w:spacing w:val="-12"/>
          <w:w w:val="110"/>
          <w:sz w:val="12"/>
        </w:rPr>
        <w:t> </w:t>
      </w:r>
      <w:r>
        <w:rPr>
          <w:spacing w:val="-6"/>
          <w:w w:val="110"/>
          <w:sz w:val="12"/>
        </w:rPr>
        <w:t>2001.</w:t>
      </w:r>
    </w:p>
    <w:p>
      <w:pPr>
        <w:pStyle w:val="BodyText"/>
        <w:spacing w:line="229" w:lineRule="exact"/>
        <w:ind w:left="205"/>
      </w:pPr>
      <w:r>
        <w:rPr/>
        <w:br w:type="column"/>
      </w:r>
      <w:r>
        <w:rPr>
          <w:w w:val="110"/>
        </w:rPr>
        <w:t>rate of RPIX inflation in 2001 Q4 was 2.2% (with a range of</w:t>
      </w:r>
    </w:p>
    <w:p>
      <w:pPr>
        <w:spacing w:after="0" w:line="229" w:lineRule="exact"/>
        <w:sectPr>
          <w:type w:val="continuous"/>
          <w:pgSz w:w="11900" w:h="16840"/>
          <w:pgMar w:top="1260" w:bottom="280" w:left="640" w:right="640"/>
          <w:cols w:num="2" w:equalWidth="0">
            <w:col w:w="3489" w:space="1402"/>
            <w:col w:w="5729"/>
          </w:cols>
        </w:sectPr>
      </w:pPr>
    </w:p>
    <w:p>
      <w:pPr>
        <w:pStyle w:val="BodyText"/>
      </w:pPr>
    </w:p>
    <w:p>
      <w:pPr>
        <w:spacing w:after="0"/>
        <w:sectPr>
          <w:pgSz w:w="11900" w:h="16840"/>
          <w:pgMar w:header="601" w:footer="575" w:top="800" w:bottom="760" w:left="640" w:right="640"/>
        </w:sectPr>
      </w:pPr>
    </w:p>
    <w:p>
      <w:pPr>
        <w:pStyle w:val="BodyText"/>
        <w:spacing w:before="10"/>
        <w:rPr>
          <w:sz w:val="21"/>
        </w:rPr>
      </w:pPr>
    </w:p>
    <w:p>
      <w:pPr>
        <w:pStyle w:val="Heading6"/>
        <w:spacing w:before="1"/>
        <w:ind w:left="183"/>
      </w:pPr>
      <w:r>
        <w:rPr>
          <w:color w:val="89C6DC"/>
        </w:rPr>
        <w:t>Table 6.D</w:t>
      </w:r>
    </w:p>
    <w:p>
      <w:pPr>
        <w:spacing w:line="247" w:lineRule="auto" w:before="7"/>
        <w:ind w:left="183" w:right="0" w:firstLine="0"/>
        <w:jc w:val="left"/>
        <w:rPr>
          <w:sz w:val="12"/>
        </w:rPr>
      </w:pPr>
      <w:r>
        <w:rPr>
          <w:rFonts w:ascii="Trebuchet MS" w:hAnsi="Trebuchet MS"/>
          <w:b/>
          <w:color w:val="89C6DC"/>
          <w:w w:val="90"/>
          <w:sz w:val="20"/>
        </w:rPr>
        <w:t>Other forecasters’ expectations of RPIX inflation </w:t>
      </w:r>
      <w:r>
        <w:rPr>
          <w:rFonts w:ascii="Trebuchet MS" w:hAnsi="Trebuchet MS"/>
          <w:b/>
          <w:color w:val="89C6DC"/>
          <w:sz w:val="20"/>
        </w:rPr>
        <w:t>and GDP growth</w:t>
      </w:r>
      <w:r>
        <w:rPr>
          <w:position w:val="4"/>
          <w:sz w:val="12"/>
        </w:rPr>
        <w:t>(a)</w:t>
      </w:r>
    </w:p>
    <w:p>
      <w:pPr>
        <w:spacing w:before="101"/>
        <w:ind w:left="183" w:right="0" w:firstLine="0"/>
        <w:jc w:val="left"/>
        <w:rPr>
          <w:rFonts w:ascii="Georgia"/>
          <w:sz w:val="14"/>
        </w:rPr>
      </w:pPr>
      <w:r>
        <w:rPr>
          <w:rFonts w:ascii="Georgia"/>
          <w:w w:val="105"/>
          <w:sz w:val="14"/>
        </w:rPr>
        <w:t>RPIX inflation</w:t>
      </w:r>
    </w:p>
    <w:p>
      <w:pPr>
        <w:tabs>
          <w:tab w:pos="1641" w:val="left" w:leader="none"/>
          <w:tab w:pos="4466" w:val="left" w:leader="none"/>
        </w:tabs>
        <w:spacing w:before="119"/>
        <w:ind w:left="183" w:right="0" w:firstLine="0"/>
        <w:jc w:val="left"/>
        <w:rPr>
          <w:sz w:val="14"/>
        </w:rPr>
      </w:pPr>
      <w:r>
        <w:rPr/>
        <w:pict>
          <v:shape style="position:absolute;margin-left:38.671398pt;margin-top:16.235039pt;width:218.9pt;height:35.050pt;mso-position-horizontal-relative:page;mso-position-vertical-relative:paragraph;z-index:164116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8"/>
                    <w:gridCol w:w="447"/>
                    <w:gridCol w:w="504"/>
                    <w:gridCol w:w="498"/>
                    <w:gridCol w:w="528"/>
                    <w:gridCol w:w="501"/>
                    <w:gridCol w:w="438"/>
                  </w:tblGrid>
                  <w:tr>
                    <w:trPr>
                      <w:trHeight w:val="140" w:hRule="atLeast"/>
                    </w:trPr>
                    <w:tc>
                      <w:tcPr>
                        <w:tcW w:w="1905" w:type="dxa"/>
                        <w:gridSpan w:val="2"/>
                      </w:tcPr>
                      <w:p>
                        <w:pPr>
                          <w:pStyle w:val="TableParagraph"/>
                          <w:spacing w:line="120" w:lineRule="exact"/>
                          <w:ind w:right="179"/>
                          <w:jc w:val="right"/>
                          <w:rPr>
                            <w:sz w:val="14"/>
                          </w:rPr>
                        </w:pPr>
                        <w:r>
                          <w:rPr>
                            <w:w w:val="105"/>
                            <w:sz w:val="14"/>
                          </w:rPr>
                          <w:t>less</w:t>
                        </w:r>
                      </w:p>
                    </w:tc>
                    <w:tc>
                      <w:tcPr>
                        <w:tcW w:w="504" w:type="dxa"/>
                      </w:tcPr>
                      <w:p>
                        <w:pPr>
                          <w:pStyle w:val="TableParagraph"/>
                          <w:spacing w:line="120" w:lineRule="exact"/>
                          <w:ind w:left="89"/>
                          <w:rPr>
                            <w:sz w:val="14"/>
                          </w:rPr>
                        </w:pPr>
                        <w:r>
                          <w:rPr>
                            <w:w w:val="105"/>
                            <w:sz w:val="14"/>
                          </w:rPr>
                          <w:t>1.5%</w:t>
                        </w:r>
                      </w:p>
                    </w:tc>
                    <w:tc>
                      <w:tcPr>
                        <w:tcW w:w="498" w:type="dxa"/>
                      </w:tcPr>
                      <w:p>
                        <w:pPr>
                          <w:pStyle w:val="TableParagraph"/>
                          <w:spacing w:line="120" w:lineRule="exact"/>
                          <w:ind w:left="107"/>
                          <w:rPr>
                            <w:sz w:val="14"/>
                          </w:rPr>
                        </w:pPr>
                        <w:r>
                          <w:rPr>
                            <w:w w:val="105"/>
                            <w:sz w:val="14"/>
                          </w:rPr>
                          <w:t>2.0%</w:t>
                        </w:r>
                      </w:p>
                    </w:tc>
                    <w:tc>
                      <w:tcPr>
                        <w:tcW w:w="528" w:type="dxa"/>
                      </w:tcPr>
                      <w:p>
                        <w:pPr>
                          <w:pStyle w:val="TableParagraph"/>
                          <w:spacing w:line="120" w:lineRule="exact"/>
                          <w:ind w:left="107"/>
                          <w:rPr>
                            <w:sz w:val="14"/>
                          </w:rPr>
                        </w:pPr>
                        <w:r>
                          <w:rPr>
                            <w:w w:val="105"/>
                            <w:sz w:val="14"/>
                          </w:rPr>
                          <w:t>2.5%</w:t>
                        </w:r>
                      </w:p>
                    </w:tc>
                    <w:tc>
                      <w:tcPr>
                        <w:tcW w:w="501" w:type="dxa"/>
                      </w:tcPr>
                      <w:p>
                        <w:pPr>
                          <w:pStyle w:val="TableParagraph"/>
                          <w:spacing w:line="120" w:lineRule="exact"/>
                          <w:ind w:left="114"/>
                          <w:rPr>
                            <w:sz w:val="14"/>
                          </w:rPr>
                        </w:pPr>
                        <w:r>
                          <w:rPr>
                            <w:w w:val="105"/>
                            <w:sz w:val="14"/>
                          </w:rPr>
                          <w:t>3.0%</w:t>
                        </w:r>
                      </w:p>
                    </w:tc>
                    <w:tc>
                      <w:tcPr>
                        <w:tcW w:w="438" w:type="dxa"/>
                      </w:tcPr>
                      <w:p>
                        <w:pPr>
                          <w:pStyle w:val="TableParagraph"/>
                          <w:spacing w:line="120" w:lineRule="exact"/>
                          <w:ind w:left="59" w:right="27"/>
                          <w:jc w:val="center"/>
                          <w:rPr>
                            <w:sz w:val="14"/>
                          </w:rPr>
                        </w:pPr>
                        <w:r>
                          <w:rPr>
                            <w:w w:val="105"/>
                            <w:sz w:val="14"/>
                          </w:rPr>
                          <w:t>more</w:t>
                        </w:r>
                      </w:p>
                    </w:tc>
                  </w:tr>
                  <w:tr>
                    <w:trPr>
                      <w:trHeight w:val="130" w:hRule="atLeast"/>
                    </w:trPr>
                    <w:tc>
                      <w:tcPr>
                        <w:tcW w:w="1905" w:type="dxa"/>
                        <w:gridSpan w:val="2"/>
                      </w:tcPr>
                      <w:p>
                        <w:pPr>
                          <w:pStyle w:val="TableParagraph"/>
                          <w:spacing w:line="110" w:lineRule="exact"/>
                          <w:ind w:right="119"/>
                          <w:jc w:val="right"/>
                          <w:rPr>
                            <w:sz w:val="14"/>
                          </w:rPr>
                        </w:pPr>
                        <w:r>
                          <w:rPr>
                            <w:w w:val="115"/>
                            <w:sz w:val="14"/>
                          </w:rPr>
                          <w:t>than</w:t>
                        </w:r>
                      </w:p>
                    </w:tc>
                    <w:tc>
                      <w:tcPr>
                        <w:tcW w:w="504" w:type="dxa"/>
                      </w:tcPr>
                      <w:p>
                        <w:pPr>
                          <w:pStyle w:val="TableParagraph"/>
                          <w:spacing w:line="110" w:lineRule="exact"/>
                          <w:ind w:left="89"/>
                          <w:rPr>
                            <w:sz w:val="14"/>
                          </w:rPr>
                        </w:pPr>
                        <w:r>
                          <w:rPr>
                            <w:w w:val="115"/>
                            <w:sz w:val="14"/>
                          </w:rPr>
                          <w:t>to</w:t>
                        </w:r>
                      </w:p>
                    </w:tc>
                    <w:tc>
                      <w:tcPr>
                        <w:tcW w:w="498" w:type="dxa"/>
                      </w:tcPr>
                      <w:p>
                        <w:pPr>
                          <w:pStyle w:val="TableParagraph"/>
                          <w:spacing w:line="110" w:lineRule="exact"/>
                          <w:ind w:left="107"/>
                          <w:rPr>
                            <w:sz w:val="14"/>
                          </w:rPr>
                        </w:pPr>
                        <w:r>
                          <w:rPr>
                            <w:w w:val="115"/>
                            <w:sz w:val="14"/>
                          </w:rPr>
                          <w:t>to</w:t>
                        </w:r>
                      </w:p>
                    </w:tc>
                    <w:tc>
                      <w:tcPr>
                        <w:tcW w:w="528" w:type="dxa"/>
                      </w:tcPr>
                      <w:p>
                        <w:pPr>
                          <w:pStyle w:val="TableParagraph"/>
                          <w:spacing w:line="110" w:lineRule="exact"/>
                          <w:ind w:left="107"/>
                          <w:rPr>
                            <w:sz w:val="14"/>
                          </w:rPr>
                        </w:pPr>
                        <w:r>
                          <w:rPr>
                            <w:w w:val="115"/>
                            <w:sz w:val="14"/>
                          </w:rPr>
                          <w:t>to</w:t>
                        </w:r>
                      </w:p>
                    </w:tc>
                    <w:tc>
                      <w:tcPr>
                        <w:tcW w:w="501" w:type="dxa"/>
                      </w:tcPr>
                      <w:p>
                        <w:pPr>
                          <w:pStyle w:val="TableParagraph"/>
                          <w:spacing w:line="110" w:lineRule="exact"/>
                          <w:ind w:left="114"/>
                          <w:rPr>
                            <w:sz w:val="14"/>
                          </w:rPr>
                        </w:pPr>
                        <w:r>
                          <w:rPr>
                            <w:w w:val="115"/>
                            <w:sz w:val="14"/>
                          </w:rPr>
                          <w:t>to</w:t>
                        </w:r>
                      </w:p>
                    </w:tc>
                    <w:tc>
                      <w:tcPr>
                        <w:tcW w:w="438" w:type="dxa"/>
                      </w:tcPr>
                      <w:p>
                        <w:pPr>
                          <w:pStyle w:val="TableParagraph"/>
                          <w:spacing w:line="110" w:lineRule="exact"/>
                          <w:ind w:left="29" w:right="27"/>
                          <w:jc w:val="center"/>
                          <w:rPr>
                            <w:sz w:val="14"/>
                          </w:rPr>
                        </w:pPr>
                        <w:r>
                          <w:rPr>
                            <w:w w:val="115"/>
                            <w:sz w:val="14"/>
                          </w:rPr>
                          <w:t>than</w:t>
                        </w:r>
                      </w:p>
                    </w:tc>
                  </w:tr>
                  <w:tr>
                    <w:trPr>
                      <w:trHeight w:val="150" w:hRule="atLeast"/>
                    </w:trPr>
                    <w:tc>
                      <w:tcPr>
                        <w:tcW w:w="1905" w:type="dxa"/>
                        <w:gridSpan w:val="2"/>
                      </w:tcPr>
                      <w:p>
                        <w:pPr>
                          <w:pStyle w:val="TableParagraph"/>
                          <w:spacing w:line="130" w:lineRule="exact"/>
                          <w:ind w:right="85"/>
                          <w:jc w:val="right"/>
                          <w:rPr>
                            <w:sz w:val="14"/>
                          </w:rPr>
                        </w:pPr>
                        <w:r>
                          <w:rPr>
                            <w:w w:val="105"/>
                            <w:sz w:val="14"/>
                            <w:u w:val="single"/>
                          </w:rPr>
                          <w:t>1.5%</w:t>
                        </w:r>
                      </w:p>
                    </w:tc>
                    <w:tc>
                      <w:tcPr>
                        <w:tcW w:w="504" w:type="dxa"/>
                      </w:tcPr>
                      <w:p>
                        <w:pPr>
                          <w:pStyle w:val="TableParagraph"/>
                          <w:spacing w:line="130" w:lineRule="exact"/>
                          <w:ind w:left="89"/>
                          <w:rPr>
                            <w:sz w:val="14"/>
                          </w:rPr>
                        </w:pPr>
                        <w:r>
                          <w:rPr>
                            <w:w w:val="105"/>
                            <w:sz w:val="14"/>
                            <w:u w:val="single"/>
                          </w:rPr>
                          <w:t>2.0%</w:t>
                        </w:r>
                      </w:p>
                    </w:tc>
                    <w:tc>
                      <w:tcPr>
                        <w:tcW w:w="498" w:type="dxa"/>
                      </w:tcPr>
                      <w:p>
                        <w:pPr>
                          <w:pStyle w:val="TableParagraph"/>
                          <w:spacing w:line="130" w:lineRule="exact"/>
                          <w:ind w:left="107"/>
                          <w:rPr>
                            <w:sz w:val="14"/>
                          </w:rPr>
                        </w:pPr>
                        <w:r>
                          <w:rPr>
                            <w:w w:val="105"/>
                            <w:sz w:val="14"/>
                            <w:u w:val="single"/>
                          </w:rPr>
                          <w:t>2.5%</w:t>
                        </w:r>
                      </w:p>
                    </w:tc>
                    <w:tc>
                      <w:tcPr>
                        <w:tcW w:w="528" w:type="dxa"/>
                      </w:tcPr>
                      <w:p>
                        <w:pPr>
                          <w:pStyle w:val="TableParagraph"/>
                          <w:spacing w:line="130" w:lineRule="exact"/>
                          <w:ind w:left="83"/>
                          <w:rPr>
                            <w:sz w:val="14"/>
                          </w:rPr>
                        </w:pPr>
                        <w:r>
                          <w:rPr>
                            <w:sz w:val="14"/>
                            <w:u w:val="single"/>
                          </w:rPr>
                          <w:t> </w:t>
                        </w:r>
                        <w:r>
                          <w:rPr>
                            <w:w w:val="105"/>
                            <w:sz w:val="14"/>
                            <w:u w:val="single"/>
                          </w:rPr>
                          <w:t>3.0%</w:t>
                        </w:r>
                      </w:p>
                    </w:tc>
                    <w:tc>
                      <w:tcPr>
                        <w:tcW w:w="501" w:type="dxa"/>
                      </w:tcPr>
                      <w:p>
                        <w:pPr>
                          <w:pStyle w:val="TableParagraph"/>
                          <w:spacing w:line="130" w:lineRule="exact"/>
                          <w:ind w:left="114"/>
                          <w:rPr>
                            <w:sz w:val="14"/>
                          </w:rPr>
                        </w:pPr>
                        <w:r>
                          <w:rPr>
                            <w:w w:val="105"/>
                            <w:sz w:val="14"/>
                            <w:u w:val="single"/>
                          </w:rPr>
                          <w:t>3.5%</w:t>
                        </w:r>
                      </w:p>
                    </w:tc>
                    <w:tc>
                      <w:tcPr>
                        <w:tcW w:w="438" w:type="dxa"/>
                      </w:tcPr>
                      <w:p>
                        <w:pPr>
                          <w:pStyle w:val="TableParagraph"/>
                          <w:spacing w:line="130" w:lineRule="exact"/>
                          <w:ind w:left="61" w:right="25"/>
                          <w:jc w:val="center"/>
                          <w:rPr>
                            <w:sz w:val="14"/>
                          </w:rPr>
                        </w:pPr>
                        <w:r>
                          <w:rPr>
                            <w:w w:val="105"/>
                            <w:sz w:val="14"/>
                            <w:u w:val="single"/>
                          </w:rPr>
                          <w:t>3.5%</w:t>
                        </w:r>
                      </w:p>
                    </w:tc>
                  </w:tr>
                  <w:tr>
                    <w:trPr>
                      <w:trHeight w:val="280" w:hRule="atLeast"/>
                    </w:trPr>
                    <w:tc>
                      <w:tcPr>
                        <w:tcW w:w="1458" w:type="dxa"/>
                      </w:tcPr>
                      <w:p>
                        <w:pPr>
                          <w:pStyle w:val="TableParagraph"/>
                          <w:spacing w:line="146" w:lineRule="exact" w:before="114"/>
                          <w:ind w:left="50"/>
                          <w:rPr>
                            <w:sz w:val="14"/>
                          </w:rPr>
                        </w:pPr>
                        <w:r>
                          <w:rPr>
                            <w:w w:val="120"/>
                            <w:sz w:val="14"/>
                          </w:rPr>
                          <w:t>2001 Q4</w:t>
                        </w:r>
                      </w:p>
                    </w:tc>
                    <w:tc>
                      <w:tcPr>
                        <w:tcW w:w="447" w:type="dxa"/>
                      </w:tcPr>
                      <w:p>
                        <w:pPr>
                          <w:pStyle w:val="TableParagraph"/>
                          <w:spacing w:line="146" w:lineRule="exact" w:before="114"/>
                          <w:ind w:right="40"/>
                          <w:jc w:val="center"/>
                          <w:rPr>
                            <w:sz w:val="14"/>
                          </w:rPr>
                        </w:pPr>
                        <w:r>
                          <w:rPr>
                            <w:w w:val="121"/>
                            <w:sz w:val="14"/>
                          </w:rPr>
                          <w:t>7</w:t>
                        </w:r>
                      </w:p>
                    </w:tc>
                    <w:tc>
                      <w:tcPr>
                        <w:tcW w:w="504" w:type="dxa"/>
                      </w:tcPr>
                      <w:p>
                        <w:pPr>
                          <w:pStyle w:val="TableParagraph"/>
                          <w:spacing w:line="146" w:lineRule="exact" w:before="114"/>
                          <w:ind w:left="126"/>
                          <w:rPr>
                            <w:sz w:val="14"/>
                          </w:rPr>
                        </w:pPr>
                        <w:r>
                          <w:rPr>
                            <w:w w:val="120"/>
                            <w:sz w:val="14"/>
                          </w:rPr>
                          <w:t>28</w:t>
                        </w:r>
                      </w:p>
                    </w:tc>
                    <w:tc>
                      <w:tcPr>
                        <w:tcW w:w="498" w:type="dxa"/>
                      </w:tcPr>
                      <w:p>
                        <w:pPr>
                          <w:pStyle w:val="TableParagraph"/>
                          <w:spacing w:line="146" w:lineRule="exact" w:before="114"/>
                          <w:ind w:left="149"/>
                          <w:rPr>
                            <w:sz w:val="14"/>
                          </w:rPr>
                        </w:pPr>
                        <w:r>
                          <w:rPr>
                            <w:w w:val="120"/>
                            <w:sz w:val="14"/>
                          </w:rPr>
                          <w:t>45</w:t>
                        </w:r>
                      </w:p>
                    </w:tc>
                    <w:tc>
                      <w:tcPr>
                        <w:tcW w:w="528" w:type="dxa"/>
                      </w:tcPr>
                      <w:p>
                        <w:pPr>
                          <w:pStyle w:val="TableParagraph"/>
                          <w:spacing w:line="146" w:lineRule="exact" w:before="114"/>
                          <w:ind w:left="173"/>
                          <w:rPr>
                            <w:sz w:val="14"/>
                          </w:rPr>
                        </w:pPr>
                        <w:r>
                          <w:rPr>
                            <w:w w:val="120"/>
                            <w:sz w:val="14"/>
                          </w:rPr>
                          <w:t>15</w:t>
                        </w:r>
                      </w:p>
                    </w:tc>
                    <w:tc>
                      <w:tcPr>
                        <w:tcW w:w="501" w:type="dxa"/>
                      </w:tcPr>
                      <w:p>
                        <w:pPr>
                          <w:pStyle w:val="TableParagraph"/>
                          <w:spacing w:line="146" w:lineRule="exact" w:before="114"/>
                          <w:ind w:right="14"/>
                          <w:jc w:val="center"/>
                          <w:rPr>
                            <w:sz w:val="14"/>
                          </w:rPr>
                        </w:pPr>
                        <w:r>
                          <w:rPr>
                            <w:w w:val="121"/>
                            <w:sz w:val="14"/>
                          </w:rPr>
                          <w:t>4</w:t>
                        </w:r>
                      </w:p>
                    </w:tc>
                    <w:tc>
                      <w:tcPr>
                        <w:tcW w:w="438" w:type="dxa"/>
                      </w:tcPr>
                      <w:p>
                        <w:pPr>
                          <w:pStyle w:val="TableParagraph"/>
                          <w:spacing w:line="146" w:lineRule="exact" w:before="114"/>
                          <w:ind w:left="16"/>
                          <w:jc w:val="center"/>
                          <w:rPr>
                            <w:sz w:val="14"/>
                          </w:rPr>
                        </w:pPr>
                        <w:r>
                          <w:rPr>
                            <w:w w:val="121"/>
                            <w:sz w:val="14"/>
                          </w:rPr>
                          <w:t>1</w:t>
                        </w:r>
                      </w:p>
                    </w:tc>
                  </w:tr>
                </w:tbl>
                <w:p>
                  <w:pPr>
                    <w:pStyle w:val="BodyText"/>
                  </w:pPr>
                </w:p>
              </w:txbxContent>
            </v:textbox>
            <w10:wrap type="none"/>
          </v:shape>
        </w:pict>
      </w:r>
      <w:r>
        <w:rPr>
          <w:spacing w:val="-3"/>
          <w:w w:val="105"/>
          <w:sz w:val="14"/>
        </w:rPr>
        <w:t>Probability,</w:t>
      </w:r>
      <w:r>
        <w:rPr>
          <w:spacing w:val="7"/>
          <w:w w:val="105"/>
          <w:sz w:val="14"/>
        </w:rPr>
        <w:t> </w:t>
      </w:r>
      <w:r>
        <w:rPr>
          <w:w w:val="105"/>
          <w:sz w:val="14"/>
        </w:rPr>
        <w:t>per</w:t>
      </w:r>
      <w:r>
        <w:rPr>
          <w:spacing w:val="7"/>
          <w:w w:val="105"/>
          <w:sz w:val="14"/>
        </w:rPr>
        <w:t> </w:t>
      </w:r>
      <w:r>
        <w:rPr>
          <w:w w:val="105"/>
          <w:sz w:val="14"/>
        </w:rPr>
        <w:t>cent</w:t>
        <w:tab/>
      </w:r>
      <w:r>
        <w:rPr>
          <w:w w:val="105"/>
          <w:sz w:val="14"/>
          <w:u w:val="single"/>
        </w:rPr>
        <w:t>Range:</w:t>
      </w:r>
      <w:r>
        <w:rPr>
          <w:sz w:val="14"/>
          <w:u w:val="single"/>
        </w:rPr>
        <w:tab/>
      </w:r>
    </w:p>
    <w:p>
      <w:pPr>
        <w:pStyle w:val="BodyText"/>
        <w:spacing w:before="6"/>
      </w:pPr>
      <w:r>
        <w:rPr/>
        <w:br w:type="column"/>
      </w:r>
      <w:r>
        <w:rPr/>
      </w:r>
    </w:p>
    <w:p>
      <w:pPr>
        <w:pStyle w:val="BodyText"/>
        <w:spacing w:line="292" w:lineRule="auto" w:before="1"/>
        <w:ind w:left="133" w:right="185"/>
      </w:pPr>
      <w:r>
        <w:rPr>
          <w:w w:val="110"/>
        </w:rPr>
        <w:t>1.7%</w:t>
      </w:r>
      <w:r>
        <w:rPr>
          <w:spacing w:val="-12"/>
          <w:w w:val="110"/>
        </w:rPr>
        <w:t> </w:t>
      </w:r>
      <w:r>
        <w:rPr>
          <w:spacing w:val="-4"/>
          <w:w w:val="110"/>
        </w:rPr>
        <w:t>to</w:t>
      </w:r>
      <w:r>
        <w:rPr>
          <w:spacing w:val="-12"/>
          <w:w w:val="110"/>
        </w:rPr>
        <w:t> </w:t>
      </w:r>
      <w:r>
        <w:rPr>
          <w:w w:val="110"/>
        </w:rPr>
        <w:t>2.5%),</w:t>
      </w:r>
      <w:r>
        <w:rPr>
          <w:spacing w:val="-12"/>
          <w:w w:val="110"/>
        </w:rPr>
        <w:t> </w:t>
      </w:r>
      <w:r>
        <w:rPr>
          <w:w w:val="110"/>
        </w:rPr>
        <w:t>rising</w:t>
      </w:r>
      <w:r>
        <w:rPr>
          <w:spacing w:val="-11"/>
          <w:w w:val="110"/>
        </w:rPr>
        <w:t> </w:t>
      </w:r>
      <w:r>
        <w:rPr>
          <w:spacing w:val="-4"/>
          <w:w w:val="110"/>
        </w:rPr>
        <w:t>to</w:t>
      </w:r>
      <w:r>
        <w:rPr>
          <w:spacing w:val="-12"/>
          <w:w w:val="110"/>
        </w:rPr>
        <w:t> </w:t>
      </w:r>
      <w:r>
        <w:rPr>
          <w:w w:val="110"/>
        </w:rPr>
        <w:t>2.4%</w:t>
      </w:r>
      <w:r>
        <w:rPr>
          <w:spacing w:val="-12"/>
          <w:w w:val="110"/>
        </w:rPr>
        <w:t> </w:t>
      </w:r>
      <w:r>
        <w:rPr>
          <w:w w:val="110"/>
        </w:rPr>
        <w:t>in</w:t>
      </w:r>
      <w:r>
        <w:rPr>
          <w:spacing w:val="-11"/>
          <w:w w:val="110"/>
        </w:rPr>
        <w:t> </w:t>
      </w:r>
      <w:r>
        <w:rPr>
          <w:spacing w:val="-7"/>
          <w:w w:val="110"/>
        </w:rPr>
        <w:t>2003</w:t>
      </w:r>
      <w:r>
        <w:rPr>
          <w:spacing w:val="-12"/>
          <w:w w:val="110"/>
        </w:rPr>
        <w:t> </w:t>
      </w:r>
      <w:r>
        <w:rPr>
          <w:w w:val="110"/>
        </w:rPr>
        <w:t>Q1</w:t>
      </w:r>
      <w:r>
        <w:rPr>
          <w:spacing w:val="-12"/>
          <w:w w:val="110"/>
        </w:rPr>
        <w:t> </w:t>
      </w:r>
      <w:r>
        <w:rPr>
          <w:w w:val="110"/>
        </w:rPr>
        <w:t>(with</w:t>
      </w:r>
      <w:r>
        <w:rPr>
          <w:spacing w:val="-12"/>
          <w:w w:val="110"/>
        </w:rPr>
        <w:t> </w:t>
      </w:r>
      <w:r>
        <w:rPr>
          <w:w w:val="110"/>
        </w:rPr>
        <w:t>a</w:t>
      </w:r>
      <w:r>
        <w:rPr>
          <w:spacing w:val="-11"/>
          <w:w w:val="110"/>
        </w:rPr>
        <w:t> </w:t>
      </w:r>
      <w:r>
        <w:rPr>
          <w:w w:val="110"/>
        </w:rPr>
        <w:t>range</w:t>
      </w:r>
      <w:r>
        <w:rPr>
          <w:spacing w:val="-12"/>
          <w:w w:val="110"/>
        </w:rPr>
        <w:t> </w:t>
      </w:r>
      <w:r>
        <w:rPr>
          <w:w w:val="110"/>
        </w:rPr>
        <w:t>of 1.5% </w:t>
      </w:r>
      <w:r>
        <w:rPr>
          <w:spacing w:val="-4"/>
          <w:w w:val="110"/>
        </w:rPr>
        <w:t>to </w:t>
      </w:r>
      <w:r>
        <w:rPr>
          <w:w w:val="110"/>
        </w:rPr>
        <w:t>3.1%). The distribution of central projections in </w:t>
      </w:r>
      <w:r>
        <w:rPr>
          <w:spacing w:val="-7"/>
          <w:w w:val="110"/>
        </w:rPr>
        <w:t>2003 </w:t>
      </w:r>
      <w:r>
        <w:rPr>
          <w:w w:val="110"/>
        </w:rPr>
        <w:t>Q1 is shown in Chart 6.8. Compared </w:t>
      </w:r>
      <w:r>
        <w:rPr>
          <w:spacing w:val="-4"/>
          <w:w w:val="110"/>
        </w:rPr>
        <w:t>to </w:t>
      </w:r>
      <w:r>
        <w:rPr>
          <w:w w:val="110"/>
        </w:rPr>
        <w:t>the </w:t>
      </w:r>
      <w:r>
        <w:rPr>
          <w:spacing w:val="-3"/>
          <w:w w:val="110"/>
        </w:rPr>
        <w:t>survey </w:t>
      </w:r>
      <w:r>
        <w:rPr>
          <w:w w:val="110"/>
        </w:rPr>
        <w:t>results in the November </w:t>
      </w:r>
      <w:r>
        <w:rPr>
          <w:i/>
          <w:w w:val="110"/>
        </w:rPr>
        <w:t>Report</w:t>
      </w:r>
      <w:r>
        <w:rPr>
          <w:w w:val="110"/>
        </w:rPr>
        <w:t>, the mean forecast for inflation at the </w:t>
      </w:r>
      <w:r>
        <w:rPr>
          <w:spacing w:val="-5"/>
          <w:w w:val="110"/>
        </w:rPr>
        <w:t>two-year </w:t>
      </w:r>
      <w:r>
        <w:rPr>
          <w:w w:val="110"/>
        </w:rPr>
        <w:t>horizon is a little </w:t>
      </w:r>
      <w:r>
        <w:rPr>
          <w:spacing w:val="-4"/>
          <w:w w:val="110"/>
        </w:rPr>
        <w:t>lower, </w:t>
      </w:r>
      <w:r>
        <w:rPr>
          <w:w w:val="110"/>
        </w:rPr>
        <w:t>and the dispersion</w:t>
      </w:r>
      <w:r>
        <w:rPr>
          <w:spacing w:val="-23"/>
          <w:w w:val="110"/>
        </w:rPr>
        <w:t> </w:t>
      </w:r>
      <w:r>
        <w:rPr>
          <w:w w:val="110"/>
        </w:rPr>
        <w:t>of</w:t>
      </w:r>
      <w:r>
        <w:rPr>
          <w:spacing w:val="-23"/>
          <w:w w:val="110"/>
        </w:rPr>
        <w:t> </w:t>
      </w:r>
      <w:r>
        <w:rPr>
          <w:w w:val="110"/>
        </w:rPr>
        <w:t>forecasts</w:t>
      </w:r>
      <w:r>
        <w:rPr>
          <w:spacing w:val="-23"/>
          <w:w w:val="110"/>
        </w:rPr>
        <w:t> </w:t>
      </w:r>
      <w:r>
        <w:rPr>
          <w:w w:val="110"/>
        </w:rPr>
        <w:t>has</w:t>
      </w:r>
      <w:r>
        <w:rPr>
          <w:spacing w:val="-23"/>
          <w:w w:val="110"/>
        </w:rPr>
        <w:t> </w:t>
      </w:r>
      <w:r>
        <w:rPr>
          <w:w w:val="110"/>
        </w:rPr>
        <w:t>increased.</w:t>
      </w:r>
      <w:r>
        <w:rPr>
          <w:spacing w:val="10"/>
          <w:w w:val="110"/>
        </w:rPr>
        <w:t> </w:t>
      </w:r>
      <w:r>
        <w:rPr>
          <w:w w:val="110"/>
        </w:rPr>
        <w:t>On</w:t>
      </w:r>
      <w:r>
        <w:rPr>
          <w:spacing w:val="-23"/>
          <w:w w:val="110"/>
        </w:rPr>
        <w:t> </w:t>
      </w:r>
      <w:r>
        <w:rPr>
          <w:spacing w:val="-3"/>
          <w:w w:val="110"/>
        </w:rPr>
        <w:t>average,</w:t>
      </w:r>
      <w:r>
        <w:rPr>
          <w:spacing w:val="-23"/>
          <w:w w:val="110"/>
        </w:rPr>
        <w:t> </w:t>
      </w:r>
      <w:r>
        <w:rPr>
          <w:spacing w:val="-3"/>
          <w:w w:val="110"/>
        </w:rPr>
        <w:t>external forecasters</w:t>
      </w:r>
      <w:r>
        <w:rPr>
          <w:spacing w:val="-14"/>
          <w:w w:val="110"/>
        </w:rPr>
        <w:t> </w:t>
      </w:r>
      <w:r>
        <w:rPr>
          <w:w w:val="110"/>
        </w:rPr>
        <w:t>see</w:t>
      </w:r>
      <w:r>
        <w:rPr>
          <w:spacing w:val="-13"/>
          <w:w w:val="110"/>
        </w:rPr>
        <w:t> </w:t>
      </w:r>
      <w:r>
        <w:rPr>
          <w:w w:val="110"/>
        </w:rPr>
        <w:t>a</w:t>
      </w:r>
      <w:r>
        <w:rPr>
          <w:spacing w:val="-13"/>
          <w:w w:val="110"/>
        </w:rPr>
        <w:t> </w:t>
      </w:r>
      <w:r>
        <w:rPr>
          <w:spacing w:val="-6"/>
          <w:w w:val="110"/>
        </w:rPr>
        <w:t>44%</w:t>
      </w:r>
      <w:r>
        <w:rPr>
          <w:spacing w:val="-14"/>
          <w:w w:val="110"/>
        </w:rPr>
        <w:t> </w:t>
      </w:r>
      <w:r>
        <w:rPr>
          <w:spacing w:val="-3"/>
          <w:w w:val="110"/>
        </w:rPr>
        <w:t>probability</w:t>
      </w:r>
      <w:r>
        <w:rPr>
          <w:spacing w:val="-13"/>
          <w:w w:val="110"/>
        </w:rPr>
        <w:t> </w:t>
      </w:r>
      <w:r>
        <w:rPr>
          <w:w w:val="110"/>
        </w:rPr>
        <w:t>of</w:t>
      </w:r>
      <w:r>
        <w:rPr>
          <w:spacing w:val="-13"/>
          <w:w w:val="110"/>
        </w:rPr>
        <w:t> </w:t>
      </w:r>
      <w:r>
        <w:rPr>
          <w:w w:val="110"/>
        </w:rPr>
        <w:t>inflation</w:t>
      </w:r>
      <w:r>
        <w:rPr>
          <w:spacing w:val="-13"/>
          <w:w w:val="110"/>
        </w:rPr>
        <w:t> </w:t>
      </w:r>
      <w:r>
        <w:rPr>
          <w:w w:val="110"/>
        </w:rPr>
        <w:t>being</w:t>
      </w:r>
      <w:r>
        <w:rPr>
          <w:spacing w:val="-14"/>
          <w:w w:val="110"/>
        </w:rPr>
        <w:t> </w:t>
      </w:r>
      <w:r>
        <w:rPr>
          <w:spacing w:val="-3"/>
          <w:w w:val="110"/>
        </w:rPr>
        <w:t>above</w:t>
      </w:r>
    </w:p>
    <w:p>
      <w:pPr>
        <w:spacing w:after="0" w:line="292" w:lineRule="auto"/>
        <w:sectPr>
          <w:type w:val="continuous"/>
          <w:pgSz w:w="11900" w:h="16840"/>
          <w:pgMar w:top="1260" w:bottom="280" w:left="640" w:right="640"/>
          <w:cols w:num="2" w:equalWidth="0">
            <w:col w:w="4552" w:space="427"/>
            <w:col w:w="5641"/>
          </w:cols>
        </w:sectPr>
      </w:pPr>
    </w:p>
    <w:p>
      <w:pPr>
        <w:pStyle w:val="BodyText"/>
        <w:spacing w:before="9"/>
        <w:rPr>
          <w:sz w:val="2"/>
        </w:rPr>
      </w:pPr>
    </w:p>
    <w:tbl>
      <w:tblPr>
        <w:tblW w:w="0" w:type="auto"/>
        <w:jc w:val="left"/>
        <w:tblInd w:w="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9"/>
        <w:gridCol w:w="761"/>
        <w:gridCol w:w="506"/>
        <w:gridCol w:w="517"/>
        <w:gridCol w:w="505"/>
        <w:gridCol w:w="525"/>
        <w:gridCol w:w="672"/>
        <w:gridCol w:w="5790"/>
      </w:tblGrid>
      <w:tr>
        <w:trPr>
          <w:trHeight w:val="181" w:hRule="atLeast"/>
        </w:trPr>
        <w:tc>
          <w:tcPr>
            <w:tcW w:w="1109" w:type="dxa"/>
          </w:tcPr>
          <w:p>
            <w:pPr>
              <w:pStyle w:val="TableParagraph"/>
              <w:spacing w:line="157" w:lineRule="exact"/>
              <w:ind w:left="50"/>
              <w:rPr>
                <w:sz w:val="14"/>
              </w:rPr>
            </w:pPr>
            <w:r>
              <w:rPr>
                <w:w w:val="120"/>
                <w:sz w:val="14"/>
              </w:rPr>
              <w:t>2002 Q4</w:t>
            </w:r>
          </w:p>
        </w:tc>
        <w:tc>
          <w:tcPr>
            <w:tcW w:w="761" w:type="dxa"/>
          </w:tcPr>
          <w:p>
            <w:pPr>
              <w:pStyle w:val="TableParagraph"/>
              <w:spacing w:line="157" w:lineRule="exact"/>
              <w:ind w:right="165"/>
              <w:jc w:val="right"/>
              <w:rPr>
                <w:sz w:val="14"/>
              </w:rPr>
            </w:pPr>
            <w:r>
              <w:rPr>
                <w:w w:val="121"/>
                <w:sz w:val="14"/>
              </w:rPr>
              <w:t>7</w:t>
            </w:r>
          </w:p>
        </w:tc>
        <w:tc>
          <w:tcPr>
            <w:tcW w:w="506" w:type="dxa"/>
          </w:tcPr>
          <w:p>
            <w:pPr>
              <w:pStyle w:val="TableParagraph"/>
              <w:spacing w:line="157" w:lineRule="exact"/>
              <w:ind w:left="136" w:right="154"/>
              <w:jc w:val="center"/>
              <w:rPr>
                <w:sz w:val="14"/>
              </w:rPr>
            </w:pPr>
            <w:r>
              <w:rPr>
                <w:w w:val="120"/>
                <w:sz w:val="14"/>
              </w:rPr>
              <w:t>17</w:t>
            </w:r>
          </w:p>
        </w:tc>
        <w:tc>
          <w:tcPr>
            <w:tcW w:w="517" w:type="dxa"/>
          </w:tcPr>
          <w:p>
            <w:pPr>
              <w:pStyle w:val="TableParagraph"/>
              <w:spacing w:line="157" w:lineRule="exact"/>
              <w:ind w:right="176"/>
              <w:jc w:val="right"/>
              <w:rPr>
                <w:sz w:val="14"/>
              </w:rPr>
            </w:pPr>
            <w:r>
              <w:rPr>
                <w:w w:val="120"/>
                <w:sz w:val="14"/>
              </w:rPr>
              <w:t>39</w:t>
            </w:r>
          </w:p>
        </w:tc>
        <w:tc>
          <w:tcPr>
            <w:tcW w:w="505" w:type="dxa"/>
          </w:tcPr>
          <w:p>
            <w:pPr>
              <w:pStyle w:val="TableParagraph"/>
              <w:spacing w:line="157" w:lineRule="exact"/>
              <w:ind w:left="149" w:right="148"/>
              <w:jc w:val="center"/>
              <w:rPr>
                <w:sz w:val="14"/>
              </w:rPr>
            </w:pPr>
            <w:r>
              <w:rPr>
                <w:w w:val="120"/>
                <w:sz w:val="14"/>
              </w:rPr>
              <w:t>26</w:t>
            </w:r>
          </w:p>
        </w:tc>
        <w:tc>
          <w:tcPr>
            <w:tcW w:w="525" w:type="dxa"/>
          </w:tcPr>
          <w:p>
            <w:pPr>
              <w:pStyle w:val="TableParagraph"/>
              <w:spacing w:line="157" w:lineRule="exact"/>
              <w:ind w:right="201"/>
              <w:jc w:val="right"/>
              <w:rPr>
                <w:sz w:val="14"/>
              </w:rPr>
            </w:pPr>
            <w:r>
              <w:rPr>
                <w:w w:val="121"/>
                <w:sz w:val="14"/>
              </w:rPr>
              <w:t>8</w:t>
            </w:r>
          </w:p>
        </w:tc>
        <w:tc>
          <w:tcPr>
            <w:tcW w:w="672" w:type="dxa"/>
          </w:tcPr>
          <w:p>
            <w:pPr>
              <w:pStyle w:val="TableParagraph"/>
              <w:spacing w:line="157" w:lineRule="exact"/>
              <w:ind w:left="197"/>
              <w:rPr>
                <w:sz w:val="14"/>
              </w:rPr>
            </w:pPr>
            <w:r>
              <w:rPr>
                <w:w w:val="121"/>
                <w:sz w:val="14"/>
              </w:rPr>
              <w:t>3</w:t>
            </w:r>
          </w:p>
        </w:tc>
        <w:tc>
          <w:tcPr>
            <w:tcW w:w="5790" w:type="dxa"/>
          </w:tcPr>
          <w:p>
            <w:pPr>
              <w:pStyle w:val="TableParagraph"/>
              <w:spacing w:line="161" w:lineRule="exact"/>
              <w:ind w:left="383"/>
              <w:rPr>
                <w:sz w:val="20"/>
              </w:rPr>
            </w:pPr>
            <w:r>
              <w:rPr>
                <w:w w:val="110"/>
                <w:sz w:val="20"/>
              </w:rPr>
              <w:t>2.5%</w:t>
            </w:r>
            <w:r>
              <w:rPr>
                <w:spacing w:val="-11"/>
                <w:w w:val="110"/>
                <w:sz w:val="20"/>
              </w:rPr>
              <w:t> </w:t>
            </w:r>
            <w:r>
              <w:rPr>
                <w:w w:val="110"/>
                <w:sz w:val="20"/>
              </w:rPr>
              <w:t>in</w:t>
            </w:r>
            <w:r>
              <w:rPr>
                <w:spacing w:val="-10"/>
                <w:w w:val="110"/>
                <w:sz w:val="20"/>
              </w:rPr>
              <w:t> </w:t>
            </w:r>
            <w:r>
              <w:rPr>
                <w:spacing w:val="-7"/>
                <w:w w:val="110"/>
                <w:sz w:val="20"/>
              </w:rPr>
              <w:t>2003</w:t>
            </w:r>
            <w:r>
              <w:rPr>
                <w:spacing w:val="-10"/>
                <w:w w:val="110"/>
                <w:sz w:val="20"/>
              </w:rPr>
              <w:t> </w:t>
            </w:r>
            <w:r>
              <w:rPr>
                <w:w w:val="110"/>
                <w:sz w:val="20"/>
              </w:rPr>
              <w:t>Q1,</w:t>
            </w:r>
            <w:r>
              <w:rPr>
                <w:spacing w:val="-10"/>
                <w:w w:val="110"/>
                <w:sz w:val="20"/>
              </w:rPr>
              <w:t> </w:t>
            </w:r>
            <w:r>
              <w:rPr>
                <w:w w:val="110"/>
                <w:sz w:val="20"/>
              </w:rPr>
              <w:t>and</w:t>
            </w:r>
            <w:r>
              <w:rPr>
                <w:spacing w:val="-11"/>
                <w:w w:val="110"/>
                <w:sz w:val="20"/>
              </w:rPr>
              <w:t> </w:t>
            </w:r>
            <w:r>
              <w:rPr>
                <w:w w:val="110"/>
                <w:sz w:val="20"/>
              </w:rPr>
              <w:t>a</w:t>
            </w:r>
            <w:r>
              <w:rPr>
                <w:spacing w:val="-10"/>
                <w:w w:val="110"/>
                <w:sz w:val="20"/>
              </w:rPr>
              <w:t> </w:t>
            </w:r>
            <w:r>
              <w:rPr>
                <w:spacing w:val="-6"/>
                <w:w w:val="110"/>
                <w:sz w:val="20"/>
              </w:rPr>
              <w:t>56%</w:t>
            </w:r>
            <w:r>
              <w:rPr>
                <w:spacing w:val="-10"/>
                <w:w w:val="110"/>
                <w:sz w:val="20"/>
              </w:rPr>
              <w:t> </w:t>
            </w:r>
            <w:r>
              <w:rPr>
                <w:spacing w:val="-3"/>
                <w:w w:val="110"/>
                <w:sz w:val="20"/>
              </w:rPr>
              <w:t>probability</w:t>
            </w:r>
            <w:r>
              <w:rPr>
                <w:spacing w:val="-10"/>
                <w:w w:val="110"/>
                <w:sz w:val="20"/>
              </w:rPr>
              <w:t> </w:t>
            </w:r>
            <w:r>
              <w:rPr>
                <w:w w:val="110"/>
                <w:sz w:val="20"/>
              </w:rPr>
              <w:t>of</w:t>
            </w:r>
            <w:r>
              <w:rPr>
                <w:spacing w:val="-10"/>
                <w:w w:val="110"/>
                <w:sz w:val="20"/>
              </w:rPr>
              <w:t> </w:t>
            </w:r>
            <w:r>
              <w:rPr>
                <w:w w:val="110"/>
                <w:sz w:val="20"/>
              </w:rPr>
              <w:t>it</w:t>
            </w:r>
            <w:r>
              <w:rPr>
                <w:spacing w:val="-11"/>
                <w:w w:val="110"/>
                <w:sz w:val="20"/>
              </w:rPr>
              <w:t> </w:t>
            </w:r>
            <w:r>
              <w:rPr>
                <w:w w:val="110"/>
                <w:sz w:val="20"/>
              </w:rPr>
              <w:t>being</w:t>
            </w:r>
            <w:r>
              <w:rPr>
                <w:spacing w:val="-10"/>
                <w:w w:val="110"/>
                <w:sz w:val="20"/>
              </w:rPr>
              <w:t> </w:t>
            </w:r>
            <w:r>
              <w:rPr>
                <w:w w:val="110"/>
                <w:sz w:val="20"/>
              </w:rPr>
              <w:t>below</w:t>
            </w:r>
            <w:r>
              <w:rPr>
                <w:spacing w:val="-10"/>
                <w:w w:val="110"/>
                <w:sz w:val="20"/>
              </w:rPr>
              <w:t> </w:t>
            </w:r>
            <w:r>
              <w:rPr>
                <w:w w:val="110"/>
                <w:sz w:val="20"/>
              </w:rPr>
              <w:t>(see</w:t>
            </w:r>
          </w:p>
        </w:tc>
      </w:tr>
      <w:tr>
        <w:trPr>
          <w:trHeight w:val="120" w:hRule="atLeast"/>
        </w:trPr>
        <w:tc>
          <w:tcPr>
            <w:tcW w:w="1109" w:type="dxa"/>
          </w:tcPr>
          <w:p>
            <w:pPr>
              <w:pStyle w:val="TableParagraph"/>
              <w:spacing w:line="101" w:lineRule="exact"/>
              <w:ind w:left="50"/>
              <w:rPr>
                <w:sz w:val="14"/>
              </w:rPr>
            </w:pPr>
            <w:r>
              <w:rPr>
                <w:w w:val="120"/>
                <w:sz w:val="14"/>
              </w:rPr>
              <w:t>2003 Q1</w:t>
            </w:r>
          </w:p>
        </w:tc>
        <w:tc>
          <w:tcPr>
            <w:tcW w:w="761" w:type="dxa"/>
          </w:tcPr>
          <w:p>
            <w:pPr>
              <w:pStyle w:val="TableParagraph"/>
              <w:spacing w:line="101" w:lineRule="exact"/>
              <w:ind w:right="165"/>
              <w:jc w:val="right"/>
              <w:rPr>
                <w:sz w:val="14"/>
              </w:rPr>
            </w:pPr>
            <w:r>
              <w:rPr>
                <w:w w:val="121"/>
                <w:sz w:val="14"/>
              </w:rPr>
              <w:t>6</w:t>
            </w:r>
          </w:p>
        </w:tc>
        <w:tc>
          <w:tcPr>
            <w:tcW w:w="506" w:type="dxa"/>
          </w:tcPr>
          <w:p>
            <w:pPr>
              <w:pStyle w:val="TableParagraph"/>
              <w:spacing w:line="101" w:lineRule="exact"/>
              <w:ind w:left="140" w:right="151"/>
              <w:jc w:val="center"/>
              <w:rPr>
                <w:sz w:val="14"/>
              </w:rPr>
            </w:pPr>
            <w:r>
              <w:rPr>
                <w:w w:val="120"/>
                <w:sz w:val="14"/>
              </w:rPr>
              <w:t>15</w:t>
            </w:r>
          </w:p>
        </w:tc>
        <w:tc>
          <w:tcPr>
            <w:tcW w:w="517" w:type="dxa"/>
          </w:tcPr>
          <w:p>
            <w:pPr>
              <w:pStyle w:val="TableParagraph"/>
              <w:spacing w:line="101" w:lineRule="exact"/>
              <w:ind w:right="176"/>
              <w:jc w:val="right"/>
              <w:rPr>
                <w:sz w:val="14"/>
              </w:rPr>
            </w:pPr>
            <w:r>
              <w:rPr>
                <w:w w:val="120"/>
                <w:sz w:val="14"/>
              </w:rPr>
              <w:t>35</w:t>
            </w:r>
          </w:p>
        </w:tc>
        <w:tc>
          <w:tcPr>
            <w:tcW w:w="505" w:type="dxa"/>
          </w:tcPr>
          <w:p>
            <w:pPr>
              <w:pStyle w:val="TableParagraph"/>
              <w:spacing w:line="101" w:lineRule="exact"/>
              <w:ind w:left="149" w:right="148"/>
              <w:jc w:val="center"/>
              <w:rPr>
                <w:sz w:val="14"/>
              </w:rPr>
            </w:pPr>
            <w:r>
              <w:rPr>
                <w:w w:val="120"/>
                <w:sz w:val="14"/>
              </w:rPr>
              <w:t>30</w:t>
            </w:r>
          </w:p>
        </w:tc>
        <w:tc>
          <w:tcPr>
            <w:tcW w:w="525" w:type="dxa"/>
          </w:tcPr>
          <w:p>
            <w:pPr>
              <w:pStyle w:val="TableParagraph"/>
              <w:spacing w:line="101" w:lineRule="exact"/>
              <w:ind w:right="201"/>
              <w:jc w:val="right"/>
              <w:rPr>
                <w:sz w:val="14"/>
              </w:rPr>
            </w:pPr>
            <w:r>
              <w:rPr>
                <w:w w:val="120"/>
                <w:sz w:val="14"/>
              </w:rPr>
              <w:t>10</w:t>
            </w:r>
          </w:p>
        </w:tc>
        <w:tc>
          <w:tcPr>
            <w:tcW w:w="672" w:type="dxa"/>
          </w:tcPr>
          <w:p>
            <w:pPr>
              <w:pStyle w:val="TableParagraph"/>
              <w:spacing w:line="101" w:lineRule="exact"/>
              <w:ind w:left="197"/>
              <w:rPr>
                <w:sz w:val="14"/>
              </w:rPr>
            </w:pPr>
            <w:r>
              <w:rPr>
                <w:w w:val="121"/>
                <w:sz w:val="14"/>
              </w:rPr>
              <w:t>4</w:t>
            </w:r>
          </w:p>
        </w:tc>
        <w:tc>
          <w:tcPr>
            <w:tcW w:w="5790" w:type="dxa"/>
          </w:tcPr>
          <w:p>
            <w:pPr>
              <w:pStyle w:val="TableParagraph"/>
              <w:rPr>
                <w:sz w:val="6"/>
              </w:rPr>
            </w:pPr>
          </w:p>
        </w:tc>
      </w:tr>
      <w:tr>
        <w:trPr>
          <w:trHeight w:val="178" w:hRule="atLeast"/>
        </w:trPr>
        <w:tc>
          <w:tcPr>
            <w:tcW w:w="1109" w:type="dxa"/>
          </w:tcPr>
          <w:p>
            <w:pPr>
              <w:pStyle w:val="TableParagraph"/>
              <w:rPr>
                <w:sz w:val="12"/>
              </w:rPr>
            </w:pPr>
          </w:p>
        </w:tc>
        <w:tc>
          <w:tcPr>
            <w:tcW w:w="761" w:type="dxa"/>
          </w:tcPr>
          <w:p>
            <w:pPr>
              <w:pStyle w:val="TableParagraph"/>
              <w:rPr>
                <w:sz w:val="12"/>
              </w:rPr>
            </w:pPr>
          </w:p>
        </w:tc>
        <w:tc>
          <w:tcPr>
            <w:tcW w:w="506" w:type="dxa"/>
          </w:tcPr>
          <w:p>
            <w:pPr>
              <w:pStyle w:val="TableParagraph"/>
              <w:rPr>
                <w:sz w:val="12"/>
              </w:rPr>
            </w:pPr>
          </w:p>
        </w:tc>
        <w:tc>
          <w:tcPr>
            <w:tcW w:w="517" w:type="dxa"/>
          </w:tcPr>
          <w:p>
            <w:pPr>
              <w:pStyle w:val="TableParagraph"/>
              <w:rPr>
                <w:sz w:val="12"/>
              </w:rPr>
            </w:pPr>
          </w:p>
        </w:tc>
        <w:tc>
          <w:tcPr>
            <w:tcW w:w="505" w:type="dxa"/>
          </w:tcPr>
          <w:p>
            <w:pPr>
              <w:pStyle w:val="TableParagraph"/>
              <w:rPr>
                <w:sz w:val="12"/>
              </w:rPr>
            </w:pPr>
          </w:p>
        </w:tc>
        <w:tc>
          <w:tcPr>
            <w:tcW w:w="525" w:type="dxa"/>
          </w:tcPr>
          <w:p>
            <w:pPr>
              <w:pStyle w:val="TableParagraph"/>
              <w:rPr>
                <w:sz w:val="12"/>
              </w:rPr>
            </w:pPr>
          </w:p>
        </w:tc>
        <w:tc>
          <w:tcPr>
            <w:tcW w:w="672" w:type="dxa"/>
          </w:tcPr>
          <w:p>
            <w:pPr>
              <w:pStyle w:val="TableParagraph"/>
              <w:rPr>
                <w:sz w:val="12"/>
              </w:rPr>
            </w:pPr>
          </w:p>
        </w:tc>
        <w:tc>
          <w:tcPr>
            <w:tcW w:w="5790" w:type="dxa"/>
          </w:tcPr>
          <w:p>
            <w:pPr>
              <w:pStyle w:val="TableParagraph"/>
              <w:spacing w:line="159" w:lineRule="exact"/>
              <w:ind w:left="383"/>
              <w:rPr>
                <w:sz w:val="20"/>
              </w:rPr>
            </w:pPr>
            <w:r>
              <w:rPr>
                <w:w w:val="105"/>
                <w:sz w:val="20"/>
              </w:rPr>
              <w:t>Table 6.D). The forecasters’ average projection for</w:t>
            </w:r>
          </w:p>
        </w:tc>
      </w:tr>
    </w:tbl>
    <w:p>
      <w:pPr>
        <w:pStyle w:val="BodyText"/>
        <w:spacing w:before="43"/>
        <w:ind w:left="5111"/>
      </w:pPr>
      <w:r>
        <w:rPr/>
        <w:pict>
          <v:shape style="position:absolute;margin-left:38.671398pt;margin-top:1.063528pt;width:216.65pt;height:72.05pt;mso-position-horizontal-relative:page;mso-position-vertical-relative:paragraph;z-index:164121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4"/>
                    <w:gridCol w:w="904"/>
                    <w:gridCol w:w="504"/>
                    <w:gridCol w:w="525"/>
                    <w:gridCol w:w="516"/>
                    <w:gridCol w:w="386"/>
                  </w:tblGrid>
                  <w:tr>
                    <w:trPr>
                      <w:trHeight w:val="442" w:hRule="atLeast"/>
                    </w:trPr>
                    <w:tc>
                      <w:tcPr>
                        <w:tcW w:w="1494" w:type="dxa"/>
                      </w:tcPr>
                      <w:p>
                        <w:pPr>
                          <w:pStyle w:val="TableParagraph"/>
                          <w:spacing w:line="136" w:lineRule="exact"/>
                          <w:ind w:left="50"/>
                          <w:rPr>
                            <w:rFonts w:ascii="Georgia"/>
                            <w:sz w:val="14"/>
                          </w:rPr>
                        </w:pPr>
                        <w:r>
                          <w:rPr>
                            <w:rFonts w:ascii="Georgia"/>
                            <w:sz w:val="14"/>
                          </w:rPr>
                          <w:t>GDP growth</w:t>
                        </w:r>
                      </w:p>
                      <w:p>
                        <w:pPr>
                          <w:pStyle w:val="TableParagraph"/>
                          <w:spacing w:before="118"/>
                          <w:ind w:left="50"/>
                          <w:rPr>
                            <w:sz w:val="14"/>
                          </w:rPr>
                        </w:pPr>
                        <w:r>
                          <w:rPr>
                            <w:w w:val="110"/>
                            <w:sz w:val="14"/>
                          </w:rPr>
                          <w:t>Probability, per cent</w:t>
                        </w:r>
                      </w:p>
                    </w:tc>
                    <w:tc>
                      <w:tcPr>
                        <w:tcW w:w="904" w:type="dxa"/>
                        <w:tcBorders>
                          <w:bottom w:val="single" w:sz="2" w:space="0" w:color="000000"/>
                        </w:tcBorders>
                      </w:tcPr>
                      <w:p>
                        <w:pPr>
                          <w:pStyle w:val="TableParagraph"/>
                          <w:rPr>
                            <w:sz w:val="14"/>
                          </w:rPr>
                        </w:pPr>
                      </w:p>
                      <w:p>
                        <w:pPr>
                          <w:pStyle w:val="TableParagraph"/>
                          <w:spacing w:before="93"/>
                          <w:ind w:left="14"/>
                          <w:rPr>
                            <w:sz w:val="14"/>
                          </w:rPr>
                        </w:pPr>
                        <w:r>
                          <w:rPr>
                            <w:w w:val="105"/>
                            <w:sz w:val="14"/>
                          </w:rPr>
                          <w:t>Range:</w:t>
                        </w:r>
                      </w:p>
                    </w:tc>
                    <w:tc>
                      <w:tcPr>
                        <w:tcW w:w="1931" w:type="dxa"/>
                        <w:gridSpan w:val="4"/>
                        <w:tcBorders>
                          <w:bottom w:val="single" w:sz="2" w:space="0" w:color="000000"/>
                        </w:tcBorders>
                      </w:tcPr>
                      <w:p>
                        <w:pPr>
                          <w:pStyle w:val="TableParagraph"/>
                          <w:rPr>
                            <w:sz w:val="16"/>
                          </w:rPr>
                        </w:pPr>
                      </w:p>
                    </w:tc>
                  </w:tr>
                  <w:tr>
                    <w:trPr>
                      <w:trHeight w:val="502" w:hRule="atLeast"/>
                    </w:trPr>
                    <w:tc>
                      <w:tcPr>
                        <w:tcW w:w="1494" w:type="dxa"/>
                      </w:tcPr>
                      <w:p>
                        <w:pPr>
                          <w:pStyle w:val="TableParagraph"/>
                          <w:rPr>
                            <w:sz w:val="16"/>
                          </w:rPr>
                        </w:pPr>
                      </w:p>
                    </w:tc>
                    <w:tc>
                      <w:tcPr>
                        <w:tcW w:w="904" w:type="dxa"/>
                        <w:tcBorders>
                          <w:top w:val="single" w:sz="2" w:space="0" w:color="000000"/>
                        </w:tcBorders>
                      </w:tcPr>
                      <w:p>
                        <w:pPr>
                          <w:pStyle w:val="TableParagraph"/>
                          <w:tabs>
                            <w:tab w:pos="500" w:val="left" w:leader="none"/>
                          </w:tabs>
                          <w:spacing w:line="137" w:lineRule="exact"/>
                          <w:ind w:left="14"/>
                          <w:rPr>
                            <w:sz w:val="14"/>
                          </w:rPr>
                        </w:pPr>
                        <w:r>
                          <w:rPr>
                            <w:w w:val="105"/>
                            <w:sz w:val="14"/>
                          </w:rPr>
                          <w:t>less</w:t>
                          <w:tab/>
                          <w:t>0%</w:t>
                        </w:r>
                      </w:p>
                      <w:p>
                        <w:pPr>
                          <w:pStyle w:val="TableParagraph"/>
                          <w:tabs>
                            <w:tab w:pos="500" w:val="left" w:leader="none"/>
                          </w:tabs>
                          <w:spacing w:line="140" w:lineRule="exact"/>
                          <w:ind w:left="14"/>
                          <w:rPr>
                            <w:sz w:val="14"/>
                          </w:rPr>
                        </w:pPr>
                        <w:r>
                          <w:rPr>
                            <w:w w:val="115"/>
                            <w:sz w:val="14"/>
                          </w:rPr>
                          <w:t>than</w:t>
                          <w:tab/>
                        </w:r>
                        <w:r>
                          <w:rPr>
                            <w:spacing w:val="-3"/>
                            <w:w w:val="115"/>
                            <w:sz w:val="14"/>
                          </w:rPr>
                          <w:t>to</w:t>
                        </w:r>
                      </w:p>
                      <w:p>
                        <w:pPr>
                          <w:pStyle w:val="TableParagraph"/>
                          <w:spacing w:line="150" w:lineRule="exact"/>
                          <w:ind w:left="14"/>
                          <w:rPr>
                            <w:sz w:val="14"/>
                          </w:rPr>
                        </w:pPr>
                        <w:r>
                          <w:rPr>
                            <w:w w:val="105"/>
                            <w:sz w:val="14"/>
                            <w:u w:val="single"/>
                          </w:rPr>
                          <w:t>0%</w:t>
                        </w:r>
                        <w:r>
                          <w:rPr>
                            <w:w w:val="105"/>
                            <w:sz w:val="14"/>
                          </w:rPr>
                          <w:t> </w:t>
                        </w:r>
                        <w:r>
                          <w:rPr>
                            <w:w w:val="105"/>
                            <w:sz w:val="14"/>
                            <w:u w:val="single"/>
                          </w:rPr>
                          <w:t>1%</w:t>
                        </w:r>
                        <w:r>
                          <w:rPr>
                            <w:sz w:val="14"/>
                            <w:u w:val="single"/>
                          </w:rPr>
                          <w:t> </w:t>
                        </w:r>
                      </w:p>
                    </w:tc>
                    <w:tc>
                      <w:tcPr>
                        <w:tcW w:w="504" w:type="dxa"/>
                        <w:tcBorders>
                          <w:top w:val="single" w:sz="2" w:space="0" w:color="000000"/>
                        </w:tcBorders>
                      </w:tcPr>
                      <w:p>
                        <w:pPr>
                          <w:pStyle w:val="TableParagraph"/>
                          <w:spacing w:line="137" w:lineRule="exact"/>
                          <w:ind w:left="118"/>
                          <w:rPr>
                            <w:sz w:val="14"/>
                          </w:rPr>
                        </w:pPr>
                        <w:r>
                          <w:rPr>
                            <w:w w:val="105"/>
                            <w:sz w:val="14"/>
                          </w:rPr>
                          <w:t>1%</w:t>
                        </w:r>
                      </w:p>
                      <w:p>
                        <w:pPr>
                          <w:pStyle w:val="TableParagraph"/>
                          <w:spacing w:line="140" w:lineRule="exact"/>
                          <w:ind w:left="118"/>
                          <w:rPr>
                            <w:sz w:val="14"/>
                          </w:rPr>
                        </w:pPr>
                        <w:r>
                          <w:rPr>
                            <w:w w:val="115"/>
                            <w:sz w:val="14"/>
                          </w:rPr>
                          <w:t>to</w:t>
                        </w:r>
                      </w:p>
                      <w:p>
                        <w:pPr>
                          <w:pStyle w:val="TableParagraph"/>
                          <w:spacing w:line="150" w:lineRule="exact"/>
                          <w:ind w:left="99"/>
                          <w:rPr>
                            <w:sz w:val="14"/>
                          </w:rPr>
                        </w:pPr>
                        <w:r>
                          <w:rPr>
                            <w:sz w:val="14"/>
                            <w:u w:val="single"/>
                          </w:rPr>
                          <w:t> </w:t>
                        </w:r>
                        <w:r>
                          <w:rPr>
                            <w:w w:val="105"/>
                            <w:sz w:val="14"/>
                            <w:u w:val="single"/>
                          </w:rPr>
                          <w:t>2%</w:t>
                        </w:r>
                        <w:r>
                          <w:rPr>
                            <w:sz w:val="14"/>
                            <w:u w:val="single"/>
                          </w:rPr>
                          <w:t> </w:t>
                        </w:r>
                      </w:p>
                    </w:tc>
                    <w:tc>
                      <w:tcPr>
                        <w:tcW w:w="525" w:type="dxa"/>
                        <w:tcBorders>
                          <w:top w:val="single" w:sz="2" w:space="0" w:color="000000"/>
                        </w:tcBorders>
                      </w:tcPr>
                      <w:p>
                        <w:pPr>
                          <w:pStyle w:val="TableParagraph"/>
                          <w:spacing w:line="137" w:lineRule="exact"/>
                          <w:ind w:left="112"/>
                          <w:rPr>
                            <w:sz w:val="14"/>
                          </w:rPr>
                        </w:pPr>
                        <w:r>
                          <w:rPr>
                            <w:w w:val="105"/>
                            <w:sz w:val="14"/>
                          </w:rPr>
                          <w:t>2%</w:t>
                        </w:r>
                      </w:p>
                      <w:p>
                        <w:pPr>
                          <w:pStyle w:val="TableParagraph"/>
                          <w:spacing w:line="140" w:lineRule="exact"/>
                          <w:ind w:left="112"/>
                          <w:rPr>
                            <w:sz w:val="14"/>
                          </w:rPr>
                        </w:pPr>
                        <w:r>
                          <w:rPr>
                            <w:w w:val="115"/>
                            <w:sz w:val="14"/>
                          </w:rPr>
                          <w:t>to</w:t>
                        </w:r>
                      </w:p>
                      <w:p>
                        <w:pPr>
                          <w:pStyle w:val="TableParagraph"/>
                          <w:spacing w:line="150" w:lineRule="exact"/>
                          <w:ind w:left="87"/>
                          <w:rPr>
                            <w:sz w:val="14"/>
                          </w:rPr>
                        </w:pPr>
                        <w:r>
                          <w:rPr>
                            <w:sz w:val="14"/>
                            <w:u w:val="single"/>
                          </w:rPr>
                          <w:t> </w:t>
                        </w:r>
                        <w:r>
                          <w:rPr>
                            <w:w w:val="105"/>
                            <w:sz w:val="14"/>
                            <w:u w:val="single"/>
                          </w:rPr>
                          <w:t>3%</w:t>
                        </w:r>
                        <w:r>
                          <w:rPr>
                            <w:sz w:val="14"/>
                            <w:u w:val="single"/>
                          </w:rPr>
                          <w:t> </w:t>
                        </w:r>
                      </w:p>
                    </w:tc>
                    <w:tc>
                      <w:tcPr>
                        <w:tcW w:w="516" w:type="dxa"/>
                        <w:tcBorders>
                          <w:top w:val="single" w:sz="2" w:space="0" w:color="000000"/>
                        </w:tcBorders>
                      </w:tcPr>
                      <w:p>
                        <w:pPr>
                          <w:pStyle w:val="TableParagraph"/>
                          <w:spacing w:line="137" w:lineRule="exact"/>
                          <w:ind w:left="122"/>
                          <w:rPr>
                            <w:sz w:val="14"/>
                          </w:rPr>
                        </w:pPr>
                        <w:r>
                          <w:rPr>
                            <w:w w:val="105"/>
                            <w:sz w:val="14"/>
                          </w:rPr>
                          <w:t>3%</w:t>
                        </w:r>
                      </w:p>
                      <w:p>
                        <w:pPr>
                          <w:pStyle w:val="TableParagraph"/>
                          <w:spacing w:line="208" w:lineRule="auto" w:before="6"/>
                          <w:ind w:left="122" w:right="74"/>
                          <w:rPr>
                            <w:sz w:val="14"/>
                          </w:rPr>
                        </w:pPr>
                        <w:r>
                          <w:rPr>
                            <w:spacing w:val="-3"/>
                            <w:w w:val="110"/>
                            <w:sz w:val="14"/>
                          </w:rPr>
                          <w:t>to </w:t>
                        </w:r>
                        <w:r>
                          <w:rPr>
                            <w:w w:val="110"/>
                            <w:sz w:val="14"/>
                            <w:u w:val="single"/>
                          </w:rPr>
                          <w:t>4%</w:t>
                        </w:r>
                        <w:r>
                          <w:rPr>
                            <w:spacing w:val="-10"/>
                            <w:sz w:val="14"/>
                            <w:u w:val="single"/>
                          </w:rPr>
                          <w:t> </w:t>
                        </w:r>
                      </w:p>
                    </w:tc>
                    <w:tc>
                      <w:tcPr>
                        <w:tcW w:w="386" w:type="dxa"/>
                        <w:tcBorders>
                          <w:top w:val="single" w:sz="2" w:space="0" w:color="000000"/>
                        </w:tcBorders>
                      </w:tcPr>
                      <w:p>
                        <w:pPr>
                          <w:pStyle w:val="TableParagraph"/>
                          <w:spacing w:line="208" w:lineRule="auto" w:before="4"/>
                          <w:ind w:left="75" w:right="-15"/>
                          <w:jc w:val="both"/>
                          <w:rPr>
                            <w:sz w:val="14"/>
                          </w:rPr>
                        </w:pPr>
                        <w:r>
                          <w:rPr>
                            <w:w w:val="110"/>
                            <w:sz w:val="14"/>
                          </w:rPr>
                          <w:t>more than </w:t>
                        </w:r>
                        <w:r>
                          <w:rPr>
                            <w:w w:val="110"/>
                            <w:sz w:val="14"/>
                            <w:u w:val="single"/>
                          </w:rPr>
                          <w:t>4%</w:t>
                        </w:r>
                        <w:r>
                          <w:rPr>
                            <w:sz w:val="14"/>
                            <w:u w:val="single"/>
                          </w:rPr>
                          <w:t>   </w:t>
                        </w:r>
                      </w:p>
                    </w:tc>
                  </w:tr>
                  <w:tr>
                    <w:trPr>
                      <w:trHeight w:val="210" w:hRule="atLeast"/>
                    </w:trPr>
                    <w:tc>
                      <w:tcPr>
                        <w:tcW w:w="1494" w:type="dxa"/>
                      </w:tcPr>
                      <w:p>
                        <w:pPr>
                          <w:pStyle w:val="TableParagraph"/>
                          <w:spacing w:line="146" w:lineRule="exact" w:before="44"/>
                          <w:ind w:left="50"/>
                          <w:rPr>
                            <w:sz w:val="14"/>
                          </w:rPr>
                        </w:pPr>
                        <w:r>
                          <w:rPr>
                            <w:w w:val="120"/>
                            <w:sz w:val="14"/>
                          </w:rPr>
                          <w:t>2001 Q4</w:t>
                        </w:r>
                      </w:p>
                    </w:tc>
                    <w:tc>
                      <w:tcPr>
                        <w:tcW w:w="904" w:type="dxa"/>
                      </w:tcPr>
                      <w:p>
                        <w:pPr>
                          <w:pStyle w:val="TableParagraph"/>
                          <w:tabs>
                            <w:tab w:pos="485" w:val="left" w:leader="none"/>
                          </w:tabs>
                          <w:spacing w:line="146" w:lineRule="exact" w:before="44"/>
                          <w:ind w:right="207"/>
                          <w:jc w:val="right"/>
                          <w:rPr>
                            <w:sz w:val="14"/>
                          </w:rPr>
                        </w:pPr>
                        <w:r>
                          <w:rPr>
                            <w:w w:val="120"/>
                            <w:sz w:val="14"/>
                          </w:rPr>
                          <w:t>2</w:t>
                          <w:tab/>
                          <w:t>6</w:t>
                        </w:r>
                      </w:p>
                    </w:tc>
                    <w:tc>
                      <w:tcPr>
                        <w:tcW w:w="504" w:type="dxa"/>
                      </w:tcPr>
                      <w:p>
                        <w:pPr>
                          <w:pStyle w:val="TableParagraph"/>
                          <w:spacing w:line="146" w:lineRule="exact" w:before="44"/>
                          <w:ind w:left="133" w:right="156"/>
                          <w:jc w:val="center"/>
                          <w:rPr>
                            <w:sz w:val="14"/>
                          </w:rPr>
                        </w:pPr>
                        <w:r>
                          <w:rPr>
                            <w:w w:val="120"/>
                            <w:sz w:val="14"/>
                          </w:rPr>
                          <w:t>25</w:t>
                        </w:r>
                      </w:p>
                    </w:tc>
                    <w:tc>
                      <w:tcPr>
                        <w:tcW w:w="525" w:type="dxa"/>
                      </w:tcPr>
                      <w:p>
                        <w:pPr>
                          <w:pStyle w:val="TableParagraph"/>
                          <w:spacing w:line="146" w:lineRule="exact" w:before="44"/>
                          <w:ind w:left="162"/>
                          <w:rPr>
                            <w:sz w:val="14"/>
                          </w:rPr>
                        </w:pPr>
                        <w:r>
                          <w:rPr>
                            <w:w w:val="120"/>
                            <w:sz w:val="14"/>
                          </w:rPr>
                          <w:t>47</w:t>
                        </w:r>
                      </w:p>
                    </w:tc>
                    <w:tc>
                      <w:tcPr>
                        <w:tcW w:w="516" w:type="dxa"/>
                      </w:tcPr>
                      <w:p>
                        <w:pPr>
                          <w:pStyle w:val="TableParagraph"/>
                          <w:spacing w:line="146" w:lineRule="exact" w:before="44"/>
                          <w:ind w:left="145"/>
                          <w:rPr>
                            <w:sz w:val="14"/>
                          </w:rPr>
                        </w:pPr>
                        <w:r>
                          <w:rPr>
                            <w:w w:val="120"/>
                            <w:sz w:val="14"/>
                          </w:rPr>
                          <w:t>18</w:t>
                        </w:r>
                      </w:p>
                    </w:tc>
                    <w:tc>
                      <w:tcPr>
                        <w:tcW w:w="386" w:type="dxa"/>
                      </w:tcPr>
                      <w:p>
                        <w:pPr>
                          <w:pStyle w:val="TableParagraph"/>
                          <w:spacing w:line="146" w:lineRule="exact" w:before="44"/>
                          <w:ind w:left="54"/>
                          <w:jc w:val="center"/>
                          <w:rPr>
                            <w:sz w:val="14"/>
                          </w:rPr>
                        </w:pPr>
                        <w:r>
                          <w:rPr>
                            <w:w w:val="121"/>
                            <w:sz w:val="14"/>
                          </w:rPr>
                          <w:t>2</w:t>
                        </w:r>
                      </w:p>
                    </w:tc>
                  </w:tr>
                  <w:tr>
                    <w:trPr>
                      <w:trHeight w:val="140" w:hRule="atLeast"/>
                    </w:trPr>
                    <w:tc>
                      <w:tcPr>
                        <w:tcW w:w="1494" w:type="dxa"/>
                      </w:tcPr>
                      <w:p>
                        <w:pPr>
                          <w:pStyle w:val="TableParagraph"/>
                          <w:spacing w:line="120" w:lineRule="exact"/>
                          <w:ind w:left="50"/>
                          <w:rPr>
                            <w:sz w:val="14"/>
                          </w:rPr>
                        </w:pPr>
                        <w:r>
                          <w:rPr>
                            <w:w w:val="120"/>
                            <w:sz w:val="14"/>
                          </w:rPr>
                          <w:t>2002 Q4</w:t>
                        </w:r>
                      </w:p>
                    </w:tc>
                    <w:tc>
                      <w:tcPr>
                        <w:tcW w:w="904" w:type="dxa"/>
                      </w:tcPr>
                      <w:p>
                        <w:pPr>
                          <w:pStyle w:val="TableParagraph"/>
                          <w:tabs>
                            <w:tab w:pos="485" w:val="left" w:leader="none"/>
                          </w:tabs>
                          <w:spacing w:line="120" w:lineRule="exact"/>
                          <w:ind w:right="207"/>
                          <w:jc w:val="right"/>
                          <w:rPr>
                            <w:sz w:val="14"/>
                          </w:rPr>
                        </w:pPr>
                        <w:r>
                          <w:rPr>
                            <w:w w:val="120"/>
                            <w:sz w:val="14"/>
                          </w:rPr>
                          <w:t>3</w:t>
                          <w:tab/>
                          <w:t>8</w:t>
                        </w:r>
                      </w:p>
                    </w:tc>
                    <w:tc>
                      <w:tcPr>
                        <w:tcW w:w="504" w:type="dxa"/>
                      </w:tcPr>
                      <w:p>
                        <w:pPr>
                          <w:pStyle w:val="TableParagraph"/>
                          <w:spacing w:line="120" w:lineRule="exact"/>
                          <w:ind w:left="132" w:right="159"/>
                          <w:jc w:val="center"/>
                          <w:rPr>
                            <w:sz w:val="14"/>
                          </w:rPr>
                        </w:pPr>
                        <w:r>
                          <w:rPr>
                            <w:w w:val="120"/>
                            <w:sz w:val="14"/>
                          </w:rPr>
                          <w:t>23</w:t>
                        </w:r>
                      </w:p>
                    </w:tc>
                    <w:tc>
                      <w:tcPr>
                        <w:tcW w:w="525" w:type="dxa"/>
                      </w:tcPr>
                      <w:p>
                        <w:pPr>
                          <w:pStyle w:val="TableParagraph"/>
                          <w:spacing w:line="120" w:lineRule="exact"/>
                          <w:ind w:left="164"/>
                          <w:rPr>
                            <w:sz w:val="14"/>
                          </w:rPr>
                        </w:pPr>
                        <w:r>
                          <w:rPr>
                            <w:w w:val="120"/>
                            <w:sz w:val="14"/>
                          </w:rPr>
                          <w:t>48</w:t>
                        </w:r>
                      </w:p>
                    </w:tc>
                    <w:tc>
                      <w:tcPr>
                        <w:tcW w:w="516" w:type="dxa"/>
                      </w:tcPr>
                      <w:p>
                        <w:pPr>
                          <w:pStyle w:val="TableParagraph"/>
                          <w:spacing w:line="120" w:lineRule="exact"/>
                          <w:ind w:left="147"/>
                          <w:rPr>
                            <w:sz w:val="14"/>
                          </w:rPr>
                        </w:pPr>
                        <w:r>
                          <w:rPr>
                            <w:w w:val="120"/>
                            <w:sz w:val="14"/>
                          </w:rPr>
                          <w:t>15</w:t>
                        </w:r>
                      </w:p>
                    </w:tc>
                    <w:tc>
                      <w:tcPr>
                        <w:tcW w:w="386" w:type="dxa"/>
                      </w:tcPr>
                      <w:p>
                        <w:pPr>
                          <w:pStyle w:val="TableParagraph"/>
                          <w:spacing w:line="120" w:lineRule="exact"/>
                          <w:ind w:left="54"/>
                          <w:jc w:val="center"/>
                          <w:rPr>
                            <w:sz w:val="14"/>
                          </w:rPr>
                        </w:pPr>
                        <w:r>
                          <w:rPr>
                            <w:w w:val="121"/>
                            <w:sz w:val="14"/>
                          </w:rPr>
                          <w:t>4</w:t>
                        </w:r>
                      </w:p>
                    </w:tc>
                  </w:tr>
                  <w:tr>
                    <w:trPr>
                      <w:trHeight w:val="140" w:hRule="atLeast"/>
                    </w:trPr>
                    <w:tc>
                      <w:tcPr>
                        <w:tcW w:w="1494" w:type="dxa"/>
                      </w:tcPr>
                      <w:p>
                        <w:pPr>
                          <w:pStyle w:val="TableParagraph"/>
                          <w:spacing w:line="120" w:lineRule="exact"/>
                          <w:ind w:left="50"/>
                          <w:rPr>
                            <w:sz w:val="14"/>
                          </w:rPr>
                        </w:pPr>
                        <w:r>
                          <w:rPr>
                            <w:w w:val="120"/>
                            <w:sz w:val="14"/>
                          </w:rPr>
                          <w:t>2003 Q1</w:t>
                        </w:r>
                      </w:p>
                    </w:tc>
                    <w:tc>
                      <w:tcPr>
                        <w:tcW w:w="904" w:type="dxa"/>
                      </w:tcPr>
                      <w:p>
                        <w:pPr>
                          <w:pStyle w:val="TableParagraph"/>
                          <w:tabs>
                            <w:tab w:pos="485" w:val="left" w:leader="none"/>
                          </w:tabs>
                          <w:spacing w:line="120" w:lineRule="exact"/>
                          <w:ind w:right="207"/>
                          <w:jc w:val="right"/>
                          <w:rPr>
                            <w:sz w:val="14"/>
                          </w:rPr>
                        </w:pPr>
                        <w:r>
                          <w:rPr>
                            <w:w w:val="120"/>
                            <w:sz w:val="14"/>
                          </w:rPr>
                          <w:t>4</w:t>
                          <w:tab/>
                          <w:t>8</w:t>
                        </w:r>
                      </w:p>
                    </w:tc>
                    <w:tc>
                      <w:tcPr>
                        <w:tcW w:w="504" w:type="dxa"/>
                      </w:tcPr>
                      <w:p>
                        <w:pPr>
                          <w:pStyle w:val="TableParagraph"/>
                          <w:spacing w:line="120" w:lineRule="exact"/>
                          <w:ind w:left="129" w:right="159"/>
                          <w:jc w:val="center"/>
                          <w:rPr>
                            <w:sz w:val="14"/>
                          </w:rPr>
                        </w:pPr>
                        <w:r>
                          <w:rPr>
                            <w:w w:val="120"/>
                            <w:sz w:val="14"/>
                          </w:rPr>
                          <w:t>20</w:t>
                        </w:r>
                      </w:p>
                    </w:tc>
                    <w:tc>
                      <w:tcPr>
                        <w:tcW w:w="525" w:type="dxa"/>
                      </w:tcPr>
                      <w:p>
                        <w:pPr>
                          <w:pStyle w:val="TableParagraph"/>
                          <w:spacing w:line="120" w:lineRule="exact"/>
                          <w:ind w:left="167"/>
                          <w:rPr>
                            <w:sz w:val="14"/>
                          </w:rPr>
                        </w:pPr>
                        <w:r>
                          <w:rPr>
                            <w:w w:val="120"/>
                            <w:sz w:val="14"/>
                          </w:rPr>
                          <w:t>45</w:t>
                        </w:r>
                      </w:p>
                    </w:tc>
                    <w:tc>
                      <w:tcPr>
                        <w:tcW w:w="516" w:type="dxa"/>
                      </w:tcPr>
                      <w:p>
                        <w:pPr>
                          <w:pStyle w:val="TableParagraph"/>
                          <w:spacing w:line="120" w:lineRule="exact"/>
                          <w:ind w:left="140"/>
                          <w:rPr>
                            <w:sz w:val="14"/>
                          </w:rPr>
                        </w:pPr>
                        <w:r>
                          <w:rPr>
                            <w:w w:val="120"/>
                            <w:sz w:val="14"/>
                          </w:rPr>
                          <w:t>17</w:t>
                        </w:r>
                      </w:p>
                    </w:tc>
                    <w:tc>
                      <w:tcPr>
                        <w:tcW w:w="386" w:type="dxa"/>
                      </w:tcPr>
                      <w:p>
                        <w:pPr>
                          <w:pStyle w:val="TableParagraph"/>
                          <w:spacing w:line="120" w:lineRule="exact"/>
                          <w:ind w:left="54"/>
                          <w:jc w:val="center"/>
                          <w:rPr>
                            <w:sz w:val="14"/>
                          </w:rPr>
                        </w:pPr>
                        <w:r>
                          <w:rPr>
                            <w:w w:val="121"/>
                            <w:sz w:val="14"/>
                          </w:rPr>
                          <w:t>5</w:t>
                        </w:r>
                      </w:p>
                    </w:tc>
                  </w:tr>
                </w:tbl>
                <w:p>
                  <w:pPr>
                    <w:pStyle w:val="BodyText"/>
                  </w:pPr>
                </w:p>
              </w:txbxContent>
            </v:textbox>
            <w10:wrap type="none"/>
          </v:shape>
        </w:pict>
      </w:r>
      <w:r>
        <w:rPr>
          <w:w w:val="110"/>
        </w:rPr>
        <w:t>four-quarter GDP growth in 2001 Q4 was 2</w:t>
      </w:r>
      <w:r>
        <w:rPr>
          <w:w w:val="110"/>
          <w:position w:val="7"/>
          <w:sz w:val="10"/>
        </w:rPr>
        <w:t>1</w:t>
      </w:r>
      <w:r>
        <w:rPr>
          <w:w w:val="110"/>
        </w:rPr>
        <w:t>/</w:t>
      </w:r>
      <w:r>
        <w:rPr>
          <w:w w:val="110"/>
          <w:position w:val="1"/>
          <w:sz w:val="10"/>
        </w:rPr>
        <w:t>2</w:t>
      </w:r>
      <w:r>
        <w:rPr>
          <w:w w:val="110"/>
        </w:rPr>
        <w:t>% (with a range</w:t>
      </w:r>
    </w:p>
    <w:p>
      <w:pPr>
        <w:tabs>
          <w:tab w:pos="1859" w:val="left" w:leader="none"/>
        </w:tabs>
        <w:spacing w:line="15" w:lineRule="exact" w:before="72"/>
        <w:ind w:left="1101" w:right="0" w:firstLine="0"/>
        <w:jc w:val="center"/>
        <w:rPr>
          <w:sz w:val="10"/>
        </w:rPr>
      </w:pPr>
      <w:r>
        <w:rPr>
          <w:w w:val="120"/>
          <w:sz w:val="10"/>
        </w:rPr>
        <w:t>1</w:t>
        <w:tab/>
        <w:t>1</w:t>
      </w:r>
    </w:p>
    <w:p>
      <w:pPr>
        <w:pStyle w:val="BodyText"/>
        <w:spacing w:line="193" w:lineRule="exact"/>
        <w:ind w:left="5111"/>
      </w:pPr>
      <w:r>
        <w:rPr>
          <w:w w:val="110"/>
        </w:rPr>
        <w:t>of 1 /</w:t>
      </w:r>
      <w:r>
        <w:rPr>
          <w:w w:val="110"/>
          <w:position w:val="1"/>
          <w:sz w:val="10"/>
        </w:rPr>
        <w:t>2</w:t>
      </w:r>
      <w:r>
        <w:rPr>
          <w:w w:val="110"/>
        </w:rPr>
        <w:t>% to 3 /</w:t>
      </w:r>
      <w:r>
        <w:rPr>
          <w:w w:val="110"/>
          <w:position w:val="1"/>
          <w:sz w:val="10"/>
        </w:rPr>
        <w:t>4</w:t>
      </w:r>
      <w:r>
        <w:rPr>
          <w:w w:val="110"/>
        </w:rPr>
        <w:t>%), unchanged from the average forecast</w:t>
      </w:r>
    </w:p>
    <w:p>
      <w:pPr>
        <w:pStyle w:val="BodyText"/>
        <w:spacing w:line="292" w:lineRule="auto" w:before="50"/>
        <w:ind w:left="5111" w:right="347"/>
      </w:pPr>
      <w:r>
        <w:rPr>
          <w:w w:val="110"/>
        </w:rPr>
        <w:t>reported</w:t>
      </w:r>
      <w:r>
        <w:rPr>
          <w:spacing w:val="-18"/>
          <w:w w:val="110"/>
        </w:rPr>
        <w:t> </w:t>
      </w:r>
      <w:r>
        <w:rPr>
          <w:w w:val="110"/>
        </w:rPr>
        <w:t>in</w:t>
      </w:r>
      <w:r>
        <w:rPr>
          <w:spacing w:val="-18"/>
          <w:w w:val="110"/>
        </w:rPr>
        <w:t> </w:t>
      </w:r>
      <w:r>
        <w:rPr>
          <w:spacing w:val="-3"/>
          <w:w w:val="110"/>
        </w:rPr>
        <w:t>November.</w:t>
      </w:r>
      <w:r>
        <w:rPr>
          <w:spacing w:val="19"/>
          <w:w w:val="110"/>
        </w:rPr>
        <w:t> </w:t>
      </w:r>
      <w:r>
        <w:rPr>
          <w:w w:val="110"/>
        </w:rPr>
        <w:t>The</w:t>
      </w:r>
      <w:r>
        <w:rPr>
          <w:spacing w:val="-18"/>
          <w:w w:val="110"/>
        </w:rPr>
        <w:t> </w:t>
      </w:r>
      <w:r>
        <w:rPr>
          <w:spacing w:val="-3"/>
          <w:w w:val="110"/>
        </w:rPr>
        <w:t>average</w:t>
      </w:r>
      <w:r>
        <w:rPr>
          <w:spacing w:val="-18"/>
          <w:w w:val="110"/>
        </w:rPr>
        <w:t> </w:t>
      </w:r>
      <w:r>
        <w:rPr>
          <w:w w:val="110"/>
        </w:rPr>
        <w:t>projection</w:t>
      </w:r>
      <w:r>
        <w:rPr>
          <w:spacing w:val="-18"/>
          <w:w w:val="110"/>
        </w:rPr>
        <w:t> </w:t>
      </w:r>
      <w:r>
        <w:rPr>
          <w:w w:val="110"/>
        </w:rPr>
        <w:t>for</w:t>
      </w:r>
      <w:r>
        <w:rPr>
          <w:spacing w:val="-18"/>
          <w:w w:val="110"/>
        </w:rPr>
        <w:t> </w:t>
      </w:r>
      <w:r>
        <w:rPr>
          <w:w w:val="110"/>
        </w:rPr>
        <w:t>growth</w:t>
      </w:r>
      <w:r>
        <w:rPr>
          <w:spacing w:val="-18"/>
          <w:w w:val="110"/>
        </w:rPr>
        <w:t> </w:t>
      </w:r>
      <w:r>
        <w:rPr>
          <w:w w:val="110"/>
        </w:rPr>
        <w:t>in </w:t>
      </w:r>
      <w:r>
        <w:rPr>
          <w:spacing w:val="-7"/>
          <w:w w:val="110"/>
        </w:rPr>
        <w:t>2003</w:t>
      </w:r>
      <w:r>
        <w:rPr>
          <w:spacing w:val="-8"/>
          <w:w w:val="110"/>
        </w:rPr>
        <w:t> </w:t>
      </w:r>
      <w:r>
        <w:rPr>
          <w:w w:val="110"/>
        </w:rPr>
        <w:t>Q1</w:t>
      </w:r>
      <w:r>
        <w:rPr>
          <w:spacing w:val="-7"/>
          <w:w w:val="110"/>
        </w:rPr>
        <w:t> </w:t>
      </w:r>
      <w:r>
        <w:rPr>
          <w:spacing w:val="-3"/>
          <w:w w:val="110"/>
        </w:rPr>
        <w:t>was</w:t>
      </w:r>
      <w:r>
        <w:rPr>
          <w:spacing w:val="-8"/>
          <w:w w:val="110"/>
        </w:rPr>
        <w:t> </w:t>
      </w:r>
      <w:r>
        <w:rPr>
          <w:w w:val="110"/>
        </w:rPr>
        <w:t>also</w:t>
      </w:r>
      <w:r>
        <w:rPr>
          <w:spacing w:val="-7"/>
          <w:w w:val="110"/>
        </w:rPr>
        <w:t> </w:t>
      </w:r>
      <w:r>
        <w:rPr>
          <w:w w:val="110"/>
        </w:rPr>
        <w:t>2</w:t>
      </w:r>
      <w:r>
        <w:rPr>
          <w:w w:val="110"/>
          <w:position w:val="7"/>
          <w:sz w:val="10"/>
        </w:rPr>
        <w:t>1</w:t>
      </w:r>
      <w:r>
        <w:rPr>
          <w:w w:val="110"/>
        </w:rPr>
        <w:t>/</w:t>
      </w:r>
      <w:r>
        <w:rPr>
          <w:w w:val="110"/>
          <w:position w:val="1"/>
          <w:sz w:val="10"/>
        </w:rPr>
        <w:t>2</w:t>
      </w:r>
      <w:r>
        <w:rPr>
          <w:w w:val="110"/>
        </w:rPr>
        <w:t>%</w:t>
      </w:r>
      <w:r>
        <w:rPr>
          <w:spacing w:val="-8"/>
          <w:w w:val="110"/>
        </w:rPr>
        <w:t> </w:t>
      </w:r>
      <w:r>
        <w:rPr>
          <w:w w:val="110"/>
        </w:rPr>
        <w:t>(with</w:t>
      </w:r>
      <w:r>
        <w:rPr>
          <w:spacing w:val="-7"/>
          <w:w w:val="110"/>
        </w:rPr>
        <w:t> </w:t>
      </w:r>
      <w:r>
        <w:rPr>
          <w:w w:val="110"/>
        </w:rPr>
        <w:t>a</w:t>
      </w:r>
      <w:r>
        <w:rPr>
          <w:spacing w:val="-8"/>
          <w:w w:val="110"/>
        </w:rPr>
        <w:t> </w:t>
      </w:r>
      <w:r>
        <w:rPr>
          <w:w w:val="110"/>
        </w:rPr>
        <w:t>range</w:t>
      </w:r>
      <w:r>
        <w:rPr>
          <w:spacing w:val="-7"/>
          <w:w w:val="110"/>
        </w:rPr>
        <w:t> </w:t>
      </w:r>
      <w:r>
        <w:rPr>
          <w:w w:val="110"/>
        </w:rPr>
        <w:t>of</w:t>
      </w:r>
      <w:r>
        <w:rPr>
          <w:spacing w:val="-7"/>
          <w:w w:val="110"/>
        </w:rPr>
        <w:t> </w:t>
      </w:r>
      <w:r>
        <w:rPr>
          <w:w w:val="110"/>
        </w:rPr>
        <w:t>1%</w:t>
      </w:r>
      <w:r>
        <w:rPr>
          <w:spacing w:val="-8"/>
          <w:w w:val="110"/>
        </w:rPr>
        <w:t> </w:t>
      </w:r>
      <w:r>
        <w:rPr>
          <w:spacing w:val="-4"/>
          <w:w w:val="110"/>
        </w:rPr>
        <w:t>to</w:t>
      </w:r>
      <w:r>
        <w:rPr>
          <w:spacing w:val="-7"/>
          <w:w w:val="110"/>
        </w:rPr>
        <w:t> </w:t>
      </w:r>
      <w:r>
        <w:rPr>
          <w:w w:val="110"/>
        </w:rPr>
        <w:t>3</w:t>
      </w:r>
      <w:r>
        <w:rPr>
          <w:w w:val="110"/>
          <w:position w:val="7"/>
          <w:sz w:val="10"/>
        </w:rPr>
        <w:t>1</w:t>
      </w:r>
      <w:r>
        <w:rPr>
          <w:w w:val="110"/>
        </w:rPr>
        <w:t>/</w:t>
      </w:r>
      <w:r>
        <w:rPr>
          <w:w w:val="110"/>
          <w:position w:val="1"/>
          <w:sz w:val="10"/>
        </w:rPr>
        <w:t>4</w:t>
      </w:r>
      <w:r>
        <w:rPr>
          <w:w w:val="110"/>
        </w:rPr>
        <w:t>%).</w:t>
      </w:r>
    </w:p>
    <w:p>
      <w:pPr>
        <w:pStyle w:val="BodyText"/>
        <w:spacing w:before="8"/>
        <w:rPr>
          <w:sz w:val="18"/>
        </w:rPr>
      </w:pPr>
    </w:p>
    <w:p>
      <w:pPr>
        <w:spacing w:after="0"/>
        <w:rPr>
          <w:sz w:val="18"/>
        </w:rPr>
        <w:sectPr>
          <w:type w:val="continuous"/>
          <w:pgSz w:w="11900" w:h="16840"/>
          <w:pgMar w:top="1260" w:bottom="280" w:left="640" w:right="640"/>
        </w:sectPr>
      </w:pPr>
    </w:p>
    <w:p>
      <w:pPr>
        <w:pStyle w:val="BodyText"/>
        <w:rPr>
          <w:sz w:val="12"/>
        </w:rPr>
      </w:pPr>
    </w:p>
    <w:p>
      <w:pPr>
        <w:pStyle w:val="ListParagraph"/>
        <w:numPr>
          <w:ilvl w:val="0"/>
          <w:numId w:val="37"/>
        </w:numPr>
        <w:tabs>
          <w:tab w:pos="424" w:val="left" w:leader="none"/>
        </w:tabs>
        <w:spacing w:line="208" w:lineRule="auto" w:before="71" w:after="0"/>
        <w:ind w:left="423" w:right="68" w:hanging="240"/>
        <w:jc w:val="left"/>
        <w:rPr>
          <w:sz w:val="12"/>
        </w:rPr>
      </w:pPr>
      <w:r>
        <w:rPr>
          <w:spacing w:val="-10"/>
          <w:w w:val="105"/>
          <w:sz w:val="12"/>
        </w:rPr>
        <w:t>18 </w:t>
      </w:r>
      <w:r>
        <w:rPr>
          <w:w w:val="105"/>
          <w:sz w:val="12"/>
        </w:rPr>
        <w:t>other forecasters provided the Bank with their assessment of the likelihood, at three time horizons, of expected twelve-month RPIX inflation</w:t>
      </w:r>
      <w:r>
        <w:rPr>
          <w:spacing w:val="-22"/>
          <w:w w:val="105"/>
          <w:sz w:val="12"/>
        </w:rPr>
        <w:t> </w:t>
      </w:r>
      <w:r>
        <w:rPr>
          <w:w w:val="105"/>
          <w:sz w:val="12"/>
        </w:rPr>
        <w:t>and</w:t>
      </w:r>
    </w:p>
    <w:p>
      <w:pPr>
        <w:spacing w:line="208" w:lineRule="auto" w:before="0"/>
        <w:ind w:left="423" w:right="21" w:firstLine="0"/>
        <w:jc w:val="left"/>
        <w:rPr>
          <w:sz w:val="12"/>
        </w:rPr>
      </w:pPr>
      <w:r>
        <w:rPr>
          <w:spacing w:val="-3"/>
          <w:w w:val="110"/>
          <w:sz w:val="12"/>
        </w:rPr>
        <w:t>four-quarter</w:t>
      </w:r>
      <w:r>
        <w:rPr>
          <w:spacing w:val="-14"/>
          <w:w w:val="110"/>
          <w:sz w:val="12"/>
        </w:rPr>
        <w:t> </w:t>
      </w:r>
      <w:r>
        <w:rPr>
          <w:w w:val="110"/>
          <w:sz w:val="12"/>
        </w:rPr>
        <w:t>output</w:t>
      </w:r>
      <w:r>
        <w:rPr>
          <w:spacing w:val="-13"/>
          <w:w w:val="110"/>
          <w:sz w:val="12"/>
        </w:rPr>
        <w:t> </w:t>
      </w:r>
      <w:r>
        <w:rPr>
          <w:w w:val="110"/>
          <w:sz w:val="12"/>
        </w:rPr>
        <w:t>growth</w:t>
      </w:r>
      <w:r>
        <w:rPr>
          <w:spacing w:val="-13"/>
          <w:w w:val="110"/>
          <w:sz w:val="12"/>
        </w:rPr>
        <w:t> </w:t>
      </w:r>
      <w:r>
        <w:rPr>
          <w:w w:val="110"/>
          <w:sz w:val="12"/>
        </w:rPr>
        <w:t>falling</w:t>
      </w:r>
      <w:r>
        <w:rPr>
          <w:spacing w:val="-14"/>
          <w:w w:val="110"/>
          <w:sz w:val="12"/>
        </w:rPr>
        <w:t> </w:t>
      </w:r>
      <w:r>
        <w:rPr>
          <w:w w:val="110"/>
          <w:sz w:val="12"/>
        </w:rPr>
        <w:t>in</w:t>
      </w:r>
      <w:r>
        <w:rPr>
          <w:spacing w:val="-13"/>
          <w:w w:val="110"/>
          <w:sz w:val="12"/>
        </w:rPr>
        <w:t> </w:t>
      </w:r>
      <w:r>
        <w:rPr>
          <w:w w:val="110"/>
          <w:sz w:val="12"/>
        </w:rPr>
        <w:t>the</w:t>
      </w:r>
      <w:r>
        <w:rPr>
          <w:spacing w:val="-13"/>
          <w:w w:val="110"/>
          <w:sz w:val="12"/>
        </w:rPr>
        <w:t> </w:t>
      </w:r>
      <w:r>
        <w:rPr>
          <w:w w:val="110"/>
          <w:sz w:val="12"/>
        </w:rPr>
        <w:t>ranges</w:t>
      </w:r>
      <w:r>
        <w:rPr>
          <w:spacing w:val="-14"/>
          <w:w w:val="110"/>
          <w:sz w:val="12"/>
        </w:rPr>
        <w:t> </w:t>
      </w:r>
      <w:r>
        <w:rPr>
          <w:w w:val="110"/>
          <w:sz w:val="12"/>
        </w:rPr>
        <w:t>shown</w:t>
      </w:r>
      <w:r>
        <w:rPr>
          <w:spacing w:val="-13"/>
          <w:w w:val="110"/>
          <w:sz w:val="12"/>
        </w:rPr>
        <w:t> </w:t>
      </w:r>
      <w:r>
        <w:rPr>
          <w:w w:val="110"/>
          <w:sz w:val="12"/>
        </w:rPr>
        <w:t>above.</w:t>
      </w:r>
      <w:r>
        <w:rPr>
          <w:spacing w:val="7"/>
          <w:w w:val="110"/>
          <w:sz w:val="12"/>
        </w:rPr>
        <w:t> </w:t>
      </w:r>
      <w:r>
        <w:rPr>
          <w:w w:val="110"/>
          <w:sz w:val="12"/>
        </w:rPr>
        <w:t>This</w:t>
      </w:r>
      <w:r>
        <w:rPr>
          <w:spacing w:val="-14"/>
          <w:w w:val="110"/>
          <w:sz w:val="12"/>
        </w:rPr>
        <w:t> </w:t>
      </w:r>
      <w:r>
        <w:rPr>
          <w:w w:val="110"/>
          <w:sz w:val="12"/>
        </w:rPr>
        <w:t>table</w:t>
      </w:r>
      <w:r>
        <w:rPr>
          <w:spacing w:val="-13"/>
          <w:w w:val="110"/>
          <w:sz w:val="12"/>
        </w:rPr>
        <w:t> </w:t>
      </w:r>
      <w:r>
        <w:rPr>
          <w:w w:val="110"/>
          <w:sz w:val="12"/>
        </w:rPr>
        <w:t>shows the</w:t>
      </w:r>
      <w:r>
        <w:rPr>
          <w:spacing w:val="-13"/>
          <w:w w:val="110"/>
          <w:sz w:val="12"/>
        </w:rPr>
        <w:t> </w:t>
      </w:r>
      <w:r>
        <w:rPr>
          <w:w w:val="110"/>
          <w:sz w:val="12"/>
        </w:rPr>
        <w:t>mean</w:t>
      </w:r>
      <w:r>
        <w:rPr>
          <w:spacing w:val="-13"/>
          <w:w w:val="110"/>
          <w:sz w:val="12"/>
        </w:rPr>
        <w:t> </w:t>
      </w:r>
      <w:r>
        <w:rPr>
          <w:w w:val="110"/>
          <w:sz w:val="12"/>
        </w:rPr>
        <w:t>of</w:t>
      </w:r>
      <w:r>
        <w:rPr>
          <w:spacing w:val="-13"/>
          <w:w w:val="110"/>
          <w:sz w:val="12"/>
        </w:rPr>
        <w:t> </w:t>
      </w:r>
      <w:r>
        <w:rPr>
          <w:w w:val="110"/>
          <w:sz w:val="12"/>
        </w:rPr>
        <w:t>the</w:t>
      </w:r>
      <w:r>
        <w:rPr>
          <w:spacing w:val="-13"/>
          <w:w w:val="110"/>
          <w:sz w:val="12"/>
        </w:rPr>
        <w:t> </w:t>
      </w:r>
      <w:r>
        <w:rPr>
          <w:w w:val="110"/>
          <w:sz w:val="12"/>
        </w:rPr>
        <w:t>responses</w:t>
      </w:r>
      <w:r>
        <w:rPr>
          <w:spacing w:val="-12"/>
          <w:w w:val="110"/>
          <w:sz w:val="12"/>
        </w:rPr>
        <w:t> </w:t>
      </w:r>
      <w:r>
        <w:rPr>
          <w:w w:val="110"/>
          <w:sz w:val="12"/>
        </w:rPr>
        <w:t>for</w:t>
      </w:r>
      <w:r>
        <w:rPr>
          <w:spacing w:val="-13"/>
          <w:w w:val="110"/>
          <w:sz w:val="12"/>
        </w:rPr>
        <w:t> </w:t>
      </w:r>
      <w:r>
        <w:rPr>
          <w:w w:val="110"/>
          <w:sz w:val="12"/>
        </w:rPr>
        <w:t>each</w:t>
      </w:r>
      <w:r>
        <w:rPr>
          <w:spacing w:val="-13"/>
          <w:w w:val="110"/>
          <w:sz w:val="12"/>
        </w:rPr>
        <w:t> </w:t>
      </w:r>
      <w:r>
        <w:rPr>
          <w:w w:val="110"/>
          <w:sz w:val="12"/>
        </w:rPr>
        <w:t>range.</w:t>
      </w:r>
      <w:r>
        <w:rPr>
          <w:spacing w:val="7"/>
          <w:w w:val="110"/>
          <w:sz w:val="12"/>
        </w:rPr>
        <w:t> </w:t>
      </w:r>
      <w:r>
        <w:rPr>
          <w:w w:val="110"/>
          <w:sz w:val="12"/>
        </w:rPr>
        <w:t>For</w:t>
      </w:r>
      <w:r>
        <w:rPr>
          <w:spacing w:val="-12"/>
          <w:w w:val="110"/>
          <w:sz w:val="12"/>
        </w:rPr>
        <w:t> </w:t>
      </w:r>
      <w:r>
        <w:rPr>
          <w:w w:val="110"/>
          <w:sz w:val="12"/>
        </w:rPr>
        <w:t>example,</w:t>
      </w:r>
      <w:r>
        <w:rPr>
          <w:spacing w:val="-13"/>
          <w:w w:val="110"/>
          <w:sz w:val="12"/>
        </w:rPr>
        <w:t> </w:t>
      </w:r>
      <w:r>
        <w:rPr>
          <w:w w:val="110"/>
          <w:sz w:val="12"/>
        </w:rPr>
        <w:t>on</w:t>
      </w:r>
      <w:r>
        <w:rPr>
          <w:spacing w:val="-13"/>
          <w:w w:val="110"/>
          <w:sz w:val="12"/>
        </w:rPr>
        <w:t> </w:t>
      </w:r>
      <w:r>
        <w:rPr>
          <w:w w:val="110"/>
          <w:sz w:val="12"/>
        </w:rPr>
        <w:t>average,</w:t>
      </w:r>
      <w:r>
        <w:rPr>
          <w:spacing w:val="-13"/>
          <w:w w:val="110"/>
          <w:sz w:val="12"/>
        </w:rPr>
        <w:t> </w:t>
      </w:r>
      <w:r>
        <w:rPr>
          <w:w w:val="110"/>
          <w:sz w:val="12"/>
        </w:rPr>
        <w:t>forecasters assign a probability of 6% to inflation turning out to be less than 1.5% in </w:t>
      </w:r>
      <w:r>
        <w:rPr>
          <w:spacing w:val="-5"/>
          <w:w w:val="110"/>
          <w:sz w:val="12"/>
        </w:rPr>
        <w:t>2003</w:t>
      </w:r>
      <w:r>
        <w:rPr>
          <w:spacing w:val="-3"/>
          <w:w w:val="110"/>
          <w:sz w:val="12"/>
        </w:rPr>
        <w:t> </w:t>
      </w:r>
      <w:r>
        <w:rPr>
          <w:w w:val="110"/>
          <w:sz w:val="12"/>
        </w:rPr>
        <w:t>Q1.</w:t>
      </w:r>
    </w:p>
    <w:p>
      <w:pPr>
        <w:pStyle w:val="BodyText"/>
        <w:rPr>
          <w:sz w:val="12"/>
        </w:rPr>
      </w:pPr>
    </w:p>
    <w:p>
      <w:pPr>
        <w:pStyle w:val="BodyText"/>
        <w:rPr>
          <w:sz w:val="12"/>
        </w:rPr>
      </w:pPr>
    </w:p>
    <w:p>
      <w:pPr>
        <w:pStyle w:val="Heading6"/>
        <w:spacing w:before="101"/>
        <w:ind w:left="189"/>
      </w:pPr>
      <w:r>
        <w:rPr>
          <w:color w:val="89C6DC"/>
          <w:w w:val="95"/>
        </w:rPr>
        <w:t>Chart 6.9</w:t>
      </w:r>
    </w:p>
    <w:p>
      <w:pPr>
        <w:spacing w:line="247" w:lineRule="auto" w:before="7"/>
        <w:ind w:left="189" w:right="1277" w:firstLine="0"/>
        <w:jc w:val="left"/>
        <w:rPr>
          <w:rFonts w:ascii="Trebuchet MS"/>
          <w:b/>
          <w:sz w:val="20"/>
        </w:rPr>
      </w:pPr>
      <w:r>
        <w:rPr>
          <w:rFonts w:ascii="Trebuchet MS"/>
          <w:b/>
          <w:color w:val="89C6DC"/>
          <w:spacing w:val="-3"/>
          <w:w w:val="94"/>
          <w:sz w:val="20"/>
        </w:rPr>
        <w:t>D</w:t>
      </w:r>
      <w:r>
        <w:rPr>
          <w:rFonts w:ascii="Trebuchet MS"/>
          <w:b/>
          <w:color w:val="89C6DC"/>
          <w:spacing w:val="-1"/>
          <w:w w:val="87"/>
          <w:sz w:val="20"/>
        </w:rPr>
        <w:t>ist</w:t>
      </w:r>
      <w:r>
        <w:rPr>
          <w:rFonts w:ascii="Trebuchet MS"/>
          <w:b/>
          <w:color w:val="89C6DC"/>
          <w:spacing w:val="-2"/>
          <w:w w:val="87"/>
          <w:sz w:val="20"/>
        </w:rPr>
        <w:t>r</w:t>
      </w:r>
      <w:r>
        <w:rPr>
          <w:rFonts w:ascii="Trebuchet MS"/>
          <w:b/>
          <w:color w:val="89C6DC"/>
          <w:spacing w:val="-1"/>
          <w:w w:val="88"/>
          <w:sz w:val="20"/>
        </w:rPr>
        <w:t>ibutio</w:t>
      </w:r>
      <w:r>
        <w:rPr>
          <w:rFonts w:ascii="Trebuchet MS"/>
          <w:b/>
          <w:color w:val="89C6DC"/>
          <w:w w:val="88"/>
          <w:sz w:val="20"/>
        </w:rPr>
        <w:t>n</w:t>
      </w:r>
      <w:r>
        <w:rPr>
          <w:rFonts w:ascii="Trebuchet MS"/>
          <w:b/>
          <w:color w:val="89C6DC"/>
          <w:spacing w:val="6"/>
          <w:sz w:val="20"/>
        </w:rPr>
        <w:t> </w:t>
      </w:r>
      <w:r>
        <w:rPr>
          <w:rFonts w:ascii="Trebuchet MS"/>
          <w:b/>
          <w:color w:val="89C6DC"/>
          <w:spacing w:val="-1"/>
          <w:w w:val="85"/>
          <w:sz w:val="20"/>
        </w:rPr>
        <w:t>o</w:t>
      </w:r>
      <w:r>
        <w:rPr>
          <w:rFonts w:ascii="Trebuchet MS"/>
          <w:b/>
          <w:color w:val="89C6DC"/>
          <w:w w:val="85"/>
          <w:sz w:val="20"/>
        </w:rPr>
        <w:t>f</w:t>
      </w:r>
      <w:r>
        <w:rPr>
          <w:rFonts w:ascii="Trebuchet MS"/>
          <w:b/>
          <w:color w:val="89C6DC"/>
          <w:spacing w:val="6"/>
          <w:sz w:val="20"/>
        </w:rPr>
        <w:t> </w:t>
      </w:r>
      <w:r>
        <w:rPr>
          <w:rFonts w:ascii="Trebuchet MS"/>
          <w:b/>
          <w:color w:val="89C6DC"/>
          <w:spacing w:val="-5"/>
          <w:w w:val="79"/>
          <w:sz w:val="20"/>
        </w:rPr>
        <w:t>r</w:t>
      </w:r>
      <w:r>
        <w:rPr>
          <w:rFonts w:ascii="Trebuchet MS"/>
          <w:b/>
          <w:color w:val="89C6DC"/>
          <w:spacing w:val="-1"/>
          <w:w w:val="91"/>
          <w:sz w:val="20"/>
        </w:rPr>
        <w:t>ep</w:t>
      </w:r>
      <w:r>
        <w:rPr>
          <w:rFonts w:ascii="Trebuchet MS"/>
          <w:b/>
          <w:color w:val="89C6DC"/>
          <w:w w:val="91"/>
          <w:sz w:val="20"/>
        </w:rPr>
        <w:t>o</w:t>
      </w:r>
      <w:r>
        <w:rPr>
          <w:rFonts w:ascii="Trebuchet MS"/>
          <w:b/>
          <w:color w:val="89C6DC"/>
          <w:spacing w:val="6"/>
          <w:sz w:val="20"/>
        </w:rPr>
        <w:t> </w:t>
      </w:r>
      <w:r>
        <w:rPr>
          <w:rFonts w:ascii="Trebuchet MS"/>
          <w:b/>
          <w:color w:val="89C6DC"/>
          <w:spacing w:val="-1"/>
          <w:w w:val="84"/>
          <w:sz w:val="20"/>
        </w:rPr>
        <w:t>rat</w:t>
      </w:r>
      <w:r>
        <w:rPr>
          <w:rFonts w:ascii="Trebuchet MS"/>
          <w:b/>
          <w:color w:val="89C6DC"/>
          <w:w w:val="84"/>
          <w:sz w:val="20"/>
        </w:rPr>
        <w:t>e</w:t>
      </w:r>
      <w:r>
        <w:rPr>
          <w:rFonts w:ascii="Trebuchet MS"/>
          <w:b/>
          <w:color w:val="89C6DC"/>
          <w:spacing w:val="6"/>
          <w:sz w:val="20"/>
        </w:rPr>
        <w:t> </w:t>
      </w:r>
      <w:r>
        <w:rPr>
          <w:rFonts w:ascii="Trebuchet MS"/>
          <w:b/>
          <w:color w:val="89C6DC"/>
          <w:spacing w:val="-1"/>
          <w:w w:val="83"/>
          <w:sz w:val="20"/>
        </w:rPr>
        <w:t>fo</w:t>
      </w:r>
      <w:r>
        <w:rPr>
          <w:rFonts w:ascii="Trebuchet MS"/>
          <w:b/>
          <w:color w:val="89C6DC"/>
          <w:spacing w:val="-4"/>
          <w:w w:val="83"/>
          <w:sz w:val="20"/>
        </w:rPr>
        <w:t>r</w:t>
      </w:r>
      <w:r>
        <w:rPr>
          <w:rFonts w:ascii="Trebuchet MS"/>
          <w:b/>
          <w:color w:val="89C6DC"/>
          <w:spacing w:val="-1"/>
          <w:w w:val="92"/>
          <w:sz w:val="20"/>
        </w:rPr>
        <w:t>ecasts </w:t>
      </w:r>
      <w:r>
        <w:rPr>
          <w:rFonts w:ascii="Trebuchet MS"/>
          <w:b/>
          <w:color w:val="89C6DC"/>
          <w:spacing w:val="-1"/>
          <w:w w:val="83"/>
          <w:sz w:val="20"/>
        </w:rPr>
        <w:t>fo</w:t>
      </w:r>
      <w:r>
        <w:rPr>
          <w:rFonts w:ascii="Trebuchet MS"/>
          <w:b/>
          <w:color w:val="89C6DC"/>
          <w:w w:val="83"/>
          <w:sz w:val="20"/>
        </w:rPr>
        <w:t>r</w:t>
      </w:r>
      <w:r>
        <w:rPr>
          <w:rFonts w:ascii="Trebuchet MS"/>
          <w:b/>
          <w:color w:val="89C6DC"/>
          <w:spacing w:val="6"/>
          <w:sz w:val="20"/>
        </w:rPr>
        <w:t> </w:t>
      </w:r>
      <w:r>
        <w:rPr>
          <w:rFonts w:ascii="Trebuchet MS"/>
          <w:b/>
          <w:smallCaps/>
          <w:color w:val="89C6DC"/>
          <w:spacing w:val="-1"/>
          <w:w w:val="91"/>
          <w:sz w:val="20"/>
        </w:rPr>
        <w:t>200</w:t>
      </w:r>
      <w:r>
        <w:rPr>
          <w:rFonts w:ascii="Trebuchet MS"/>
          <w:b/>
          <w:smallCaps/>
          <w:color w:val="89C6DC"/>
          <w:w w:val="91"/>
          <w:sz w:val="20"/>
        </w:rPr>
        <w:t>3</w:t>
      </w:r>
      <w:r>
        <w:rPr>
          <w:rFonts w:ascii="Trebuchet MS"/>
          <w:b/>
          <w:smallCaps w:val="0"/>
          <w:color w:val="89C6DC"/>
          <w:spacing w:val="6"/>
          <w:sz w:val="20"/>
        </w:rPr>
        <w:t> </w:t>
      </w:r>
      <w:r>
        <w:rPr>
          <w:rFonts w:ascii="Trebuchet MS"/>
          <w:b/>
          <w:smallCaps/>
          <w:color w:val="89C6DC"/>
          <w:spacing w:val="-1"/>
          <w:w w:val="85"/>
          <w:sz w:val="20"/>
        </w:rPr>
        <w:t>Q1</w:t>
      </w:r>
    </w:p>
    <w:p>
      <w:pPr>
        <w:spacing w:line="123" w:lineRule="exact" w:before="31"/>
        <w:ind w:left="2328" w:right="0" w:firstLine="0"/>
        <w:jc w:val="left"/>
        <w:rPr>
          <w:sz w:val="12"/>
        </w:rPr>
      </w:pPr>
      <w:r>
        <w:rPr>
          <w:w w:val="105"/>
          <w:sz w:val="12"/>
        </w:rPr>
        <w:t>Number of forecasts</w:t>
      </w:r>
    </w:p>
    <w:p>
      <w:pPr>
        <w:spacing w:line="123" w:lineRule="exact" w:before="0"/>
        <w:ind w:left="3410" w:right="0" w:firstLine="0"/>
        <w:jc w:val="left"/>
        <w:rPr>
          <w:sz w:val="12"/>
        </w:rPr>
      </w:pPr>
      <w:r>
        <w:rPr/>
        <w:pict>
          <v:group style="position:absolute;margin-left:48.206001pt;margin-top:2.119685pt;width:152.4pt;height:148.1pt;mso-position-horizontal-relative:page;mso-position-vertical-relative:paragraph;z-index:16398336" coordorigin="964,42" coordsize="3048,2962">
            <v:shape style="position:absolute;left:967;top:2929;width:2892;height:5" coordorigin="968,2929" coordsize="2892,5" path="m968,2929l1465,2929m1688,2929l1705,2929m1928,2929l1945,2929m2168,2929l2185,2929m2408,2929l2430,2929m2643,2929l2903,2929m3128,2929l3145,2929m3368,2929l3859,2929m968,2934l3859,2934e" filled="false" stroked="true" strokeweight=".059pt" strokecolor="#000000">
              <v:path arrowok="t"/>
              <v:stroke dashstyle="solid"/>
            </v:shape>
            <v:shape style="position:absolute;left:969;top:2936;width:2888;height:68" coordorigin="969,2937" coordsize="2888,68" path="m969,2937l969,3004m1210,2937l1210,3004m1450,2937l1450,3004m1691,2937l1691,3004m1932,2937l1932,3004m2413,2937l2413,3004m2654,2937l2654,3004m3616,2937l3616,3004m3135,2937l3135,3004m3857,2937l3857,3004m2172,2937l2172,3004m3375,2937l3375,3004m2894,2937l2894,3004e" filled="false" stroked="true" strokeweight=".5pt" strokecolor="#000000">
              <v:path arrowok="t"/>
              <v:stroke dashstyle="solid"/>
            </v:shape>
            <v:rect style="position:absolute;left:980;top:2609;width:223;height:320" filled="true" fillcolor="#0099d9" stroked="false">
              <v:fill type="solid"/>
            </v:rect>
            <v:rect style="position:absolute;left:980;top:2609;width:223;height:320" filled="false" stroked="true" strokeweight=".5pt" strokecolor="#000000">
              <v:stroke dashstyle="solid"/>
            </v:rect>
            <v:rect style="position:absolute;left:1465;top:2609;width:223;height:320" filled="true" fillcolor="#0099d9" stroked="false">
              <v:fill type="solid"/>
            </v:rect>
            <v:rect style="position:absolute;left:1465;top:2609;width:223;height:320" filled="false" stroked="true" strokeweight=".5pt" strokecolor="#000000">
              <v:stroke dashstyle="solid"/>
            </v:rect>
            <v:rect style="position:absolute;left:1705;top:2609;width:223;height:320" filled="true" fillcolor="#0099d9" stroked="false">
              <v:fill type="solid"/>
            </v:rect>
            <v:rect style="position:absolute;left:1705;top:2609;width:223;height:320" filled="false" stroked="true" strokeweight=".5pt" strokecolor="#000000">
              <v:stroke dashstyle="solid"/>
            </v:rect>
            <v:rect style="position:absolute;left:1945;top:1972;width:223;height:958" filled="true" fillcolor="#0099d9" stroked="false">
              <v:fill type="solid"/>
            </v:rect>
            <v:rect style="position:absolute;left:1945;top:1972;width:223;height:958" filled="false" stroked="true" strokeweight=".5pt" strokecolor="#000000">
              <v:stroke dashstyle="solid"/>
            </v:rect>
            <v:rect style="position:absolute;left:2185;top:682;width:223;height:2248" filled="true" fillcolor="#0099d9" stroked="false">
              <v:fill type="solid"/>
            </v:rect>
            <v:rect style="position:absolute;left:2185;top:682;width:223;height:2248" filled="false" stroked="true" strokeweight=".5pt" strokecolor="#000000">
              <v:stroke dashstyle="solid"/>
            </v:rect>
            <v:rect style="position:absolute;left:2430;top:47;width:213;height:2883" filled="true" fillcolor="#0099d9" stroked="false">
              <v:fill type="solid"/>
            </v:rect>
            <v:rect style="position:absolute;left:2430;top:47;width:213;height:2883" filled="false" stroked="true" strokeweight=".5pt" strokecolor="#000000">
              <v:stroke dashstyle="solid"/>
            </v:rect>
            <v:rect style="position:absolute;left:2902;top:1972;width:225;height:958" filled="true" fillcolor="#0099d9" stroked="false">
              <v:fill type="solid"/>
            </v:rect>
            <v:rect style="position:absolute;left:2902;top:1972;width:225;height:958" filled="false" stroked="true" strokeweight=".5pt" strokecolor="#000000">
              <v:stroke dashstyle="solid"/>
            </v:rect>
            <v:rect style="position:absolute;left:3145;top:2609;width:223;height:320" filled="true" fillcolor="#0099d9" stroked="false">
              <v:fill type="solid"/>
            </v:rect>
            <v:rect style="position:absolute;left:3145;top:2609;width:223;height:320" filled="false" stroked="true" strokeweight=".5pt" strokecolor="#000000">
              <v:stroke dashstyle="solid"/>
            </v:rect>
            <v:shape style="position:absolute;left:3925;top:55;width:87;height:2879" coordorigin="3925,55" coordsize="87,2879" path="m3925,375l4012,375m3925,695l4012,695m3925,1015l4012,1015m3925,1335l4012,1335m3925,1654l4012,1654m3925,1974l4012,1974m3925,2614l4012,2614m3925,2294l4012,2294m3925,2934l4012,2934m3925,55l4012,55e" filled="false" stroked="true" strokeweight=".5pt" strokecolor="#000000">
              <v:path arrowok="t"/>
              <v:stroke dashstyle="solid"/>
            </v:shape>
            <w10:wrap type="none"/>
          </v:group>
        </w:pict>
      </w:r>
      <w:r>
        <w:rPr/>
        <w:pict>
          <v:line style="position:absolute;mso-position-horizontal-relative:page;mso-position-vertical-relative:paragraph;z-index:16403456" from="40.143002pt,2.758685pt" to="44.475002pt,2.758685pt" stroked="true" strokeweight=".5pt" strokecolor="#000000">
            <v:stroke dashstyle="solid"/>
            <w10:wrap type="none"/>
          </v:line>
        </w:pict>
      </w:r>
      <w:r>
        <w:rPr>
          <w:w w:val="121"/>
          <w:sz w:val="12"/>
        </w:rPr>
        <w:t>9</w:t>
      </w:r>
    </w:p>
    <w:p>
      <w:pPr>
        <w:pStyle w:val="BodyText"/>
        <w:spacing w:before="9"/>
        <w:rPr>
          <w:sz w:val="15"/>
        </w:rPr>
      </w:pPr>
    </w:p>
    <w:p>
      <w:pPr>
        <w:spacing w:before="0"/>
        <w:ind w:left="0" w:right="1029" w:firstLine="0"/>
        <w:jc w:val="right"/>
        <w:rPr>
          <w:sz w:val="12"/>
        </w:rPr>
      </w:pPr>
      <w:r>
        <w:rPr/>
        <w:pict>
          <v:line style="position:absolute;mso-position-horizontal-relative:page;mso-position-vertical-relative:paragraph;z-index:16398848" from="40.143002pt,3.483687pt" to="44.475002pt,3.483687pt" stroked="true" strokeweight=".5pt" strokecolor="#000000">
            <v:stroke dashstyle="solid"/>
            <w10:wrap type="none"/>
          </v:line>
        </w:pict>
      </w:r>
      <w:r>
        <w:rPr>
          <w:w w:val="121"/>
          <w:sz w:val="12"/>
        </w:rPr>
        <w:t>8</w:t>
      </w:r>
    </w:p>
    <w:p>
      <w:pPr>
        <w:pStyle w:val="BodyText"/>
        <w:spacing w:before="10"/>
        <w:rPr>
          <w:sz w:val="15"/>
        </w:rPr>
      </w:pPr>
    </w:p>
    <w:p>
      <w:pPr>
        <w:spacing w:before="0"/>
        <w:ind w:left="0" w:right="1029" w:firstLine="0"/>
        <w:jc w:val="right"/>
        <w:rPr>
          <w:sz w:val="12"/>
        </w:rPr>
      </w:pPr>
      <w:r>
        <w:rPr/>
        <w:pict>
          <v:line style="position:absolute;mso-position-horizontal-relative:page;mso-position-vertical-relative:paragraph;z-index:16399360" from="40.143002pt,3.475504pt" to="44.475002pt,3.475504pt" stroked="true" strokeweight=".5pt" strokecolor="#000000">
            <v:stroke dashstyle="solid"/>
            <w10:wrap type="none"/>
          </v:line>
        </w:pict>
      </w:r>
      <w:r>
        <w:rPr>
          <w:w w:val="121"/>
          <w:sz w:val="12"/>
        </w:rPr>
        <w:t>7</w:t>
      </w:r>
    </w:p>
    <w:p>
      <w:pPr>
        <w:pStyle w:val="BodyText"/>
        <w:spacing w:before="9"/>
        <w:rPr>
          <w:sz w:val="15"/>
        </w:rPr>
      </w:pPr>
    </w:p>
    <w:p>
      <w:pPr>
        <w:spacing w:before="1"/>
        <w:ind w:left="0" w:right="1029" w:firstLine="0"/>
        <w:jc w:val="right"/>
        <w:rPr>
          <w:sz w:val="12"/>
        </w:rPr>
      </w:pPr>
      <w:r>
        <w:rPr/>
        <w:pict>
          <v:line style="position:absolute;mso-position-horizontal-relative:page;mso-position-vertical-relative:paragraph;z-index:16399872" from="40.143002pt,3.51729pt" to="44.475002pt,3.51729pt" stroked="true" strokeweight=".5pt" strokecolor="#000000">
            <v:stroke dashstyle="solid"/>
            <w10:wrap type="none"/>
          </v:line>
        </w:pict>
      </w:r>
      <w:r>
        <w:rPr>
          <w:w w:val="121"/>
          <w:sz w:val="12"/>
        </w:rPr>
        <w:t>6</w:t>
      </w:r>
    </w:p>
    <w:p>
      <w:pPr>
        <w:pStyle w:val="BodyText"/>
        <w:spacing w:before="9"/>
        <w:rPr>
          <w:sz w:val="15"/>
        </w:rPr>
      </w:pPr>
    </w:p>
    <w:p>
      <w:pPr>
        <w:spacing w:before="0"/>
        <w:ind w:left="0" w:right="1029" w:firstLine="0"/>
        <w:jc w:val="right"/>
        <w:rPr>
          <w:sz w:val="12"/>
        </w:rPr>
      </w:pPr>
      <w:r>
        <w:rPr/>
        <w:pict>
          <v:line style="position:absolute;mso-position-horizontal-relative:page;mso-position-vertical-relative:paragraph;z-index:16400384" from="40.143002pt,3.458107pt" to="44.475002pt,3.458107pt" stroked="true" strokeweight=".5pt" strokecolor="#000000">
            <v:stroke dashstyle="solid"/>
            <w10:wrap type="none"/>
          </v:line>
        </w:pict>
      </w:r>
      <w:r>
        <w:rPr>
          <w:w w:val="121"/>
          <w:sz w:val="12"/>
        </w:rPr>
        <w:t>5</w:t>
      </w:r>
    </w:p>
    <w:p>
      <w:pPr>
        <w:pStyle w:val="BodyText"/>
        <w:spacing w:line="292" w:lineRule="auto" w:before="64"/>
        <w:ind w:left="183" w:right="332"/>
      </w:pPr>
      <w:r>
        <w:rPr/>
        <w:br w:type="column"/>
      </w:r>
      <w:r>
        <w:rPr>
          <w:w w:val="110"/>
        </w:rPr>
        <w:t>The</w:t>
      </w:r>
      <w:r>
        <w:rPr>
          <w:spacing w:val="-17"/>
          <w:w w:val="110"/>
        </w:rPr>
        <w:t> </w:t>
      </w:r>
      <w:r>
        <w:rPr>
          <w:w w:val="110"/>
        </w:rPr>
        <w:t>mean</w:t>
      </w:r>
      <w:r>
        <w:rPr>
          <w:spacing w:val="-17"/>
          <w:w w:val="110"/>
        </w:rPr>
        <w:t> </w:t>
      </w:r>
      <w:r>
        <w:rPr>
          <w:w w:val="110"/>
        </w:rPr>
        <w:t>forecast</w:t>
      </w:r>
      <w:r>
        <w:rPr>
          <w:spacing w:val="-17"/>
          <w:w w:val="110"/>
        </w:rPr>
        <w:t> </w:t>
      </w:r>
      <w:r>
        <w:rPr>
          <w:w w:val="110"/>
        </w:rPr>
        <w:t>for</w:t>
      </w:r>
      <w:r>
        <w:rPr>
          <w:spacing w:val="-17"/>
          <w:w w:val="110"/>
        </w:rPr>
        <w:t> </w:t>
      </w:r>
      <w:r>
        <w:rPr>
          <w:w w:val="110"/>
        </w:rPr>
        <w:t>the</w:t>
      </w:r>
      <w:r>
        <w:rPr>
          <w:spacing w:val="-17"/>
          <w:w w:val="110"/>
        </w:rPr>
        <w:t> </w:t>
      </w:r>
      <w:r>
        <w:rPr>
          <w:w w:val="110"/>
        </w:rPr>
        <w:t>official</w:t>
      </w:r>
      <w:r>
        <w:rPr>
          <w:spacing w:val="-17"/>
          <w:w w:val="110"/>
        </w:rPr>
        <w:t> </w:t>
      </w:r>
      <w:r>
        <w:rPr>
          <w:spacing w:val="-3"/>
          <w:w w:val="110"/>
        </w:rPr>
        <w:t>interest</w:t>
      </w:r>
      <w:r>
        <w:rPr>
          <w:spacing w:val="-17"/>
          <w:w w:val="110"/>
        </w:rPr>
        <w:t> </w:t>
      </w:r>
      <w:r>
        <w:rPr>
          <w:spacing w:val="-4"/>
          <w:w w:val="110"/>
        </w:rPr>
        <w:t>rate</w:t>
      </w:r>
      <w:r>
        <w:rPr>
          <w:spacing w:val="-17"/>
          <w:w w:val="110"/>
        </w:rPr>
        <w:t> </w:t>
      </w:r>
      <w:r>
        <w:rPr>
          <w:w w:val="110"/>
        </w:rPr>
        <w:t>has</w:t>
      </w:r>
      <w:r>
        <w:rPr>
          <w:spacing w:val="-17"/>
          <w:w w:val="110"/>
        </w:rPr>
        <w:t> </w:t>
      </w:r>
      <w:r>
        <w:rPr>
          <w:w w:val="110"/>
        </w:rPr>
        <w:t>fallen</w:t>
      </w:r>
      <w:r>
        <w:rPr>
          <w:spacing w:val="-17"/>
          <w:w w:val="110"/>
        </w:rPr>
        <w:t> </w:t>
      </w:r>
      <w:r>
        <w:rPr>
          <w:spacing w:val="-3"/>
          <w:w w:val="110"/>
        </w:rPr>
        <w:t>by </w:t>
      </w:r>
      <w:r>
        <w:rPr>
          <w:spacing w:val="-12"/>
          <w:w w:val="110"/>
        </w:rPr>
        <w:t>25</w:t>
      </w:r>
      <w:r>
        <w:rPr>
          <w:spacing w:val="-17"/>
          <w:w w:val="110"/>
        </w:rPr>
        <w:t> </w:t>
      </w:r>
      <w:r>
        <w:rPr>
          <w:w w:val="110"/>
        </w:rPr>
        <w:t>basis</w:t>
      </w:r>
      <w:r>
        <w:rPr>
          <w:spacing w:val="-16"/>
          <w:w w:val="110"/>
        </w:rPr>
        <w:t> </w:t>
      </w:r>
      <w:r>
        <w:rPr>
          <w:w w:val="110"/>
        </w:rPr>
        <w:t>points</w:t>
      </w:r>
      <w:r>
        <w:rPr>
          <w:spacing w:val="-17"/>
          <w:w w:val="110"/>
        </w:rPr>
        <w:t> </w:t>
      </w:r>
      <w:r>
        <w:rPr>
          <w:w w:val="110"/>
        </w:rPr>
        <w:t>since</w:t>
      </w:r>
      <w:r>
        <w:rPr>
          <w:spacing w:val="-16"/>
          <w:w w:val="110"/>
        </w:rPr>
        <w:t> </w:t>
      </w:r>
      <w:r>
        <w:rPr>
          <w:w w:val="110"/>
        </w:rPr>
        <w:t>November</w:t>
      </w:r>
      <w:r>
        <w:rPr>
          <w:spacing w:val="-17"/>
          <w:w w:val="110"/>
        </w:rPr>
        <w:t> </w:t>
      </w:r>
      <w:r>
        <w:rPr>
          <w:w w:val="110"/>
        </w:rPr>
        <w:t>(see</w:t>
      </w:r>
      <w:r>
        <w:rPr>
          <w:spacing w:val="-16"/>
          <w:w w:val="110"/>
        </w:rPr>
        <w:t> </w:t>
      </w:r>
      <w:r>
        <w:rPr>
          <w:w w:val="110"/>
        </w:rPr>
        <w:t>Chart</w:t>
      </w:r>
      <w:r>
        <w:rPr>
          <w:spacing w:val="-16"/>
          <w:w w:val="110"/>
        </w:rPr>
        <w:t> </w:t>
      </w:r>
      <w:r>
        <w:rPr>
          <w:w w:val="110"/>
        </w:rPr>
        <w:t>6.9).</w:t>
      </w:r>
      <w:r>
        <w:rPr>
          <w:spacing w:val="23"/>
          <w:w w:val="110"/>
        </w:rPr>
        <w:t> </w:t>
      </w:r>
      <w:r>
        <w:rPr>
          <w:w w:val="110"/>
        </w:rPr>
        <w:t>The</w:t>
      </w:r>
      <w:r>
        <w:rPr>
          <w:spacing w:val="-17"/>
          <w:w w:val="110"/>
        </w:rPr>
        <w:t> </w:t>
      </w:r>
      <w:r>
        <w:rPr>
          <w:w w:val="110"/>
        </w:rPr>
        <w:t>mean</w:t>
      </w:r>
    </w:p>
    <w:p>
      <w:pPr>
        <w:pStyle w:val="BodyText"/>
        <w:spacing w:line="292" w:lineRule="auto"/>
        <w:ind w:left="183" w:right="152"/>
      </w:pPr>
      <w:r>
        <w:rPr>
          <w:w w:val="110"/>
        </w:rPr>
        <w:t>forecast</w:t>
      </w:r>
      <w:r>
        <w:rPr>
          <w:spacing w:val="-7"/>
          <w:w w:val="110"/>
        </w:rPr>
        <w:t> </w:t>
      </w:r>
      <w:r>
        <w:rPr>
          <w:w w:val="110"/>
        </w:rPr>
        <w:t>is</w:t>
      </w:r>
      <w:r>
        <w:rPr>
          <w:spacing w:val="-6"/>
          <w:w w:val="110"/>
        </w:rPr>
        <w:t> </w:t>
      </w:r>
      <w:r>
        <w:rPr>
          <w:w w:val="110"/>
        </w:rPr>
        <w:t>5</w:t>
      </w:r>
      <w:r>
        <w:rPr>
          <w:w w:val="110"/>
          <w:position w:val="7"/>
          <w:sz w:val="10"/>
        </w:rPr>
        <w:t>3</w:t>
      </w:r>
      <w:r>
        <w:rPr>
          <w:w w:val="110"/>
        </w:rPr>
        <w:t>/</w:t>
      </w:r>
      <w:r>
        <w:rPr>
          <w:w w:val="110"/>
          <w:position w:val="1"/>
          <w:sz w:val="10"/>
        </w:rPr>
        <w:t>4</w:t>
      </w:r>
      <w:r>
        <w:rPr>
          <w:w w:val="110"/>
        </w:rPr>
        <w:t>%</w:t>
      </w:r>
      <w:r>
        <w:rPr>
          <w:spacing w:val="-6"/>
          <w:w w:val="110"/>
        </w:rPr>
        <w:t> </w:t>
      </w:r>
      <w:r>
        <w:rPr>
          <w:w w:val="110"/>
        </w:rPr>
        <w:t>in</w:t>
      </w:r>
      <w:r>
        <w:rPr>
          <w:spacing w:val="-7"/>
          <w:w w:val="110"/>
        </w:rPr>
        <w:t> </w:t>
      </w:r>
      <w:r>
        <w:rPr>
          <w:spacing w:val="-11"/>
          <w:w w:val="110"/>
        </w:rPr>
        <w:t>2001</w:t>
      </w:r>
      <w:r>
        <w:rPr>
          <w:spacing w:val="-6"/>
          <w:w w:val="110"/>
        </w:rPr>
        <w:t> </w:t>
      </w:r>
      <w:r>
        <w:rPr>
          <w:w w:val="110"/>
        </w:rPr>
        <w:t>Q4</w:t>
      </w:r>
      <w:r>
        <w:rPr>
          <w:spacing w:val="-6"/>
          <w:w w:val="110"/>
        </w:rPr>
        <w:t> </w:t>
      </w:r>
      <w:r>
        <w:rPr>
          <w:w w:val="110"/>
        </w:rPr>
        <w:t>(with</w:t>
      </w:r>
      <w:r>
        <w:rPr>
          <w:spacing w:val="-6"/>
          <w:w w:val="110"/>
        </w:rPr>
        <w:t> </w:t>
      </w:r>
      <w:r>
        <w:rPr>
          <w:w w:val="110"/>
        </w:rPr>
        <w:t>a</w:t>
      </w:r>
      <w:r>
        <w:rPr>
          <w:spacing w:val="-7"/>
          <w:w w:val="110"/>
        </w:rPr>
        <w:t> </w:t>
      </w:r>
      <w:r>
        <w:rPr>
          <w:w w:val="110"/>
        </w:rPr>
        <w:t>range</w:t>
      </w:r>
      <w:r>
        <w:rPr>
          <w:spacing w:val="-6"/>
          <w:w w:val="110"/>
        </w:rPr>
        <w:t> </w:t>
      </w:r>
      <w:r>
        <w:rPr>
          <w:w w:val="110"/>
        </w:rPr>
        <w:t>of</w:t>
      </w:r>
      <w:r>
        <w:rPr>
          <w:spacing w:val="-6"/>
          <w:w w:val="110"/>
        </w:rPr>
        <w:t> </w:t>
      </w:r>
      <w:r>
        <w:rPr>
          <w:w w:val="110"/>
        </w:rPr>
        <w:t>5%</w:t>
      </w:r>
      <w:r>
        <w:rPr>
          <w:spacing w:val="-7"/>
          <w:w w:val="110"/>
        </w:rPr>
        <w:t> </w:t>
      </w:r>
      <w:r>
        <w:rPr>
          <w:spacing w:val="-4"/>
          <w:w w:val="110"/>
        </w:rPr>
        <w:t>to</w:t>
      </w:r>
      <w:r>
        <w:rPr>
          <w:spacing w:val="-6"/>
          <w:w w:val="110"/>
        </w:rPr>
        <w:t> </w:t>
      </w:r>
      <w:r>
        <w:rPr>
          <w:w w:val="110"/>
        </w:rPr>
        <w:t>6</w:t>
      </w:r>
      <w:r>
        <w:rPr>
          <w:w w:val="110"/>
          <w:position w:val="7"/>
          <w:sz w:val="10"/>
        </w:rPr>
        <w:t>1</w:t>
      </w:r>
      <w:r>
        <w:rPr>
          <w:w w:val="110"/>
        </w:rPr>
        <w:t>/</w:t>
      </w:r>
      <w:r>
        <w:rPr>
          <w:w w:val="110"/>
          <w:position w:val="1"/>
          <w:sz w:val="10"/>
        </w:rPr>
        <w:t>4</w:t>
      </w:r>
      <w:r>
        <w:rPr>
          <w:w w:val="110"/>
        </w:rPr>
        <w:t>%)</w:t>
      </w:r>
      <w:r>
        <w:rPr>
          <w:spacing w:val="-6"/>
          <w:w w:val="110"/>
        </w:rPr>
        <w:t> </w:t>
      </w:r>
      <w:r>
        <w:rPr>
          <w:w w:val="110"/>
        </w:rPr>
        <w:t>and is also 5</w:t>
      </w:r>
      <w:r>
        <w:rPr>
          <w:w w:val="110"/>
          <w:position w:val="7"/>
          <w:sz w:val="10"/>
        </w:rPr>
        <w:t>3</w:t>
      </w:r>
      <w:r>
        <w:rPr>
          <w:w w:val="110"/>
        </w:rPr>
        <w:t>/</w:t>
      </w:r>
      <w:r>
        <w:rPr>
          <w:w w:val="110"/>
          <w:position w:val="1"/>
          <w:sz w:val="10"/>
        </w:rPr>
        <w:t>4</w:t>
      </w:r>
      <w:r>
        <w:rPr>
          <w:w w:val="110"/>
        </w:rPr>
        <w:t>% in </w:t>
      </w:r>
      <w:r>
        <w:rPr>
          <w:spacing w:val="-7"/>
          <w:w w:val="110"/>
        </w:rPr>
        <w:t>2003 </w:t>
      </w:r>
      <w:r>
        <w:rPr>
          <w:w w:val="110"/>
        </w:rPr>
        <w:t>Q1 (with a larger range of 4% </w:t>
      </w:r>
      <w:r>
        <w:rPr>
          <w:spacing w:val="-4"/>
          <w:w w:val="110"/>
        </w:rPr>
        <w:t>to </w:t>
      </w:r>
      <w:r>
        <w:rPr>
          <w:w w:val="110"/>
        </w:rPr>
        <w:t>6</w:t>
      </w:r>
      <w:r>
        <w:rPr>
          <w:w w:val="110"/>
          <w:position w:val="7"/>
          <w:sz w:val="10"/>
        </w:rPr>
        <w:t>3</w:t>
      </w:r>
      <w:r>
        <w:rPr>
          <w:w w:val="110"/>
        </w:rPr>
        <w:t>/</w:t>
      </w:r>
      <w:r>
        <w:rPr>
          <w:w w:val="110"/>
          <w:position w:val="1"/>
          <w:sz w:val="10"/>
        </w:rPr>
        <w:t>4</w:t>
      </w:r>
      <w:r>
        <w:rPr>
          <w:w w:val="110"/>
        </w:rPr>
        <w:t>%). On </w:t>
      </w:r>
      <w:r>
        <w:rPr>
          <w:spacing w:val="-3"/>
          <w:w w:val="110"/>
        </w:rPr>
        <w:t>average, forecasters </w:t>
      </w:r>
      <w:r>
        <w:rPr>
          <w:w w:val="110"/>
        </w:rPr>
        <w:t>assume that the sterling ERI will be </w:t>
      </w:r>
      <w:r>
        <w:rPr>
          <w:spacing w:val="-24"/>
          <w:w w:val="121"/>
        </w:rPr>
        <w:t>1</w:t>
      </w:r>
      <w:r>
        <w:rPr>
          <w:spacing w:val="-13"/>
          <w:w w:val="121"/>
        </w:rPr>
        <w:t>0</w:t>
      </w:r>
      <w:r>
        <w:rPr>
          <w:w w:val="121"/>
        </w:rPr>
        <w:t>3</w:t>
      </w:r>
      <w:r>
        <w:rPr/>
        <w:t> </w:t>
      </w:r>
      <w:r>
        <w:rPr>
          <w:spacing w:val="-1"/>
          <w:w w:val="110"/>
        </w:rPr>
        <w:t>i</w:t>
      </w:r>
      <w:r>
        <w:rPr>
          <w:w w:val="110"/>
        </w:rPr>
        <w:t>n</w:t>
      </w:r>
      <w:r>
        <w:rPr/>
        <w:t> </w:t>
      </w:r>
      <w:r>
        <w:rPr>
          <w:spacing w:val="-13"/>
          <w:w w:val="121"/>
        </w:rPr>
        <w:t>2</w:t>
      </w:r>
      <w:r>
        <w:rPr>
          <w:spacing w:val="-1"/>
          <w:w w:val="121"/>
        </w:rPr>
        <w:t>0</w:t>
      </w:r>
      <w:r>
        <w:rPr>
          <w:spacing w:val="-27"/>
          <w:w w:val="121"/>
        </w:rPr>
        <w:t>0</w:t>
      </w:r>
      <w:r>
        <w:rPr>
          <w:w w:val="121"/>
        </w:rPr>
        <w:t>1</w:t>
      </w:r>
      <w:r>
        <w:rPr/>
        <w:t> </w:t>
      </w:r>
      <w:r>
        <w:rPr>
          <w:spacing w:val="-1"/>
          <w:w w:val="111"/>
        </w:rPr>
        <w:t>Q</w:t>
      </w:r>
      <w:r>
        <w:rPr>
          <w:w w:val="111"/>
        </w:rPr>
        <w:t>4</w:t>
      </w:r>
      <w:r>
        <w:rPr/>
        <w:t> </w:t>
      </w:r>
      <w:r>
        <w:rPr>
          <w:spacing w:val="-1"/>
          <w:w w:val="103"/>
        </w:rPr>
        <w:t>(wit</w:t>
      </w:r>
      <w:r>
        <w:rPr>
          <w:w w:val="103"/>
        </w:rPr>
        <w:t>h</w:t>
      </w:r>
      <w:r>
        <w:rPr/>
        <w:t> </w:t>
      </w:r>
      <w:r>
        <w:rPr>
          <w:w w:val="108"/>
        </w:rPr>
        <w:t>a</w:t>
      </w:r>
      <w:r>
        <w:rPr/>
        <w:t> </w:t>
      </w:r>
      <w:r>
        <w:rPr>
          <w:spacing w:val="-7"/>
          <w:w w:val="116"/>
        </w:rPr>
        <w:t>r</w:t>
      </w:r>
      <w:r>
        <w:rPr>
          <w:spacing w:val="-1"/>
          <w:w w:val="108"/>
        </w:rPr>
        <w:t>ang</w:t>
      </w:r>
      <w:r>
        <w:rPr>
          <w:w w:val="108"/>
        </w:rPr>
        <w:t>e</w:t>
      </w:r>
      <w:r>
        <w:rPr/>
        <w:t> </w:t>
      </w:r>
      <w:r>
        <w:rPr>
          <w:spacing w:val="-1"/>
          <w:w w:val="100"/>
        </w:rPr>
        <w:t>o</w:t>
      </w:r>
      <w:r>
        <w:rPr>
          <w:w w:val="100"/>
        </w:rPr>
        <w:t>f</w:t>
      </w:r>
      <w:r>
        <w:rPr/>
        <w:t> </w:t>
      </w:r>
      <w:r>
        <w:rPr>
          <w:spacing w:val="-13"/>
          <w:w w:val="121"/>
        </w:rPr>
        <w:t>9</w:t>
      </w:r>
      <w:r>
        <w:rPr>
          <w:w w:val="121"/>
        </w:rPr>
        <w:t>6</w:t>
      </w:r>
      <w:r>
        <w:rPr>
          <w:spacing w:val="-1"/>
          <w:w w:val="121"/>
          <w:position w:val="7"/>
          <w:sz w:val="10"/>
        </w:rPr>
        <w:t>3</w:t>
      </w:r>
      <w:r>
        <w:rPr>
          <w:w w:val="156"/>
        </w:rPr>
        <w:t>/</w:t>
      </w:r>
      <w:r>
        <w:rPr>
          <w:w w:val="121"/>
          <w:position w:val="1"/>
          <w:sz w:val="10"/>
        </w:rPr>
        <w:t>4</w:t>
      </w:r>
      <w:r>
        <w:rPr>
          <w:position w:val="1"/>
          <w:sz w:val="10"/>
        </w:rPr>
        <w:t>  </w:t>
      </w:r>
      <w:r>
        <w:rPr>
          <w:spacing w:val="-7"/>
          <w:w w:val="125"/>
        </w:rPr>
        <w:t>t</w:t>
      </w:r>
      <w:r>
        <w:rPr>
          <w:w w:val="108"/>
        </w:rPr>
        <w:t>o</w:t>
      </w:r>
      <w:r>
        <w:rPr/>
        <w:t> </w:t>
      </w:r>
      <w:r>
        <w:rPr>
          <w:spacing w:val="-47"/>
          <w:w w:val="121"/>
        </w:rPr>
        <w:t>1</w:t>
      </w:r>
      <w:r>
        <w:rPr>
          <w:spacing w:val="-24"/>
          <w:w w:val="121"/>
        </w:rPr>
        <w:t>1</w:t>
      </w:r>
      <w:r>
        <w:rPr>
          <w:spacing w:val="-1"/>
          <w:w w:val="121"/>
        </w:rPr>
        <w:t>0</w:t>
      </w:r>
      <w:r>
        <w:rPr>
          <w:spacing w:val="-1"/>
          <w:w w:val="121"/>
          <w:position w:val="7"/>
          <w:sz w:val="10"/>
        </w:rPr>
        <w:t>1</w:t>
      </w:r>
      <w:r>
        <w:rPr>
          <w:w w:val="156"/>
        </w:rPr>
        <w:t>/</w:t>
      </w:r>
      <w:r>
        <w:rPr>
          <w:spacing w:val="-1"/>
          <w:w w:val="121"/>
          <w:position w:val="1"/>
          <w:sz w:val="10"/>
        </w:rPr>
        <w:t>2</w:t>
      </w:r>
      <w:r>
        <w:rPr>
          <w:w w:val="99"/>
        </w:rPr>
        <w:t>) </w:t>
      </w:r>
      <w:r>
        <w:rPr>
          <w:spacing w:val="-1"/>
          <w:w w:val="111"/>
        </w:rPr>
        <w:t>an</w:t>
      </w:r>
      <w:r>
        <w:rPr>
          <w:w w:val="111"/>
        </w:rPr>
        <w:t>d</w:t>
      </w:r>
      <w:r>
        <w:rPr/>
        <w:t> </w:t>
      </w:r>
      <w:r>
        <w:rPr>
          <w:spacing w:val="-1"/>
          <w:w w:val="114"/>
        </w:rPr>
        <w:t>the</w:t>
      </w:r>
      <w:r>
        <w:rPr>
          <w:w w:val="114"/>
        </w:rPr>
        <w:t>n</w:t>
      </w:r>
      <w:r>
        <w:rPr/>
        <w:t> </w:t>
      </w:r>
      <w:r>
        <w:rPr>
          <w:spacing w:val="-1"/>
          <w:w w:val="98"/>
        </w:rPr>
        <w:t>fall </w:t>
      </w:r>
      <w:r>
        <w:rPr>
          <w:spacing w:val="-4"/>
          <w:w w:val="110"/>
        </w:rPr>
        <w:t>to </w:t>
      </w:r>
      <w:r>
        <w:rPr>
          <w:spacing w:val="-17"/>
          <w:w w:val="110"/>
        </w:rPr>
        <w:t>101 </w:t>
      </w:r>
      <w:r>
        <w:rPr>
          <w:w w:val="110"/>
        </w:rPr>
        <w:t>(with a range of </w:t>
      </w:r>
      <w:r>
        <w:rPr>
          <w:spacing w:val="-13"/>
          <w:w w:val="110"/>
        </w:rPr>
        <w:t>95 </w:t>
      </w:r>
      <w:r>
        <w:rPr>
          <w:spacing w:val="-4"/>
          <w:w w:val="110"/>
        </w:rPr>
        <w:t>to </w:t>
      </w:r>
      <w:r>
        <w:rPr>
          <w:spacing w:val="-9"/>
          <w:w w:val="110"/>
        </w:rPr>
        <w:t>106) </w:t>
      </w:r>
      <w:r>
        <w:rPr>
          <w:spacing w:val="-3"/>
          <w:w w:val="110"/>
        </w:rPr>
        <w:t>by </w:t>
      </w:r>
      <w:r>
        <w:rPr>
          <w:spacing w:val="-7"/>
          <w:w w:val="110"/>
        </w:rPr>
        <w:t>2003 </w:t>
      </w:r>
      <w:r>
        <w:rPr>
          <w:w w:val="110"/>
        </w:rPr>
        <w:t>Q1</w:t>
      </w:r>
      <w:r>
        <w:rPr>
          <w:spacing w:val="-18"/>
          <w:w w:val="110"/>
        </w:rPr>
        <w:t> </w:t>
      </w:r>
      <w:r>
        <w:rPr>
          <w:w w:val="110"/>
        </w:rPr>
        <w:t>(see</w:t>
      </w:r>
    </w:p>
    <w:p>
      <w:pPr>
        <w:pStyle w:val="BodyText"/>
        <w:spacing w:line="227" w:lineRule="exact"/>
        <w:ind w:left="183"/>
      </w:pPr>
      <w:r>
        <w:rPr>
          <w:w w:val="110"/>
        </w:rPr>
        <w:t>Chart 6.10).</w:t>
      </w:r>
    </w:p>
    <w:p>
      <w:pPr>
        <w:pStyle w:val="BodyText"/>
        <w:spacing w:before="10"/>
        <w:rPr>
          <w:sz w:val="28"/>
        </w:rPr>
      </w:pPr>
    </w:p>
    <w:p>
      <w:pPr>
        <w:pStyle w:val="BodyText"/>
        <w:spacing w:line="295" w:lineRule="auto"/>
        <w:ind w:left="183" w:right="172"/>
        <w:rPr>
          <w:rFonts w:ascii="Georgia"/>
        </w:rPr>
      </w:pPr>
      <w:hyperlink w:history="true" w:anchor="_bookmark0">
        <w:r>
          <w:rPr>
            <w:rFonts w:ascii="Georgia"/>
            <w:w w:val="105"/>
          </w:rPr>
          <w:t>The implications of the latest projections for the stance of monetary policy are discussed in the </w:t>
        </w:r>
        <w:r>
          <w:rPr>
            <w:rFonts w:ascii="Georgia"/>
            <w:color w:val="FF0000"/>
            <w:w w:val="105"/>
          </w:rPr>
          <w:t>Overview </w:t>
        </w:r>
        <w:r>
          <w:rPr>
            <w:rFonts w:ascii="Georgia"/>
            <w:w w:val="105"/>
          </w:rPr>
          <w:t>at the beginning of this </w:t>
        </w:r>
        <w:r>
          <w:rPr>
            <w:rFonts w:ascii="Georgia"/>
            <w:i/>
            <w:w w:val="105"/>
          </w:rPr>
          <w:t>Report</w:t>
        </w:r>
        <w:r>
          <w:rPr>
            <w:rFonts w:ascii="Georgia"/>
            <w:w w:val="105"/>
          </w:rPr>
          <w:t>.</w:t>
        </w:r>
      </w:hyperlink>
    </w:p>
    <w:p>
      <w:pPr>
        <w:spacing w:after="0" w:line="295" w:lineRule="auto"/>
        <w:rPr>
          <w:rFonts w:ascii="Georgia"/>
        </w:rPr>
        <w:sectPr>
          <w:type w:val="continuous"/>
          <w:pgSz w:w="11900" w:h="16840"/>
          <w:pgMar w:top="1260" w:bottom="280" w:left="640" w:right="640"/>
          <w:cols w:num="2" w:equalWidth="0">
            <w:col w:w="4514" w:space="414"/>
            <w:col w:w="5692"/>
          </w:cols>
        </w:sectPr>
      </w:pPr>
    </w:p>
    <w:p>
      <w:pPr>
        <w:pStyle w:val="BodyText"/>
        <w:spacing w:before="2"/>
        <w:rPr>
          <w:rFonts w:ascii="Georgia"/>
          <w:sz w:val="9"/>
        </w:rPr>
      </w:pPr>
    </w:p>
    <w:p>
      <w:pPr>
        <w:spacing w:before="78"/>
        <w:ind w:left="3410" w:right="0" w:firstLine="0"/>
        <w:jc w:val="left"/>
        <w:rPr>
          <w:sz w:val="12"/>
        </w:rPr>
      </w:pPr>
      <w:r>
        <w:rPr/>
        <w:pict>
          <v:line style="position:absolute;mso-position-horizontal-relative:page;mso-position-vertical-relative:paragraph;z-index:16400896" from="40.143002pt,7.350893pt" to="44.475002pt,7.350893pt" stroked="true" strokeweight=".5pt" strokecolor="#000000">
            <v:stroke dashstyle="solid"/>
            <w10:wrap type="none"/>
          </v:line>
        </w:pict>
      </w:r>
      <w:r>
        <w:rPr>
          <w:w w:val="121"/>
          <w:sz w:val="12"/>
        </w:rPr>
        <w:t>4</w:t>
      </w:r>
    </w:p>
    <w:p>
      <w:pPr>
        <w:pStyle w:val="BodyText"/>
        <w:rPr>
          <w:sz w:val="9"/>
        </w:rPr>
      </w:pPr>
    </w:p>
    <w:p>
      <w:pPr>
        <w:spacing w:before="78"/>
        <w:ind w:left="3410" w:right="0" w:firstLine="0"/>
        <w:jc w:val="left"/>
        <w:rPr>
          <w:sz w:val="12"/>
        </w:rPr>
      </w:pPr>
      <w:r>
        <w:rPr/>
        <w:pict>
          <v:line style="position:absolute;mso-position-horizontal-relative:page;mso-position-vertical-relative:paragraph;z-index:16401408" from="40.143002pt,7.34268pt" to="44.475002pt,7.34268pt" stroked="true" strokeweight=".5pt" strokecolor="#000000">
            <v:stroke dashstyle="solid"/>
            <w10:wrap type="none"/>
          </v:line>
        </w:pict>
      </w:r>
      <w:r>
        <w:rPr>
          <w:w w:val="121"/>
          <w:sz w:val="12"/>
        </w:rPr>
        <w:t>3</w:t>
      </w:r>
    </w:p>
    <w:p>
      <w:pPr>
        <w:pStyle w:val="BodyText"/>
        <w:spacing w:before="1"/>
        <w:rPr>
          <w:sz w:val="9"/>
        </w:rPr>
      </w:pPr>
    </w:p>
    <w:p>
      <w:pPr>
        <w:spacing w:before="78"/>
        <w:ind w:left="3410" w:right="0" w:firstLine="0"/>
        <w:jc w:val="left"/>
        <w:rPr>
          <w:sz w:val="12"/>
        </w:rPr>
      </w:pPr>
      <w:r>
        <w:rPr/>
        <w:pict>
          <v:line style="position:absolute;mso-position-horizontal-relative:page;mso-position-vertical-relative:paragraph;z-index:16402432" from="40.143002pt,7.333497pt" to="44.475002pt,7.333497pt" stroked="true" strokeweight=".5pt" strokecolor="#000000">
            <v:stroke dashstyle="solid"/>
            <w10:wrap type="none"/>
          </v:line>
        </w:pict>
      </w:r>
      <w:r>
        <w:rPr>
          <w:w w:val="121"/>
          <w:sz w:val="12"/>
        </w:rPr>
        <w:t>2</w:t>
      </w:r>
    </w:p>
    <w:p>
      <w:pPr>
        <w:pStyle w:val="BodyText"/>
        <w:rPr>
          <w:sz w:val="9"/>
        </w:rPr>
      </w:pPr>
    </w:p>
    <w:p>
      <w:pPr>
        <w:spacing w:before="78"/>
        <w:ind w:left="3410" w:right="0" w:firstLine="0"/>
        <w:jc w:val="left"/>
        <w:rPr>
          <w:sz w:val="12"/>
        </w:rPr>
      </w:pPr>
      <w:r>
        <w:rPr/>
        <w:pict>
          <v:line style="position:absolute;mso-position-horizontal-relative:page;mso-position-vertical-relative:paragraph;z-index:16401920" from="40.143002pt,7.325283pt" to="44.475002pt,7.325283pt" stroked="true" strokeweight=".5pt" strokecolor="#000000">
            <v:stroke dashstyle="solid"/>
            <w10:wrap type="none"/>
          </v:line>
        </w:pict>
      </w:r>
      <w:r>
        <w:rPr>
          <w:w w:val="121"/>
          <w:sz w:val="12"/>
        </w:rPr>
        <w:t>1</w:t>
      </w:r>
    </w:p>
    <w:p>
      <w:pPr>
        <w:pStyle w:val="BodyText"/>
        <w:spacing w:before="1"/>
        <w:rPr>
          <w:sz w:val="9"/>
        </w:rPr>
      </w:pPr>
    </w:p>
    <w:p>
      <w:pPr>
        <w:spacing w:line="137" w:lineRule="exact" w:before="78"/>
        <w:ind w:left="0" w:right="3723" w:firstLine="0"/>
        <w:jc w:val="center"/>
        <w:rPr>
          <w:sz w:val="12"/>
        </w:rPr>
      </w:pPr>
      <w:r>
        <w:rPr/>
        <w:pict>
          <v:line style="position:absolute;mso-position-horizontal-relative:page;mso-position-vertical-relative:paragraph;z-index:16402944" from="40.143002pt,7.3171pt" to="44.475002pt,7.3171pt" stroked="true" strokeweight=".5pt" strokecolor="#000000">
            <v:stroke dashstyle="solid"/>
            <w10:wrap type="none"/>
          </v:line>
        </w:pict>
      </w:r>
      <w:r>
        <w:rPr>
          <w:w w:val="121"/>
          <w:sz w:val="12"/>
        </w:rPr>
        <w:t>0</w:t>
      </w:r>
    </w:p>
    <w:p>
      <w:pPr>
        <w:spacing w:line="137" w:lineRule="exact" w:before="0"/>
        <w:ind w:left="434" w:right="7488" w:firstLine="0"/>
        <w:jc w:val="center"/>
        <w:rPr>
          <w:sz w:val="12"/>
        </w:rPr>
      </w:pPr>
      <w:r>
        <w:rPr>
          <w:w w:val="115"/>
          <w:sz w:val="12"/>
        </w:rPr>
        <w:t>4.0 4.3 4.6 4.9 5.2 5.5 5.8 6.1 6.4 6.7 7.0 7.3 7.6</w:t>
      </w:r>
    </w:p>
    <w:p>
      <w:pPr>
        <w:spacing w:before="26"/>
        <w:ind w:left="434" w:right="7488" w:firstLine="0"/>
        <w:jc w:val="center"/>
        <w:rPr>
          <w:sz w:val="12"/>
        </w:rPr>
      </w:pPr>
      <w:r>
        <w:rPr>
          <w:w w:val="105"/>
          <w:sz w:val="12"/>
        </w:rPr>
        <w:t>Range of forecasts</w:t>
      </w:r>
    </w:p>
    <w:p>
      <w:pPr>
        <w:spacing w:before="36"/>
        <w:ind w:left="185" w:right="0" w:firstLine="0"/>
        <w:jc w:val="left"/>
        <w:rPr>
          <w:sz w:val="12"/>
        </w:rPr>
      </w:pPr>
      <w:r>
        <w:rPr>
          <w:w w:val="110"/>
          <w:sz w:val="12"/>
        </w:rPr>
        <w:t>Source: Survey of 26 outside forecasters as of 7 February 2001.</w:t>
      </w:r>
    </w:p>
    <w:p>
      <w:pPr>
        <w:pStyle w:val="BodyText"/>
        <w:rPr>
          <w:sz w:val="12"/>
        </w:rPr>
      </w:pPr>
    </w:p>
    <w:p>
      <w:pPr>
        <w:pStyle w:val="BodyText"/>
        <w:rPr>
          <w:sz w:val="12"/>
        </w:rPr>
      </w:pPr>
    </w:p>
    <w:p>
      <w:pPr>
        <w:pStyle w:val="BodyText"/>
        <w:spacing w:before="10"/>
        <w:rPr>
          <w:sz w:val="13"/>
        </w:rPr>
      </w:pPr>
    </w:p>
    <w:p>
      <w:pPr>
        <w:pStyle w:val="Heading6"/>
        <w:ind w:left="189"/>
      </w:pPr>
      <w:r>
        <w:rPr>
          <w:color w:val="89C6DC"/>
          <w:spacing w:val="-1"/>
          <w:w w:val="88"/>
        </w:rPr>
        <w:t>Cha</w:t>
      </w:r>
      <w:r>
        <w:rPr>
          <w:color w:val="89C6DC"/>
          <w:spacing w:val="4"/>
          <w:w w:val="88"/>
        </w:rPr>
        <w:t>r</w:t>
      </w:r>
      <w:r>
        <w:rPr>
          <w:color w:val="89C6DC"/>
          <w:w w:val="76"/>
        </w:rPr>
        <w:t>t</w:t>
      </w:r>
      <w:r>
        <w:rPr>
          <w:color w:val="89C6DC"/>
          <w:spacing w:val="6"/>
        </w:rPr>
        <w:t> </w:t>
      </w:r>
      <w:r>
        <w:rPr>
          <w:smallCaps/>
          <w:color w:val="89C6DC"/>
          <w:spacing w:val="-1"/>
          <w:w w:val="84"/>
        </w:rPr>
        <w:t>6.10</w:t>
      </w:r>
    </w:p>
    <w:p>
      <w:pPr>
        <w:spacing w:line="247" w:lineRule="auto" w:before="7"/>
        <w:ind w:left="189" w:right="7178" w:firstLine="0"/>
        <w:jc w:val="left"/>
        <w:rPr>
          <w:rFonts w:ascii="Trebuchet MS"/>
          <w:b/>
          <w:sz w:val="20"/>
        </w:rPr>
      </w:pPr>
      <w:r>
        <w:rPr>
          <w:rFonts w:ascii="Trebuchet MS"/>
          <w:b/>
          <w:color w:val="89C6DC"/>
          <w:spacing w:val="-3"/>
          <w:w w:val="94"/>
          <w:sz w:val="20"/>
        </w:rPr>
        <w:t>D</w:t>
      </w:r>
      <w:r>
        <w:rPr>
          <w:rFonts w:ascii="Trebuchet MS"/>
          <w:b/>
          <w:color w:val="89C6DC"/>
          <w:spacing w:val="-1"/>
          <w:w w:val="87"/>
          <w:sz w:val="20"/>
        </w:rPr>
        <w:t>ist</w:t>
      </w:r>
      <w:r>
        <w:rPr>
          <w:rFonts w:ascii="Trebuchet MS"/>
          <w:b/>
          <w:color w:val="89C6DC"/>
          <w:spacing w:val="-2"/>
          <w:w w:val="87"/>
          <w:sz w:val="20"/>
        </w:rPr>
        <w:t>r</w:t>
      </w:r>
      <w:r>
        <w:rPr>
          <w:rFonts w:ascii="Trebuchet MS"/>
          <w:b/>
          <w:color w:val="89C6DC"/>
          <w:spacing w:val="-1"/>
          <w:w w:val="88"/>
          <w:sz w:val="20"/>
        </w:rPr>
        <w:t>ibutio</w:t>
      </w:r>
      <w:r>
        <w:rPr>
          <w:rFonts w:ascii="Trebuchet MS"/>
          <w:b/>
          <w:color w:val="89C6DC"/>
          <w:w w:val="88"/>
          <w:sz w:val="20"/>
        </w:rPr>
        <w:t>n</w:t>
      </w:r>
      <w:r>
        <w:rPr>
          <w:rFonts w:ascii="Trebuchet MS"/>
          <w:b/>
          <w:color w:val="89C6DC"/>
          <w:spacing w:val="6"/>
          <w:sz w:val="20"/>
        </w:rPr>
        <w:t> </w:t>
      </w:r>
      <w:r>
        <w:rPr>
          <w:rFonts w:ascii="Trebuchet MS"/>
          <w:b/>
          <w:color w:val="89C6DC"/>
          <w:spacing w:val="-1"/>
          <w:w w:val="85"/>
          <w:sz w:val="20"/>
        </w:rPr>
        <w:t>o</w:t>
      </w:r>
      <w:r>
        <w:rPr>
          <w:rFonts w:ascii="Trebuchet MS"/>
          <w:b/>
          <w:color w:val="89C6DC"/>
          <w:w w:val="85"/>
          <w:sz w:val="20"/>
        </w:rPr>
        <w:t>f</w:t>
      </w:r>
      <w:r>
        <w:rPr>
          <w:rFonts w:ascii="Trebuchet MS"/>
          <w:b/>
          <w:color w:val="89C6DC"/>
          <w:spacing w:val="6"/>
          <w:sz w:val="20"/>
        </w:rPr>
        <w:t> </w:t>
      </w:r>
      <w:r>
        <w:rPr>
          <w:rFonts w:ascii="Trebuchet MS"/>
          <w:b/>
          <w:color w:val="89C6DC"/>
          <w:spacing w:val="-1"/>
          <w:w w:val="91"/>
          <w:sz w:val="20"/>
        </w:rPr>
        <w:t>sterlin</w:t>
      </w:r>
      <w:r>
        <w:rPr>
          <w:rFonts w:ascii="Trebuchet MS"/>
          <w:b/>
          <w:color w:val="89C6DC"/>
          <w:w w:val="91"/>
          <w:sz w:val="20"/>
        </w:rPr>
        <w:t>g</w:t>
      </w:r>
      <w:r>
        <w:rPr>
          <w:rFonts w:ascii="Trebuchet MS"/>
          <w:b/>
          <w:color w:val="89C6DC"/>
          <w:spacing w:val="6"/>
          <w:sz w:val="20"/>
        </w:rPr>
        <w:t> </w:t>
      </w:r>
      <w:r>
        <w:rPr>
          <w:rFonts w:ascii="Trebuchet MS"/>
          <w:b/>
          <w:color w:val="89C6DC"/>
          <w:spacing w:val="-1"/>
          <w:w w:val="93"/>
          <w:sz w:val="20"/>
        </w:rPr>
        <w:t>ER</w:t>
      </w:r>
      <w:r>
        <w:rPr>
          <w:rFonts w:ascii="Trebuchet MS"/>
          <w:b/>
          <w:color w:val="89C6DC"/>
          <w:w w:val="93"/>
          <w:sz w:val="20"/>
        </w:rPr>
        <w:t>I</w:t>
      </w:r>
      <w:r>
        <w:rPr>
          <w:rFonts w:ascii="Trebuchet MS"/>
          <w:b/>
          <w:color w:val="89C6DC"/>
          <w:spacing w:val="6"/>
          <w:sz w:val="20"/>
        </w:rPr>
        <w:t> </w:t>
      </w:r>
      <w:r>
        <w:rPr>
          <w:rFonts w:ascii="Trebuchet MS"/>
          <w:b/>
          <w:color w:val="89C6DC"/>
          <w:spacing w:val="-1"/>
          <w:w w:val="83"/>
          <w:sz w:val="20"/>
        </w:rPr>
        <w:t>fo</w:t>
      </w:r>
      <w:r>
        <w:rPr>
          <w:rFonts w:ascii="Trebuchet MS"/>
          <w:b/>
          <w:color w:val="89C6DC"/>
          <w:spacing w:val="-4"/>
          <w:w w:val="83"/>
          <w:sz w:val="20"/>
        </w:rPr>
        <w:t>r</w:t>
      </w:r>
      <w:r>
        <w:rPr>
          <w:rFonts w:ascii="Trebuchet MS"/>
          <w:b/>
          <w:color w:val="89C6DC"/>
          <w:spacing w:val="-1"/>
          <w:w w:val="92"/>
          <w:sz w:val="20"/>
        </w:rPr>
        <w:t>ecasts </w:t>
      </w:r>
      <w:r>
        <w:rPr>
          <w:rFonts w:ascii="Trebuchet MS"/>
          <w:b/>
          <w:color w:val="89C6DC"/>
          <w:spacing w:val="-1"/>
          <w:w w:val="83"/>
          <w:sz w:val="20"/>
        </w:rPr>
        <w:t>fo</w:t>
      </w:r>
      <w:r>
        <w:rPr>
          <w:rFonts w:ascii="Trebuchet MS"/>
          <w:b/>
          <w:color w:val="89C6DC"/>
          <w:w w:val="83"/>
          <w:sz w:val="20"/>
        </w:rPr>
        <w:t>r</w:t>
      </w:r>
      <w:r>
        <w:rPr>
          <w:rFonts w:ascii="Trebuchet MS"/>
          <w:b/>
          <w:color w:val="89C6DC"/>
          <w:spacing w:val="6"/>
          <w:sz w:val="20"/>
        </w:rPr>
        <w:t> </w:t>
      </w:r>
      <w:r>
        <w:rPr>
          <w:rFonts w:ascii="Trebuchet MS"/>
          <w:b/>
          <w:smallCaps/>
          <w:color w:val="89C6DC"/>
          <w:spacing w:val="-1"/>
          <w:w w:val="91"/>
          <w:sz w:val="20"/>
        </w:rPr>
        <w:t>200</w:t>
      </w:r>
      <w:r>
        <w:rPr>
          <w:rFonts w:ascii="Trebuchet MS"/>
          <w:b/>
          <w:smallCaps/>
          <w:color w:val="89C6DC"/>
          <w:w w:val="91"/>
          <w:sz w:val="20"/>
        </w:rPr>
        <w:t>3</w:t>
      </w:r>
      <w:r>
        <w:rPr>
          <w:rFonts w:ascii="Trebuchet MS"/>
          <w:b/>
          <w:smallCaps w:val="0"/>
          <w:color w:val="89C6DC"/>
          <w:spacing w:val="6"/>
          <w:sz w:val="20"/>
        </w:rPr>
        <w:t> </w:t>
      </w:r>
      <w:r>
        <w:rPr>
          <w:rFonts w:ascii="Trebuchet MS"/>
          <w:b/>
          <w:smallCaps/>
          <w:color w:val="89C6DC"/>
          <w:spacing w:val="-1"/>
          <w:w w:val="85"/>
          <w:sz w:val="20"/>
        </w:rPr>
        <w:t>Q1</w:t>
      </w:r>
    </w:p>
    <w:p>
      <w:pPr>
        <w:spacing w:line="114" w:lineRule="exact" w:before="14"/>
        <w:ind w:left="2329" w:right="0" w:firstLine="0"/>
        <w:jc w:val="left"/>
        <w:rPr>
          <w:sz w:val="12"/>
        </w:rPr>
      </w:pPr>
      <w:r>
        <w:rPr>
          <w:w w:val="105"/>
          <w:sz w:val="12"/>
        </w:rPr>
        <w:t>Number of forecasts</w:t>
      </w:r>
    </w:p>
    <w:p>
      <w:pPr>
        <w:spacing w:line="114" w:lineRule="exact" w:before="0"/>
        <w:ind w:left="3413" w:right="0" w:firstLine="0"/>
        <w:jc w:val="left"/>
        <w:rPr>
          <w:sz w:val="12"/>
        </w:rPr>
      </w:pPr>
      <w:r>
        <w:rPr/>
        <w:pict>
          <v:line style="position:absolute;mso-position-horizontal-relative:page;mso-position-vertical-relative:paragraph;z-index:16407552" from="40.585999pt,1.92036pt" to="44.918999pt,1.92036pt" stroked="true" strokeweight=".5pt" strokecolor="#000000">
            <v:stroke dashstyle="solid"/>
            <w10:wrap type="none"/>
          </v:line>
        </w:pict>
      </w:r>
      <w:r>
        <w:rPr/>
        <w:pict>
          <v:line style="position:absolute;mso-position-horizontal-relative:page;mso-position-vertical-relative:paragraph;z-index:16411136" from="196.270996pt,2.131361pt" to="200.602996pt,2.131361pt" stroked="true" strokeweight=".5pt" strokecolor="#000000">
            <v:stroke dashstyle="solid"/>
            <w10:wrap type="none"/>
          </v:line>
        </w:pict>
      </w:r>
      <w:r>
        <w:rPr>
          <w:w w:val="121"/>
          <w:sz w:val="12"/>
        </w:rPr>
        <w:t>6</w:t>
      </w:r>
    </w:p>
    <w:p>
      <w:pPr>
        <w:pStyle w:val="BodyText"/>
        <w:rPr>
          <w:sz w:val="23"/>
        </w:rPr>
      </w:pPr>
    </w:p>
    <w:p>
      <w:pPr>
        <w:spacing w:before="78"/>
        <w:ind w:left="3413" w:right="0" w:firstLine="0"/>
        <w:jc w:val="left"/>
        <w:rPr>
          <w:sz w:val="12"/>
        </w:rPr>
      </w:pPr>
      <w:r>
        <w:rPr/>
        <w:pict>
          <v:group style="position:absolute;margin-left:48.727001pt;margin-top:7.067684pt;width:144.050pt;height:123.75pt;mso-position-horizontal-relative:page;mso-position-vertical-relative:paragraph;z-index:16403968" coordorigin="975,141" coordsize="2881,2475">
            <v:rect style="position:absolute;left:1645;top:2061;width:207;height:485" filled="true" fillcolor="#21aa50" stroked="false">
              <v:fill type="solid"/>
            </v:rect>
            <v:rect style="position:absolute;left:1645;top:2061;width:207;height:485" filled="false" stroked="true" strokeweight=".5pt" strokecolor="#000000">
              <v:stroke dashstyle="solid"/>
            </v:rect>
            <v:rect style="position:absolute;left:1869;top:628;width:203;height:1918" filled="true" fillcolor="#21aa50" stroked="false">
              <v:fill type="solid"/>
            </v:rect>
            <v:rect style="position:absolute;left:1869;top:628;width:203;height:1918" filled="false" stroked="true" strokeweight=".5pt" strokecolor="#000000">
              <v:stroke dashstyle="solid"/>
            </v:rect>
            <v:rect style="position:absolute;left:2090;top:1578;width:203;height:968" filled="true" fillcolor="#21aa50" stroked="false">
              <v:fill type="solid"/>
            </v:rect>
            <v:rect style="position:absolute;left:2090;top:1578;width:203;height:968" filled="false" stroked="true" strokeweight=".5pt" strokecolor="#000000">
              <v:stroke dashstyle="solid"/>
            </v:rect>
            <v:rect style="position:absolute;left:2311;top:146;width:203;height:2400" filled="true" fillcolor="#21aa50" stroked="false">
              <v:fill type="solid"/>
            </v:rect>
            <v:rect style="position:absolute;left:2311;top:146;width:203;height:2400" filled="false" stroked="true" strokeweight=".5pt" strokecolor="#000000">
              <v:stroke dashstyle="solid"/>
            </v:rect>
            <v:rect style="position:absolute;left:2532;top:146;width:203;height:2400" filled="true" fillcolor="#21aa50" stroked="false">
              <v:fill type="solid"/>
            </v:rect>
            <v:rect style="position:absolute;left:2532;top:146;width:203;height:2400" filled="false" stroked="true" strokeweight=".5pt" strokecolor="#000000">
              <v:stroke dashstyle="solid"/>
            </v:rect>
            <v:rect style="position:absolute;left:2753;top:1578;width:203;height:968" filled="true" fillcolor="#21aa50" stroked="false">
              <v:fill type="solid"/>
            </v:rect>
            <v:rect style="position:absolute;left:2753;top:1578;width:203;height:968" filled="false" stroked="true" strokeweight=".5pt" strokecolor="#000000">
              <v:stroke dashstyle="solid"/>
            </v:rect>
            <v:rect style="position:absolute;left:2970;top:1578;width:213;height:968" filled="true" fillcolor="#21aa50" stroked="false">
              <v:fill type="solid"/>
            </v:rect>
            <v:rect style="position:absolute;left:2970;top:1578;width:213;height:968" filled="false" stroked="true" strokeweight=".5pt" strokecolor="#000000">
              <v:stroke dashstyle="solid"/>
            </v:rect>
            <v:shape style="position:absolute;left:978;top:2546;width:2873;height:70" coordorigin="978,2546" coordsize="2873,70" path="m978,2546l3851,2546m980,2549l980,2616m1200,2549l1200,2616m1421,2549l1421,2616m1642,2549l1642,2616m2084,2549l2084,2616m2967,2549l2967,2616m3188,2549l3188,2616m3629,2549l3629,2616m3408,2549l3408,2616m3850,2549l3850,2616m2304,2549l2304,2616m1863,2549l1863,2616m2746,2549l2746,2616m2525,2549l2525,2616e" filled="false" stroked="true" strokeweight=".5pt" strokecolor="#000000">
              <v:path arrowok="t"/>
              <v:stroke dashstyle="solid"/>
            </v:shape>
            <w10:wrap type="none"/>
          </v:group>
        </w:pict>
      </w:r>
      <w:r>
        <w:rPr/>
        <w:pict>
          <v:line style="position:absolute;mso-position-horizontal-relative:page;mso-position-vertical-relative:paragraph;z-index:16404480" from="40.585999pt,7.002684pt" to="44.918999pt,7.002684pt" stroked="true" strokeweight=".5pt" strokecolor="#000000">
            <v:stroke dashstyle="solid"/>
            <w10:wrap type="none"/>
          </v:line>
        </w:pict>
      </w:r>
      <w:r>
        <w:rPr/>
        <w:pict>
          <v:line style="position:absolute;mso-position-horizontal-relative:page;mso-position-vertical-relative:paragraph;z-index:16408064" from="196.270996pt,7.213684pt" to="200.602996pt,7.213684pt" stroked="true" strokeweight=".5pt" strokecolor="#000000">
            <v:stroke dashstyle="solid"/>
            <w10:wrap type="none"/>
          </v:line>
        </w:pict>
      </w:r>
      <w:r>
        <w:rPr>
          <w:w w:val="121"/>
          <w:sz w:val="12"/>
        </w:rPr>
        <w:t>5</w:t>
      </w:r>
    </w:p>
    <w:p>
      <w:pPr>
        <w:pStyle w:val="BodyText"/>
        <w:rPr>
          <w:sz w:val="23"/>
        </w:rPr>
      </w:pPr>
    </w:p>
    <w:p>
      <w:pPr>
        <w:spacing w:before="78"/>
        <w:ind w:left="3413" w:right="0" w:firstLine="0"/>
        <w:jc w:val="left"/>
        <w:rPr>
          <w:sz w:val="12"/>
        </w:rPr>
      </w:pPr>
      <w:r>
        <w:rPr/>
        <w:pict>
          <v:line style="position:absolute;mso-position-horizontal-relative:page;mso-position-vertical-relative:paragraph;z-index:16404992" from="40.585999pt,7.002283pt" to="44.918999pt,7.002283pt" stroked="true" strokeweight=".5pt" strokecolor="#000000">
            <v:stroke dashstyle="solid"/>
            <w10:wrap type="none"/>
          </v:line>
        </w:pict>
      </w:r>
      <w:r>
        <w:rPr/>
        <w:pict>
          <v:line style="position:absolute;mso-position-horizontal-relative:page;mso-position-vertical-relative:paragraph;z-index:16408576" from="196.270996pt,7.213283pt" to="200.602996pt,7.213283pt" stroked="true" strokeweight=".5pt" strokecolor="#000000">
            <v:stroke dashstyle="solid"/>
            <w10:wrap type="none"/>
          </v:line>
        </w:pict>
      </w:r>
      <w:r>
        <w:rPr>
          <w:w w:val="121"/>
          <w:sz w:val="12"/>
        </w:rPr>
        <w:t>4</w:t>
      </w:r>
    </w:p>
    <w:p>
      <w:pPr>
        <w:pStyle w:val="BodyText"/>
        <w:rPr>
          <w:sz w:val="23"/>
        </w:rPr>
      </w:pPr>
    </w:p>
    <w:p>
      <w:pPr>
        <w:spacing w:before="78"/>
        <w:ind w:left="3413" w:right="0" w:firstLine="0"/>
        <w:jc w:val="left"/>
        <w:rPr>
          <w:sz w:val="12"/>
        </w:rPr>
      </w:pPr>
      <w:r>
        <w:rPr/>
        <w:pict>
          <v:line style="position:absolute;mso-position-horizontal-relative:page;mso-position-vertical-relative:paragraph;z-index:16405504" from="40.585999pt,7.002882pt" to="44.918999pt,7.002882pt" stroked="true" strokeweight=".5pt" strokecolor="#000000">
            <v:stroke dashstyle="solid"/>
            <w10:wrap type="none"/>
          </v:line>
        </w:pict>
      </w:r>
      <w:r>
        <w:rPr/>
        <w:pict>
          <v:line style="position:absolute;mso-position-horizontal-relative:page;mso-position-vertical-relative:paragraph;z-index:16409088" from="196.270996pt,7.213882pt" to="200.602996pt,7.213882pt" stroked="true" strokeweight=".5pt" strokecolor="#000000">
            <v:stroke dashstyle="solid"/>
            <w10:wrap type="none"/>
          </v:line>
        </w:pict>
      </w:r>
      <w:r>
        <w:rPr>
          <w:w w:val="121"/>
          <w:sz w:val="12"/>
        </w:rPr>
        <w:t>3</w:t>
      </w:r>
    </w:p>
    <w:p>
      <w:pPr>
        <w:pStyle w:val="BodyText"/>
        <w:rPr>
          <w:sz w:val="23"/>
        </w:rPr>
      </w:pPr>
    </w:p>
    <w:p>
      <w:pPr>
        <w:spacing w:before="78"/>
        <w:ind w:left="3413" w:right="0" w:firstLine="0"/>
        <w:jc w:val="left"/>
        <w:rPr>
          <w:sz w:val="12"/>
        </w:rPr>
      </w:pPr>
      <w:r>
        <w:rPr/>
        <w:pict>
          <v:line style="position:absolute;mso-position-horizontal-relative:page;mso-position-vertical-relative:paragraph;z-index:16406016" from="40.585999pt,7.003481pt" to="44.918999pt,7.003481pt" stroked="true" strokeweight=".5pt" strokecolor="#000000">
            <v:stroke dashstyle="solid"/>
            <w10:wrap type="none"/>
          </v:line>
        </w:pict>
      </w:r>
      <w:r>
        <w:rPr/>
        <w:pict>
          <v:line style="position:absolute;mso-position-horizontal-relative:page;mso-position-vertical-relative:paragraph;z-index:16409600" from="196.270996pt,7.215481pt" to="200.602996pt,7.215481pt" stroked="true" strokeweight=".5pt" strokecolor="#000000">
            <v:stroke dashstyle="solid"/>
            <w10:wrap type="none"/>
          </v:line>
        </w:pict>
      </w:r>
      <w:r>
        <w:rPr>
          <w:w w:val="121"/>
          <w:sz w:val="12"/>
        </w:rPr>
        <w:t>2</w:t>
      </w:r>
    </w:p>
    <w:p>
      <w:pPr>
        <w:pStyle w:val="BodyText"/>
        <w:rPr>
          <w:sz w:val="23"/>
        </w:rPr>
      </w:pPr>
    </w:p>
    <w:p>
      <w:pPr>
        <w:spacing w:before="78"/>
        <w:ind w:left="3413" w:right="0" w:firstLine="0"/>
        <w:jc w:val="left"/>
        <w:rPr>
          <w:sz w:val="12"/>
        </w:rPr>
      </w:pPr>
      <w:r>
        <w:rPr/>
        <w:pict>
          <v:line style="position:absolute;mso-position-horizontal-relative:page;mso-position-vertical-relative:paragraph;z-index:16406528" from="40.585999pt,7.002882pt" to="44.918999pt,7.002882pt" stroked="true" strokeweight=".5pt" strokecolor="#000000">
            <v:stroke dashstyle="solid"/>
            <w10:wrap type="none"/>
          </v:line>
        </w:pict>
      </w:r>
      <w:r>
        <w:rPr/>
        <w:pict>
          <v:line style="position:absolute;mso-position-horizontal-relative:page;mso-position-vertical-relative:paragraph;z-index:16410112" from="196.270996pt,7.213882pt" to="200.602996pt,7.213882pt" stroked="true" strokeweight=".5pt" strokecolor="#000000">
            <v:stroke dashstyle="solid"/>
            <w10:wrap type="none"/>
          </v:line>
        </w:pict>
      </w:r>
      <w:r>
        <w:rPr>
          <w:w w:val="121"/>
          <w:sz w:val="12"/>
        </w:rPr>
        <w:t>1</w:t>
      </w:r>
    </w:p>
    <w:p>
      <w:pPr>
        <w:pStyle w:val="BodyText"/>
        <w:rPr>
          <w:sz w:val="23"/>
        </w:rPr>
      </w:pPr>
    </w:p>
    <w:p>
      <w:pPr>
        <w:spacing w:line="137" w:lineRule="exact" w:before="78"/>
        <w:ind w:left="3413" w:right="0" w:firstLine="0"/>
        <w:jc w:val="left"/>
        <w:rPr>
          <w:sz w:val="12"/>
        </w:rPr>
      </w:pPr>
      <w:r>
        <w:rPr/>
        <w:pict>
          <v:line style="position:absolute;mso-position-horizontal-relative:page;mso-position-vertical-relative:paragraph;z-index:16407040" from="40.585999pt,7.003489pt" to="44.918999pt,7.003489pt" stroked="true" strokeweight=".5pt" strokecolor="#000000">
            <v:stroke dashstyle="solid"/>
            <w10:wrap type="none"/>
          </v:line>
        </w:pict>
      </w:r>
      <w:r>
        <w:rPr/>
        <w:pict>
          <v:line style="position:absolute;mso-position-horizontal-relative:page;mso-position-vertical-relative:paragraph;z-index:16410624" from="196.270996pt,7.214489pt" to="200.602996pt,7.214489pt" stroked="true" strokeweight=".5pt" strokecolor="#000000">
            <v:stroke dashstyle="solid"/>
            <w10:wrap type="none"/>
          </v:line>
        </w:pict>
      </w:r>
      <w:r>
        <w:rPr>
          <w:w w:val="121"/>
          <w:sz w:val="12"/>
        </w:rPr>
        <w:t>0</w:t>
      </w:r>
    </w:p>
    <w:p>
      <w:pPr>
        <w:tabs>
          <w:tab w:pos="716" w:val="left" w:leader="none"/>
          <w:tab w:pos="1161" w:val="left" w:leader="none"/>
          <w:tab w:pos="1549" w:val="left" w:leader="none"/>
          <w:tab w:pos="1995" w:val="left" w:leader="none"/>
          <w:tab w:pos="2440" w:val="left" w:leader="none"/>
          <w:tab w:pos="2885" w:val="left" w:leader="none"/>
        </w:tabs>
        <w:spacing w:line="137" w:lineRule="exact" w:before="0"/>
        <w:ind w:left="270" w:right="0" w:firstLine="0"/>
        <w:jc w:val="left"/>
        <w:rPr>
          <w:sz w:val="12"/>
        </w:rPr>
      </w:pPr>
      <w:r>
        <w:rPr>
          <w:w w:val="120"/>
          <w:sz w:val="12"/>
        </w:rPr>
        <w:t>88</w:t>
        <w:tab/>
        <w:t>92</w:t>
        <w:tab/>
        <w:t>96</w:t>
        <w:tab/>
        <w:t>100</w:t>
        <w:tab/>
        <w:t>104</w:t>
        <w:tab/>
        <w:t>108</w:t>
        <w:tab/>
        <w:t>112</w:t>
      </w:r>
    </w:p>
    <w:p>
      <w:pPr>
        <w:spacing w:before="15"/>
        <w:ind w:left="1301" w:right="0" w:firstLine="0"/>
        <w:jc w:val="left"/>
        <w:rPr>
          <w:sz w:val="12"/>
        </w:rPr>
      </w:pPr>
      <w:r>
        <w:rPr>
          <w:w w:val="105"/>
          <w:sz w:val="12"/>
        </w:rPr>
        <w:t>Range of forecasts</w:t>
      </w:r>
    </w:p>
    <w:p>
      <w:pPr>
        <w:spacing w:before="78"/>
        <w:ind w:left="185" w:right="0" w:firstLine="0"/>
        <w:jc w:val="left"/>
        <w:rPr>
          <w:sz w:val="12"/>
        </w:rPr>
      </w:pPr>
      <w:r>
        <w:rPr>
          <w:w w:val="110"/>
          <w:sz w:val="12"/>
        </w:rPr>
        <w:t>Source: Survey of 21 outside forecasters as of 7 February 2001.</w:t>
      </w:r>
    </w:p>
    <w:p>
      <w:pPr>
        <w:spacing w:after="0"/>
        <w:jc w:val="left"/>
        <w:rPr>
          <w:sz w:val="12"/>
        </w:rPr>
        <w:sectPr>
          <w:type w:val="continuous"/>
          <w:pgSz w:w="11900" w:h="16840"/>
          <w:pgMar w:top="1260" w:bottom="280" w:left="640" w:right="640"/>
        </w:sectPr>
      </w:pPr>
    </w:p>
    <w:p>
      <w:pPr>
        <w:pStyle w:val="BodyText"/>
        <w:spacing w:line="20" w:lineRule="exact"/>
        <w:ind w:left="158"/>
        <w:rPr>
          <w:sz w:val="2"/>
        </w:rPr>
      </w:pPr>
      <w:r>
        <w:rPr>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sz w:val="2"/>
        </w:rPr>
      </w:r>
    </w:p>
    <w:p>
      <w:pPr>
        <w:pStyle w:val="BodyText"/>
        <w:spacing w:before="5"/>
        <w:rPr>
          <w:sz w:val="29"/>
        </w:rPr>
      </w:pPr>
    </w:p>
    <w:p>
      <w:pPr>
        <w:spacing w:after="0"/>
        <w:rPr>
          <w:sz w:val="29"/>
        </w:rPr>
        <w:sectPr>
          <w:headerReference w:type="default" r:id="rId182"/>
          <w:footerReference w:type="default" r:id="rId183"/>
          <w:footerReference w:type="even" r:id="rId184"/>
          <w:pgSz w:w="11900" w:h="16840"/>
          <w:pgMar w:header="0" w:footer="585" w:top="820" w:bottom="780" w:left="640" w:right="640"/>
          <w:pgNumType w:start="71"/>
        </w:sectPr>
      </w:pPr>
    </w:p>
    <w:p>
      <w:pPr>
        <w:pStyle w:val="Heading1"/>
        <w:spacing w:line="416" w:lineRule="exact" w:before="95"/>
      </w:pPr>
      <w:bookmarkStart w:name="Agents' summary of business conditions" w:id="101"/>
      <w:bookmarkEnd w:id="101"/>
      <w:r>
        <w:rPr>
          <w:b w:val="0"/>
        </w:rPr>
      </w:r>
      <w:bookmarkStart w:name="_bookmark52" w:id="102"/>
      <w:bookmarkEnd w:id="102"/>
      <w:r>
        <w:rPr>
          <w:b w:val="0"/>
        </w:rPr>
      </w:r>
      <w:r>
        <w:rPr>
          <w:color w:val="006CB4"/>
        </w:rPr>
        <w:t>Bank of England</w:t>
      </w:r>
    </w:p>
    <w:p>
      <w:pPr>
        <w:spacing w:line="247" w:lineRule="auto" w:before="0"/>
        <w:ind w:left="183" w:right="26" w:firstLine="0"/>
        <w:jc w:val="left"/>
        <w:rPr>
          <w:rFonts w:ascii="Trebuchet MS" w:hAnsi="Trebuchet MS"/>
          <w:b/>
          <w:sz w:val="48"/>
        </w:rPr>
      </w:pPr>
      <w:r>
        <w:rPr>
          <w:rFonts w:ascii="Trebuchet MS" w:hAnsi="Trebuchet MS"/>
          <w:b/>
          <w:color w:val="006CB4"/>
          <w:spacing w:val="-4"/>
          <w:w w:val="95"/>
          <w:sz w:val="48"/>
        </w:rPr>
        <w:t>Agents’</w:t>
      </w:r>
      <w:r>
        <w:rPr>
          <w:rFonts w:ascii="Trebuchet MS" w:hAnsi="Trebuchet MS"/>
          <w:b/>
          <w:color w:val="006CB4"/>
          <w:spacing w:val="-71"/>
          <w:w w:val="95"/>
          <w:sz w:val="48"/>
        </w:rPr>
        <w:t> </w:t>
      </w:r>
      <w:r>
        <w:rPr>
          <w:rFonts w:ascii="Trebuchet MS" w:hAnsi="Trebuchet MS"/>
          <w:b/>
          <w:color w:val="006CB4"/>
          <w:w w:val="95"/>
          <w:sz w:val="48"/>
        </w:rPr>
        <w:t>summary</w:t>
      </w:r>
      <w:r>
        <w:rPr>
          <w:rFonts w:ascii="Trebuchet MS" w:hAnsi="Trebuchet MS"/>
          <w:b/>
          <w:color w:val="006CB4"/>
          <w:spacing w:val="-57"/>
          <w:w w:val="95"/>
          <w:sz w:val="48"/>
        </w:rPr>
        <w:t> </w:t>
      </w:r>
      <w:r>
        <w:rPr>
          <w:rFonts w:ascii="Trebuchet MS" w:hAnsi="Trebuchet MS"/>
          <w:b/>
          <w:color w:val="006CB4"/>
          <w:w w:val="95"/>
          <w:sz w:val="48"/>
        </w:rPr>
        <w:t>of business</w:t>
      </w:r>
      <w:r>
        <w:rPr>
          <w:rFonts w:ascii="Trebuchet MS" w:hAnsi="Trebuchet MS"/>
          <w:b/>
          <w:color w:val="006CB4"/>
          <w:spacing w:val="-68"/>
          <w:w w:val="95"/>
          <w:sz w:val="48"/>
        </w:rPr>
        <w:t> </w:t>
      </w:r>
      <w:r>
        <w:rPr>
          <w:rFonts w:ascii="Trebuchet MS" w:hAnsi="Trebuchet MS"/>
          <w:b/>
          <w:color w:val="006CB4"/>
          <w:w w:val="95"/>
          <w:sz w:val="48"/>
        </w:rPr>
        <w:t>conditions</w:t>
      </w:r>
    </w:p>
    <w:p>
      <w:pPr>
        <w:pStyle w:val="BodyText"/>
        <w:rPr>
          <w:rFonts w:ascii="Trebuchet MS"/>
          <w:b/>
          <w:sz w:val="22"/>
        </w:rPr>
      </w:pPr>
      <w:r>
        <w:rPr/>
        <w:br w:type="column"/>
      </w:r>
      <w:r>
        <w:rPr>
          <w:rFonts w:ascii="Trebuchet MS"/>
          <w:b/>
          <w:sz w:val="22"/>
        </w:rPr>
      </w:r>
    </w:p>
    <w:p>
      <w:pPr>
        <w:pStyle w:val="BodyText"/>
        <w:rPr>
          <w:rFonts w:ascii="Trebuchet MS"/>
          <w:b/>
          <w:sz w:val="22"/>
        </w:rPr>
      </w:pPr>
    </w:p>
    <w:p>
      <w:pPr>
        <w:pStyle w:val="BodyText"/>
        <w:rPr>
          <w:rFonts w:ascii="Trebuchet MS"/>
          <w:b/>
          <w:sz w:val="22"/>
        </w:rPr>
      </w:pPr>
    </w:p>
    <w:p>
      <w:pPr>
        <w:pStyle w:val="BodyText"/>
        <w:spacing w:before="11"/>
        <w:rPr>
          <w:rFonts w:ascii="Trebuchet MS"/>
          <w:b/>
          <w:sz w:val="27"/>
        </w:rPr>
      </w:pPr>
    </w:p>
    <w:p>
      <w:pPr>
        <w:spacing w:before="0"/>
        <w:ind w:left="183" w:right="0" w:firstLine="0"/>
        <w:jc w:val="left"/>
        <w:rPr>
          <w:rFonts w:ascii="Trebuchet MS"/>
          <w:b/>
          <w:sz w:val="20"/>
        </w:rPr>
      </w:pPr>
      <w:r>
        <w:rPr>
          <w:rFonts w:ascii="Trebuchet MS"/>
          <w:b/>
          <w:color w:val="006CB4"/>
          <w:spacing w:val="-8"/>
          <w:w w:val="76"/>
          <w:sz w:val="20"/>
        </w:rPr>
        <w:t>F</w:t>
      </w:r>
      <w:r>
        <w:rPr>
          <w:rFonts w:ascii="Trebuchet MS"/>
          <w:b/>
          <w:color w:val="006CB4"/>
          <w:spacing w:val="-1"/>
          <w:w w:val="87"/>
          <w:sz w:val="20"/>
        </w:rPr>
        <w:t>eb</w:t>
      </w:r>
      <w:r>
        <w:rPr>
          <w:rFonts w:ascii="Trebuchet MS"/>
          <w:b/>
          <w:color w:val="006CB4"/>
          <w:spacing w:val="1"/>
          <w:w w:val="87"/>
          <w:sz w:val="20"/>
        </w:rPr>
        <w:t>r</w:t>
      </w:r>
      <w:r>
        <w:rPr>
          <w:rFonts w:ascii="Trebuchet MS"/>
          <w:b/>
          <w:color w:val="006CB4"/>
          <w:spacing w:val="-1"/>
          <w:w w:val="88"/>
          <w:sz w:val="20"/>
        </w:rPr>
        <w:t>ua</w:t>
      </w:r>
      <w:r>
        <w:rPr>
          <w:rFonts w:ascii="Trebuchet MS"/>
          <w:b/>
          <w:color w:val="006CB4"/>
          <w:spacing w:val="3"/>
          <w:w w:val="88"/>
          <w:sz w:val="20"/>
        </w:rPr>
        <w:t>r</w:t>
      </w:r>
      <w:r>
        <w:rPr>
          <w:rFonts w:ascii="Trebuchet MS"/>
          <w:b/>
          <w:color w:val="006CB4"/>
          <w:w w:val="93"/>
          <w:sz w:val="20"/>
        </w:rPr>
        <w:t>y</w:t>
      </w:r>
      <w:r>
        <w:rPr>
          <w:rFonts w:ascii="Trebuchet MS"/>
          <w:b/>
          <w:color w:val="006CB4"/>
          <w:spacing w:val="6"/>
          <w:sz w:val="20"/>
        </w:rPr>
        <w:t> </w:t>
      </w:r>
      <w:r>
        <w:rPr>
          <w:rFonts w:ascii="Trebuchet MS"/>
          <w:b/>
          <w:smallCaps/>
          <w:color w:val="006CB4"/>
          <w:spacing w:val="-1"/>
          <w:w w:val="87"/>
          <w:sz w:val="20"/>
        </w:rPr>
        <w:t>2001</w:t>
      </w:r>
    </w:p>
    <w:p>
      <w:pPr>
        <w:spacing w:after="0"/>
        <w:jc w:val="left"/>
        <w:rPr>
          <w:rFonts w:ascii="Trebuchet MS"/>
          <w:sz w:val="20"/>
        </w:rPr>
        <w:sectPr>
          <w:type w:val="continuous"/>
          <w:pgSz w:w="11900" w:h="16840"/>
          <w:pgMar w:top="1260" w:bottom="280" w:left="640" w:right="640"/>
          <w:cols w:num="2" w:equalWidth="0">
            <w:col w:w="4299" w:space="4775"/>
            <w:col w:w="1546"/>
          </w:cols>
        </w:sectPr>
      </w:pPr>
    </w:p>
    <w:p>
      <w:pPr>
        <w:pStyle w:val="BodyText"/>
        <w:rPr>
          <w:rFonts w:ascii="Trebuchet MS"/>
          <w:b/>
        </w:rPr>
      </w:pPr>
    </w:p>
    <w:p>
      <w:pPr>
        <w:pStyle w:val="BodyText"/>
        <w:rPr>
          <w:rFonts w:ascii="Trebuchet MS"/>
          <w:b/>
        </w:rPr>
      </w:pPr>
    </w:p>
    <w:p>
      <w:pPr>
        <w:pStyle w:val="BodyText"/>
        <w:spacing w:before="2"/>
        <w:rPr>
          <w:rFonts w:ascii="Trebuchet MS"/>
          <w:b/>
          <w:sz w:val="23"/>
        </w:rPr>
      </w:pPr>
    </w:p>
    <w:p>
      <w:pPr>
        <w:pStyle w:val="BodyText"/>
        <w:ind w:left="176"/>
        <w:rPr>
          <w:rFonts w:ascii="Trebuchet MS"/>
        </w:rPr>
      </w:pPr>
      <w:r>
        <w:rPr>
          <w:rFonts w:ascii="Trebuchet MS"/>
          <w:position w:val="0"/>
        </w:rPr>
        <w:pict>
          <v:shape style="width:515.9pt;height:103pt;mso-position-horizontal-relative:char;mso-position-vertical-relative:line" type="#_x0000_t202" filled="false" stroked="true" strokeweight="1pt" strokecolor="#006cb4">
            <w10:anchorlock/>
            <v:textbox inset="0,0,0,0">
              <w:txbxContent>
                <w:p>
                  <w:pPr>
                    <w:spacing w:line="292" w:lineRule="auto" w:before="147"/>
                    <w:ind w:left="250" w:right="252" w:firstLine="0"/>
                    <w:jc w:val="left"/>
                    <w:rPr>
                      <w:i/>
                      <w:sz w:val="20"/>
                    </w:rPr>
                  </w:pPr>
                  <w:r>
                    <w:rPr>
                      <w:i/>
                      <w:spacing w:val="-1"/>
                      <w:w w:val="95"/>
                      <w:sz w:val="20"/>
                    </w:rPr>
                    <w:t>Thi</w:t>
                  </w:r>
                  <w:r>
                    <w:rPr>
                      <w:i/>
                      <w:w w:val="95"/>
                      <w:sz w:val="20"/>
                    </w:rPr>
                    <w:t>s</w:t>
                  </w:r>
                  <w:r>
                    <w:rPr>
                      <w:i/>
                      <w:sz w:val="20"/>
                    </w:rPr>
                    <w:t> </w:t>
                  </w:r>
                  <w:r>
                    <w:rPr>
                      <w:i/>
                      <w:smallCaps/>
                      <w:spacing w:val="-1"/>
                      <w:w w:val="85"/>
                      <w:sz w:val="20"/>
                    </w:rPr>
                    <w:t>publicatio</w:t>
                  </w:r>
                  <w:r>
                    <w:rPr>
                      <w:i/>
                      <w:smallCaps/>
                      <w:w w:val="85"/>
                      <w:sz w:val="20"/>
                    </w:rPr>
                    <w:t>n</w:t>
                  </w:r>
                  <w:r>
                    <w:rPr>
                      <w:i/>
                      <w:smallCaps w:val="0"/>
                      <w:sz w:val="20"/>
                    </w:rPr>
                    <w:t> </w:t>
                  </w:r>
                  <w:r>
                    <w:rPr>
                      <w:i/>
                      <w:smallCaps w:val="0"/>
                      <w:spacing w:val="-1"/>
                      <w:w w:val="93"/>
                      <w:sz w:val="20"/>
                    </w:rPr>
                    <w:t>i</w:t>
                  </w:r>
                  <w:r>
                    <w:rPr>
                      <w:i/>
                      <w:smallCaps w:val="0"/>
                      <w:w w:val="93"/>
                      <w:sz w:val="20"/>
                    </w:rPr>
                    <w:t>s</w:t>
                  </w:r>
                  <w:r>
                    <w:rPr>
                      <w:i/>
                      <w:smallCaps w:val="0"/>
                      <w:sz w:val="20"/>
                    </w:rPr>
                    <w:t> </w:t>
                  </w:r>
                  <w:r>
                    <w:rPr>
                      <w:i/>
                      <w:smallCaps/>
                      <w:w w:val="99"/>
                      <w:sz w:val="20"/>
                    </w:rPr>
                    <w:t>a</w:t>
                  </w:r>
                  <w:r>
                    <w:rPr>
                      <w:i/>
                      <w:smallCaps w:val="0"/>
                      <w:sz w:val="20"/>
                    </w:rPr>
                    <w:t> </w:t>
                  </w:r>
                  <w:r>
                    <w:rPr>
                      <w:i/>
                      <w:smallCaps/>
                      <w:spacing w:val="-1"/>
                      <w:w w:val="92"/>
                      <w:sz w:val="20"/>
                    </w:rPr>
                    <w:t>summa</w:t>
                  </w:r>
                  <w:r>
                    <w:rPr>
                      <w:i/>
                      <w:smallCaps/>
                      <w:spacing w:val="5"/>
                      <w:w w:val="92"/>
                      <w:sz w:val="20"/>
                    </w:rPr>
                    <w:t>r</w:t>
                  </w:r>
                  <w:r>
                    <w:rPr>
                      <w:i/>
                      <w:smallCaps w:val="0"/>
                      <w:w w:val="96"/>
                      <w:sz w:val="20"/>
                    </w:rPr>
                    <w:t>y</w:t>
                  </w:r>
                  <w:r>
                    <w:rPr>
                      <w:i/>
                      <w:smallCaps w:val="0"/>
                      <w:sz w:val="20"/>
                    </w:rPr>
                    <w:t> </w:t>
                  </w:r>
                  <w:r>
                    <w:rPr>
                      <w:i/>
                      <w:smallCaps w:val="0"/>
                      <w:spacing w:val="-1"/>
                      <w:w w:val="98"/>
                      <w:sz w:val="20"/>
                    </w:rPr>
                    <w:t>o</w:t>
                  </w:r>
                  <w:r>
                    <w:rPr>
                      <w:i/>
                      <w:smallCaps w:val="0"/>
                      <w:w w:val="98"/>
                      <w:sz w:val="20"/>
                    </w:rPr>
                    <w:t>f</w:t>
                  </w:r>
                  <w:r>
                    <w:rPr>
                      <w:i/>
                      <w:smallCaps w:val="0"/>
                      <w:sz w:val="20"/>
                    </w:rPr>
                    <w:t> </w:t>
                  </w:r>
                  <w:r>
                    <w:rPr>
                      <w:i/>
                      <w:smallCaps w:val="0"/>
                      <w:spacing w:val="-1"/>
                      <w:w w:val="96"/>
                      <w:sz w:val="20"/>
                    </w:rPr>
                    <w:t>month</w:t>
                  </w:r>
                  <w:r>
                    <w:rPr>
                      <w:i/>
                      <w:smallCaps w:val="0"/>
                      <w:spacing w:val="-4"/>
                      <w:w w:val="96"/>
                      <w:sz w:val="20"/>
                    </w:rPr>
                    <w:t>l</w:t>
                  </w:r>
                  <w:r>
                    <w:rPr>
                      <w:i/>
                      <w:smallCaps w:val="0"/>
                      <w:w w:val="96"/>
                      <w:sz w:val="20"/>
                    </w:rPr>
                    <w:t>y</w:t>
                  </w:r>
                  <w:r>
                    <w:rPr>
                      <w:i/>
                      <w:smallCaps w:val="0"/>
                      <w:sz w:val="20"/>
                    </w:rPr>
                    <w:t> </w:t>
                  </w:r>
                  <w:r>
                    <w:rPr>
                      <w:i/>
                      <w:smallCaps w:val="0"/>
                      <w:spacing w:val="-4"/>
                      <w:w w:val="86"/>
                      <w:sz w:val="20"/>
                    </w:rPr>
                    <w:t>r</w:t>
                  </w:r>
                  <w:r>
                    <w:rPr>
                      <w:i/>
                      <w:smallCaps w:val="0"/>
                      <w:spacing w:val="-1"/>
                      <w:w w:val="96"/>
                      <w:sz w:val="20"/>
                    </w:rPr>
                    <w:t>eport</w:t>
                  </w:r>
                  <w:r>
                    <w:rPr>
                      <w:i/>
                      <w:smallCaps w:val="0"/>
                      <w:w w:val="96"/>
                      <w:sz w:val="20"/>
                    </w:rPr>
                    <w:t>s</w:t>
                  </w:r>
                  <w:r>
                    <w:rPr>
                      <w:i/>
                      <w:smallCaps w:val="0"/>
                      <w:sz w:val="20"/>
                    </w:rPr>
                    <w:t> </w:t>
                  </w:r>
                  <w:r>
                    <w:rPr>
                      <w:i/>
                      <w:smallCaps w:val="0"/>
                      <w:spacing w:val="-1"/>
                      <w:w w:val="94"/>
                      <w:sz w:val="20"/>
                    </w:rPr>
                    <w:t>compile</w:t>
                  </w:r>
                  <w:r>
                    <w:rPr>
                      <w:i/>
                      <w:smallCaps w:val="0"/>
                      <w:w w:val="94"/>
                      <w:sz w:val="20"/>
                    </w:rPr>
                    <w:t>d</w:t>
                  </w:r>
                  <w:r>
                    <w:rPr>
                      <w:i/>
                      <w:smallCaps w:val="0"/>
                      <w:sz w:val="20"/>
                    </w:rPr>
                    <w:t> </w:t>
                  </w:r>
                  <w:r>
                    <w:rPr>
                      <w:i/>
                      <w:smallCaps w:val="0"/>
                      <w:spacing w:val="-4"/>
                      <w:w w:val="96"/>
                      <w:sz w:val="20"/>
                    </w:rPr>
                    <w:t>b</w:t>
                  </w:r>
                  <w:r>
                    <w:rPr>
                      <w:i/>
                      <w:smallCaps w:val="0"/>
                      <w:w w:val="96"/>
                      <w:sz w:val="20"/>
                    </w:rPr>
                    <w:t>y</w:t>
                  </w:r>
                  <w:r>
                    <w:rPr>
                      <w:i/>
                      <w:smallCaps w:val="0"/>
                      <w:sz w:val="20"/>
                    </w:rPr>
                    <w:t> </w:t>
                  </w:r>
                  <w:r>
                    <w:rPr>
                      <w:i/>
                      <w:smallCaps w:val="0"/>
                      <w:spacing w:val="-1"/>
                      <w:w w:val="98"/>
                      <w:sz w:val="20"/>
                    </w:rPr>
                    <w:t>th</w:t>
                  </w:r>
                  <w:r>
                    <w:rPr>
                      <w:i/>
                      <w:smallCaps w:val="0"/>
                      <w:w w:val="98"/>
                      <w:sz w:val="20"/>
                    </w:rPr>
                    <w:t>e</w:t>
                  </w:r>
                  <w:r>
                    <w:rPr>
                      <w:i/>
                      <w:smallCaps w:val="0"/>
                      <w:sz w:val="20"/>
                    </w:rPr>
                    <w:t> </w:t>
                  </w:r>
                  <w:r>
                    <w:rPr>
                      <w:i/>
                      <w:smallCaps/>
                      <w:spacing w:val="-1"/>
                      <w:w w:val="89"/>
                      <w:sz w:val="20"/>
                    </w:rPr>
                    <w:t>Ban</w:t>
                  </w:r>
                  <w:r>
                    <w:rPr>
                      <w:i/>
                      <w:smallCaps/>
                      <w:w w:val="89"/>
                      <w:sz w:val="20"/>
                    </w:rPr>
                    <w:t>k</w:t>
                  </w:r>
                  <w:r>
                    <w:rPr>
                      <w:i/>
                      <w:smallCaps w:val="0"/>
                      <w:sz w:val="20"/>
                    </w:rPr>
                    <w:t> </w:t>
                  </w:r>
                  <w:r>
                    <w:rPr>
                      <w:i/>
                      <w:smallCaps w:val="0"/>
                      <w:spacing w:val="-1"/>
                      <w:w w:val="98"/>
                      <w:sz w:val="20"/>
                    </w:rPr>
                    <w:t>o</w:t>
                  </w:r>
                  <w:r>
                    <w:rPr>
                      <w:i/>
                      <w:smallCaps w:val="0"/>
                      <w:w w:val="98"/>
                      <w:sz w:val="20"/>
                    </w:rPr>
                    <w:t>f</w:t>
                  </w:r>
                  <w:r>
                    <w:rPr>
                      <w:i/>
                      <w:smallCaps w:val="0"/>
                      <w:sz w:val="20"/>
                    </w:rPr>
                    <w:t> </w:t>
                  </w:r>
                  <w:r>
                    <w:rPr>
                      <w:i/>
                      <w:smallCaps/>
                      <w:spacing w:val="-1"/>
                      <w:w w:val="84"/>
                      <w:sz w:val="20"/>
                    </w:rPr>
                    <w:t>England</w:t>
                  </w:r>
                  <w:r>
                    <w:rPr>
                      <w:i/>
                      <w:smallCaps/>
                      <w:spacing w:val="-19"/>
                      <w:w w:val="84"/>
                      <w:sz w:val="20"/>
                    </w:rPr>
                    <w:t>’</w:t>
                  </w:r>
                  <w:r>
                    <w:rPr>
                      <w:i/>
                      <w:smallCaps w:val="0"/>
                      <w:w w:val="93"/>
                      <w:sz w:val="20"/>
                    </w:rPr>
                    <w:t>s</w:t>
                  </w:r>
                  <w:r>
                    <w:rPr>
                      <w:i/>
                      <w:smallCaps w:val="0"/>
                      <w:sz w:val="20"/>
                    </w:rPr>
                    <w:t> </w:t>
                  </w:r>
                  <w:r>
                    <w:rPr>
                      <w:i/>
                      <w:smallCaps w:val="0"/>
                      <w:spacing w:val="-1"/>
                      <w:w w:val="96"/>
                      <w:sz w:val="20"/>
                    </w:rPr>
                    <w:t>Agents</w:t>
                  </w:r>
                  <w:r>
                    <w:rPr>
                      <w:i/>
                      <w:smallCaps w:val="0"/>
                      <w:w w:val="96"/>
                      <w:sz w:val="20"/>
                    </w:rPr>
                    <w:t>,</w:t>
                  </w:r>
                  <w:r>
                    <w:rPr>
                      <w:smallCaps w:val="0"/>
                      <w:w w:val="109"/>
                      <w:position w:val="5"/>
                      <w:sz w:val="14"/>
                    </w:rPr>
                    <w:t>(1)</w:t>
                  </w:r>
                  <w:r>
                    <w:rPr>
                      <w:smallCaps w:val="0"/>
                      <w:spacing w:val="15"/>
                      <w:position w:val="5"/>
                      <w:sz w:val="14"/>
                    </w:rPr>
                    <w:t> </w:t>
                  </w:r>
                  <w:r>
                    <w:rPr>
                      <w:i/>
                      <w:smallCaps w:val="0"/>
                      <w:spacing w:val="-1"/>
                      <w:w w:val="93"/>
                      <w:sz w:val="20"/>
                    </w:rPr>
                    <w:t>foll</w:t>
                  </w:r>
                  <w:r>
                    <w:rPr>
                      <w:i/>
                      <w:smallCaps w:val="0"/>
                      <w:spacing w:val="-3"/>
                      <w:w w:val="93"/>
                      <w:sz w:val="20"/>
                    </w:rPr>
                    <w:t>o</w:t>
                  </w:r>
                  <w:r>
                    <w:rPr>
                      <w:i/>
                      <w:smallCaps w:val="0"/>
                      <w:spacing w:val="-1"/>
                      <w:w w:val="91"/>
                      <w:sz w:val="20"/>
                    </w:rPr>
                    <w:t>win</w:t>
                  </w:r>
                  <w:r>
                    <w:rPr>
                      <w:i/>
                      <w:smallCaps w:val="0"/>
                      <w:w w:val="91"/>
                      <w:sz w:val="20"/>
                    </w:rPr>
                    <w:t>g</w:t>
                  </w:r>
                  <w:r>
                    <w:rPr>
                      <w:i/>
                      <w:smallCaps w:val="0"/>
                      <w:sz w:val="20"/>
                    </w:rPr>
                    <w:t> </w:t>
                  </w:r>
                  <w:r>
                    <w:rPr>
                      <w:i/>
                      <w:smallCaps w:val="0"/>
                      <w:spacing w:val="-1"/>
                      <w:w w:val="94"/>
                      <w:sz w:val="20"/>
                    </w:rPr>
                    <w:t>discussion</w:t>
                  </w:r>
                  <w:r>
                    <w:rPr>
                      <w:i/>
                      <w:smallCaps w:val="0"/>
                      <w:w w:val="94"/>
                      <w:sz w:val="20"/>
                    </w:rPr>
                    <w:t>s</w:t>
                  </w:r>
                  <w:r>
                    <w:rPr>
                      <w:i/>
                      <w:smallCaps w:val="0"/>
                      <w:sz w:val="20"/>
                    </w:rPr>
                    <w:t> </w:t>
                  </w:r>
                  <w:r>
                    <w:rPr>
                      <w:i/>
                      <w:smallCaps w:val="0"/>
                      <w:spacing w:val="-1"/>
                      <w:w w:val="94"/>
                      <w:sz w:val="20"/>
                    </w:rPr>
                    <w:t>with</w:t>
                  </w:r>
                  <w:r>
                    <w:rPr>
                      <w:i/>
                      <w:smallCaps w:val="0"/>
                      <w:spacing w:val="-1"/>
                      <w:w w:val="94"/>
                      <w:sz w:val="20"/>
                    </w:rPr>
                    <w:t> </w:t>
                  </w:r>
                  <w:r>
                    <w:rPr>
                      <w:i/>
                      <w:smallCaps/>
                      <w:spacing w:val="-1"/>
                      <w:w w:val="84"/>
                      <w:sz w:val="20"/>
                    </w:rPr>
                    <w:t>a</w:t>
                  </w:r>
                  <w:r>
                    <w:rPr>
                      <w:i/>
                      <w:smallCaps/>
                      <w:spacing w:val="-2"/>
                      <w:w w:val="84"/>
                      <w:sz w:val="20"/>
                    </w:rPr>
                    <w:t>r</w:t>
                  </w:r>
                  <w:r>
                    <w:rPr>
                      <w:i/>
                      <w:smallCaps w:val="0"/>
                      <w:spacing w:val="-1"/>
                      <w:w w:val="96"/>
                      <w:sz w:val="20"/>
                    </w:rPr>
                    <w:t>oun</w:t>
                  </w:r>
                  <w:r>
                    <w:rPr>
                      <w:i/>
                      <w:smallCaps w:val="0"/>
                      <w:w w:val="96"/>
                      <w:sz w:val="20"/>
                    </w:rPr>
                    <w:t>d</w:t>
                  </w:r>
                  <w:r>
                    <w:rPr>
                      <w:i/>
                      <w:smallCaps w:val="0"/>
                      <w:sz w:val="20"/>
                    </w:rPr>
                    <w:t> </w:t>
                  </w:r>
                  <w:r>
                    <w:rPr>
                      <w:i/>
                      <w:smallCaps w:val="0"/>
                      <w:spacing w:val="-1"/>
                      <w:w w:val="116"/>
                      <w:sz w:val="20"/>
                    </w:rPr>
                    <w:t>1,</w:t>
                  </w:r>
                  <w:r>
                    <w:rPr>
                      <w:i/>
                      <w:smallCaps w:val="0"/>
                      <w:spacing w:val="-27"/>
                      <w:w w:val="121"/>
                      <w:sz w:val="20"/>
                    </w:rPr>
                    <w:t>7</w:t>
                  </w:r>
                  <w:r>
                    <w:rPr>
                      <w:i/>
                      <w:smallCaps w:val="0"/>
                      <w:spacing w:val="-1"/>
                      <w:w w:val="115"/>
                      <w:sz w:val="20"/>
                    </w:rPr>
                    <w:t>0</w:t>
                  </w:r>
                  <w:r>
                    <w:rPr>
                      <w:i/>
                      <w:smallCaps w:val="0"/>
                      <w:w w:val="115"/>
                      <w:sz w:val="20"/>
                    </w:rPr>
                    <w:t>0</w:t>
                  </w:r>
                  <w:r>
                    <w:rPr>
                      <w:i/>
                      <w:smallCaps w:val="0"/>
                      <w:sz w:val="20"/>
                    </w:rPr>
                    <w:t> </w:t>
                  </w:r>
                  <w:r>
                    <w:rPr>
                      <w:i/>
                      <w:smallCaps w:val="0"/>
                      <w:spacing w:val="-1"/>
                      <w:w w:val="94"/>
                      <w:sz w:val="20"/>
                    </w:rPr>
                    <w:t>busin</w:t>
                  </w:r>
                  <w:r>
                    <w:rPr>
                      <w:i/>
                      <w:smallCaps w:val="0"/>
                      <w:spacing w:val="-4"/>
                      <w:w w:val="94"/>
                      <w:sz w:val="20"/>
                    </w:rPr>
                    <w:t>e</w:t>
                  </w:r>
                  <w:r>
                    <w:rPr>
                      <w:i/>
                      <w:smallCaps w:val="0"/>
                      <w:spacing w:val="-1"/>
                      <w:w w:val="92"/>
                      <w:sz w:val="20"/>
                    </w:rPr>
                    <w:t>ss</w:t>
                  </w:r>
                  <w:r>
                    <w:rPr>
                      <w:i/>
                      <w:smallCaps w:val="0"/>
                      <w:spacing w:val="-4"/>
                      <w:w w:val="92"/>
                      <w:sz w:val="20"/>
                    </w:rPr>
                    <w:t>e</w:t>
                  </w:r>
                  <w:r>
                    <w:rPr>
                      <w:i/>
                      <w:smallCaps w:val="0"/>
                      <w:w w:val="93"/>
                      <w:sz w:val="20"/>
                    </w:rPr>
                    <w:t>s</w:t>
                  </w:r>
                  <w:r>
                    <w:rPr>
                      <w:i/>
                      <w:smallCaps w:val="0"/>
                      <w:sz w:val="20"/>
                    </w:rPr>
                    <w:t> </w:t>
                  </w:r>
                  <w:r>
                    <w:rPr>
                      <w:i/>
                      <w:smallCaps w:val="0"/>
                      <w:spacing w:val="-1"/>
                      <w:w w:val="97"/>
                      <w:sz w:val="20"/>
                    </w:rPr>
                    <w:t>i</w:t>
                  </w:r>
                  <w:r>
                    <w:rPr>
                      <w:i/>
                      <w:smallCaps w:val="0"/>
                      <w:w w:val="97"/>
                      <w:sz w:val="20"/>
                    </w:rPr>
                    <w:t>n</w:t>
                  </w:r>
                  <w:r>
                    <w:rPr>
                      <w:i/>
                      <w:smallCaps w:val="0"/>
                      <w:sz w:val="20"/>
                    </w:rPr>
                    <w:t> </w:t>
                  </w:r>
                  <w:r>
                    <w:rPr>
                      <w:i/>
                      <w:smallCaps w:val="0"/>
                      <w:spacing w:val="-1"/>
                      <w:w w:val="98"/>
                      <w:sz w:val="20"/>
                    </w:rPr>
                    <w:t>th</w:t>
                  </w:r>
                  <w:r>
                    <w:rPr>
                      <w:i/>
                      <w:smallCaps w:val="0"/>
                      <w:w w:val="98"/>
                      <w:sz w:val="20"/>
                    </w:rPr>
                    <w:t>e</w:t>
                  </w:r>
                  <w:r>
                    <w:rPr>
                      <w:i/>
                      <w:smallCaps w:val="0"/>
                      <w:sz w:val="20"/>
                    </w:rPr>
                    <w:t> </w:t>
                  </w:r>
                  <w:r>
                    <w:rPr>
                      <w:i/>
                      <w:smallCaps w:val="0"/>
                      <w:spacing w:val="-1"/>
                      <w:w w:val="95"/>
                      <w:sz w:val="20"/>
                    </w:rPr>
                    <w:t>perio</w:t>
                  </w:r>
                  <w:r>
                    <w:rPr>
                      <w:i/>
                      <w:smallCaps w:val="0"/>
                      <w:w w:val="95"/>
                      <w:sz w:val="20"/>
                    </w:rPr>
                    <w:t>d</w:t>
                  </w:r>
                  <w:r>
                    <w:rPr>
                      <w:i/>
                      <w:smallCaps w:val="0"/>
                      <w:sz w:val="20"/>
                    </w:rPr>
                    <w:t> </w:t>
                  </w:r>
                  <w:r>
                    <w:rPr>
                      <w:i/>
                      <w:smallCaps w:val="0"/>
                      <w:spacing w:val="-1"/>
                      <w:w w:val="98"/>
                      <w:sz w:val="20"/>
                    </w:rPr>
                    <w:t>be</w:t>
                  </w:r>
                  <w:r>
                    <w:rPr>
                      <w:i/>
                      <w:smallCaps w:val="0"/>
                      <w:spacing w:val="-2"/>
                      <w:w w:val="98"/>
                      <w:sz w:val="20"/>
                    </w:rPr>
                    <w:t>t</w:t>
                  </w:r>
                  <w:r>
                    <w:rPr>
                      <w:i/>
                      <w:smallCaps w:val="0"/>
                      <w:spacing w:val="-6"/>
                      <w:w w:val="87"/>
                      <w:sz w:val="20"/>
                    </w:rPr>
                    <w:t>w</w:t>
                  </w:r>
                  <w:r>
                    <w:rPr>
                      <w:i/>
                      <w:smallCaps w:val="0"/>
                      <w:spacing w:val="-1"/>
                      <w:w w:val="94"/>
                      <w:sz w:val="20"/>
                    </w:rPr>
                    <w:t>ee</w:t>
                  </w:r>
                  <w:r>
                    <w:rPr>
                      <w:i/>
                      <w:smallCaps w:val="0"/>
                      <w:w w:val="94"/>
                      <w:sz w:val="20"/>
                    </w:rPr>
                    <w:t>n</w:t>
                  </w:r>
                  <w:r>
                    <w:rPr>
                      <w:i/>
                      <w:smallCaps w:val="0"/>
                      <w:sz w:val="20"/>
                    </w:rPr>
                    <w:t> </w:t>
                  </w:r>
                  <w:r>
                    <w:rPr>
                      <w:i/>
                      <w:smallCaps w:val="0"/>
                      <w:spacing w:val="-1"/>
                      <w:w w:val="99"/>
                      <w:sz w:val="20"/>
                    </w:rPr>
                    <w:t>mid-Oc</w:t>
                  </w:r>
                  <w:r>
                    <w:rPr>
                      <w:i/>
                      <w:smallCaps w:val="0"/>
                      <w:spacing w:val="-2"/>
                      <w:w w:val="99"/>
                      <w:sz w:val="20"/>
                    </w:rPr>
                    <w:t>t</w:t>
                  </w:r>
                  <w:r>
                    <w:rPr>
                      <w:i/>
                      <w:smallCaps w:val="0"/>
                      <w:spacing w:val="-1"/>
                      <w:w w:val="92"/>
                      <w:sz w:val="20"/>
                    </w:rPr>
                    <w:t>obe</w:t>
                  </w:r>
                  <w:r>
                    <w:rPr>
                      <w:i/>
                      <w:smallCaps w:val="0"/>
                      <w:w w:val="92"/>
                      <w:sz w:val="20"/>
                    </w:rPr>
                    <w:t>r</w:t>
                  </w:r>
                  <w:r>
                    <w:rPr>
                      <w:i/>
                      <w:smallCaps w:val="0"/>
                      <w:sz w:val="20"/>
                    </w:rPr>
                    <w:t> </w:t>
                  </w:r>
                  <w:r>
                    <w:rPr>
                      <w:i/>
                      <w:smallCaps/>
                      <w:spacing w:val="-1"/>
                      <w:w w:val="92"/>
                      <w:sz w:val="20"/>
                    </w:rPr>
                    <w:t>an</w:t>
                  </w:r>
                  <w:r>
                    <w:rPr>
                      <w:i/>
                      <w:smallCaps/>
                      <w:w w:val="92"/>
                      <w:sz w:val="20"/>
                    </w:rPr>
                    <w:t>d</w:t>
                  </w:r>
                  <w:r>
                    <w:rPr>
                      <w:i/>
                      <w:smallCaps w:val="0"/>
                      <w:sz w:val="20"/>
                    </w:rPr>
                    <w:t> </w:t>
                  </w:r>
                  <w:r>
                    <w:rPr>
                      <w:i/>
                      <w:smallCaps w:val="0"/>
                      <w:spacing w:val="-1"/>
                      <w:w w:val="92"/>
                      <w:sz w:val="20"/>
                    </w:rPr>
                    <w:t>mid-</w:t>
                  </w:r>
                  <w:r>
                    <w:rPr>
                      <w:i/>
                      <w:smallCaps w:val="0"/>
                      <w:spacing w:val="-12"/>
                      <w:w w:val="92"/>
                      <w:sz w:val="20"/>
                    </w:rPr>
                    <w:t>J</w:t>
                  </w:r>
                  <w:r>
                    <w:rPr>
                      <w:i/>
                      <w:smallCaps/>
                      <w:spacing w:val="-1"/>
                      <w:w w:val="88"/>
                      <w:sz w:val="20"/>
                    </w:rPr>
                    <w:t>anua</w:t>
                  </w:r>
                  <w:r>
                    <w:rPr>
                      <w:i/>
                      <w:smallCaps/>
                      <w:spacing w:val="5"/>
                      <w:w w:val="88"/>
                      <w:sz w:val="20"/>
                    </w:rPr>
                    <w:t>r</w:t>
                  </w:r>
                  <w:r>
                    <w:rPr>
                      <w:i/>
                      <w:smallCaps w:val="0"/>
                      <w:spacing w:val="-24"/>
                      <w:w w:val="96"/>
                      <w:sz w:val="20"/>
                    </w:rPr>
                    <w:t>y</w:t>
                  </w:r>
                  <w:r>
                    <w:rPr>
                      <w:i/>
                      <w:smallCaps w:val="0"/>
                      <w:w w:val="106"/>
                      <w:sz w:val="20"/>
                    </w:rPr>
                    <w:t>.</w:t>
                  </w:r>
                  <w:r>
                    <w:rPr>
                      <w:i/>
                      <w:smallCaps w:val="0"/>
                      <w:sz w:val="20"/>
                    </w:rPr>
                    <w:t> </w:t>
                  </w:r>
                  <w:r>
                    <w:rPr>
                      <w:i/>
                      <w:smallCaps w:val="0"/>
                      <w:spacing w:val="1"/>
                      <w:sz w:val="20"/>
                    </w:rPr>
                    <w:t> </w:t>
                  </w:r>
                  <w:r>
                    <w:rPr>
                      <w:i/>
                      <w:smallCaps w:val="0"/>
                      <w:spacing w:val="-1"/>
                      <w:w w:val="103"/>
                      <w:sz w:val="20"/>
                    </w:rPr>
                    <w:t>I</w:t>
                  </w:r>
                  <w:r>
                    <w:rPr>
                      <w:i/>
                      <w:smallCaps w:val="0"/>
                      <w:w w:val="103"/>
                      <w:sz w:val="20"/>
                    </w:rPr>
                    <w:t>t</w:t>
                  </w:r>
                  <w:r>
                    <w:rPr>
                      <w:i/>
                      <w:smallCaps w:val="0"/>
                      <w:sz w:val="20"/>
                    </w:rPr>
                    <w:t> </w:t>
                  </w:r>
                  <w:r>
                    <w:rPr>
                      <w:i/>
                      <w:smallCaps w:val="0"/>
                      <w:spacing w:val="-1"/>
                      <w:w w:val="94"/>
                      <w:sz w:val="20"/>
                    </w:rPr>
                    <w:t>p</w:t>
                  </w:r>
                  <w:r>
                    <w:rPr>
                      <w:i/>
                      <w:smallCaps w:val="0"/>
                      <w:spacing w:val="-2"/>
                      <w:w w:val="94"/>
                      <w:sz w:val="20"/>
                    </w:rPr>
                    <w:t>r</w:t>
                  </w:r>
                  <w:r>
                    <w:rPr>
                      <w:i/>
                      <w:smallCaps w:val="0"/>
                      <w:spacing w:val="-3"/>
                      <w:w w:val="95"/>
                      <w:sz w:val="20"/>
                    </w:rPr>
                    <w:t>o</w:t>
                  </w:r>
                  <w:r>
                    <w:rPr>
                      <w:i/>
                      <w:smallCaps w:val="0"/>
                      <w:spacing w:val="-1"/>
                      <w:w w:val="95"/>
                      <w:sz w:val="20"/>
                    </w:rPr>
                    <w:t>vid</w:t>
                  </w:r>
                  <w:r>
                    <w:rPr>
                      <w:i/>
                      <w:smallCaps w:val="0"/>
                      <w:spacing w:val="-4"/>
                      <w:w w:val="95"/>
                      <w:sz w:val="20"/>
                    </w:rPr>
                    <w:t>e</w:t>
                  </w:r>
                  <w:r>
                    <w:rPr>
                      <w:i/>
                      <w:smallCaps w:val="0"/>
                      <w:w w:val="93"/>
                      <w:sz w:val="20"/>
                    </w:rPr>
                    <w:t>s</w:t>
                  </w:r>
                  <w:r>
                    <w:rPr>
                      <w:i/>
                      <w:smallCaps w:val="0"/>
                      <w:sz w:val="20"/>
                    </w:rPr>
                    <w:t> </w:t>
                  </w:r>
                  <w:r>
                    <w:rPr>
                      <w:i/>
                      <w:smallCaps/>
                      <w:spacing w:val="-1"/>
                      <w:w w:val="85"/>
                      <w:sz w:val="20"/>
                    </w:rPr>
                    <w:t>informatio</w:t>
                  </w:r>
                  <w:r>
                    <w:rPr>
                      <w:i/>
                      <w:smallCaps/>
                      <w:w w:val="85"/>
                      <w:sz w:val="20"/>
                    </w:rPr>
                    <w:t>n</w:t>
                  </w:r>
                  <w:r>
                    <w:rPr>
                      <w:i/>
                      <w:smallCaps w:val="0"/>
                      <w:sz w:val="20"/>
                    </w:rPr>
                    <w:t> </w:t>
                  </w:r>
                  <w:r>
                    <w:rPr>
                      <w:i/>
                      <w:smallCaps w:val="0"/>
                      <w:spacing w:val="-1"/>
                      <w:w w:val="97"/>
                      <w:sz w:val="20"/>
                    </w:rPr>
                    <w:t>o</w:t>
                  </w:r>
                  <w:r>
                    <w:rPr>
                      <w:i/>
                      <w:smallCaps w:val="0"/>
                      <w:w w:val="97"/>
                      <w:sz w:val="20"/>
                    </w:rPr>
                    <w:t>n</w:t>
                  </w:r>
                  <w:r>
                    <w:rPr>
                      <w:i/>
                      <w:smallCaps w:val="0"/>
                      <w:sz w:val="20"/>
                    </w:rPr>
                    <w:t> </w:t>
                  </w:r>
                  <w:r>
                    <w:rPr>
                      <w:i/>
                      <w:smallCaps w:val="0"/>
                      <w:spacing w:val="-1"/>
                      <w:w w:val="98"/>
                      <w:sz w:val="20"/>
                    </w:rPr>
                    <w:t>th</w:t>
                  </w:r>
                  <w:r>
                    <w:rPr>
                      <w:i/>
                      <w:smallCaps w:val="0"/>
                      <w:w w:val="98"/>
                      <w:sz w:val="20"/>
                    </w:rPr>
                    <w:t>e</w:t>
                  </w:r>
                  <w:r>
                    <w:rPr>
                      <w:i/>
                      <w:smallCaps w:val="0"/>
                      <w:sz w:val="20"/>
                    </w:rPr>
                    <w:t> </w:t>
                  </w:r>
                  <w:r>
                    <w:rPr>
                      <w:i/>
                      <w:smallCaps w:val="0"/>
                      <w:spacing w:val="-1"/>
                      <w:w w:val="101"/>
                      <w:sz w:val="20"/>
                    </w:rPr>
                    <w:t>s</w:t>
                  </w:r>
                  <w:r>
                    <w:rPr>
                      <w:i/>
                      <w:smallCaps w:val="0"/>
                      <w:spacing w:val="-2"/>
                      <w:w w:val="101"/>
                      <w:sz w:val="20"/>
                    </w:rPr>
                    <w:t>t</w:t>
                  </w:r>
                  <w:r>
                    <w:rPr>
                      <w:i/>
                      <w:smallCaps/>
                      <w:spacing w:val="-1"/>
                      <w:w w:val="85"/>
                      <w:sz w:val="20"/>
                    </w:rPr>
                    <w:t>at</w:t>
                  </w:r>
                  <w:r>
                    <w:rPr>
                      <w:i/>
                      <w:smallCaps/>
                      <w:w w:val="85"/>
                      <w:sz w:val="20"/>
                    </w:rPr>
                    <w:t>e</w:t>
                  </w:r>
                  <w:r>
                    <w:rPr>
                      <w:i/>
                      <w:smallCaps w:val="0"/>
                      <w:sz w:val="20"/>
                    </w:rPr>
                    <w:t> </w:t>
                  </w:r>
                  <w:r>
                    <w:rPr>
                      <w:i/>
                      <w:smallCaps w:val="0"/>
                      <w:spacing w:val="-1"/>
                      <w:w w:val="98"/>
                      <w:sz w:val="20"/>
                    </w:rPr>
                    <w:t>o</w:t>
                  </w:r>
                  <w:r>
                    <w:rPr>
                      <w:i/>
                      <w:smallCaps w:val="0"/>
                      <w:w w:val="98"/>
                      <w:sz w:val="20"/>
                    </w:rPr>
                    <w:t>f</w:t>
                  </w:r>
                  <w:r>
                    <w:rPr>
                      <w:i/>
                      <w:smallCaps w:val="0"/>
                      <w:sz w:val="20"/>
                    </w:rPr>
                    <w:t> </w:t>
                  </w:r>
                  <w:r>
                    <w:rPr>
                      <w:i/>
                      <w:smallCaps w:val="0"/>
                      <w:spacing w:val="-1"/>
                      <w:w w:val="94"/>
                      <w:sz w:val="20"/>
                    </w:rPr>
                    <w:t>busin</w:t>
                  </w:r>
                  <w:r>
                    <w:rPr>
                      <w:i/>
                      <w:smallCaps w:val="0"/>
                      <w:spacing w:val="-5"/>
                      <w:w w:val="94"/>
                      <w:sz w:val="20"/>
                    </w:rPr>
                    <w:t>e</w:t>
                  </w:r>
                  <w:r>
                    <w:rPr>
                      <w:i/>
                      <w:smallCaps w:val="0"/>
                      <w:spacing w:val="-1"/>
                      <w:w w:val="93"/>
                      <w:sz w:val="20"/>
                    </w:rPr>
                    <w:t>ss </w:t>
                  </w:r>
                  <w:r>
                    <w:rPr>
                      <w:i/>
                      <w:smallCaps w:val="0"/>
                      <w:spacing w:val="-1"/>
                      <w:w w:val="97"/>
                      <w:sz w:val="20"/>
                    </w:rPr>
                    <w:t>conditions</w:t>
                  </w:r>
                  <w:r>
                    <w:rPr>
                      <w:i/>
                      <w:smallCaps w:val="0"/>
                      <w:w w:val="97"/>
                      <w:sz w:val="20"/>
                    </w:rPr>
                    <w:t>,</w:t>
                  </w:r>
                  <w:r>
                    <w:rPr>
                      <w:i/>
                      <w:smallCaps w:val="0"/>
                      <w:sz w:val="20"/>
                    </w:rPr>
                    <w:t> </w:t>
                  </w:r>
                  <w:r>
                    <w:rPr>
                      <w:i/>
                      <w:smallCaps w:val="0"/>
                      <w:spacing w:val="-1"/>
                      <w:w w:val="94"/>
                      <w:sz w:val="20"/>
                    </w:rPr>
                    <w:t>f</w:t>
                  </w:r>
                  <w:r>
                    <w:rPr>
                      <w:i/>
                      <w:smallCaps w:val="0"/>
                      <w:spacing w:val="-2"/>
                      <w:w w:val="94"/>
                      <w:sz w:val="20"/>
                    </w:rPr>
                    <w:t>r</w:t>
                  </w:r>
                  <w:r>
                    <w:rPr>
                      <w:i/>
                      <w:smallCaps w:val="0"/>
                      <w:spacing w:val="-1"/>
                      <w:w w:val="95"/>
                      <w:sz w:val="20"/>
                    </w:rPr>
                    <w:t>o</w:t>
                  </w:r>
                  <w:r>
                    <w:rPr>
                      <w:i/>
                      <w:smallCaps w:val="0"/>
                      <w:w w:val="95"/>
                      <w:sz w:val="20"/>
                    </w:rPr>
                    <w:t>m</w:t>
                  </w:r>
                  <w:r>
                    <w:rPr>
                      <w:i/>
                      <w:smallCaps w:val="0"/>
                      <w:sz w:val="20"/>
                    </w:rPr>
                    <w:t> </w:t>
                  </w:r>
                  <w:r>
                    <w:rPr>
                      <w:i/>
                      <w:smallCaps w:val="0"/>
                      <w:spacing w:val="-1"/>
                      <w:w w:val="94"/>
                      <w:sz w:val="20"/>
                    </w:rPr>
                    <w:t>firm</w:t>
                  </w:r>
                  <w:r>
                    <w:rPr>
                      <w:i/>
                      <w:smallCaps w:val="0"/>
                      <w:w w:val="94"/>
                      <w:sz w:val="20"/>
                    </w:rPr>
                    <w:t>s</w:t>
                  </w:r>
                  <w:r>
                    <w:rPr>
                      <w:i/>
                      <w:smallCaps w:val="0"/>
                      <w:sz w:val="20"/>
                    </w:rPr>
                    <w:t> </w:t>
                  </w:r>
                  <w:r>
                    <w:rPr>
                      <w:i/>
                      <w:smallCaps/>
                      <w:spacing w:val="-1"/>
                      <w:w w:val="81"/>
                      <w:sz w:val="20"/>
                    </w:rPr>
                    <w:t>ac</w:t>
                  </w:r>
                  <w:r>
                    <w:rPr>
                      <w:i/>
                      <w:smallCaps/>
                      <w:spacing w:val="-2"/>
                      <w:w w:val="81"/>
                      <w:sz w:val="20"/>
                    </w:rPr>
                    <w:t>r</w:t>
                  </w:r>
                  <w:r>
                    <w:rPr>
                      <w:i/>
                      <w:smallCaps w:val="0"/>
                      <w:spacing w:val="-1"/>
                      <w:w w:val="94"/>
                      <w:sz w:val="20"/>
                    </w:rPr>
                    <w:t>os</w:t>
                  </w:r>
                  <w:r>
                    <w:rPr>
                      <w:i/>
                      <w:smallCaps w:val="0"/>
                      <w:w w:val="94"/>
                      <w:sz w:val="20"/>
                    </w:rPr>
                    <w:t>s</w:t>
                  </w:r>
                  <w:r>
                    <w:rPr>
                      <w:i/>
                      <w:smallCaps w:val="0"/>
                      <w:sz w:val="20"/>
                    </w:rPr>
                    <w:t> </w:t>
                  </w:r>
                  <w:r>
                    <w:rPr>
                      <w:i/>
                      <w:smallCaps/>
                      <w:spacing w:val="-1"/>
                      <w:w w:val="69"/>
                      <w:sz w:val="20"/>
                    </w:rPr>
                    <w:t>al</w:t>
                  </w:r>
                  <w:r>
                    <w:rPr>
                      <w:i/>
                      <w:smallCaps/>
                      <w:w w:val="69"/>
                      <w:sz w:val="20"/>
                    </w:rPr>
                    <w:t>l</w:t>
                  </w:r>
                  <w:r>
                    <w:rPr>
                      <w:i/>
                      <w:smallCaps w:val="0"/>
                      <w:sz w:val="20"/>
                    </w:rPr>
                    <w:t> </w:t>
                  </w:r>
                  <w:r>
                    <w:rPr>
                      <w:i/>
                      <w:smallCaps w:val="0"/>
                      <w:spacing w:val="-1"/>
                      <w:w w:val="95"/>
                      <w:sz w:val="20"/>
                    </w:rPr>
                    <w:t>sec</w:t>
                  </w:r>
                  <w:r>
                    <w:rPr>
                      <w:i/>
                      <w:smallCaps w:val="0"/>
                      <w:spacing w:val="-2"/>
                      <w:w w:val="95"/>
                      <w:sz w:val="20"/>
                    </w:rPr>
                    <w:t>t</w:t>
                  </w:r>
                  <w:r>
                    <w:rPr>
                      <w:i/>
                      <w:smallCaps w:val="0"/>
                      <w:spacing w:val="-1"/>
                      <w:w w:val="92"/>
                      <w:sz w:val="20"/>
                    </w:rPr>
                    <w:t>or</w:t>
                  </w:r>
                  <w:r>
                    <w:rPr>
                      <w:i/>
                      <w:smallCaps w:val="0"/>
                      <w:w w:val="92"/>
                      <w:sz w:val="20"/>
                    </w:rPr>
                    <w:t>s</w:t>
                  </w:r>
                  <w:r>
                    <w:rPr>
                      <w:i/>
                      <w:smallCaps w:val="0"/>
                      <w:sz w:val="20"/>
                    </w:rPr>
                    <w:t> </w:t>
                  </w:r>
                  <w:r>
                    <w:rPr>
                      <w:i/>
                      <w:smallCaps w:val="0"/>
                      <w:spacing w:val="-1"/>
                      <w:w w:val="98"/>
                      <w:sz w:val="20"/>
                    </w:rPr>
                    <w:t>o</w:t>
                  </w:r>
                  <w:r>
                    <w:rPr>
                      <w:i/>
                      <w:smallCaps w:val="0"/>
                      <w:w w:val="98"/>
                      <w:sz w:val="20"/>
                    </w:rPr>
                    <w:t>f</w:t>
                  </w:r>
                  <w:r>
                    <w:rPr>
                      <w:i/>
                      <w:smallCaps w:val="0"/>
                      <w:sz w:val="20"/>
                    </w:rPr>
                    <w:t> </w:t>
                  </w:r>
                  <w:r>
                    <w:rPr>
                      <w:i/>
                      <w:smallCaps w:val="0"/>
                      <w:spacing w:val="-1"/>
                      <w:w w:val="98"/>
                      <w:sz w:val="20"/>
                    </w:rPr>
                    <w:t>th</w:t>
                  </w:r>
                  <w:r>
                    <w:rPr>
                      <w:i/>
                      <w:smallCaps w:val="0"/>
                      <w:w w:val="98"/>
                      <w:sz w:val="20"/>
                    </w:rPr>
                    <w:t>e</w:t>
                  </w:r>
                  <w:r>
                    <w:rPr>
                      <w:i/>
                      <w:smallCaps w:val="0"/>
                      <w:sz w:val="20"/>
                    </w:rPr>
                    <w:t> </w:t>
                  </w:r>
                  <w:r>
                    <w:rPr>
                      <w:i/>
                      <w:smallCaps w:val="0"/>
                      <w:spacing w:val="-1"/>
                      <w:w w:val="94"/>
                      <w:sz w:val="20"/>
                    </w:rPr>
                    <w:t>econo</w:t>
                  </w:r>
                  <w:r>
                    <w:rPr>
                      <w:i/>
                      <w:smallCaps w:val="0"/>
                      <w:spacing w:val="-5"/>
                      <w:w w:val="94"/>
                      <w:sz w:val="20"/>
                    </w:rPr>
                    <w:t>m</w:t>
                  </w:r>
                  <w:r>
                    <w:rPr>
                      <w:i/>
                      <w:smallCaps w:val="0"/>
                      <w:spacing w:val="-24"/>
                      <w:w w:val="96"/>
                      <w:sz w:val="20"/>
                    </w:rPr>
                    <w:t>y</w:t>
                  </w:r>
                  <w:r>
                    <w:rPr>
                      <w:i/>
                      <w:smallCaps w:val="0"/>
                      <w:w w:val="106"/>
                      <w:sz w:val="20"/>
                    </w:rPr>
                    <w:t>.</w:t>
                  </w:r>
                  <w:r>
                    <w:rPr>
                      <w:i/>
                      <w:smallCaps w:val="0"/>
                      <w:sz w:val="20"/>
                    </w:rPr>
                    <w:t> </w:t>
                  </w:r>
                  <w:r>
                    <w:rPr>
                      <w:i/>
                      <w:smallCaps w:val="0"/>
                      <w:spacing w:val="1"/>
                      <w:sz w:val="20"/>
                    </w:rPr>
                    <w:t> </w:t>
                  </w:r>
                  <w:r>
                    <w:rPr>
                      <w:i/>
                      <w:smallCaps w:val="0"/>
                      <w:spacing w:val="-1"/>
                      <w:w w:val="94"/>
                      <w:sz w:val="20"/>
                    </w:rPr>
                    <w:t>Th</w:t>
                  </w:r>
                  <w:r>
                    <w:rPr>
                      <w:i/>
                      <w:smallCaps w:val="0"/>
                      <w:w w:val="94"/>
                      <w:sz w:val="20"/>
                    </w:rPr>
                    <w:t>e</w:t>
                  </w:r>
                  <w:r>
                    <w:rPr>
                      <w:i/>
                      <w:smallCaps w:val="0"/>
                      <w:sz w:val="20"/>
                    </w:rPr>
                    <w:t> </w:t>
                  </w:r>
                  <w:r>
                    <w:rPr>
                      <w:i/>
                      <w:smallCaps w:val="0"/>
                      <w:spacing w:val="-4"/>
                      <w:w w:val="86"/>
                      <w:sz w:val="20"/>
                    </w:rPr>
                    <w:t>r</w:t>
                  </w:r>
                  <w:r>
                    <w:rPr>
                      <w:i/>
                      <w:smallCaps w:val="0"/>
                      <w:spacing w:val="-1"/>
                      <w:w w:val="96"/>
                      <w:sz w:val="20"/>
                    </w:rPr>
                    <w:t>epor</w:t>
                  </w:r>
                  <w:r>
                    <w:rPr>
                      <w:i/>
                      <w:smallCaps w:val="0"/>
                      <w:w w:val="96"/>
                      <w:sz w:val="20"/>
                    </w:rPr>
                    <w:t>t</w:t>
                  </w:r>
                  <w:r>
                    <w:rPr>
                      <w:i/>
                      <w:smallCaps w:val="0"/>
                      <w:sz w:val="20"/>
                    </w:rPr>
                    <w:t> </w:t>
                  </w:r>
                  <w:r>
                    <w:rPr>
                      <w:i/>
                      <w:smallCaps w:val="0"/>
                      <w:spacing w:val="-1"/>
                      <w:w w:val="95"/>
                      <w:sz w:val="20"/>
                    </w:rPr>
                    <w:t>do</w:t>
                  </w:r>
                  <w:r>
                    <w:rPr>
                      <w:i/>
                      <w:smallCaps w:val="0"/>
                      <w:spacing w:val="-5"/>
                      <w:w w:val="95"/>
                      <w:sz w:val="20"/>
                    </w:rPr>
                    <w:t>e</w:t>
                  </w:r>
                  <w:r>
                    <w:rPr>
                      <w:i/>
                      <w:smallCaps w:val="0"/>
                      <w:w w:val="93"/>
                      <w:sz w:val="20"/>
                    </w:rPr>
                    <w:t>s</w:t>
                  </w:r>
                  <w:r>
                    <w:rPr>
                      <w:i/>
                      <w:smallCaps w:val="0"/>
                      <w:sz w:val="20"/>
                    </w:rPr>
                    <w:t> </w:t>
                  </w:r>
                  <w:r>
                    <w:rPr>
                      <w:i/>
                      <w:smallCaps w:val="0"/>
                      <w:spacing w:val="-1"/>
                      <w:w w:val="100"/>
                      <w:sz w:val="20"/>
                    </w:rPr>
                    <w:t>no</w:t>
                  </w:r>
                  <w:r>
                    <w:rPr>
                      <w:i/>
                      <w:smallCaps w:val="0"/>
                      <w:w w:val="100"/>
                      <w:sz w:val="20"/>
                    </w:rPr>
                    <w:t>t</w:t>
                  </w:r>
                  <w:r>
                    <w:rPr>
                      <w:i/>
                      <w:smallCaps w:val="0"/>
                      <w:sz w:val="20"/>
                    </w:rPr>
                    <w:t> </w:t>
                  </w:r>
                  <w:r>
                    <w:rPr>
                      <w:i/>
                      <w:smallCaps w:val="0"/>
                      <w:spacing w:val="-4"/>
                      <w:w w:val="86"/>
                      <w:sz w:val="20"/>
                    </w:rPr>
                    <w:t>r</w:t>
                  </w:r>
                  <w:r>
                    <w:rPr>
                      <w:i/>
                      <w:smallCaps w:val="0"/>
                      <w:spacing w:val="-1"/>
                      <w:w w:val="93"/>
                      <w:sz w:val="20"/>
                    </w:rPr>
                    <w:t>ep</w:t>
                  </w:r>
                  <w:r>
                    <w:rPr>
                      <w:i/>
                      <w:smallCaps w:val="0"/>
                      <w:spacing w:val="-4"/>
                      <w:w w:val="93"/>
                      <w:sz w:val="20"/>
                    </w:rPr>
                    <w:t>r</w:t>
                  </w:r>
                  <w:r>
                    <w:rPr>
                      <w:i/>
                      <w:smallCaps w:val="0"/>
                      <w:spacing w:val="-4"/>
                      <w:w w:val="91"/>
                      <w:sz w:val="20"/>
                    </w:rPr>
                    <w:t>e</w:t>
                  </w:r>
                  <w:r>
                    <w:rPr>
                      <w:i/>
                      <w:smallCaps w:val="0"/>
                      <w:spacing w:val="-1"/>
                      <w:w w:val="98"/>
                      <w:sz w:val="20"/>
                    </w:rPr>
                    <w:t>sen</w:t>
                  </w:r>
                  <w:r>
                    <w:rPr>
                      <w:i/>
                      <w:smallCaps w:val="0"/>
                      <w:w w:val="98"/>
                      <w:sz w:val="20"/>
                    </w:rPr>
                    <w:t>t</w:t>
                  </w:r>
                  <w:r>
                    <w:rPr>
                      <w:i/>
                      <w:smallCaps w:val="0"/>
                      <w:sz w:val="20"/>
                    </w:rPr>
                    <w:t> </w:t>
                  </w:r>
                  <w:r>
                    <w:rPr>
                      <w:i/>
                      <w:smallCaps w:val="0"/>
                      <w:spacing w:val="-1"/>
                      <w:w w:val="98"/>
                      <w:sz w:val="20"/>
                    </w:rPr>
                    <w:t>th</w:t>
                  </w:r>
                  <w:r>
                    <w:rPr>
                      <w:i/>
                      <w:smallCaps w:val="0"/>
                      <w:w w:val="98"/>
                      <w:sz w:val="20"/>
                    </w:rPr>
                    <w:t>e</w:t>
                  </w:r>
                  <w:r>
                    <w:rPr>
                      <w:i/>
                      <w:smallCaps w:val="0"/>
                      <w:sz w:val="20"/>
                    </w:rPr>
                    <w:t> </w:t>
                  </w:r>
                  <w:r>
                    <w:rPr>
                      <w:i/>
                      <w:smallCaps/>
                      <w:spacing w:val="-1"/>
                      <w:w w:val="88"/>
                      <w:sz w:val="20"/>
                    </w:rPr>
                    <w:t>Bank</w:t>
                  </w:r>
                  <w:r>
                    <w:rPr>
                      <w:i/>
                      <w:smallCaps/>
                      <w:spacing w:val="-19"/>
                      <w:w w:val="88"/>
                      <w:sz w:val="20"/>
                    </w:rPr>
                    <w:t>’</w:t>
                  </w:r>
                  <w:r>
                    <w:rPr>
                      <w:i/>
                      <w:smallCaps w:val="0"/>
                      <w:w w:val="93"/>
                      <w:sz w:val="20"/>
                    </w:rPr>
                    <w:t>s</w:t>
                  </w:r>
                  <w:r>
                    <w:rPr>
                      <w:i/>
                      <w:smallCaps w:val="0"/>
                      <w:sz w:val="20"/>
                    </w:rPr>
                    <w:t> </w:t>
                  </w:r>
                  <w:r>
                    <w:rPr>
                      <w:i/>
                      <w:smallCaps w:val="0"/>
                      <w:spacing w:val="-3"/>
                      <w:w w:val="95"/>
                      <w:sz w:val="20"/>
                    </w:rPr>
                    <w:t>o</w:t>
                  </w:r>
                  <w:r>
                    <w:rPr>
                      <w:i/>
                      <w:smallCaps w:val="0"/>
                      <w:spacing w:val="-1"/>
                      <w:w w:val="92"/>
                      <w:sz w:val="20"/>
                    </w:rPr>
                    <w:t>w</w:t>
                  </w:r>
                  <w:r>
                    <w:rPr>
                      <w:i/>
                      <w:smallCaps w:val="0"/>
                      <w:w w:val="92"/>
                      <w:sz w:val="20"/>
                    </w:rPr>
                    <w:t>n</w:t>
                  </w:r>
                  <w:r>
                    <w:rPr>
                      <w:i/>
                      <w:smallCaps w:val="0"/>
                      <w:sz w:val="20"/>
                    </w:rPr>
                    <w:t> </w:t>
                  </w:r>
                  <w:r>
                    <w:rPr>
                      <w:i/>
                      <w:smallCaps w:val="0"/>
                      <w:spacing w:val="-1"/>
                      <w:w w:val="93"/>
                      <w:sz w:val="20"/>
                    </w:rPr>
                    <w:t>views</w:t>
                  </w:r>
                  <w:r>
                    <w:rPr>
                      <w:i/>
                      <w:smallCaps w:val="0"/>
                      <w:w w:val="93"/>
                      <w:sz w:val="20"/>
                    </w:rPr>
                    <w:t>,</w:t>
                  </w:r>
                  <w:r>
                    <w:rPr>
                      <w:i/>
                      <w:smallCaps w:val="0"/>
                      <w:sz w:val="20"/>
                    </w:rPr>
                    <w:t> </w:t>
                  </w:r>
                  <w:r>
                    <w:rPr>
                      <w:i/>
                      <w:smallCaps w:val="0"/>
                      <w:spacing w:val="-1"/>
                      <w:w w:val="94"/>
                      <w:sz w:val="20"/>
                    </w:rPr>
                    <w:t>no</w:t>
                  </w:r>
                  <w:r>
                    <w:rPr>
                      <w:i/>
                      <w:smallCaps w:val="0"/>
                      <w:w w:val="94"/>
                      <w:sz w:val="20"/>
                    </w:rPr>
                    <w:t>r</w:t>
                  </w:r>
                  <w:r>
                    <w:rPr>
                      <w:i/>
                      <w:smallCaps w:val="0"/>
                      <w:sz w:val="20"/>
                    </w:rPr>
                    <w:t> </w:t>
                  </w:r>
                  <w:r>
                    <w:rPr>
                      <w:i/>
                      <w:smallCaps w:val="0"/>
                      <w:spacing w:val="-1"/>
                      <w:w w:val="95"/>
                      <w:sz w:val="20"/>
                    </w:rPr>
                    <w:t>do</w:t>
                  </w:r>
                  <w:r>
                    <w:rPr>
                      <w:i/>
                      <w:smallCaps w:val="0"/>
                      <w:spacing w:val="-4"/>
                      <w:w w:val="95"/>
                      <w:sz w:val="20"/>
                    </w:rPr>
                    <w:t>e</w:t>
                  </w:r>
                  <w:r>
                    <w:rPr>
                      <w:i/>
                      <w:smallCaps w:val="0"/>
                      <w:w w:val="93"/>
                      <w:sz w:val="20"/>
                    </w:rPr>
                    <w:t>s</w:t>
                  </w:r>
                  <w:r>
                    <w:rPr>
                      <w:i/>
                      <w:smallCaps w:val="0"/>
                      <w:sz w:val="20"/>
                    </w:rPr>
                    <w:t> </w:t>
                  </w:r>
                  <w:r>
                    <w:rPr>
                      <w:i/>
                      <w:smallCaps w:val="0"/>
                      <w:spacing w:val="-1"/>
                      <w:w w:val="103"/>
                      <w:sz w:val="20"/>
                    </w:rPr>
                    <w:t>it </w:t>
                  </w:r>
                  <w:r>
                    <w:rPr>
                      <w:i/>
                      <w:smallCaps w:val="0"/>
                      <w:spacing w:val="-4"/>
                      <w:w w:val="86"/>
                      <w:sz w:val="20"/>
                    </w:rPr>
                    <w:t>r</w:t>
                  </w:r>
                  <w:r>
                    <w:rPr>
                      <w:i/>
                      <w:smallCaps w:val="0"/>
                      <w:spacing w:val="-1"/>
                      <w:w w:val="93"/>
                      <w:sz w:val="20"/>
                    </w:rPr>
                    <w:t>ep</w:t>
                  </w:r>
                  <w:r>
                    <w:rPr>
                      <w:i/>
                      <w:smallCaps w:val="0"/>
                      <w:spacing w:val="-4"/>
                      <w:w w:val="93"/>
                      <w:sz w:val="20"/>
                    </w:rPr>
                    <w:t>r</w:t>
                  </w:r>
                  <w:r>
                    <w:rPr>
                      <w:i/>
                      <w:smallCaps w:val="0"/>
                      <w:spacing w:val="-4"/>
                      <w:w w:val="91"/>
                      <w:sz w:val="20"/>
                    </w:rPr>
                    <w:t>e</w:t>
                  </w:r>
                  <w:r>
                    <w:rPr>
                      <w:i/>
                      <w:smallCaps w:val="0"/>
                      <w:spacing w:val="-1"/>
                      <w:w w:val="98"/>
                      <w:sz w:val="20"/>
                    </w:rPr>
                    <w:t>sen</w:t>
                  </w:r>
                  <w:r>
                    <w:rPr>
                      <w:i/>
                      <w:smallCaps w:val="0"/>
                      <w:w w:val="98"/>
                      <w:sz w:val="20"/>
                    </w:rPr>
                    <w:t>t</w:t>
                  </w:r>
                  <w:r>
                    <w:rPr>
                      <w:i/>
                      <w:smallCaps w:val="0"/>
                      <w:sz w:val="20"/>
                    </w:rPr>
                    <w:t> </w:t>
                  </w:r>
                  <w:r>
                    <w:rPr>
                      <w:i/>
                      <w:smallCaps w:val="0"/>
                      <w:spacing w:val="-1"/>
                      <w:w w:val="98"/>
                      <w:sz w:val="20"/>
                    </w:rPr>
                    <w:t>th</w:t>
                  </w:r>
                  <w:r>
                    <w:rPr>
                      <w:i/>
                      <w:smallCaps w:val="0"/>
                      <w:w w:val="98"/>
                      <w:sz w:val="20"/>
                    </w:rPr>
                    <w:t>e</w:t>
                  </w:r>
                  <w:r>
                    <w:rPr>
                      <w:i/>
                      <w:smallCaps w:val="0"/>
                      <w:sz w:val="20"/>
                    </w:rPr>
                    <w:t> </w:t>
                  </w:r>
                  <w:r>
                    <w:rPr>
                      <w:i/>
                      <w:smallCaps w:val="0"/>
                      <w:spacing w:val="-1"/>
                      <w:w w:val="91"/>
                      <w:sz w:val="20"/>
                    </w:rPr>
                    <w:t>view</w:t>
                  </w:r>
                  <w:r>
                    <w:rPr>
                      <w:i/>
                      <w:smallCaps w:val="0"/>
                      <w:w w:val="91"/>
                      <w:sz w:val="20"/>
                    </w:rPr>
                    <w:t>s</w:t>
                  </w:r>
                  <w:r>
                    <w:rPr>
                      <w:i/>
                      <w:smallCaps w:val="0"/>
                      <w:sz w:val="20"/>
                    </w:rPr>
                    <w:t> </w:t>
                  </w:r>
                  <w:r>
                    <w:rPr>
                      <w:i/>
                      <w:smallCaps w:val="0"/>
                      <w:spacing w:val="-1"/>
                      <w:w w:val="98"/>
                      <w:sz w:val="20"/>
                    </w:rPr>
                    <w:t>o</w:t>
                  </w:r>
                  <w:r>
                    <w:rPr>
                      <w:i/>
                      <w:smallCaps w:val="0"/>
                      <w:w w:val="98"/>
                      <w:sz w:val="20"/>
                    </w:rPr>
                    <w:t>f</w:t>
                  </w:r>
                  <w:r>
                    <w:rPr>
                      <w:i/>
                      <w:smallCaps w:val="0"/>
                      <w:sz w:val="20"/>
                    </w:rPr>
                    <w:t> </w:t>
                  </w:r>
                  <w:r>
                    <w:rPr>
                      <w:i/>
                      <w:smallCaps/>
                      <w:spacing w:val="-1"/>
                      <w:w w:val="96"/>
                      <w:sz w:val="20"/>
                    </w:rPr>
                    <w:t>a</w:t>
                  </w:r>
                  <w:r>
                    <w:rPr>
                      <w:i/>
                      <w:smallCaps/>
                      <w:spacing w:val="-4"/>
                      <w:w w:val="96"/>
                      <w:sz w:val="20"/>
                    </w:rPr>
                    <w:t>n</w:t>
                  </w:r>
                  <w:r>
                    <w:rPr>
                      <w:i/>
                      <w:smallCaps w:val="0"/>
                      <w:w w:val="96"/>
                      <w:sz w:val="20"/>
                    </w:rPr>
                    <w:t>y</w:t>
                  </w:r>
                  <w:r>
                    <w:rPr>
                      <w:i/>
                      <w:smallCaps w:val="0"/>
                      <w:sz w:val="20"/>
                    </w:rPr>
                    <w:t> </w:t>
                  </w:r>
                  <w:r>
                    <w:rPr>
                      <w:i/>
                      <w:smallCaps/>
                      <w:spacing w:val="-1"/>
                      <w:w w:val="81"/>
                      <w:sz w:val="20"/>
                    </w:rPr>
                    <w:t>particula</w:t>
                  </w:r>
                  <w:r>
                    <w:rPr>
                      <w:i/>
                      <w:smallCaps/>
                      <w:w w:val="81"/>
                      <w:sz w:val="20"/>
                    </w:rPr>
                    <w:t>r</w:t>
                  </w:r>
                  <w:r>
                    <w:rPr>
                      <w:i/>
                      <w:smallCaps w:val="0"/>
                      <w:sz w:val="20"/>
                    </w:rPr>
                    <w:t> </w:t>
                  </w:r>
                  <w:r>
                    <w:rPr>
                      <w:i/>
                      <w:smallCaps w:val="0"/>
                      <w:spacing w:val="-1"/>
                      <w:w w:val="94"/>
                      <w:sz w:val="20"/>
                    </w:rPr>
                    <w:t>fir</w:t>
                  </w:r>
                  <w:r>
                    <w:rPr>
                      <w:i/>
                      <w:smallCaps w:val="0"/>
                      <w:w w:val="94"/>
                      <w:sz w:val="20"/>
                    </w:rPr>
                    <w:t>m</w:t>
                  </w:r>
                  <w:r>
                    <w:rPr>
                      <w:i/>
                      <w:smallCaps w:val="0"/>
                      <w:sz w:val="20"/>
                    </w:rPr>
                    <w:t> </w:t>
                  </w:r>
                  <w:r>
                    <w:rPr>
                      <w:i/>
                      <w:smallCaps w:val="0"/>
                      <w:spacing w:val="-1"/>
                      <w:w w:val="91"/>
                      <w:sz w:val="20"/>
                    </w:rPr>
                    <w:t>o</w:t>
                  </w:r>
                  <w:r>
                    <w:rPr>
                      <w:i/>
                      <w:smallCaps w:val="0"/>
                      <w:w w:val="91"/>
                      <w:sz w:val="20"/>
                    </w:rPr>
                    <w:t>r</w:t>
                  </w:r>
                  <w:r>
                    <w:rPr>
                      <w:i/>
                      <w:smallCaps w:val="0"/>
                      <w:sz w:val="20"/>
                    </w:rPr>
                    <w:t> </w:t>
                  </w:r>
                  <w:r>
                    <w:rPr>
                      <w:i/>
                      <w:smallCaps w:val="0"/>
                      <w:spacing w:val="-4"/>
                      <w:w w:val="86"/>
                      <w:sz w:val="20"/>
                    </w:rPr>
                    <w:t>r</w:t>
                  </w:r>
                  <w:r>
                    <w:rPr>
                      <w:i/>
                      <w:smallCaps w:val="0"/>
                      <w:spacing w:val="-1"/>
                      <w:w w:val="95"/>
                      <w:sz w:val="20"/>
                    </w:rPr>
                    <w:t>egion</w:t>
                  </w:r>
                  <w:r>
                    <w:rPr>
                      <w:i/>
                      <w:smallCaps w:val="0"/>
                      <w:w w:val="95"/>
                      <w:sz w:val="20"/>
                    </w:rPr>
                    <w:t>.</w:t>
                  </w:r>
                  <w:r>
                    <w:rPr>
                      <w:i/>
                      <w:smallCaps w:val="0"/>
                      <w:sz w:val="20"/>
                    </w:rPr>
                    <w:t> </w:t>
                  </w:r>
                  <w:r>
                    <w:rPr>
                      <w:i/>
                      <w:smallCaps w:val="0"/>
                      <w:spacing w:val="1"/>
                      <w:sz w:val="20"/>
                    </w:rPr>
                    <w:t> </w:t>
                  </w:r>
                  <w:r>
                    <w:rPr>
                      <w:i/>
                      <w:smallCaps w:val="0"/>
                      <w:spacing w:val="-1"/>
                      <w:w w:val="94"/>
                      <w:sz w:val="20"/>
                    </w:rPr>
                    <w:t>Th</w:t>
                  </w:r>
                  <w:r>
                    <w:rPr>
                      <w:i/>
                      <w:smallCaps w:val="0"/>
                      <w:w w:val="94"/>
                      <w:sz w:val="20"/>
                    </w:rPr>
                    <w:t>e</w:t>
                  </w:r>
                  <w:r>
                    <w:rPr>
                      <w:i/>
                      <w:smallCaps w:val="0"/>
                      <w:sz w:val="20"/>
                    </w:rPr>
                    <w:t> </w:t>
                  </w:r>
                  <w:r>
                    <w:rPr>
                      <w:i/>
                      <w:smallCaps/>
                      <w:spacing w:val="-1"/>
                      <w:w w:val="88"/>
                      <w:sz w:val="20"/>
                    </w:rPr>
                    <w:t>Bank</w:t>
                  </w:r>
                  <w:r>
                    <w:rPr>
                      <w:i/>
                      <w:smallCaps/>
                      <w:spacing w:val="-19"/>
                      <w:w w:val="88"/>
                      <w:sz w:val="20"/>
                    </w:rPr>
                    <w:t>’</w:t>
                  </w:r>
                  <w:r>
                    <w:rPr>
                      <w:i/>
                      <w:smallCaps w:val="0"/>
                      <w:w w:val="93"/>
                      <w:sz w:val="20"/>
                    </w:rPr>
                    <w:t>s</w:t>
                  </w:r>
                  <w:r>
                    <w:rPr>
                      <w:i/>
                      <w:smallCaps w:val="0"/>
                      <w:sz w:val="20"/>
                    </w:rPr>
                    <w:t> </w:t>
                  </w:r>
                  <w:r>
                    <w:rPr>
                      <w:i/>
                      <w:smallCaps w:val="0"/>
                      <w:spacing w:val="-1"/>
                      <w:w w:val="98"/>
                      <w:sz w:val="20"/>
                    </w:rPr>
                    <w:t>Mone</w:t>
                  </w:r>
                  <w:r>
                    <w:rPr>
                      <w:i/>
                      <w:smallCaps w:val="0"/>
                      <w:spacing w:val="-2"/>
                      <w:w w:val="98"/>
                      <w:sz w:val="20"/>
                    </w:rPr>
                    <w:t>t</w:t>
                  </w:r>
                  <w:r>
                    <w:rPr>
                      <w:i/>
                      <w:smallCaps/>
                      <w:spacing w:val="-1"/>
                      <w:w w:val="84"/>
                      <w:sz w:val="20"/>
                    </w:rPr>
                    <w:t>a</w:t>
                  </w:r>
                  <w:r>
                    <w:rPr>
                      <w:i/>
                      <w:smallCaps/>
                      <w:spacing w:val="5"/>
                      <w:w w:val="84"/>
                      <w:sz w:val="20"/>
                    </w:rPr>
                    <w:t>r</w:t>
                  </w:r>
                  <w:r>
                    <w:rPr>
                      <w:i/>
                      <w:smallCaps w:val="0"/>
                      <w:w w:val="96"/>
                      <w:sz w:val="20"/>
                    </w:rPr>
                    <w:t>y</w:t>
                  </w:r>
                  <w:r>
                    <w:rPr>
                      <w:i/>
                      <w:smallCaps w:val="0"/>
                      <w:sz w:val="20"/>
                    </w:rPr>
                    <w:t> </w:t>
                  </w:r>
                  <w:r>
                    <w:rPr>
                      <w:i/>
                      <w:smallCaps w:val="0"/>
                      <w:spacing w:val="-9"/>
                      <w:w w:val="85"/>
                      <w:sz w:val="20"/>
                    </w:rPr>
                    <w:t>P</w:t>
                  </w:r>
                  <w:r>
                    <w:rPr>
                      <w:i/>
                      <w:smallCaps w:val="0"/>
                      <w:spacing w:val="-1"/>
                      <w:w w:val="91"/>
                      <w:sz w:val="20"/>
                    </w:rPr>
                    <w:t>oli</w:t>
                  </w:r>
                  <w:r>
                    <w:rPr>
                      <w:i/>
                      <w:smallCaps w:val="0"/>
                      <w:spacing w:val="-3"/>
                      <w:w w:val="91"/>
                      <w:sz w:val="20"/>
                    </w:rPr>
                    <w:t>c</w:t>
                  </w:r>
                  <w:r>
                    <w:rPr>
                      <w:i/>
                      <w:smallCaps w:val="0"/>
                      <w:w w:val="96"/>
                      <w:sz w:val="20"/>
                    </w:rPr>
                    <w:t>y</w:t>
                  </w:r>
                  <w:r>
                    <w:rPr>
                      <w:i/>
                      <w:smallCaps w:val="0"/>
                      <w:sz w:val="20"/>
                    </w:rPr>
                    <w:t> </w:t>
                  </w:r>
                  <w:r>
                    <w:rPr>
                      <w:i/>
                      <w:smallCaps w:val="0"/>
                      <w:spacing w:val="-1"/>
                      <w:w w:val="97"/>
                      <w:sz w:val="20"/>
                    </w:rPr>
                    <w:t>Commi</w:t>
                  </w:r>
                  <w:r>
                    <w:rPr>
                      <w:i/>
                      <w:smallCaps w:val="0"/>
                      <w:spacing w:val="-4"/>
                      <w:w w:val="97"/>
                      <w:sz w:val="20"/>
                    </w:rPr>
                    <w:t>t</w:t>
                  </w:r>
                  <w:r>
                    <w:rPr>
                      <w:i/>
                      <w:smallCaps w:val="0"/>
                      <w:spacing w:val="-1"/>
                      <w:w w:val="96"/>
                      <w:sz w:val="20"/>
                    </w:rPr>
                    <w:t>te</w:t>
                  </w:r>
                  <w:r>
                    <w:rPr>
                      <w:i/>
                      <w:smallCaps w:val="0"/>
                      <w:w w:val="96"/>
                      <w:sz w:val="20"/>
                    </w:rPr>
                    <w:t>e</w:t>
                  </w:r>
                  <w:r>
                    <w:rPr>
                      <w:i/>
                      <w:smallCaps w:val="0"/>
                      <w:sz w:val="20"/>
                    </w:rPr>
                    <w:t> </w:t>
                  </w:r>
                  <w:r>
                    <w:rPr>
                      <w:i/>
                      <w:smallCaps w:val="0"/>
                      <w:spacing w:val="-1"/>
                      <w:w w:val="93"/>
                      <w:sz w:val="20"/>
                    </w:rPr>
                    <w:t>us</w:t>
                  </w:r>
                  <w:r>
                    <w:rPr>
                      <w:i/>
                      <w:smallCaps w:val="0"/>
                      <w:spacing w:val="-4"/>
                      <w:w w:val="93"/>
                      <w:sz w:val="20"/>
                    </w:rPr>
                    <w:t>e</w:t>
                  </w:r>
                  <w:r>
                    <w:rPr>
                      <w:i/>
                      <w:smallCaps w:val="0"/>
                      <w:w w:val="93"/>
                      <w:sz w:val="20"/>
                    </w:rPr>
                    <w:t>s</w:t>
                  </w:r>
                  <w:r>
                    <w:rPr>
                      <w:i/>
                      <w:smallCaps w:val="0"/>
                      <w:sz w:val="20"/>
                    </w:rPr>
                    <w:t> </w:t>
                  </w:r>
                  <w:r>
                    <w:rPr>
                      <w:i/>
                      <w:smallCaps w:val="0"/>
                      <w:spacing w:val="-1"/>
                      <w:w w:val="98"/>
                      <w:sz w:val="20"/>
                    </w:rPr>
                    <w:t>th</w:t>
                  </w:r>
                  <w:r>
                    <w:rPr>
                      <w:i/>
                      <w:smallCaps w:val="0"/>
                      <w:w w:val="98"/>
                      <w:sz w:val="20"/>
                    </w:rPr>
                    <w:t>e</w:t>
                  </w:r>
                  <w:r>
                    <w:rPr>
                      <w:i/>
                      <w:smallCaps w:val="0"/>
                      <w:sz w:val="20"/>
                    </w:rPr>
                    <w:t> </w:t>
                  </w:r>
                  <w:r>
                    <w:rPr>
                      <w:i/>
                      <w:smallCaps w:val="0"/>
                      <w:spacing w:val="-1"/>
                      <w:w w:val="93"/>
                      <w:sz w:val="20"/>
                    </w:rPr>
                    <w:t>intelligenc</w:t>
                  </w:r>
                  <w:r>
                    <w:rPr>
                      <w:i/>
                      <w:smallCaps w:val="0"/>
                      <w:w w:val="93"/>
                      <w:sz w:val="20"/>
                    </w:rPr>
                    <w:t>e</w:t>
                  </w:r>
                  <w:r>
                    <w:rPr>
                      <w:i/>
                      <w:smallCaps w:val="0"/>
                      <w:sz w:val="20"/>
                    </w:rPr>
                    <w:t> </w:t>
                  </w:r>
                  <w:r>
                    <w:rPr>
                      <w:i/>
                      <w:smallCaps w:val="0"/>
                      <w:spacing w:val="-1"/>
                      <w:w w:val="94"/>
                      <w:sz w:val="20"/>
                    </w:rPr>
                    <w:t>p</w:t>
                  </w:r>
                  <w:r>
                    <w:rPr>
                      <w:i/>
                      <w:smallCaps w:val="0"/>
                      <w:spacing w:val="-2"/>
                      <w:w w:val="94"/>
                      <w:sz w:val="20"/>
                    </w:rPr>
                    <w:t>r</w:t>
                  </w:r>
                  <w:r>
                    <w:rPr>
                      <w:i/>
                      <w:smallCaps w:val="0"/>
                      <w:spacing w:val="-3"/>
                      <w:w w:val="95"/>
                      <w:sz w:val="20"/>
                    </w:rPr>
                    <w:t>o</w:t>
                  </w:r>
                  <w:r>
                    <w:rPr>
                      <w:i/>
                      <w:smallCaps w:val="0"/>
                      <w:spacing w:val="-1"/>
                      <w:w w:val="96"/>
                      <w:sz w:val="20"/>
                    </w:rPr>
                    <w:t>vide</w:t>
                  </w:r>
                  <w:r>
                    <w:rPr>
                      <w:i/>
                      <w:smallCaps w:val="0"/>
                      <w:w w:val="96"/>
                      <w:sz w:val="20"/>
                    </w:rPr>
                    <w:t>d</w:t>
                  </w:r>
                  <w:r>
                    <w:rPr>
                      <w:i/>
                      <w:smallCaps w:val="0"/>
                      <w:sz w:val="20"/>
                    </w:rPr>
                    <w:t> </w:t>
                  </w:r>
                  <w:r>
                    <w:rPr>
                      <w:i/>
                      <w:smallCaps w:val="0"/>
                      <w:spacing w:val="-4"/>
                      <w:w w:val="96"/>
                      <w:sz w:val="20"/>
                    </w:rPr>
                    <w:t>b</w:t>
                  </w:r>
                  <w:r>
                    <w:rPr>
                      <w:i/>
                      <w:smallCaps w:val="0"/>
                      <w:w w:val="96"/>
                      <w:sz w:val="20"/>
                    </w:rPr>
                    <w:t>y </w:t>
                  </w:r>
                  <w:r>
                    <w:rPr>
                      <w:i/>
                      <w:smallCaps w:val="0"/>
                      <w:spacing w:val="-1"/>
                      <w:w w:val="98"/>
                      <w:sz w:val="20"/>
                    </w:rPr>
                    <w:t>th</w:t>
                  </w:r>
                  <w:r>
                    <w:rPr>
                      <w:i/>
                      <w:smallCaps w:val="0"/>
                      <w:w w:val="98"/>
                      <w:sz w:val="20"/>
                    </w:rPr>
                    <w:t>e</w:t>
                  </w:r>
                  <w:r>
                    <w:rPr>
                      <w:i/>
                      <w:smallCaps w:val="0"/>
                      <w:sz w:val="20"/>
                    </w:rPr>
                    <w:t> </w:t>
                  </w:r>
                  <w:r>
                    <w:rPr>
                      <w:i/>
                      <w:smallCaps w:val="0"/>
                      <w:spacing w:val="-1"/>
                      <w:w w:val="96"/>
                      <w:sz w:val="20"/>
                    </w:rPr>
                    <w:t>Agents</w:t>
                  </w:r>
                  <w:r>
                    <w:rPr>
                      <w:i/>
                      <w:smallCaps w:val="0"/>
                      <w:w w:val="96"/>
                      <w:sz w:val="20"/>
                    </w:rPr>
                    <w:t>,</w:t>
                  </w:r>
                  <w:r>
                    <w:rPr>
                      <w:i/>
                      <w:smallCaps w:val="0"/>
                      <w:sz w:val="20"/>
                    </w:rPr>
                    <w:t> </w:t>
                  </w:r>
                  <w:r>
                    <w:rPr>
                      <w:i/>
                      <w:smallCaps w:val="0"/>
                      <w:spacing w:val="-1"/>
                      <w:w w:val="97"/>
                      <w:sz w:val="20"/>
                    </w:rPr>
                    <w:t>i</w:t>
                  </w:r>
                  <w:r>
                    <w:rPr>
                      <w:i/>
                      <w:smallCaps w:val="0"/>
                      <w:w w:val="97"/>
                      <w:sz w:val="20"/>
                    </w:rPr>
                    <w:t>n</w:t>
                  </w:r>
                  <w:r>
                    <w:rPr>
                      <w:i/>
                      <w:smallCaps w:val="0"/>
                      <w:sz w:val="20"/>
                    </w:rPr>
                    <w:t> </w:t>
                  </w:r>
                  <w:r>
                    <w:rPr>
                      <w:i/>
                      <w:smallCaps w:val="0"/>
                      <w:spacing w:val="-1"/>
                      <w:w w:val="96"/>
                      <w:sz w:val="20"/>
                    </w:rPr>
                    <w:t>conjunctio</w:t>
                  </w:r>
                  <w:r>
                    <w:rPr>
                      <w:i/>
                      <w:smallCaps w:val="0"/>
                      <w:w w:val="96"/>
                      <w:sz w:val="20"/>
                    </w:rPr>
                    <w:t>n</w:t>
                  </w:r>
                  <w:r>
                    <w:rPr>
                      <w:i/>
                      <w:smallCaps w:val="0"/>
                      <w:sz w:val="20"/>
                    </w:rPr>
                    <w:t> </w:t>
                  </w:r>
                  <w:r>
                    <w:rPr>
                      <w:i/>
                      <w:smallCaps w:val="0"/>
                      <w:spacing w:val="-1"/>
                      <w:w w:val="94"/>
                      <w:sz w:val="20"/>
                    </w:rPr>
                    <w:t>wit</w:t>
                  </w:r>
                  <w:r>
                    <w:rPr>
                      <w:i/>
                      <w:smallCaps w:val="0"/>
                      <w:w w:val="94"/>
                      <w:sz w:val="20"/>
                    </w:rPr>
                    <w:t>h</w:t>
                  </w:r>
                  <w:r>
                    <w:rPr>
                      <w:i/>
                      <w:smallCaps w:val="0"/>
                      <w:sz w:val="20"/>
                    </w:rPr>
                    <w:t> </w:t>
                  </w:r>
                  <w:r>
                    <w:rPr>
                      <w:i/>
                      <w:smallCaps/>
                      <w:spacing w:val="-1"/>
                      <w:w w:val="85"/>
                      <w:sz w:val="20"/>
                    </w:rPr>
                    <w:t>informatio</w:t>
                  </w:r>
                  <w:r>
                    <w:rPr>
                      <w:i/>
                      <w:smallCaps/>
                      <w:w w:val="85"/>
                      <w:sz w:val="20"/>
                    </w:rPr>
                    <w:t>n</w:t>
                  </w:r>
                  <w:r>
                    <w:rPr>
                      <w:i/>
                      <w:smallCaps w:val="0"/>
                      <w:sz w:val="20"/>
                    </w:rPr>
                    <w:t> </w:t>
                  </w:r>
                  <w:r>
                    <w:rPr>
                      <w:i/>
                      <w:smallCaps w:val="0"/>
                      <w:spacing w:val="-1"/>
                      <w:w w:val="94"/>
                      <w:sz w:val="20"/>
                    </w:rPr>
                    <w:t>f</w:t>
                  </w:r>
                  <w:r>
                    <w:rPr>
                      <w:i/>
                      <w:smallCaps w:val="0"/>
                      <w:spacing w:val="-2"/>
                      <w:w w:val="94"/>
                      <w:sz w:val="20"/>
                    </w:rPr>
                    <w:t>r</w:t>
                  </w:r>
                  <w:r>
                    <w:rPr>
                      <w:i/>
                      <w:smallCaps w:val="0"/>
                      <w:spacing w:val="-1"/>
                      <w:w w:val="95"/>
                      <w:sz w:val="20"/>
                    </w:rPr>
                    <w:t>o</w:t>
                  </w:r>
                  <w:r>
                    <w:rPr>
                      <w:i/>
                      <w:smallCaps w:val="0"/>
                      <w:w w:val="95"/>
                      <w:sz w:val="20"/>
                    </w:rPr>
                    <w:t>m</w:t>
                  </w:r>
                  <w:r>
                    <w:rPr>
                      <w:i/>
                      <w:smallCaps w:val="0"/>
                      <w:sz w:val="20"/>
                    </w:rPr>
                    <w:t> </w:t>
                  </w:r>
                  <w:r>
                    <w:rPr>
                      <w:i/>
                      <w:smallCaps w:val="0"/>
                      <w:spacing w:val="-1"/>
                      <w:w w:val="95"/>
                      <w:sz w:val="20"/>
                    </w:rPr>
                    <w:t>othe</w:t>
                  </w:r>
                  <w:r>
                    <w:rPr>
                      <w:i/>
                      <w:smallCaps w:val="0"/>
                      <w:w w:val="95"/>
                      <w:sz w:val="20"/>
                    </w:rPr>
                    <w:t>r</w:t>
                  </w:r>
                  <w:r>
                    <w:rPr>
                      <w:i/>
                      <w:smallCaps w:val="0"/>
                      <w:sz w:val="20"/>
                    </w:rPr>
                    <w:t> </w:t>
                  </w:r>
                  <w:r>
                    <w:rPr>
                      <w:i/>
                      <w:smallCaps w:val="0"/>
                      <w:spacing w:val="-1"/>
                      <w:w w:val="92"/>
                      <w:sz w:val="20"/>
                    </w:rPr>
                    <w:t>sourc</w:t>
                  </w:r>
                  <w:r>
                    <w:rPr>
                      <w:i/>
                      <w:smallCaps w:val="0"/>
                      <w:spacing w:val="-4"/>
                      <w:w w:val="92"/>
                      <w:sz w:val="20"/>
                    </w:rPr>
                    <w:t>e</w:t>
                  </w:r>
                  <w:r>
                    <w:rPr>
                      <w:i/>
                      <w:smallCaps w:val="0"/>
                      <w:spacing w:val="-1"/>
                      <w:w w:val="98"/>
                      <w:sz w:val="20"/>
                    </w:rPr>
                    <w:t>s</w:t>
                  </w:r>
                  <w:r>
                    <w:rPr>
                      <w:i/>
                      <w:smallCaps w:val="0"/>
                      <w:w w:val="98"/>
                      <w:sz w:val="20"/>
                    </w:rPr>
                    <w:t>,</w:t>
                  </w:r>
                  <w:r>
                    <w:rPr>
                      <w:i/>
                      <w:smallCaps w:val="0"/>
                      <w:sz w:val="20"/>
                    </w:rPr>
                    <w:t> </w:t>
                  </w:r>
                  <w:r>
                    <w:rPr>
                      <w:i/>
                      <w:smallCaps w:val="0"/>
                      <w:spacing w:val="-2"/>
                      <w:w w:val="113"/>
                      <w:sz w:val="20"/>
                    </w:rPr>
                    <w:t>t</w:t>
                  </w:r>
                  <w:r>
                    <w:rPr>
                      <w:i/>
                      <w:smallCaps w:val="0"/>
                      <w:w w:val="95"/>
                      <w:sz w:val="20"/>
                    </w:rPr>
                    <w:t>o</w:t>
                  </w:r>
                  <w:r>
                    <w:rPr>
                      <w:i/>
                      <w:smallCaps w:val="0"/>
                      <w:sz w:val="20"/>
                    </w:rPr>
                    <w:t> </w:t>
                  </w:r>
                  <w:r>
                    <w:rPr>
                      <w:i/>
                      <w:smallCaps/>
                      <w:spacing w:val="-5"/>
                      <w:w w:val="99"/>
                      <w:sz w:val="20"/>
                    </w:rPr>
                    <w:t>a</w:t>
                  </w:r>
                  <w:r>
                    <w:rPr>
                      <w:i/>
                      <w:smallCaps w:val="0"/>
                      <w:spacing w:val="-1"/>
                      <w:w w:val="96"/>
                      <w:sz w:val="20"/>
                    </w:rPr>
                    <w:t>ssis</w:t>
                  </w:r>
                  <w:r>
                    <w:rPr>
                      <w:i/>
                      <w:smallCaps w:val="0"/>
                      <w:w w:val="96"/>
                      <w:sz w:val="20"/>
                    </w:rPr>
                    <w:t>t</w:t>
                  </w:r>
                  <w:r>
                    <w:rPr>
                      <w:i/>
                      <w:smallCaps w:val="0"/>
                      <w:sz w:val="20"/>
                    </w:rPr>
                    <w:t> </w:t>
                  </w:r>
                  <w:r>
                    <w:rPr>
                      <w:i/>
                      <w:smallCaps w:val="0"/>
                      <w:spacing w:val="-1"/>
                      <w:w w:val="99"/>
                      <w:sz w:val="20"/>
                    </w:rPr>
                    <w:t>it</w:t>
                  </w:r>
                  <w:r>
                    <w:rPr>
                      <w:i/>
                      <w:smallCaps w:val="0"/>
                      <w:w w:val="99"/>
                      <w:sz w:val="20"/>
                    </w:rPr>
                    <w:t>s</w:t>
                  </w:r>
                  <w:r>
                    <w:rPr>
                      <w:i/>
                      <w:smallCaps w:val="0"/>
                      <w:sz w:val="20"/>
                    </w:rPr>
                    <w:t> </w:t>
                  </w:r>
                  <w:r>
                    <w:rPr>
                      <w:i/>
                      <w:smallCaps w:val="0"/>
                      <w:spacing w:val="-1"/>
                      <w:w w:val="96"/>
                      <w:sz w:val="20"/>
                    </w:rPr>
                    <w:t>unders</w:t>
                  </w:r>
                  <w:r>
                    <w:rPr>
                      <w:i/>
                      <w:smallCaps w:val="0"/>
                      <w:spacing w:val="-2"/>
                      <w:w w:val="96"/>
                      <w:sz w:val="20"/>
                    </w:rPr>
                    <w:t>t</w:t>
                  </w:r>
                  <w:r>
                    <w:rPr>
                      <w:i/>
                      <w:smallCaps/>
                      <w:spacing w:val="-1"/>
                      <w:w w:val="90"/>
                      <w:sz w:val="20"/>
                    </w:rPr>
                    <w:t>andin</w:t>
                  </w:r>
                  <w:r>
                    <w:rPr>
                      <w:i/>
                      <w:smallCaps/>
                      <w:w w:val="90"/>
                      <w:sz w:val="20"/>
                    </w:rPr>
                    <w:t>g</w:t>
                  </w:r>
                  <w:r>
                    <w:rPr>
                      <w:i/>
                      <w:smallCaps w:val="0"/>
                      <w:sz w:val="20"/>
                    </w:rPr>
                    <w:t> </w:t>
                  </w:r>
                  <w:r>
                    <w:rPr>
                      <w:i/>
                      <w:smallCaps/>
                      <w:spacing w:val="-1"/>
                      <w:w w:val="92"/>
                      <w:sz w:val="20"/>
                    </w:rPr>
                    <w:t>an</w:t>
                  </w:r>
                  <w:r>
                    <w:rPr>
                      <w:i/>
                      <w:smallCaps/>
                      <w:w w:val="92"/>
                      <w:sz w:val="20"/>
                    </w:rPr>
                    <w:t>d</w:t>
                  </w:r>
                  <w:r>
                    <w:rPr>
                      <w:i/>
                      <w:smallCaps w:val="0"/>
                      <w:sz w:val="20"/>
                    </w:rPr>
                    <w:t> </w:t>
                  </w:r>
                  <w:r>
                    <w:rPr>
                      <w:i/>
                      <w:smallCaps/>
                      <w:spacing w:val="-5"/>
                      <w:w w:val="99"/>
                      <w:sz w:val="20"/>
                    </w:rPr>
                    <w:t>a</w:t>
                  </w:r>
                  <w:r>
                    <w:rPr>
                      <w:i/>
                      <w:smallCaps w:val="0"/>
                      <w:spacing w:val="-1"/>
                      <w:w w:val="92"/>
                      <w:sz w:val="20"/>
                    </w:rPr>
                    <w:t>ss</w:t>
                  </w:r>
                  <w:r>
                    <w:rPr>
                      <w:i/>
                      <w:smallCaps w:val="0"/>
                      <w:spacing w:val="-4"/>
                      <w:w w:val="92"/>
                      <w:sz w:val="20"/>
                    </w:rPr>
                    <w:t>e</w:t>
                  </w:r>
                  <w:r>
                    <w:rPr>
                      <w:i/>
                      <w:smallCaps w:val="0"/>
                      <w:spacing w:val="-1"/>
                      <w:w w:val="96"/>
                      <w:sz w:val="20"/>
                    </w:rPr>
                    <w:t>ssmen</w:t>
                  </w:r>
                  <w:r>
                    <w:rPr>
                      <w:i/>
                      <w:smallCaps w:val="0"/>
                      <w:w w:val="96"/>
                      <w:sz w:val="20"/>
                    </w:rPr>
                    <w:t>t</w:t>
                  </w:r>
                  <w:r>
                    <w:rPr>
                      <w:i/>
                      <w:smallCaps w:val="0"/>
                      <w:sz w:val="20"/>
                    </w:rPr>
                    <w:t> </w:t>
                  </w:r>
                  <w:r>
                    <w:rPr>
                      <w:i/>
                      <w:smallCaps w:val="0"/>
                      <w:spacing w:val="-1"/>
                      <w:w w:val="98"/>
                      <w:sz w:val="20"/>
                    </w:rPr>
                    <w:t>o</w:t>
                  </w:r>
                  <w:r>
                    <w:rPr>
                      <w:i/>
                      <w:smallCaps w:val="0"/>
                      <w:w w:val="98"/>
                      <w:sz w:val="20"/>
                    </w:rPr>
                    <w:t>f</w:t>
                  </w:r>
                  <w:r>
                    <w:rPr>
                      <w:i/>
                      <w:smallCaps w:val="0"/>
                      <w:sz w:val="20"/>
                    </w:rPr>
                    <w:t> </w:t>
                  </w:r>
                  <w:r>
                    <w:rPr>
                      <w:i/>
                      <w:smallCaps w:val="0"/>
                      <w:spacing w:val="-1"/>
                      <w:w w:val="89"/>
                      <w:sz w:val="20"/>
                    </w:rPr>
                    <w:t>cur</w:t>
                  </w:r>
                  <w:r>
                    <w:rPr>
                      <w:i/>
                      <w:smallCaps w:val="0"/>
                      <w:spacing w:val="-4"/>
                      <w:w w:val="89"/>
                      <w:sz w:val="20"/>
                    </w:rPr>
                    <w:t>r</w:t>
                  </w:r>
                  <w:r>
                    <w:rPr>
                      <w:i/>
                      <w:smallCaps w:val="0"/>
                      <w:spacing w:val="-1"/>
                      <w:w w:val="99"/>
                      <w:sz w:val="20"/>
                    </w:rPr>
                    <w:t>en</w:t>
                  </w:r>
                  <w:r>
                    <w:rPr>
                      <w:i/>
                      <w:smallCaps w:val="0"/>
                      <w:w w:val="99"/>
                      <w:sz w:val="20"/>
                    </w:rPr>
                    <w:t>t</w:t>
                  </w:r>
                  <w:r>
                    <w:rPr>
                      <w:i/>
                      <w:smallCaps w:val="0"/>
                      <w:sz w:val="20"/>
                    </w:rPr>
                    <w:t> </w:t>
                  </w:r>
                  <w:r>
                    <w:rPr>
                      <w:i/>
                      <w:smallCaps w:val="0"/>
                      <w:spacing w:val="-1"/>
                      <w:w w:val="94"/>
                      <w:sz w:val="20"/>
                    </w:rPr>
                    <w:t>economic </w:t>
                  </w:r>
                  <w:r>
                    <w:rPr>
                      <w:i/>
                      <w:smallCaps w:val="0"/>
                      <w:spacing w:val="-1"/>
                      <w:w w:val="97"/>
                      <w:sz w:val="20"/>
                    </w:rPr>
                    <w:t>conditions.</w:t>
                  </w:r>
                </w:p>
              </w:txbxContent>
            </v:textbox>
            <v:stroke dashstyle="solid"/>
          </v:shape>
        </w:pict>
      </w:r>
      <w:r>
        <w:rPr>
          <w:rFonts w:ascii="Trebuchet MS"/>
          <w:position w:val="0"/>
        </w:rPr>
      </w:r>
    </w:p>
    <w:p>
      <w:pPr>
        <w:pStyle w:val="BodyText"/>
        <w:spacing w:before="2"/>
        <w:rPr>
          <w:rFonts w:ascii="Trebuchet MS"/>
          <w:b/>
          <w:sz w:val="8"/>
        </w:rPr>
      </w:pPr>
    </w:p>
    <w:p>
      <w:pPr>
        <w:pStyle w:val="ListParagraph"/>
        <w:numPr>
          <w:ilvl w:val="0"/>
          <w:numId w:val="38"/>
        </w:numPr>
        <w:tabs>
          <w:tab w:pos="646" w:val="left" w:leader="none"/>
        </w:tabs>
        <w:spacing w:line="271" w:lineRule="auto" w:before="61" w:after="0"/>
        <w:ind w:left="645" w:right="243" w:hanging="480"/>
        <w:jc w:val="both"/>
        <w:rPr>
          <w:sz w:val="20"/>
        </w:rPr>
      </w:pPr>
      <w:r>
        <w:rPr>
          <w:w w:val="110"/>
          <w:sz w:val="20"/>
        </w:rPr>
        <w:t>Manufacturing</w:t>
      </w:r>
      <w:r>
        <w:rPr>
          <w:spacing w:val="-21"/>
          <w:w w:val="110"/>
          <w:sz w:val="20"/>
        </w:rPr>
        <w:t> </w:t>
      </w:r>
      <w:r>
        <w:rPr>
          <w:w w:val="110"/>
          <w:sz w:val="20"/>
        </w:rPr>
        <w:t>output</w:t>
      </w:r>
      <w:r>
        <w:rPr>
          <w:spacing w:val="-20"/>
          <w:w w:val="110"/>
          <w:sz w:val="20"/>
        </w:rPr>
        <w:t> </w:t>
      </w:r>
      <w:r>
        <w:rPr>
          <w:w w:val="110"/>
          <w:sz w:val="20"/>
        </w:rPr>
        <w:t>growth</w:t>
      </w:r>
      <w:r>
        <w:rPr>
          <w:spacing w:val="-20"/>
          <w:w w:val="110"/>
          <w:sz w:val="20"/>
        </w:rPr>
        <w:t> </w:t>
      </w:r>
      <w:r>
        <w:rPr>
          <w:w w:val="110"/>
          <w:sz w:val="20"/>
        </w:rPr>
        <w:t>picked</w:t>
      </w:r>
      <w:r>
        <w:rPr>
          <w:spacing w:val="-21"/>
          <w:w w:val="110"/>
          <w:sz w:val="20"/>
        </w:rPr>
        <w:t> </w:t>
      </w:r>
      <w:r>
        <w:rPr>
          <w:w w:val="110"/>
          <w:sz w:val="20"/>
        </w:rPr>
        <w:t>up</w:t>
      </w:r>
      <w:r>
        <w:rPr>
          <w:spacing w:val="-20"/>
          <w:w w:val="110"/>
          <w:sz w:val="20"/>
        </w:rPr>
        <w:t> </w:t>
      </w:r>
      <w:r>
        <w:rPr>
          <w:spacing w:val="-3"/>
          <w:w w:val="110"/>
          <w:sz w:val="20"/>
        </w:rPr>
        <w:t>moderately</w:t>
      </w:r>
      <w:r>
        <w:rPr>
          <w:spacing w:val="-20"/>
          <w:w w:val="110"/>
          <w:sz w:val="20"/>
        </w:rPr>
        <w:t> </w:t>
      </w:r>
      <w:r>
        <w:rPr>
          <w:w w:val="110"/>
          <w:sz w:val="20"/>
        </w:rPr>
        <w:t>during</w:t>
      </w:r>
      <w:r>
        <w:rPr>
          <w:spacing w:val="-21"/>
          <w:w w:val="110"/>
          <w:sz w:val="20"/>
        </w:rPr>
        <w:t> </w:t>
      </w:r>
      <w:r>
        <w:rPr>
          <w:w w:val="110"/>
          <w:sz w:val="20"/>
        </w:rPr>
        <w:t>the</w:t>
      </w:r>
      <w:r>
        <w:rPr>
          <w:spacing w:val="-20"/>
          <w:w w:val="110"/>
          <w:sz w:val="20"/>
        </w:rPr>
        <w:t> </w:t>
      </w:r>
      <w:r>
        <w:rPr>
          <w:w w:val="110"/>
          <w:sz w:val="20"/>
        </w:rPr>
        <w:t>period</w:t>
      </w:r>
      <w:r>
        <w:rPr>
          <w:spacing w:val="-20"/>
          <w:w w:val="110"/>
          <w:sz w:val="20"/>
        </w:rPr>
        <w:t> </w:t>
      </w:r>
      <w:r>
        <w:rPr>
          <w:w w:val="110"/>
          <w:sz w:val="20"/>
        </w:rPr>
        <w:t>in</w:t>
      </w:r>
      <w:r>
        <w:rPr>
          <w:spacing w:val="-21"/>
          <w:w w:val="110"/>
          <w:sz w:val="20"/>
        </w:rPr>
        <w:t> </w:t>
      </w:r>
      <w:r>
        <w:rPr>
          <w:w w:val="110"/>
          <w:sz w:val="20"/>
        </w:rPr>
        <w:t>most</w:t>
      </w:r>
      <w:r>
        <w:rPr>
          <w:spacing w:val="-20"/>
          <w:w w:val="110"/>
          <w:sz w:val="20"/>
        </w:rPr>
        <w:t> </w:t>
      </w:r>
      <w:r>
        <w:rPr>
          <w:w w:val="110"/>
          <w:sz w:val="20"/>
        </w:rPr>
        <w:t>regions—predominantly</w:t>
      </w:r>
      <w:r>
        <w:rPr>
          <w:spacing w:val="-20"/>
          <w:w w:val="110"/>
          <w:sz w:val="20"/>
        </w:rPr>
        <w:t> </w:t>
      </w:r>
      <w:r>
        <w:rPr>
          <w:w w:val="110"/>
          <w:sz w:val="20"/>
        </w:rPr>
        <w:t>reflecting a</w:t>
      </w:r>
      <w:r>
        <w:rPr>
          <w:spacing w:val="-18"/>
          <w:w w:val="110"/>
          <w:sz w:val="20"/>
        </w:rPr>
        <w:t> </w:t>
      </w:r>
      <w:r>
        <w:rPr>
          <w:w w:val="110"/>
          <w:sz w:val="20"/>
        </w:rPr>
        <w:t>further</w:t>
      </w:r>
      <w:r>
        <w:rPr>
          <w:spacing w:val="-17"/>
          <w:w w:val="110"/>
          <w:sz w:val="20"/>
        </w:rPr>
        <w:t> </w:t>
      </w:r>
      <w:r>
        <w:rPr>
          <w:w w:val="110"/>
          <w:sz w:val="20"/>
        </w:rPr>
        <w:t>improvement</w:t>
      </w:r>
      <w:r>
        <w:rPr>
          <w:spacing w:val="-17"/>
          <w:w w:val="110"/>
          <w:sz w:val="20"/>
        </w:rPr>
        <w:t> </w:t>
      </w:r>
      <w:r>
        <w:rPr>
          <w:w w:val="110"/>
          <w:sz w:val="20"/>
        </w:rPr>
        <w:t>in</w:t>
      </w:r>
      <w:r>
        <w:rPr>
          <w:spacing w:val="-17"/>
          <w:w w:val="110"/>
          <w:sz w:val="20"/>
        </w:rPr>
        <w:t> </w:t>
      </w:r>
      <w:r>
        <w:rPr>
          <w:w w:val="110"/>
          <w:sz w:val="20"/>
        </w:rPr>
        <w:t>external</w:t>
      </w:r>
      <w:r>
        <w:rPr>
          <w:spacing w:val="-17"/>
          <w:w w:val="110"/>
          <w:sz w:val="20"/>
        </w:rPr>
        <w:t> </w:t>
      </w:r>
      <w:r>
        <w:rPr>
          <w:w w:val="110"/>
          <w:sz w:val="20"/>
        </w:rPr>
        <w:t>demand.</w:t>
      </w:r>
      <w:r>
        <w:rPr>
          <w:spacing w:val="22"/>
          <w:w w:val="110"/>
          <w:sz w:val="20"/>
        </w:rPr>
        <w:t> </w:t>
      </w:r>
      <w:r>
        <w:rPr>
          <w:w w:val="110"/>
          <w:sz w:val="20"/>
        </w:rPr>
        <w:t>Although</w:t>
      </w:r>
      <w:r>
        <w:rPr>
          <w:spacing w:val="-17"/>
          <w:w w:val="110"/>
          <w:sz w:val="20"/>
        </w:rPr>
        <w:t> </w:t>
      </w:r>
      <w:r>
        <w:rPr>
          <w:w w:val="110"/>
          <w:sz w:val="20"/>
        </w:rPr>
        <w:t>confidence</w:t>
      </w:r>
      <w:r>
        <w:rPr>
          <w:spacing w:val="-17"/>
          <w:w w:val="110"/>
          <w:sz w:val="20"/>
        </w:rPr>
        <w:t> </w:t>
      </w:r>
      <w:r>
        <w:rPr>
          <w:w w:val="110"/>
          <w:sz w:val="20"/>
        </w:rPr>
        <w:t>in</w:t>
      </w:r>
      <w:r>
        <w:rPr>
          <w:spacing w:val="-17"/>
          <w:w w:val="110"/>
          <w:sz w:val="20"/>
        </w:rPr>
        <w:t> </w:t>
      </w:r>
      <w:r>
        <w:rPr>
          <w:w w:val="110"/>
          <w:sz w:val="20"/>
        </w:rPr>
        <w:t>the</w:t>
      </w:r>
      <w:r>
        <w:rPr>
          <w:spacing w:val="-17"/>
          <w:w w:val="110"/>
          <w:sz w:val="20"/>
        </w:rPr>
        <w:t> </w:t>
      </w:r>
      <w:r>
        <w:rPr>
          <w:w w:val="110"/>
          <w:sz w:val="20"/>
        </w:rPr>
        <w:t>sector</w:t>
      </w:r>
      <w:r>
        <w:rPr>
          <w:spacing w:val="-17"/>
          <w:w w:val="110"/>
          <w:sz w:val="20"/>
        </w:rPr>
        <w:t> </w:t>
      </w:r>
      <w:r>
        <w:rPr>
          <w:w w:val="110"/>
          <w:sz w:val="20"/>
        </w:rPr>
        <w:t>remained</w:t>
      </w:r>
      <w:r>
        <w:rPr>
          <w:spacing w:val="-17"/>
          <w:w w:val="110"/>
          <w:sz w:val="20"/>
        </w:rPr>
        <w:t> </w:t>
      </w:r>
      <w:r>
        <w:rPr>
          <w:spacing w:val="-6"/>
          <w:w w:val="110"/>
          <w:sz w:val="20"/>
        </w:rPr>
        <w:t>low,</w:t>
      </w:r>
      <w:r>
        <w:rPr>
          <w:spacing w:val="-17"/>
          <w:w w:val="110"/>
          <w:sz w:val="20"/>
        </w:rPr>
        <w:t> </w:t>
      </w:r>
      <w:r>
        <w:rPr>
          <w:w w:val="110"/>
          <w:sz w:val="20"/>
        </w:rPr>
        <w:t>continued</w:t>
      </w:r>
      <w:r>
        <w:rPr>
          <w:spacing w:val="-17"/>
          <w:w w:val="110"/>
          <w:sz w:val="20"/>
        </w:rPr>
        <w:t> </w:t>
      </w:r>
      <w:r>
        <w:rPr>
          <w:w w:val="110"/>
          <w:sz w:val="20"/>
        </w:rPr>
        <w:t>increases in</w:t>
      </w:r>
      <w:r>
        <w:rPr>
          <w:spacing w:val="-9"/>
          <w:w w:val="110"/>
          <w:sz w:val="20"/>
        </w:rPr>
        <w:t> </w:t>
      </w:r>
      <w:r>
        <w:rPr>
          <w:w w:val="110"/>
          <w:sz w:val="20"/>
        </w:rPr>
        <w:t>orders</w:t>
      </w:r>
      <w:r>
        <w:rPr>
          <w:spacing w:val="-9"/>
          <w:w w:val="110"/>
          <w:sz w:val="20"/>
        </w:rPr>
        <w:t> </w:t>
      </w:r>
      <w:r>
        <w:rPr>
          <w:w w:val="110"/>
          <w:sz w:val="20"/>
        </w:rPr>
        <w:t>and</w:t>
      </w:r>
      <w:r>
        <w:rPr>
          <w:spacing w:val="-9"/>
          <w:w w:val="110"/>
          <w:sz w:val="20"/>
        </w:rPr>
        <w:t> </w:t>
      </w:r>
      <w:r>
        <w:rPr>
          <w:w w:val="110"/>
          <w:sz w:val="20"/>
        </w:rPr>
        <w:t>the</w:t>
      </w:r>
      <w:r>
        <w:rPr>
          <w:spacing w:val="-9"/>
          <w:w w:val="110"/>
          <w:sz w:val="20"/>
        </w:rPr>
        <w:t> </w:t>
      </w:r>
      <w:r>
        <w:rPr>
          <w:w w:val="110"/>
          <w:sz w:val="20"/>
        </w:rPr>
        <w:t>recent</w:t>
      </w:r>
      <w:r>
        <w:rPr>
          <w:spacing w:val="-9"/>
          <w:w w:val="110"/>
          <w:sz w:val="20"/>
        </w:rPr>
        <w:t> </w:t>
      </w:r>
      <w:r>
        <w:rPr>
          <w:w w:val="110"/>
          <w:sz w:val="20"/>
        </w:rPr>
        <w:t>weakening</w:t>
      </w:r>
      <w:r>
        <w:rPr>
          <w:spacing w:val="-9"/>
          <w:w w:val="110"/>
          <w:sz w:val="20"/>
        </w:rPr>
        <w:t> </w:t>
      </w:r>
      <w:r>
        <w:rPr>
          <w:w w:val="110"/>
          <w:sz w:val="20"/>
        </w:rPr>
        <w:t>of</w:t>
      </w:r>
      <w:r>
        <w:rPr>
          <w:spacing w:val="-9"/>
          <w:w w:val="110"/>
          <w:sz w:val="20"/>
        </w:rPr>
        <w:t> </w:t>
      </w:r>
      <w:r>
        <w:rPr>
          <w:w w:val="110"/>
          <w:sz w:val="20"/>
        </w:rPr>
        <w:t>sterling</w:t>
      </w:r>
      <w:r>
        <w:rPr>
          <w:spacing w:val="-9"/>
          <w:w w:val="110"/>
          <w:sz w:val="20"/>
        </w:rPr>
        <w:t> </w:t>
      </w:r>
      <w:r>
        <w:rPr>
          <w:w w:val="110"/>
          <w:sz w:val="20"/>
        </w:rPr>
        <w:t>against</w:t>
      </w:r>
      <w:r>
        <w:rPr>
          <w:spacing w:val="-9"/>
          <w:w w:val="110"/>
          <w:sz w:val="20"/>
        </w:rPr>
        <w:t> </w:t>
      </w:r>
      <w:r>
        <w:rPr>
          <w:w w:val="110"/>
          <w:sz w:val="20"/>
        </w:rPr>
        <w:t>the</w:t>
      </w:r>
      <w:r>
        <w:rPr>
          <w:spacing w:val="-9"/>
          <w:w w:val="110"/>
          <w:sz w:val="20"/>
        </w:rPr>
        <w:t> </w:t>
      </w:r>
      <w:r>
        <w:rPr>
          <w:w w:val="110"/>
          <w:sz w:val="20"/>
        </w:rPr>
        <w:t>euro</w:t>
      </w:r>
      <w:r>
        <w:rPr>
          <w:spacing w:val="-9"/>
          <w:w w:val="110"/>
          <w:sz w:val="20"/>
        </w:rPr>
        <w:t> </w:t>
      </w:r>
      <w:r>
        <w:rPr>
          <w:w w:val="110"/>
          <w:sz w:val="20"/>
        </w:rPr>
        <w:t>led</w:t>
      </w:r>
      <w:r>
        <w:rPr>
          <w:spacing w:val="-9"/>
          <w:w w:val="110"/>
          <w:sz w:val="20"/>
        </w:rPr>
        <w:t> </w:t>
      </w:r>
      <w:r>
        <w:rPr>
          <w:spacing w:val="-4"/>
          <w:w w:val="110"/>
          <w:sz w:val="20"/>
        </w:rPr>
        <w:t>to</w:t>
      </w:r>
      <w:r>
        <w:rPr>
          <w:spacing w:val="-9"/>
          <w:w w:val="110"/>
          <w:sz w:val="20"/>
        </w:rPr>
        <w:t> </w:t>
      </w:r>
      <w:r>
        <w:rPr>
          <w:w w:val="110"/>
          <w:sz w:val="20"/>
        </w:rPr>
        <w:t>some</w:t>
      </w:r>
      <w:r>
        <w:rPr>
          <w:spacing w:val="-9"/>
          <w:w w:val="110"/>
          <w:sz w:val="20"/>
        </w:rPr>
        <w:t> </w:t>
      </w:r>
      <w:r>
        <w:rPr>
          <w:w w:val="110"/>
          <w:sz w:val="20"/>
        </w:rPr>
        <w:t>improvement</w:t>
      </w:r>
      <w:r>
        <w:rPr>
          <w:spacing w:val="-9"/>
          <w:w w:val="110"/>
          <w:sz w:val="20"/>
        </w:rPr>
        <w:t> </w:t>
      </w:r>
      <w:r>
        <w:rPr>
          <w:w w:val="110"/>
          <w:sz w:val="20"/>
        </w:rPr>
        <w:t>in</w:t>
      </w:r>
      <w:r>
        <w:rPr>
          <w:spacing w:val="-9"/>
          <w:w w:val="110"/>
          <w:sz w:val="20"/>
        </w:rPr>
        <w:t> </w:t>
      </w:r>
      <w:r>
        <w:rPr>
          <w:w w:val="110"/>
          <w:sz w:val="20"/>
        </w:rPr>
        <w:t>sentiment.</w:t>
      </w:r>
    </w:p>
    <w:p>
      <w:pPr>
        <w:pStyle w:val="BodyText"/>
        <w:spacing w:before="8"/>
        <w:rPr>
          <w:sz w:val="22"/>
        </w:rPr>
      </w:pPr>
    </w:p>
    <w:p>
      <w:pPr>
        <w:pStyle w:val="ListParagraph"/>
        <w:numPr>
          <w:ilvl w:val="0"/>
          <w:numId w:val="38"/>
        </w:numPr>
        <w:tabs>
          <w:tab w:pos="645" w:val="left" w:leader="none"/>
          <w:tab w:pos="646" w:val="left" w:leader="none"/>
        </w:tabs>
        <w:spacing w:line="271" w:lineRule="auto" w:before="0" w:after="0"/>
        <w:ind w:left="645" w:right="326" w:hanging="480"/>
        <w:jc w:val="left"/>
        <w:rPr>
          <w:sz w:val="20"/>
        </w:rPr>
      </w:pPr>
      <w:r>
        <w:rPr>
          <w:w w:val="110"/>
          <w:sz w:val="20"/>
        </w:rPr>
        <w:t>Construction growth </w:t>
      </w:r>
      <w:r>
        <w:rPr>
          <w:spacing w:val="-3"/>
          <w:w w:val="110"/>
          <w:sz w:val="20"/>
        </w:rPr>
        <w:t>slowed </w:t>
      </w:r>
      <w:r>
        <w:rPr>
          <w:w w:val="110"/>
          <w:sz w:val="20"/>
        </w:rPr>
        <w:t>considerably during the period, as wet weather </w:t>
      </w:r>
      <w:r>
        <w:rPr>
          <w:spacing w:val="-3"/>
          <w:w w:val="110"/>
          <w:sz w:val="20"/>
        </w:rPr>
        <w:t>delayed </w:t>
      </w:r>
      <w:r>
        <w:rPr>
          <w:w w:val="110"/>
          <w:sz w:val="20"/>
        </w:rPr>
        <w:t>activity in </w:t>
      </w:r>
      <w:r>
        <w:rPr>
          <w:spacing w:val="-3"/>
          <w:w w:val="110"/>
          <w:sz w:val="20"/>
        </w:rPr>
        <w:t>many </w:t>
      </w:r>
      <w:r>
        <w:rPr>
          <w:w w:val="110"/>
          <w:sz w:val="20"/>
        </w:rPr>
        <w:t>regions. Reflecting</w:t>
      </w:r>
      <w:r>
        <w:rPr>
          <w:spacing w:val="-24"/>
          <w:w w:val="110"/>
          <w:sz w:val="20"/>
        </w:rPr>
        <w:t> </w:t>
      </w:r>
      <w:r>
        <w:rPr>
          <w:w w:val="110"/>
          <w:sz w:val="20"/>
        </w:rPr>
        <w:t>strong</w:t>
      </w:r>
      <w:r>
        <w:rPr>
          <w:spacing w:val="-23"/>
          <w:w w:val="110"/>
          <w:sz w:val="20"/>
        </w:rPr>
        <w:t> </w:t>
      </w:r>
      <w:r>
        <w:rPr>
          <w:w w:val="110"/>
          <w:sz w:val="20"/>
        </w:rPr>
        <w:t>underlying</w:t>
      </w:r>
      <w:r>
        <w:rPr>
          <w:spacing w:val="-23"/>
          <w:w w:val="110"/>
          <w:sz w:val="20"/>
        </w:rPr>
        <w:t> </w:t>
      </w:r>
      <w:r>
        <w:rPr>
          <w:w w:val="110"/>
          <w:sz w:val="20"/>
        </w:rPr>
        <w:t>demand,</w:t>
      </w:r>
      <w:r>
        <w:rPr>
          <w:spacing w:val="-23"/>
          <w:w w:val="110"/>
          <w:sz w:val="20"/>
        </w:rPr>
        <w:t> </w:t>
      </w:r>
      <w:r>
        <w:rPr>
          <w:w w:val="110"/>
          <w:sz w:val="20"/>
        </w:rPr>
        <w:t>a</w:t>
      </w:r>
      <w:r>
        <w:rPr>
          <w:spacing w:val="-23"/>
          <w:w w:val="110"/>
          <w:sz w:val="20"/>
        </w:rPr>
        <w:t> </w:t>
      </w:r>
      <w:r>
        <w:rPr>
          <w:w w:val="110"/>
          <w:sz w:val="20"/>
        </w:rPr>
        <w:t>rebound</w:t>
      </w:r>
      <w:r>
        <w:rPr>
          <w:spacing w:val="-23"/>
          <w:w w:val="110"/>
          <w:sz w:val="20"/>
        </w:rPr>
        <w:t> </w:t>
      </w:r>
      <w:r>
        <w:rPr>
          <w:w w:val="110"/>
          <w:sz w:val="20"/>
        </w:rPr>
        <w:t>in</w:t>
      </w:r>
      <w:r>
        <w:rPr>
          <w:spacing w:val="-23"/>
          <w:w w:val="110"/>
          <w:sz w:val="20"/>
        </w:rPr>
        <w:t> </w:t>
      </w:r>
      <w:r>
        <w:rPr>
          <w:w w:val="110"/>
          <w:sz w:val="20"/>
        </w:rPr>
        <w:t>growth</w:t>
      </w:r>
      <w:r>
        <w:rPr>
          <w:spacing w:val="-23"/>
          <w:w w:val="110"/>
          <w:sz w:val="20"/>
        </w:rPr>
        <w:t> </w:t>
      </w:r>
      <w:r>
        <w:rPr>
          <w:spacing w:val="-3"/>
          <w:w w:val="110"/>
          <w:sz w:val="20"/>
        </w:rPr>
        <w:t>was</w:t>
      </w:r>
      <w:r>
        <w:rPr>
          <w:spacing w:val="-23"/>
          <w:w w:val="110"/>
          <w:sz w:val="20"/>
        </w:rPr>
        <w:t> </w:t>
      </w:r>
      <w:r>
        <w:rPr>
          <w:spacing w:val="-3"/>
          <w:w w:val="110"/>
          <w:sz w:val="20"/>
        </w:rPr>
        <w:t>expected</w:t>
      </w:r>
      <w:r>
        <w:rPr>
          <w:spacing w:val="-23"/>
          <w:w w:val="110"/>
          <w:sz w:val="20"/>
        </w:rPr>
        <w:t> </w:t>
      </w:r>
      <w:r>
        <w:rPr>
          <w:w w:val="110"/>
          <w:sz w:val="20"/>
        </w:rPr>
        <w:t>in</w:t>
      </w:r>
      <w:r>
        <w:rPr>
          <w:spacing w:val="-23"/>
          <w:w w:val="110"/>
          <w:sz w:val="20"/>
        </w:rPr>
        <w:t> </w:t>
      </w:r>
      <w:r>
        <w:rPr>
          <w:w w:val="110"/>
          <w:sz w:val="20"/>
        </w:rPr>
        <w:t>coming</w:t>
      </w:r>
      <w:r>
        <w:rPr>
          <w:spacing w:val="-23"/>
          <w:w w:val="110"/>
          <w:sz w:val="20"/>
        </w:rPr>
        <w:t> </w:t>
      </w:r>
      <w:r>
        <w:rPr>
          <w:w w:val="110"/>
          <w:sz w:val="20"/>
        </w:rPr>
        <w:t>months,</w:t>
      </w:r>
      <w:r>
        <w:rPr>
          <w:spacing w:val="-24"/>
          <w:w w:val="110"/>
          <w:sz w:val="20"/>
        </w:rPr>
        <w:t> </w:t>
      </w:r>
      <w:r>
        <w:rPr>
          <w:w w:val="110"/>
          <w:sz w:val="20"/>
        </w:rPr>
        <w:t>particularly</w:t>
      </w:r>
      <w:r>
        <w:rPr>
          <w:spacing w:val="-23"/>
          <w:w w:val="110"/>
          <w:sz w:val="20"/>
        </w:rPr>
        <w:t> </w:t>
      </w:r>
      <w:r>
        <w:rPr>
          <w:w w:val="110"/>
          <w:sz w:val="20"/>
        </w:rPr>
        <w:t>from</w:t>
      </w:r>
      <w:r>
        <w:rPr>
          <w:spacing w:val="-23"/>
          <w:w w:val="110"/>
          <w:sz w:val="20"/>
        </w:rPr>
        <w:t> </w:t>
      </w:r>
      <w:r>
        <w:rPr>
          <w:w w:val="110"/>
          <w:sz w:val="20"/>
        </w:rPr>
        <w:t>the public</w:t>
      </w:r>
      <w:r>
        <w:rPr>
          <w:spacing w:val="-6"/>
          <w:w w:val="110"/>
          <w:sz w:val="20"/>
        </w:rPr>
        <w:t> </w:t>
      </w:r>
      <w:r>
        <w:rPr>
          <w:spacing w:val="-4"/>
          <w:w w:val="110"/>
          <w:sz w:val="20"/>
        </w:rPr>
        <w:t>sector.</w:t>
      </w:r>
    </w:p>
    <w:p>
      <w:pPr>
        <w:pStyle w:val="BodyText"/>
        <w:spacing w:before="7"/>
        <w:rPr>
          <w:sz w:val="22"/>
        </w:rPr>
      </w:pPr>
    </w:p>
    <w:p>
      <w:pPr>
        <w:pStyle w:val="ListParagraph"/>
        <w:numPr>
          <w:ilvl w:val="0"/>
          <w:numId w:val="38"/>
        </w:numPr>
        <w:tabs>
          <w:tab w:pos="645" w:val="left" w:leader="none"/>
          <w:tab w:pos="646" w:val="left" w:leader="none"/>
        </w:tabs>
        <w:spacing w:line="271" w:lineRule="auto" w:before="0" w:after="0"/>
        <w:ind w:left="645" w:right="290" w:hanging="480"/>
        <w:jc w:val="left"/>
        <w:rPr>
          <w:sz w:val="20"/>
        </w:rPr>
      </w:pPr>
      <w:r>
        <w:rPr>
          <w:w w:val="110"/>
          <w:sz w:val="20"/>
        </w:rPr>
        <w:t>Service</w:t>
      </w:r>
      <w:r>
        <w:rPr>
          <w:spacing w:val="-21"/>
          <w:w w:val="110"/>
          <w:sz w:val="20"/>
        </w:rPr>
        <w:t> </w:t>
      </w:r>
      <w:r>
        <w:rPr>
          <w:w w:val="110"/>
          <w:sz w:val="20"/>
        </w:rPr>
        <w:t>sector</w:t>
      </w:r>
      <w:r>
        <w:rPr>
          <w:spacing w:val="-21"/>
          <w:w w:val="110"/>
          <w:sz w:val="20"/>
        </w:rPr>
        <w:t> </w:t>
      </w:r>
      <w:r>
        <w:rPr>
          <w:w w:val="110"/>
          <w:sz w:val="20"/>
        </w:rPr>
        <w:t>growth</w:t>
      </w:r>
      <w:r>
        <w:rPr>
          <w:spacing w:val="-21"/>
          <w:w w:val="110"/>
          <w:sz w:val="20"/>
        </w:rPr>
        <w:t> </w:t>
      </w:r>
      <w:r>
        <w:rPr>
          <w:w w:val="110"/>
          <w:sz w:val="20"/>
        </w:rPr>
        <w:t>remained</w:t>
      </w:r>
      <w:r>
        <w:rPr>
          <w:spacing w:val="-21"/>
          <w:w w:val="110"/>
          <w:sz w:val="20"/>
        </w:rPr>
        <w:t> </w:t>
      </w:r>
      <w:r>
        <w:rPr>
          <w:w w:val="110"/>
          <w:sz w:val="20"/>
        </w:rPr>
        <w:t>broadly</w:t>
      </w:r>
      <w:r>
        <w:rPr>
          <w:spacing w:val="-21"/>
          <w:w w:val="110"/>
          <w:sz w:val="20"/>
        </w:rPr>
        <w:t> </w:t>
      </w:r>
      <w:r>
        <w:rPr>
          <w:spacing w:val="-3"/>
          <w:w w:val="110"/>
          <w:sz w:val="20"/>
        </w:rPr>
        <w:t>steady</w:t>
      </w:r>
      <w:r>
        <w:rPr>
          <w:spacing w:val="-21"/>
          <w:w w:val="110"/>
          <w:sz w:val="20"/>
        </w:rPr>
        <w:t> </w:t>
      </w:r>
      <w:r>
        <w:rPr>
          <w:w w:val="110"/>
          <w:sz w:val="20"/>
        </w:rPr>
        <w:t>during</w:t>
      </w:r>
      <w:r>
        <w:rPr>
          <w:spacing w:val="-20"/>
          <w:w w:val="110"/>
          <w:sz w:val="20"/>
        </w:rPr>
        <w:t> </w:t>
      </w:r>
      <w:r>
        <w:rPr>
          <w:w w:val="110"/>
          <w:sz w:val="20"/>
        </w:rPr>
        <w:t>recent</w:t>
      </w:r>
      <w:r>
        <w:rPr>
          <w:spacing w:val="-21"/>
          <w:w w:val="110"/>
          <w:sz w:val="20"/>
        </w:rPr>
        <w:t> </w:t>
      </w:r>
      <w:r>
        <w:rPr>
          <w:w w:val="110"/>
          <w:sz w:val="20"/>
        </w:rPr>
        <w:t>months.</w:t>
      </w:r>
      <w:r>
        <w:rPr>
          <w:spacing w:val="14"/>
          <w:w w:val="110"/>
          <w:sz w:val="20"/>
        </w:rPr>
        <w:t> </w:t>
      </w:r>
      <w:r>
        <w:rPr>
          <w:w w:val="110"/>
          <w:sz w:val="20"/>
        </w:rPr>
        <w:t>Most</w:t>
      </w:r>
      <w:r>
        <w:rPr>
          <w:spacing w:val="-21"/>
          <w:w w:val="110"/>
          <w:sz w:val="20"/>
        </w:rPr>
        <w:t> </w:t>
      </w:r>
      <w:r>
        <w:rPr>
          <w:w w:val="110"/>
          <w:sz w:val="20"/>
        </w:rPr>
        <w:t>areas</w:t>
      </w:r>
      <w:r>
        <w:rPr>
          <w:spacing w:val="-21"/>
          <w:w w:val="110"/>
          <w:sz w:val="20"/>
        </w:rPr>
        <w:t> </w:t>
      </w:r>
      <w:r>
        <w:rPr>
          <w:w w:val="110"/>
          <w:sz w:val="20"/>
        </w:rPr>
        <w:t>of</w:t>
      </w:r>
      <w:r>
        <w:rPr>
          <w:spacing w:val="-21"/>
          <w:w w:val="110"/>
          <w:sz w:val="20"/>
        </w:rPr>
        <w:t> </w:t>
      </w:r>
      <w:r>
        <w:rPr>
          <w:w w:val="110"/>
          <w:sz w:val="20"/>
        </w:rPr>
        <w:t>business</w:t>
      </w:r>
      <w:r>
        <w:rPr>
          <w:spacing w:val="-21"/>
          <w:w w:val="110"/>
          <w:sz w:val="20"/>
        </w:rPr>
        <w:t> </w:t>
      </w:r>
      <w:r>
        <w:rPr>
          <w:w w:val="110"/>
          <w:sz w:val="20"/>
        </w:rPr>
        <w:t>services</w:t>
      </w:r>
      <w:r>
        <w:rPr>
          <w:spacing w:val="-20"/>
          <w:w w:val="110"/>
          <w:sz w:val="20"/>
        </w:rPr>
        <w:t> </w:t>
      </w:r>
      <w:r>
        <w:rPr>
          <w:w w:val="110"/>
          <w:sz w:val="20"/>
        </w:rPr>
        <w:t>continued </w:t>
      </w:r>
      <w:r>
        <w:rPr>
          <w:spacing w:val="-4"/>
          <w:w w:val="110"/>
          <w:sz w:val="20"/>
        </w:rPr>
        <w:t>to</w:t>
      </w:r>
      <w:r>
        <w:rPr>
          <w:spacing w:val="-24"/>
          <w:w w:val="110"/>
          <w:sz w:val="20"/>
        </w:rPr>
        <w:t> </w:t>
      </w:r>
      <w:r>
        <w:rPr>
          <w:spacing w:val="-3"/>
          <w:w w:val="110"/>
          <w:sz w:val="20"/>
        </w:rPr>
        <w:t>record</w:t>
      </w:r>
      <w:r>
        <w:rPr>
          <w:spacing w:val="-23"/>
          <w:w w:val="110"/>
          <w:sz w:val="20"/>
        </w:rPr>
        <w:t> </w:t>
      </w:r>
      <w:r>
        <w:rPr>
          <w:w w:val="110"/>
          <w:sz w:val="20"/>
        </w:rPr>
        <w:t>strong</w:t>
      </w:r>
      <w:r>
        <w:rPr>
          <w:spacing w:val="-24"/>
          <w:w w:val="110"/>
          <w:sz w:val="20"/>
        </w:rPr>
        <w:t> </w:t>
      </w:r>
      <w:r>
        <w:rPr>
          <w:w w:val="110"/>
          <w:sz w:val="20"/>
        </w:rPr>
        <w:t>growth.</w:t>
      </w:r>
      <w:r>
        <w:rPr>
          <w:spacing w:val="9"/>
          <w:w w:val="110"/>
          <w:sz w:val="20"/>
        </w:rPr>
        <w:t> </w:t>
      </w:r>
      <w:r>
        <w:rPr>
          <w:w w:val="110"/>
          <w:sz w:val="20"/>
        </w:rPr>
        <w:t>Consumer</w:t>
      </w:r>
      <w:r>
        <w:rPr>
          <w:spacing w:val="-23"/>
          <w:w w:val="110"/>
          <w:sz w:val="20"/>
        </w:rPr>
        <w:t> </w:t>
      </w:r>
      <w:r>
        <w:rPr>
          <w:w w:val="110"/>
          <w:sz w:val="20"/>
        </w:rPr>
        <w:t>services</w:t>
      </w:r>
      <w:r>
        <w:rPr>
          <w:spacing w:val="-24"/>
          <w:w w:val="110"/>
          <w:sz w:val="20"/>
        </w:rPr>
        <w:t> </w:t>
      </w:r>
      <w:r>
        <w:rPr>
          <w:w w:val="110"/>
          <w:sz w:val="20"/>
        </w:rPr>
        <w:t>activity</w:t>
      </w:r>
      <w:r>
        <w:rPr>
          <w:spacing w:val="-23"/>
          <w:w w:val="110"/>
          <w:sz w:val="20"/>
        </w:rPr>
        <w:t> </w:t>
      </w:r>
      <w:r>
        <w:rPr>
          <w:w w:val="110"/>
          <w:sz w:val="20"/>
        </w:rPr>
        <w:t>remained</w:t>
      </w:r>
      <w:r>
        <w:rPr>
          <w:spacing w:val="-24"/>
          <w:w w:val="110"/>
          <w:sz w:val="20"/>
        </w:rPr>
        <w:t> </w:t>
      </w:r>
      <w:r>
        <w:rPr>
          <w:w w:val="110"/>
          <w:sz w:val="20"/>
        </w:rPr>
        <w:t>more</w:t>
      </w:r>
      <w:r>
        <w:rPr>
          <w:spacing w:val="-23"/>
          <w:w w:val="110"/>
          <w:sz w:val="20"/>
        </w:rPr>
        <w:t> </w:t>
      </w:r>
      <w:r>
        <w:rPr>
          <w:spacing w:val="-3"/>
          <w:w w:val="110"/>
          <w:sz w:val="20"/>
        </w:rPr>
        <w:t>moderate,</w:t>
      </w:r>
      <w:r>
        <w:rPr>
          <w:spacing w:val="-23"/>
          <w:w w:val="110"/>
          <w:sz w:val="20"/>
        </w:rPr>
        <w:t> </w:t>
      </w:r>
      <w:r>
        <w:rPr>
          <w:w w:val="110"/>
          <w:sz w:val="20"/>
        </w:rPr>
        <w:t>with</w:t>
      </w:r>
      <w:r>
        <w:rPr>
          <w:spacing w:val="-24"/>
          <w:w w:val="110"/>
          <w:sz w:val="20"/>
        </w:rPr>
        <w:t> </w:t>
      </w:r>
      <w:r>
        <w:rPr>
          <w:w w:val="110"/>
          <w:sz w:val="20"/>
        </w:rPr>
        <w:t>little</w:t>
      </w:r>
      <w:r>
        <w:rPr>
          <w:spacing w:val="-23"/>
          <w:w w:val="110"/>
          <w:sz w:val="20"/>
        </w:rPr>
        <w:t> </w:t>
      </w:r>
      <w:r>
        <w:rPr>
          <w:w w:val="110"/>
          <w:sz w:val="20"/>
        </w:rPr>
        <w:t>improvement</w:t>
      </w:r>
      <w:r>
        <w:rPr>
          <w:spacing w:val="-24"/>
          <w:w w:val="110"/>
          <w:sz w:val="20"/>
        </w:rPr>
        <w:t> </w:t>
      </w:r>
      <w:r>
        <w:rPr>
          <w:w w:val="110"/>
          <w:sz w:val="20"/>
        </w:rPr>
        <w:t>in</w:t>
      </w:r>
      <w:r>
        <w:rPr>
          <w:spacing w:val="-23"/>
          <w:w w:val="110"/>
          <w:sz w:val="20"/>
        </w:rPr>
        <w:t> </w:t>
      </w:r>
      <w:r>
        <w:rPr>
          <w:w w:val="110"/>
          <w:sz w:val="20"/>
        </w:rPr>
        <w:t>demand for domestic </w:t>
      </w:r>
      <w:r>
        <w:rPr>
          <w:spacing w:val="-2"/>
          <w:w w:val="110"/>
          <w:sz w:val="20"/>
        </w:rPr>
        <w:t>tourism-related</w:t>
      </w:r>
      <w:r>
        <w:rPr>
          <w:spacing w:val="-17"/>
          <w:w w:val="110"/>
          <w:sz w:val="20"/>
        </w:rPr>
        <w:t> </w:t>
      </w:r>
      <w:r>
        <w:rPr>
          <w:spacing w:val="-4"/>
          <w:w w:val="110"/>
          <w:sz w:val="20"/>
        </w:rPr>
        <w:t>activity.</w:t>
      </w:r>
    </w:p>
    <w:p>
      <w:pPr>
        <w:pStyle w:val="BodyText"/>
        <w:spacing w:before="7"/>
        <w:rPr>
          <w:sz w:val="22"/>
        </w:rPr>
      </w:pPr>
    </w:p>
    <w:p>
      <w:pPr>
        <w:pStyle w:val="ListParagraph"/>
        <w:numPr>
          <w:ilvl w:val="0"/>
          <w:numId w:val="38"/>
        </w:numPr>
        <w:tabs>
          <w:tab w:pos="645" w:val="left" w:leader="none"/>
          <w:tab w:pos="646" w:val="left" w:leader="none"/>
        </w:tabs>
        <w:spacing w:line="271" w:lineRule="auto" w:before="1" w:after="0"/>
        <w:ind w:left="645" w:right="727" w:hanging="480"/>
        <w:jc w:val="left"/>
        <w:rPr>
          <w:sz w:val="20"/>
        </w:rPr>
      </w:pPr>
      <w:r>
        <w:rPr>
          <w:w w:val="105"/>
          <w:sz w:val="20"/>
        </w:rPr>
        <w:t>Annual growth in retail sales values </w:t>
      </w:r>
      <w:r>
        <w:rPr>
          <w:spacing w:val="-3"/>
          <w:w w:val="105"/>
          <w:sz w:val="20"/>
        </w:rPr>
        <w:t>was </w:t>
      </w:r>
      <w:r>
        <w:rPr>
          <w:w w:val="105"/>
          <w:sz w:val="20"/>
        </w:rPr>
        <w:t>little changed from the previous period. New car sales </w:t>
      </w:r>
      <w:r>
        <w:rPr>
          <w:spacing w:val="-4"/>
          <w:w w:val="105"/>
          <w:sz w:val="20"/>
        </w:rPr>
        <w:t>to </w:t>
      </w:r>
      <w:r>
        <w:rPr>
          <w:w w:val="105"/>
          <w:sz w:val="20"/>
        </w:rPr>
        <w:t>individuals </w:t>
      </w:r>
      <w:r>
        <w:rPr>
          <w:spacing w:val="-3"/>
          <w:w w:val="105"/>
          <w:sz w:val="20"/>
        </w:rPr>
        <w:t>recovered significantly, </w:t>
      </w:r>
      <w:r>
        <w:rPr>
          <w:w w:val="105"/>
          <w:sz w:val="20"/>
        </w:rPr>
        <w:t>following a sustained period of weak</w:t>
      </w:r>
      <w:r>
        <w:rPr>
          <w:spacing w:val="-13"/>
          <w:w w:val="105"/>
          <w:sz w:val="20"/>
        </w:rPr>
        <w:t> </w:t>
      </w:r>
      <w:r>
        <w:rPr>
          <w:w w:val="105"/>
          <w:sz w:val="20"/>
        </w:rPr>
        <w:t>demand.</w:t>
      </w:r>
    </w:p>
    <w:p>
      <w:pPr>
        <w:pStyle w:val="BodyText"/>
        <w:spacing w:before="7"/>
        <w:rPr>
          <w:sz w:val="22"/>
        </w:rPr>
      </w:pPr>
    </w:p>
    <w:p>
      <w:pPr>
        <w:pStyle w:val="ListParagraph"/>
        <w:numPr>
          <w:ilvl w:val="0"/>
          <w:numId w:val="38"/>
        </w:numPr>
        <w:tabs>
          <w:tab w:pos="645" w:val="left" w:leader="none"/>
          <w:tab w:pos="646" w:val="left" w:leader="none"/>
        </w:tabs>
        <w:spacing w:line="271" w:lineRule="auto" w:before="0" w:after="0"/>
        <w:ind w:left="645" w:right="216" w:hanging="480"/>
        <w:jc w:val="left"/>
        <w:rPr>
          <w:sz w:val="20"/>
        </w:rPr>
      </w:pPr>
      <w:r>
        <w:rPr>
          <w:w w:val="110"/>
          <w:sz w:val="20"/>
        </w:rPr>
        <w:t>Export</w:t>
      </w:r>
      <w:r>
        <w:rPr>
          <w:spacing w:val="-21"/>
          <w:w w:val="110"/>
          <w:sz w:val="20"/>
        </w:rPr>
        <w:t> </w:t>
      </w:r>
      <w:r>
        <w:rPr>
          <w:w w:val="110"/>
          <w:sz w:val="20"/>
        </w:rPr>
        <w:t>volume</w:t>
      </w:r>
      <w:r>
        <w:rPr>
          <w:spacing w:val="-20"/>
          <w:w w:val="110"/>
          <w:sz w:val="20"/>
        </w:rPr>
        <w:t> </w:t>
      </w:r>
      <w:r>
        <w:rPr>
          <w:w w:val="110"/>
          <w:sz w:val="20"/>
        </w:rPr>
        <w:t>growth</w:t>
      </w:r>
      <w:r>
        <w:rPr>
          <w:spacing w:val="-20"/>
          <w:w w:val="110"/>
          <w:sz w:val="20"/>
        </w:rPr>
        <w:t> </w:t>
      </w:r>
      <w:r>
        <w:rPr>
          <w:w w:val="110"/>
          <w:sz w:val="20"/>
        </w:rPr>
        <w:t>strengthened</w:t>
      </w:r>
      <w:r>
        <w:rPr>
          <w:spacing w:val="-21"/>
          <w:w w:val="110"/>
          <w:sz w:val="20"/>
        </w:rPr>
        <w:t> </w:t>
      </w:r>
      <w:r>
        <w:rPr>
          <w:w w:val="110"/>
          <w:sz w:val="20"/>
        </w:rPr>
        <w:t>further</w:t>
      </w:r>
      <w:r>
        <w:rPr>
          <w:spacing w:val="-20"/>
          <w:w w:val="110"/>
          <w:sz w:val="20"/>
        </w:rPr>
        <w:t> </w:t>
      </w:r>
      <w:r>
        <w:rPr>
          <w:w w:val="110"/>
          <w:sz w:val="20"/>
        </w:rPr>
        <w:t>in</w:t>
      </w:r>
      <w:r>
        <w:rPr>
          <w:spacing w:val="-20"/>
          <w:w w:val="110"/>
          <w:sz w:val="20"/>
        </w:rPr>
        <w:t> </w:t>
      </w:r>
      <w:r>
        <w:rPr>
          <w:w w:val="110"/>
          <w:sz w:val="20"/>
        </w:rPr>
        <w:t>most</w:t>
      </w:r>
      <w:r>
        <w:rPr>
          <w:spacing w:val="-20"/>
          <w:w w:val="110"/>
          <w:sz w:val="20"/>
        </w:rPr>
        <w:t> </w:t>
      </w:r>
      <w:r>
        <w:rPr>
          <w:w w:val="110"/>
          <w:sz w:val="20"/>
        </w:rPr>
        <w:t>regions.</w:t>
      </w:r>
      <w:r>
        <w:rPr>
          <w:spacing w:val="15"/>
          <w:w w:val="110"/>
          <w:sz w:val="20"/>
        </w:rPr>
        <w:t> </w:t>
      </w:r>
      <w:r>
        <w:rPr>
          <w:w w:val="110"/>
          <w:sz w:val="20"/>
        </w:rPr>
        <w:t>Demand</w:t>
      </w:r>
      <w:r>
        <w:rPr>
          <w:spacing w:val="-20"/>
          <w:w w:val="110"/>
          <w:sz w:val="20"/>
        </w:rPr>
        <w:t> </w:t>
      </w:r>
      <w:r>
        <w:rPr>
          <w:w w:val="110"/>
          <w:sz w:val="20"/>
        </w:rPr>
        <w:t>from</w:t>
      </w:r>
      <w:r>
        <w:rPr>
          <w:spacing w:val="-21"/>
          <w:w w:val="110"/>
          <w:sz w:val="20"/>
        </w:rPr>
        <w:t> </w:t>
      </w:r>
      <w:r>
        <w:rPr>
          <w:w w:val="110"/>
          <w:sz w:val="20"/>
        </w:rPr>
        <w:t>the</w:t>
      </w:r>
      <w:r>
        <w:rPr>
          <w:spacing w:val="-20"/>
          <w:w w:val="110"/>
          <w:sz w:val="20"/>
        </w:rPr>
        <w:t> </w:t>
      </w:r>
      <w:r>
        <w:rPr>
          <w:w w:val="110"/>
          <w:sz w:val="20"/>
        </w:rPr>
        <w:t>United</w:t>
      </w:r>
      <w:r>
        <w:rPr>
          <w:spacing w:val="-20"/>
          <w:w w:val="110"/>
          <w:sz w:val="20"/>
        </w:rPr>
        <w:t> </w:t>
      </w:r>
      <w:r>
        <w:rPr>
          <w:spacing w:val="-3"/>
          <w:w w:val="110"/>
          <w:sz w:val="20"/>
        </w:rPr>
        <w:t>States</w:t>
      </w:r>
      <w:r>
        <w:rPr>
          <w:spacing w:val="-20"/>
          <w:w w:val="110"/>
          <w:sz w:val="20"/>
        </w:rPr>
        <w:t> </w:t>
      </w:r>
      <w:r>
        <w:rPr>
          <w:w w:val="110"/>
          <w:sz w:val="20"/>
        </w:rPr>
        <w:t>generally</w:t>
      </w:r>
      <w:r>
        <w:rPr>
          <w:spacing w:val="-21"/>
          <w:w w:val="110"/>
          <w:sz w:val="20"/>
        </w:rPr>
        <w:t> </w:t>
      </w:r>
      <w:r>
        <w:rPr>
          <w:w w:val="110"/>
          <w:sz w:val="20"/>
        </w:rPr>
        <w:t>remained strong,</w:t>
      </w:r>
      <w:r>
        <w:rPr>
          <w:spacing w:val="-16"/>
          <w:w w:val="110"/>
          <w:sz w:val="20"/>
        </w:rPr>
        <w:t> </w:t>
      </w:r>
      <w:r>
        <w:rPr>
          <w:w w:val="110"/>
          <w:sz w:val="20"/>
        </w:rPr>
        <w:t>although</w:t>
      </w:r>
      <w:r>
        <w:rPr>
          <w:spacing w:val="-15"/>
          <w:w w:val="110"/>
          <w:sz w:val="20"/>
        </w:rPr>
        <w:t> </w:t>
      </w:r>
      <w:r>
        <w:rPr>
          <w:w w:val="110"/>
          <w:sz w:val="20"/>
        </w:rPr>
        <w:t>some</w:t>
      </w:r>
      <w:r>
        <w:rPr>
          <w:spacing w:val="-16"/>
          <w:w w:val="110"/>
          <w:sz w:val="20"/>
        </w:rPr>
        <w:t> </w:t>
      </w:r>
      <w:r>
        <w:rPr>
          <w:w w:val="110"/>
          <w:sz w:val="20"/>
        </w:rPr>
        <w:t>contacts</w:t>
      </w:r>
      <w:r>
        <w:rPr>
          <w:spacing w:val="-15"/>
          <w:w w:val="110"/>
          <w:sz w:val="20"/>
        </w:rPr>
        <w:t> </w:t>
      </w:r>
      <w:r>
        <w:rPr>
          <w:w w:val="110"/>
          <w:sz w:val="20"/>
        </w:rPr>
        <w:t>noted</w:t>
      </w:r>
      <w:r>
        <w:rPr>
          <w:spacing w:val="-15"/>
          <w:w w:val="110"/>
          <w:sz w:val="20"/>
        </w:rPr>
        <w:t> </w:t>
      </w:r>
      <w:r>
        <w:rPr>
          <w:w w:val="110"/>
          <w:sz w:val="20"/>
        </w:rPr>
        <w:t>a</w:t>
      </w:r>
      <w:r>
        <w:rPr>
          <w:spacing w:val="-16"/>
          <w:w w:val="110"/>
          <w:sz w:val="20"/>
        </w:rPr>
        <w:t> </w:t>
      </w:r>
      <w:r>
        <w:rPr>
          <w:spacing w:val="-3"/>
          <w:w w:val="110"/>
          <w:sz w:val="20"/>
        </w:rPr>
        <w:t>slowdown</w:t>
      </w:r>
      <w:r>
        <w:rPr>
          <w:spacing w:val="-15"/>
          <w:w w:val="110"/>
          <w:sz w:val="20"/>
        </w:rPr>
        <w:t> </w:t>
      </w:r>
      <w:r>
        <w:rPr>
          <w:w w:val="110"/>
          <w:sz w:val="20"/>
        </w:rPr>
        <w:t>in</w:t>
      </w:r>
      <w:r>
        <w:rPr>
          <w:spacing w:val="-16"/>
          <w:w w:val="110"/>
          <w:sz w:val="20"/>
        </w:rPr>
        <w:t> </w:t>
      </w:r>
      <w:r>
        <w:rPr>
          <w:spacing w:val="-3"/>
          <w:w w:val="110"/>
          <w:sz w:val="20"/>
        </w:rPr>
        <w:t>orders</w:t>
      </w:r>
      <w:r>
        <w:rPr>
          <w:spacing w:val="-15"/>
          <w:w w:val="110"/>
          <w:sz w:val="20"/>
        </w:rPr>
        <w:t> </w:t>
      </w:r>
      <w:r>
        <w:rPr>
          <w:w w:val="110"/>
          <w:sz w:val="20"/>
        </w:rPr>
        <w:t>in</w:t>
      </w:r>
      <w:r>
        <w:rPr>
          <w:spacing w:val="-15"/>
          <w:w w:val="110"/>
          <w:sz w:val="20"/>
        </w:rPr>
        <w:t> </w:t>
      </w:r>
      <w:r>
        <w:rPr>
          <w:w w:val="110"/>
          <w:sz w:val="20"/>
        </w:rPr>
        <w:t>recent</w:t>
      </w:r>
      <w:r>
        <w:rPr>
          <w:spacing w:val="-16"/>
          <w:w w:val="110"/>
          <w:sz w:val="20"/>
        </w:rPr>
        <w:t> </w:t>
      </w:r>
      <w:r>
        <w:rPr>
          <w:w w:val="110"/>
          <w:sz w:val="20"/>
        </w:rPr>
        <w:t>weeks.</w:t>
      </w:r>
      <w:r>
        <w:rPr>
          <w:spacing w:val="25"/>
          <w:w w:val="110"/>
          <w:sz w:val="20"/>
        </w:rPr>
        <w:t> </w:t>
      </w:r>
      <w:r>
        <w:rPr>
          <w:w w:val="110"/>
          <w:sz w:val="20"/>
        </w:rPr>
        <w:t>Growth</w:t>
      </w:r>
      <w:r>
        <w:rPr>
          <w:spacing w:val="-15"/>
          <w:w w:val="110"/>
          <w:sz w:val="20"/>
        </w:rPr>
        <w:t> </w:t>
      </w:r>
      <w:r>
        <w:rPr>
          <w:w w:val="110"/>
          <w:sz w:val="20"/>
        </w:rPr>
        <w:t>in</w:t>
      </w:r>
      <w:r>
        <w:rPr>
          <w:spacing w:val="-15"/>
          <w:w w:val="110"/>
          <w:sz w:val="20"/>
        </w:rPr>
        <w:t> </w:t>
      </w:r>
      <w:r>
        <w:rPr>
          <w:w w:val="110"/>
          <w:sz w:val="20"/>
        </w:rPr>
        <w:t>exports</w:t>
      </w:r>
      <w:r>
        <w:rPr>
          <w:spacing w:val="-16"/>
          <w:w w:val="110"/>
          <w:sz w:val="20"/>
        </w:rPr>
        <w:t> </w:t>
      </w:r>
      <w:r>
        <w:rPr>
          <w:spacing w:val="-4"/>
          <w:w w:val="110"/>
          <w:sz w:val="20"/>
        </w:rPr>
        <w:t>to</w:t>
      </w:r>
      <w:r>
        <w:rPr>
          <w:spacing w:val="-15"/>
          <w:w w:val="110"/>
          <w:sz w:val="20"/>
        </w:rPr>
        <w:t> </w:t>
      </w:r>
      <w:r>
        <w:rPr>
          <w:w w:val="110"/>
          <w:sz w:val="20"/>
        </w:rPr>
        <w:t>markets</w:t>
      </w:r>
      <w:r>
        <w:rPr>
          <w:spacing w:val="-16"/>
          <w:w w:val="110"/>
          <w:sz w:val="20"/>
        </w:rPr>
        <w:t> </w:t>
      </w:r>
      <w:r>
        <w:rPr>
          <w:w w:val="110"/>
          <w:sz w:val="20"/>
        </w:rPr>
        <w:t>in</w:t>
      </w:r>
      <w:r>
        <w:rPr>
          <w:spacing w:val="-15"/>
          <w:w w:val="110"/>
          <w:sz w:val="20"/>
        </w:rPr>
        <w:t> </w:t>
      </w:r>
      <w:r>
        <w:rPr>
          <w:w w:val="110"/>
          <w:sz w:val="20"/>
        </w:rPr>
        <w:t>the Middle</w:t>
      </w:r>
      <w:r>
        <w:rPr>
          <w:spacing w:val="-29"/>
          <w:w w:val="110"/>
          <w:sz w:val="20"/>
        </w:rPr>
        <w:t> </w:t>
      </w:r>
      <w:r>
        <w:rPr>
          <w:w w:val="110"/>
          <w:sz w:val="20"/>
        </w:rPr>
        <w:t>East</w:t>
      </w:r>
      <w:r>
        <w:rPr>
          <w:spacing w:val="-28"/>
          <w:w w:val="110"/>
          <w:sz w:val="20"/>
        </w:rPr>
        <w:t> </w:t>
      </w:r>
      <w:r>
        <w:rPr>
          <w:w w:val="110"/>
          <w:sz w:val="20"/>
        </w:rPr>
        <w:t>and</w:t>
      </w:r>
      <w:r>
        <w:rPr>
          <w:spacing w:val="-28"/>
          <w:w w:val="110"/>
          <w:sz w:val="20"/>
        </w:rPr>
        <w:t> </w:t>
      </w:r>
      <w:r>
        <w:rPr>
          <w:w w:val="110"/>
          <w:sz w:val="20"/>
        </w:rPr>
        <w:t>Asia</w:t>
      </w:r>
      <w:r>
        <w:rPr>
          <w:spacing w:val="-28"/>
          <w:w w:val="110"/>
          <w:sz w:val="20"/>
        </w:rPr>
        <w:t> </w:t>
      </w:r>
      <w:r>
        <w:rPr>
          <w:spacing w:val="-3"/>
          <w:w w:val="110"/>
          <w:sz w:val="20"/>
        </w:rPr>
        <w:t>improved.</w:t>
      </w:r>
      <w:r>
        <w:rPr>
          <w:spacing w:val="-1"/>
          <w:w w:val="110"/>
          <w:sz w:val="20"/>
        </w:rPr>
        <w:t> </w:t>
      </w:r>
      <w:r>
        <w:rPr>
          <w:w w:val="110"/>
          <w:sz w:val="20"/>
        </w:rPr>
        <w:t>Sales</w:t>
      </w:r>
      <w:r>
        <w:rPr>
          <w:spacing w:val="-28"/>
          <w:w w:val="110"/>
          <w:sz w:val="20"/>
        </w:rPr>
        <w:t> </w:t>
      </w:r>
      <w:r>
        <w:rPr>
          <w:spacing w:val="-4"/>
          <w:w w:val="110"/>
          <w:sz w:val="20"/>
        </w:rPr>
        <w:t>to</w:t>
      </w:r>
      <w:r>
        <w:rPr>
          <w:spacing w:val="-28"/>
          <w:w w:val="110"/>
          <w:sz w:val="20"/>
        </w:rPr>
        <w:t> </w:t>
      </w:r>
      <w:r>
        <w:rPr>
          <w:w w:val="110"/>
          <w:sz w:val="20"/>
        </w:rPr>
        <w:t>Europe</w:t>
      </w:r>
      <w:r>
        <w:rPr>
          <w:spacing w:val="-28"/>
          <w:w w:val="110"/>
          <w:sz w:val="20"/>
        </w:rPr>
        <w:t> </w:t>
      </w:r>
      <w:r>
        <w:rPr>
          <w:w w:val="110"/>
          <w:sz w:val="20"/>
        </w:rPr>
        <w:t>remained</w:t>
      </w:r>
      <w:r>
        <w:rPr>
          <w:spacing w:val="-28"/>
          <w:w w:val="110"/>
          <w:sz w:val="20"/>
        </w:rPr>
        <w:t> </w:t>
      </w:r>
      <w:r>
        <w:rPr>
          <w:w w:val="110"/>
          <w:sz w:val="20"/>
        </w:rPr>
        <w:t>relatively</w:t>
      </w:r>
      <w:r>
        <w:rPr>
          <w:spacing w:val="-28"/>
          <w:w w:val="110"/>
          <w:sz w:val="20"/>
        </w:rPr>
        <w:t> </w:t>
      </w:r>
      <w:r>
        <w:rPr>
          <w:w w:val="110"/>
          <w:sz w:val="20"/>
        </w:rPr>
        <w:t>more</w:t>
      </w:r>
      <w:r>
        <w:rPr>
          <w:spacing w:val="-28"/>
          <w:w w:val="110"/>
          <w:sz w:val="20"/>
        </w:rPr>
        <w:t> </w:t>
      </w:r>
      <w:r>
        <w:rPr>
          <w:w w:val="110"/>
          <w:sz w:val="20"/>
        </w:rPr>
        <w:t>subdued,</w:t>
      </w:r>
      <w:r>
        <w:rPr>
          <w:spacing w:val="-28"/>
          <w:w w:val="110"/>
          <w:sz w:val="20"/>
        </w:rPr>
        <w:t> </w:t>
      </w:r>
      <w:r>
        <w:rPr>
          <w:w w:val="110"/>
          <w:sz w:val="20"/>
        </w:rPr>
        <w:t>although</w:t>
      </w:r>
      <w:r>
        <w:rPr>
          <w:spacing w:val="-28"/>
          <w:w w:val="110"/>
          <w:sz w:val="20"/>
        </w:rPr>
        <w:t> </w:t>
      </w:r>
      <w:r>
        <w:rPr>
          <w:w w:val="110"/>
          <w:sz w:val="20"/>
        </w:rPr>
        <w:t>confidence</w:t>
      </w:r>
      <w:r>
        <w:rPr>
          <w:spacing w:val="-28"/>
          <w:w w:val="110"/>
          <w:sz w:val="20"/>
        </w:rPr>
        <w:t> </w:t>
      </w:r>
      <w:r>
        <w:rPr>
          <w:spacing w:val="-3"/>
          <w:w w:val="110"/>
          <w:sz w:val="20"/>
        </w:rPr>
        <w:t>improved </w:t>
      </w:r>
      <w:r>
        <w:rPr>
          <w:spacing w:val="-4"/>
          <w:w w:val="110"/>
          <w:sz w:val="20"/>
        </w:rPr>
        <w:t>to</w:t>
      </w:r>
      <w:r>
        <w:rPr>
          <w:spacing w:val="-8"/>
          <w:w w:val="110"/>
          <w:sz w:val="20"/>
        </w:rPr>
        <w:t> </w:t>
      </w:r>
      <w:r>
        <w:rPr>
          <w:w w:val="110"/>
          <w:sz w:val="20"/>
        </w:rPr>
        <w:t>some</w:t>
      </w:r>
      <w:r>
        <w:rPr>
          <w:spacing w:val="-7"/>
          <w:w w:val="110"/>
          <w:sz w:val="20"/>
        </w:rPr>
        <w:t> </w:t>
      </w:r>
      <w:r>
        <w:rPr>
          <w:spacing w:val="-3"/>
          <w:w w:val="110"/>
          <w:sz w:val="20"/>
        </w:rPr>
        <w:t>extent</w:t>
      </w:r>
      <w:r>
        <w:rPr>
          <w:spacing w:val="-7"/>
          <w:w w:val="110"/>
          <w:sz w:val="20"/>
        </w:rPr>
        <w:t> </w:t>
      </w:r>
      <w:r>
        <w:rPr>
          <w:w w:val="110"/>
          <w:sz w:val="20"/>
        </w:rPr>
        <w:t>as</w:t>
      </w:r>
      <w:r>
        <w:rPr>
          <w:spacing w:val="-7"/>
          <w:w w:val="110"/>
          <w:sz w:val="20"/>
        </w:rPr>
        <w:t> </w:t>
      </w:r>
      <w:r>
        <w:rPr>
          <w:w w:val="110"/>
          <w:sz w:val="20"/>
        </w:rPr>
        <w:t>a</w:t>
      </w:r>
      <w:r>
        <w:rPr>
          <w:spacing w:val="-7"/>
          <w:w w:val="110"/>
          <w:sz w:val="20"/>
        </w:rPr>
        <w:t> </w:t>
      </w:r>
      <w:r>
        <w:rPr>
          <w:w w:val="110"/>
          <w:sz w:val="20"/>
        </w:rPr>
        <w:t>result</w:t>
      </w:r>
      <w:r>
        <w:rPr>
          <w:spacing w:val="-7"/>
          <w:w w:val="110"/>
          <w:sz w:val="20"/>
        </w:rPr>
        <w:t> </w:t>
      </w:r>
      <w:r>
        <w:rPr>
          <w:w w:val="110"/>
          <w:sz w:val="20"/>
        </w:rPr>
        <w:t>of</w:t>
      </w:r>
      <w:r>
        <w:rPr>
          <w:spacing w:val="-7"/>
          <w:w w:val="110"/>
          <w:sz w:val="20"/>
        </w:rPr>
        <w:t> </w:t>
      </w:r>
      <w:r>
        <w:rPr>
          <w:w w:val="110"/>
          <w:sz w:val="20"/>
        </w:rPr>
        <w:t>the</w:t>
      </w:r>
      <w:r>
        <w:rPr>
          <w:spacing w:val="-7"/>
          <w:w w:val="110"/>
          <w:sz w:val="20"/>
        </w:rPr>
        <w:t> </w:t>
      </w:r>
      <w:r>
        <w:rPr>
          <w:w w:val="110"/>
          <w:sz w:val="20"/>
        </w:rPr>
        <w:t>recent</w:t>
      </w:r>
      <w:r>
        <w:rPr>
          <w:spacing w:val="-7"/>
          <w:w w:val="110"/>
          <w:sz w:val="20"/>
        </w:rPr>
        <w:t> </w:t>
      </w:r>
      <w:r>
        <w:rPr>
          <w:w w:val="110"/>
          <w:sz w:val="20"/>
        </w:rPr>
        <w:t>weakening</w:t>
      </w:r>
      <w:r>
        <w:rPr>
          <w:spacing w:val="-7"/>
          <w:w w:val="110"/>
          <w:sz w:val="20"/>
        </w:rPr>
        <w:t> </w:t>
      </w:r>
      <w:r>
        <w:rPr>
          <w:w w:val="110"/>
          <w:sz w:val="20"/>
        </w:rPr>
        <w:t>of</w:t>
      </w:r>
      <w:r>
        <w:rPr>
          <w:spacing w:val="-7"/>
          <w:w w:val="110"/>
          <w:sz w:val="20"/>
        </w:rPr>
        <w:t> </w:t>
      </w:r>
      <w:r>
        <w:rPr>
          <w:w w:val="110"/>
          <w:sz w:val="20"/>
        </w:rPr>
        <w:t>sterling</w:t>
      </w:r>
      <w:r>
        <w:rPr>
          <w:spacing w:val="-7"/>
          <w:w w:val="110"/>
          <w:sz w:val="20"/>
        </w:rPr>
        <w:t> </w:t>
      </w:r>
      <w:r>
        <w:rPr>
          <w:w w:val="110"/>
          <w:sz w:val="20"/>
        </w:rPr>
        <w:t>against</w:t>
      </w:r>
      <w:r>
        <w:rPr>
          <w:spacing w:val="-7"/>
          <w:w w:val="110"/>
          <w:sz w:val="20"/>
        </w:rPr>
        <w:t> </w:t>
      </w:r>
      <w:r>
        <w:rPr>
          <w:w w:val="110"/>
          <w:sz w:val="20"/>
        </w:rPr>
        <w:t>the</w:t>
      </w:r>
      <w:r>
        <w:rPr>
          <w:spacing w:val="-7"/>
          <w:w w:val="110"/>
          <w:sz w:val="20"/>
        </w:rPr>
        <w:t> </w:t>
      </w:r>
      <w:r>
        <w:rPr>
          <w:w w:val="110"/>
          <w:sz w:val="20"/>
        </w:rPr>
        <w:t>euro.</w:t>
      </w:r>
    </w:p>
    <w:p>
      <w:pPr>
        <w:pStyle w:val="BodyText"/>
        <w:spacing w:before="7"/>
        <w:rPr>
          <w:sz w:val="22"/>
        </w:rPr>
      </w:pPr>
    </w:p>
    <w:p>
      <w:pPr>
        <w:pStyle w:val="ListParagraph"/>
        <w:numPr>
          <w:ilvl w:val="0"/>
          <w:numId w:val="38"/>
        </w:numPr>
        <w:tabs>
          <w:tab w:pos="645" w:val="left" w:leader="none"/>
          <w:tab w:pos="646" w:val="left" w:leader="none"/>
        </w:tabs>
        <w:spacing w:line="271" w:lineRule="auto" w:before="0" w:after="0"/>
        <w:ind w:left="645" w:right="716" w:hanging="480"/>
        <w:jc w:val="left"/>
        <w:rPr>
          <w:sz w:val="20"/>
        </w:rPr>
      </w:pPr>
      <w:r>
        <w:rPr>
          <w:w w:val="110"/>
          <w:sz w:val="20"/>
        </w:rPr>
        <w:t>There </w:t>
      </w:r>
      <w:r>
        <w:rPr>
          <w:spacing w:val="-3"/>
          <w:w w:val="110"/>
          <w:sz w:val="20"/>
        </w:rPr>
        <w:t>was </w:t>
      </w:r>
      <w:r>
        <w:rPr>
          <w:w w:val="110"/>
          <w:sz w:val="20"/>
        </w:rPr>
        <w:t>little change </w:t>
      </w:r>
      <w:r>
        <w:rPr>
          <w:spacing w:val="-4"/>
          <w:w w:val="110"/>
          <w:sz w:val="20"/>
        </w:rPr>
        <w:t>to </w:t>
      </w:r>
      <w:r>
        <w:rPr>
          <w:w w:val="110"/>
          <w:sz w:val="20"/>
        </w:rPr>
        <w:t>the trend of weak </w:t>
      </w:r>
      <w:r>
        <w:rPr>
          <w:spacing w:val="-3"/>
          <w:w w:val="110"/>
          <w:sz w:val="20"/>
        </w:rPr>
        <w:t>investment </w:t>
      </w:r>
      <w:r>
        <w:rPr>
          <w:w w:val="110"/>
          <w:sz w:val="20"/>
        </w:rPr>
        <w:t>intentions in the manufacturing sector reported in previous</w:t>
      </w:r>
      <w:r>
        <w:rPr>
          <w:spacing w:val="-26"/>
          <w:w w:val="110"/>
          <w:sz w:val="20"/>
        </w:rPr>
        <w:t> </w:t>
      </w:r>
      <w:r>
        <w:rPr>
          <w:i/>
          <w:w w:val="110"/>
          <w:sz w:val="20"/>
        </w:rPr>
        <w:t>Agents’</w:t>
      </w:r>
      <w:r>
        <w:rPr>
          <w:i/>
          <w:spacing w:val="-25"/>
          <w:w w:val="110"/>
          <w:sz w:val="20"/>
        </w:rPr>
        <w:t> </w:t>
      </w:r>
      <w:r>
        <w:rPr>
          <w:i/>
          <w:w w:val="110"/>
          <w:sz w:val="20"/>
        </w:rPr>
        <w:t>Summaries</w:t>
      </w:r>
      <w:r>
        <w:rPr>
          <w:w w:val="110"/>
          <w:sz w:val="20"/>
        </w:rPr>
        <w:t>.</w:t>
      </w:r>
      <w:r>
        <w:rPr>
          <w:spacing w:val="6"/>
          <w:w w:val="110"/>
          <w:sz w:val="20"/>
        </w:rPr>
        <w:t> </w:t>
      </w:r>
      <w:r>
        <w:rPr>
          <w:w w:val="110"/>
          <w:sz w:val="20"/>
        </w:rPr>
        <w:t>Service</w:t>
      </w:r>
      <w:r>
        <w:rPr>
          <w:spacing w:val="-25"/>
          <w:w w:val="110"/>
          <w:sz w:val="20"/>
        </w:rPr>
        <w:t> </w:t>
      </w:r>
      <w:r>
        <w:rPr>
          <w:w w:val="110"/>
          <w:sz w:val="20"/>
        </w:rPr>
        <w:t>sector</w:t>
      </w:r>
      <w:r>
        <w:rPr>
          <w:spacing w:val="-25"/>
          <w:w w:val="110"/>
          <w:sz w:val="20"/>
        </w:rPr>
        <w:t> </w:t>
      </w:r>
      <w:r>
        <w:rPr>
          <w:spacing w:val="-3"/>
          <w:w w:val="110"/>
          <w:sz w:val="20"/>
        </w:rPr>
        <w:t>investment</w:t>
      </w:r>
      <w:r>
        <w:rPr>
          <w:spacing w:val="-25"/>
          <w:w w:val="110"/>
          <w:sz w:val="20"/>
        </w:rPr>
        <w:t> </w:t>
      </w:r>
      <w:r>
        <w:rPr>
          <w:w w:val="110"/>
          <w:sz w:val="20"/>
        </w:rPr>
        <w:t>intentions</w:t>
      </w:r>
      <w:r>
        <w:rPr>
          <w:spacing w:val="-25"/>
          <w:w w:val="110"/>
          <w:sz w:val="20"/>
        </w:rPr>
        <w:t> </w:t>
      </w:r>
      <w:r>
        <w:rPr>
          <w:w w:val="110"/>
          <w:sz w:val="20"/>
        </w:rPr>
        <w:t>remained</w:t>
      </w:r>
      <w:r>
        <w:rPr>
          <w:spacing w:val="-25"/>
          <w:w w:val="110"/>
          <w:sz w:val="20"/>
        </w:rPr>
        <w:t> </w:t>
      </w:r>
      <w:r>
        <w:rPr>
          <w:w w:val="110"/>
          <w:sz w:val="20"/>
        </w:rPr>
        <w:t>robust,</w:t>
      </w:r>
      <w:r>
        <w:rPr>
          <w:spacing w:val="-25"/>
          <w:w w:val="110"/>
          <w:sz w:val="20"/>
        </w:rPr>
        <w:t> </w:t>
      </w:r>
      <w:r>
        <w:rPr>
          <w:w w:val="110"/>
          <w:sz w:val="20"/>
        </w:rPr>
        <w:t>although</w:t>
      </w:r>
      <w:r>
        <w:rPr>
          <w:spacing w:val="-25"/>
          <w:w w:val="110"/>
          <w:sz w:val="20"/>
        </w:rPr>
        <w:t> </w:t>
      </w:r>
      <w:r>
        <w:rPr>
          <w:w w:val="110"/>
          <w:sz w:val="20"/>
        </w:rPr>
        <w:t>there</w:t>
      </w:r>
      <w:r>
        <w:rPr>
          <w:spacing w:val="-25"/>
          <w:w w:val="110"/>
          <w:sz w:val="20"/>
        </w:rPr>
        <w:t> </w:t>
      </w:r>
      <w:r>
        <w:rPr>
          <w:spacing w:val="-3"/>
          <w:w w:val="110"/>
          <w:sz w:val="20"/>
        </w:rPr>
        <w:t>was</w:t>
      </w:r>
      <w:r>
        <w:rPr>
          <w:spacing w:val="-25"/>
          <w:w w:val="110"/>
          <w:sz w:val="20"/>
        </w:rPr>
        <w:t> </w:t>
      </w:r>
      <w:r>
        <w:rPr>
          <w:w w:val="110"/>
          <w:sz w:val="20"/>
        </w:rPr>
        <w:t>little evidence of </w:t>
      </w:r>
      <w:r>
        <w:rPr>
          <w:spacing w:val="-3"/>
          <w:w w:val="110"/>
          <w:sz w:val="20"/>
        </w:rPr>
        <w:t>any</w:t>
      </w:r>
      <w:r>
        <w:rPr>
          <w:spacing w:val="-17"/>
          <w:w w:val="110"/>
          <w:sz w:val="20"/>
        </w:rPr>
        <w:t> </w:t>
      </w:r>
      <w:r>
        <w:rPr>
          <w:w w:val="110"/>
          <w:sz w:val="20"/>
        </w:rPr>
        <w:t>strengthening.</w:t>
      </w:r>
    </w:p>
    <w:p>
      <w:pPr>
        <w:pStyle w:val="BodyText"/>
        <w:spacing w:before="8"/>
        <w:rPr>
          <w:sz w:val="22"/>
        </w:rPr>
      </w:pPr>
    </w:p>
    <w:p>
      <w:pPr>
        <w:pStyle w:val="ListParagraph"/>
        <w:numPr>
          <w:ilvl w:val="0"/>
          <w:numId w:val="38"/>
        </w:numPr>
        <w:tabs>
          <w:tab w:pos="645" w:val="left" w:leader="none"/>
          <w:tab w:pos="646" w:val="left" w:leader="none"/>
        </w:tabs>
        <w:spacing w:line="271" w:lineRule="auto" w:before="0" w:after="0"/>
        <w:ind w:left="645" w:right="275" w:hanging="480"/>
        <w:jc w:val="left"/>
        <w:rPr>
          <w:sz w:val="20"/>
        </w:rPr>
      </w:pPr>
      <w:r>
        <w:rPr>
          <w:w w:val="105"/>
          <w:sz w:val="20"/>
        </w:rPr>
        <w:t>Input price inflation eased back during the period, as the impact of the recent fall in the oil price began </w:t>
      </w:r>
      <w:r>
        <w:rPr>
          <w:spacing w:val="-4"/>
          <w:w w:val="105"/>
          <w:sz w:val="20"/>
        </w:rPr>
        <w:t>to </w:t>
      </w:r>
      <w:r>
        <w:rPr>
          <w:w w:val="105"/>
          <w:sz w:val="20"/>
        </w:rPr>
        <w:t>feed through. On balance, manufacturers’ output prices appeared </w:t>
      </w:r>
      <w:r>
        <w:rPr>
          <w:spacing w:val="-4"/>
          <w:w w:val="105"/>
          <w:sz w:val="20"/>
        </w:rPr>
        <w:t>to </w:t>
      </w:r>
      <w:r>
        <w:rPr>
          <w:w w:val="105"/>
          <w:sz w:val="20"/>
        </w:rPr>
        <w:t>stabilise during the period, following a sustained period of </w:t>
      </w:r>
      <w:r>
        <w:rPr>
          <w:spacing w:val="-3"/>
          <w:w w:val="105"/>
          <w:sz w:val="20"/>
        </w:rPr>
        <w:t>downward </w:t>
      </w:r>
      <w:r>
        <w:rPr>
          <w:w w:val="105"/>
          <w:sz w:val="20"/>
        </w:rPr>
        <w:t>pressure. As a result, </w:t>
      </w:r>
      <w:r>
        <w:rPr>
          <w:spacing w:val="-3"/>
          <w:w w:val="105"/>
          <w:sz w:val="20"/>
        </w:rPr>
        <w:t>many </w:t>
      </w:r>
      <w:r>
        <w:rPr>
          <w:w w:val="105"/>
          <w:sz w:val="20"/>
        </w:rPr>
        <w:t>manufacturers reported some rebuilding of margins.  Similar trends </w:t>
      </w:r>
      <w:r>
        <w:rPr>
          <w:spacing w:val="-3"/>
          <w:w w:val="105"/>
          <w:sz w:val="20"/>
        </w:rPr>
        <w:t>were </w:t>
      </w:r>
      <w:r>
        <w:rPr>
          <w:w w:val="105"/>
          <w:sz w:val="20"/>
        </w:rPr>
        <w:t>also evident further up the supply chain, with </w:t>
      </w:r>
      <w:r>
        <w:rPr>
          <w:spacing w:val="-3"/>
          <w:w w:val="105"/>
          <w:sz w:val="20"/>
        </w:rPr>
        <w:t>many </w:t>
      </w:r>
      <w:r>
        <w:rPr>
          <w:w w:val="105"/>
          <w:sz w:val="20"/>
        </w:rPr>
        <w:t>Agencies reporting that annual retail goods price deflation eased compared with the previous period. The price </w:t>
      </w:r>
      <w:r>
        <w:rPr>
          <w:spacing w:val="-3"/>
          <w:w w:val="105"/>
          <w:sz w:val="20"/>
        </w:rPr>
        <w:t>level </w:t>
      </w:r>
      <w:r>
        <w:rPr>
          <w:w w:val="105"/>
          <w:sz w:val="20"/>
        </w:rPr>
        <w:t>of new cars appeared </w:t>
      </w:r>
      <w:r>
        <w:rPr>
          <w:spacing w:val="-4"/>
          <w:w w:val="105"/>
          <w:sz w:val="20"/>
        </w:rPr>
        <w:t>to </w:t>
      </w:r>
      <w:r>
        <w:rPr>
          <w:w w:val="105"/>
          <w:sz w:val="20"/>
        </w:rPr>
        <w:t>stabilise </w:t>
      </w:r>
      <w:r>
        <w:rPr>
          <w:spacing w:val="-4"/>
          <w:w w:val="105"/>
          <w:sz w:val="20"/>
        </w:rPr>
        <w:t>towards </w:t>
      </w:r>
      <w:r>
        <w:rPr>
          <w:w w:val="105"/>
          <w:sz w:val="20"/>
        </w:rPr>
        <w:t>the end of the</w:t>
      </w:r>
      <w:r>
        <w:rPr>
          <w:spacing w:val="-7"/>
          <w:w w:val="105"/>
          <w:sz w:val="20"/>
        </w:rPr>
        <w:t> </w:t>
      </w:r>
      <w:r>
        <w:rPr>
          <w:w w:val="105"/>
          <w:sz w:val="20"/>
        </w:rPr>
        <w:t>period.</w:t>
      </w:r>
    </w:p>
    <w:p>
      <w:pPr>
        <w:pStyle w:val="BodyText"/>
        <w:spacing w:before="7"/>
        <w:rPr>
          <w:sz w:val="22"/>
        </w:rPr>
      </w:pPr>
    </w:p>
    <w:p>
      <w:pPr>
        <w:pStyle w:val="ListParagraph"/>
        <w:numPr>
          <w:ilvl w:val="0"/>
          <w:numId w:val="38"/>
        </w:numPr>
        <w:tabs>
          <w:tab w:pos="645" w:val="left" w:leader="none"/>
          <w:tab w:pos="646" w:val="left" w:leader="none"/>
        </w:tabs>
        <w:spacing w:line="271" w:lineRule="auto" w:before="1" w:after="0"/>
        <w:ind w:left="645" w:right="209" w:hanging="480"/>
        <w:jc w:val="left"/>
        <w:rPr>
          <w:sz w:val="20"/>
        </w:rPr>
      </w:pPr>
      <w:r>
        <w:rPr>
          <w:w w:val="110"/>
          <w:sz w:val="20"/>
        </w:rPr>
        <w:t>Skill</w:t>
      </w:r>
      <w:r>
        <w:rPr>
          <w:spacing w:val="-19"/>
          <w:w w:val="110"/>
          <w:sz w:val="20"/>
        </w:rPr>
        <w:t> </w:t>
      </w:r>
      <w:r>
        <w:rPr>
          <w:w w:val="110"/>
          <w:sz w:val="20"/>
        </w:rPr>
        <w:t>shortages</w:t>
      </w:r>
      <w:r>
        <w:rPr>
          <w:spacing w:val="-19"/>
          <w:w w:val="110"/>
          <w:sz w:val="20"/>
        </w:rPr>
        <w:t> </w:t>
      </w:r>
      <w:r>
        <w:rPr>
          <w:w w:val="110"/>
          <w:sz w:val="20"/>
        </w:rPr>
        <w:t>remained</w:t>
      </w:r>
      <w:r>
        <w:rPr>
          <w:spacing w:val="-19"/>
          <w:w w:val="110"/>
          <w:sz w:val="20"/>
        </w:rPr>
        <w:t> </w:t>
      </w:r>
      <w:r>
        <w:rPr>
          <w:w w:val="110"/>
          <w:sz w:val="20"/>
        </w:rPr>
        <w:t>intense</w:t>
      </w:r>
      <w:r>
        <w:rPr>
          <w:spacing w:val="-19"/>
          <w:w w:val="110"/>
          <w:sz w:val="20"/>
        </w:rPr>
        <w:t> </w:t>
      </w:r>
      <w:r>
        <w:rPr>
          <w:w w:val="110"/>
          <w:sz w:val="20"/>
        </w:rPr>
        <w:t>in</w:t>
      </w:r>
      <w:r>
        <w:rPr>
          <w:spacing w:val="-18"/>
          <w:w w:val="110"/>
          <w:sz w:val="20"/>
        </w:rPr>
        <w:t> </w:t>
      </w:r>
      <w:r>
        <w:rPr>
          <w:w w:val="110"/>
          <w:sz w:val="20"/>
        </w:rPr>
        <w:t>most</w:t>
      </w:r>
      <w:r>
        <w:rPr>
          <w:spacing w:val="-19"/>
          <w:w w:val="110"/>
          <w:sz w:val="20"/>
        </w:rPr>
        <w:t> </w:t>
      </w:r>
      <w:r>
        <w:rPr>
          <w:w w:val="110"/>
          <w:sz w:val="20"/>
        </w:rPr>
        <w:t>regions,</w:t>
      </w:r>
      <w:r>
        <w:rPr>
          <w:spacing w:val="-19"/>
          <w:w w:val="110"/>
          <w:sz w:val="20"/>
        </w:rPr>
        <w:t> </w:t>
      </w:r>
      <w:r>
        <w:rPr>
          <w:w w:val="110"/>
          <w:sz w:val="20"/>
        </w:rPr>
        <w:t>although</w:t>
      </w:r>
      <w:r>
        <w:rPr>
          <w:spacing w:val="-19"/>
          <w:w w:val="110"/>
          <w:sz w:val="20"/>
        </w:rPr>
        <w:t> </w:t>
      </w:r>
      <w:r>
        <w:rPr>
          <w:w w:val="110"/>
          <w:sz w:val="20"/>
        </w:rPr>
        <w:t>they</w:t>
      </w:r>
      <w:r>
        <w:rPr>
          <w:spacing w:val="-18"/>
          <w:w w:val="110"/>
          <w:sz w:val="20"/>
        </w:rPr>
        <w:t> </w:t>
      </w:r>
      <w:r>
        <w:rPr>
          <w:w w:val="110"/>
          <w:sz w:val="20"/>
        </w:rPr>
        <w:t>did</w:t>
      </w:r>
      <w:r>
        <w:rPr>
          <w:spacing w:val="-19"/>
          <w:w w:val="110"/>
          <w:sz w:val="20"/>
        </w:rPr>
        <w:t> </w:t>
      </w:r>
      <w:r>
        <w:rPr>
          <w:w w:val="110"/>
          <w:sz w:val="20"/>
        </w:rPr>
        <w:t>not</w:t>
      </w:r>
      <w:r>
        <w:rPr>
          <w:spacing w:val="-19"/>
          <w:w w:val="110"/>
          <w:sz w:val="20"/>
        </w:rPr>
        <w:t> </w:t>
      </w:r>
      <w:r>
        <w:rPr>
          <w:spacing w:val="-3"/>
          <w:w w:val="110"/>
          <w:sz w:val="20"/>
        </w:rPr>
        <w:t>worsen.</w:t>
      </w:r>
      <w:r>
        <w:rPr>
          <w:spacing w:val="18"/>
          <w:w w:val="110"/>
          <w:sz w:val="20"/>
        </w:rPr>
        <w:t> </w:t>
      </w:r>
      <w:r>
        <w:rPr>
          <w:w w:val="110"/>
          <w:sz w:val="20"/>
        </w:rPr>
        <w:t>Agents</w:t>
      </w:r>
      <w:r>
        <w:rPr>
          <w:spacing w:val="-18"/>
          <w:w w:val="110"/>
          <w:sz w:val="20"/>
        </w:rPr>
        <w:t> </w:t>
      </w:r>
      <w:r>
        <w:rPr>
          <w:w w:val="110"/>
          <w:sz w:val="20"/>
        </w:rPr>
        <w:t>continued</w:t>
      </w:r>
      <w:r>
        <w:rPr>
          <w:spacing w:val="-19"/>
          <w:w w:val="110"/>
          <w:sz w:val="20"/>
        </w:rPr>
        <w:t> </w:t>
      </w:r>
      <w:r>
        <w:rPr>
          <w:spacing w:val="-4"/>
          <w:w w:val="110"/>
          <w:sz w:val="20"/>
        </w:rPr>
        <w:t>to</w:t>
      </w:r>
      <w:r>
        <w:rPr>
          <w:spacing w:val="-19"/>
          <w:w w:val="110"/>
          <w:sz w:val="20"/>
        </w:rPr>
        <w:t> </w:t>
      </w:r>
      <w:r>
        <w:rPr>
          <w:w w:val="110"/>
          <w:sz w:val="20"/>
        </w:rPr>
        <w:t>suggest</w:t>
      </w:r>
      <w:r>
        <w:rPr>
          <w:spacing w:val="-19"/>
          <w:w w:val="110"/>
          <w:sz w:val="20"/>
        </w:rPr>
        <w:t> </w:t>
      </w:r>
      <w:r>
        <w:rPr>
          <w:w w:val="110"/>
          <w:sz w:val="20"/>
        </w:rPr>
        <w:t>little change </w:t>
      </w:r>
      <w:r>
        <w:rPr>
          <w:spacing w:val="-4"/>
          <w:w w:val="110"/>
          <w:sz w:val="20"/>
        </w:rPr>
        <w:t>to </w:t>
      </w:r>
      <w:r>
        <w:rPr>
          <w:w w:val="110"/>
          <w:sz w:val="20"/>
        </w:rPr>
        <w:t>the benign picture of </w:t>
      </w:r>
      <w:r>
        <w:rPr>
          <w:spacing w:val="-3"/>
          <w:w w:val="110"/>
          <w:sz w:val="20"/>
        </w:rPr>
        <w:t>pay </w:t>
      </w:r>
      <w:r>
        <w:rPr>
          <w:w w:val="110"/>
          <w:sz w:val="20"/>
        </w:rPr>
        <w:t>outturns reported in recent </w:t>
      </w:r>
      <w:r>
        <w:rPr>
          <w:i/>
          <w:w w:val="110"/>
          <w:sz w:val="20"/>
        </w:rPr>
        <w:t>Agents’ Summaries</w:t>
      </w:r>
      <w:r>
        <w:rPr>
          <w:w w:val="110"/>
          <w:sz w:val="20"/>
        </w:rPr>
        <w:t>, although concern about the upcoming </w:t>
      </w:r>
      <w:r>
        <w:rPr>
          <w:spacing w:val="-3"/>
          <w:w w:val="110"/>
          <w:sz w:val="20"/>
        </w:rPr>
        <w:t>pay </w:t>
      </w:r>
      <w:r>
        <w:rPr>
          <w:w w:val="110"/>
          <w:sz w:val="20"/>
        </w:rPr>
        <w:t>round had perhaps become more widespread. There </w:t>
      </w:r>
      <w:r>
        <w:rPr>
          <w:spacing w:val="-3"/>
          <w:w w:val="110"/>
          <w:sz w:val="20"/>
        </w:rPr>
        <w:t>was </w:t>
      </w:r>
      <w:r>
        <w:rPr>
          <w:w w:val="110"/>
          <w:sz w:val="20"/>
        </w:rPr>
        <w:t>little change in employment trends. Service</w:t>
      </w:r>
      <w:r>
        <w:rPr>
          <w:spacing w:val="-15"/>
          <w:w w:val="110"/>
          <w:sz w:val="20"/>
        </w:rPr>
        <w:t> </w:t>
      </w:r>
      <w:r>
        <w:rPr>
          <w:w w:val="110"/>
          <w:sz w:val="20"/>
        </w:rPr>
        <w:t>sector</w:t>
      </w:r>
      <w:r>
        <w:rPr>
          <w:spacing w:val="-15"/>
          <w:w w:val="110"/>
          <w:sz w:val="20"/>
        </w:rPr>
        <w:t> </w:t>
      </w:r>
      <w:r>
        <w:rPr>
          <w:w w:val="110"/>
          <w:sz w:val="20"/>
        </w:rPr>
        <w:t>employment</w:t>
      </w:r>
      <w:r>
        <w:rPr>
          <w:spacing w:val="-15"/>
          <w:w w:val="110"/>
          <w:sz w:val="20"/>
        </w:rPr>
        <w:t> </w:t>
      </w:r>
      <w:r>
        <w:rPr>
          <w:w w:val="110"/>
          <w:sz w:val="20"/>
        </w:rPr>
        <w:t>continued</w:t>
      </w:r>
      <w:r>
        <w:rPr>
          <w:spacing w:val="-15"/>
          <w:w w:val="110"/>
          <w:sz w:val="20"/>
        </w:rPr>
        <w:t> </w:t>
      </w:r>
      <w:r>
        <w:rPr>
          <w:spacing w:val="-4"/>
          <w:w w:val="110"/>
          <w:sz w:val="20"/>
        </w:rPr>
        <w:t>to</w:t>
      </w:r>
      <w:r>
        <w:rPr>
          <w:spacing w:val="-14"/>
          <w:w w:val="110"/>
          <w:sz w:val="20"/>
        </w:rPr>
        <w:t> </w:t>
      </w:r>
      <w:r>
        <w:rPr>
          <w:w w:val="110"/>
          <w:sz w:val="20"/>
        </w:rPr>
        <w:t>rise</w:t>
      </w:r>
      <w:r>
        <w:rPr>
          <w:spacing w:val="-15"/>
          <w:w w:val="110"/>
          <w:sz w:val="20"/>
        </w:rPr>
        <w:t> </w:t>
      </w:r>
      <w:r>
        <w:rPr>
          <w:spacing w:val="-4"/>
          <w:w w:val="110"/>
          <w:sz w:val="20"/>
        </w:rPr>
        <w:t>steadily,</w:t>
      </w:r>
      <w:r>
        <w:rPr>
          <w:spacing w:val="-15"/>
          <w:w w:val="110"/>
          <w:sz w:val="20"/>
        </w:rPr>
        <w:t> </w:t>
      </w:r>
      <w:r>
        <w:rPr>
          <w:w w:val="110"/>
          <w:sz w:val="20"/>
        </w:rPr>
        <w:t>while</w:t>
      </w:r>
      <w:r>
        <w:rPr>
          <w:spacing w:val="-15"/>
          <w:w w:val="110"/>
          <w:sz w:val="20"/>
        </w:rPr>
        <w:t> </w:t>
      </w:r>
      <w:r>
        <w:rPr>
          <w:w w:val="110"/>
          <w:sz w:val="20"/>
        </w:rPr>
        <w:t>manufacturing</w:t>
      </w:r>
      <w:r>
        <w:rPr>
          <w:spacing w:val="-14"/>
          <w:w w:val="110"/>
          <w:sz w:val="20"/>
        </w:rPr>
        <w:t> </w:t>
      </w:r>
      <w:r>
        <w:rPr>
          <w:w w:val="110"/>
          <w:sz w:val="20"/>
        </w:rPr>
        <w:t>employment</w:t>
      </w:r>
      <w:r>
        <w:rPr>
          <w:spacing w:val="-15"/>
          <w:w w:val="110"/>
          <w:sz w:val="20"/>
        </w:rPr>
        <w:t> </w:t>
      </w:r>
      <w:r>
        <w:rPr>
          <w:w w:val="110"/>
          <w:sz w:val="20"/>
        </w:rPr>
        <w:t>declined</w:t>
      </w:r>
      <w:r>
        <w:rPr>
          <w:spacing w:val="-15"/>
          <w:w w:val="110"/>
          <w:sz w:val="20"/>
        </w:rPr>
        <w:t> </w:t>
      </w:r>
      <w:r>
        <w:rPr>
          <w:w w:val="110"/>
          <w:sz w:val="20"/>
        </w:rPr>
        <w:t>further.</w:t>
      </w:r>
    </w:p>
    <w:p>
      <w:pPr>
        <w:pStyle w:val="BodyText"/>
        <w:spacing w:before="7"/>
        <w:rPr>
          <w:sz w:val="9"/>
        </w:rPr>
      </w:pPr>
      <w:r>
        <w:rPr/>
        <w:pict>
          <v:shape style="position:absolute;margin-left:39pt;margin-top:7.623887pt;width:517pt;height:.1pt;mso-position-horizontal-relative:page;mso-position-vertical-relative:paragraph;z-index:-15043584;mso-wrap-distance-left:0;mso-wrap-distance-right:0" coordorigin="780,152" coordsize="10340,0" path="m780,152l11120,152e" filled="false" stroked="true" strokeweight=".125pt" strokecolor="#006cb4">
            <v:path arrowok="t"/>
            <v:stroke dashstyle="solid"/>
            <w10:wrap type="topAndBottom"/>
          </v:shape>
        </w:pict>
      </w:r>
    </w:p>
    <w:p>
      <w:pPr>
        <w:pStyle w:val="ListParagraph"/>
        <w:numPr>
          <w:ilvl w:val="1"/>
          <w:numId w:val="37"/>
        </w:numPr>
        <w:tabs>
          <w:tab w:pos="415" w:val="left" w:leader="none"/>
        </w:tabs>
        <w:spacing w:line="240" w:lineRule="auto" w:before="0" w:after="0"/>
        <w:ind w:left="415" w:right="1513" w:hanging="240"/>
        <w:jc w:val="left"/>
        <w:rPr>
          <w:sz w:val="14"/>
        </w:rPr>
      </w:pPr>
      <w:r>
        <w:rPr>
          <w:w w:val="105"/>
          <w:sz w:val="14"/>
        </w:rPr>
        <w:t>The Bank of England has Agencies for Central Southern England, the East Midlands, Greater London, the North East &amp; Cumbria, the North </w:t>
      </w:r>
      <w:r>
        <w:rPr>
          <w:spacing w:val="-3"/>
          <w:w w:val="105"/>
          <w:sz w:val="14"/>
        </w:rPr>
        <w:t>West, </w:t>
      </w:r>
      <w:r>
        <w:rPr>
          <w:w w:val="105"/>
          <w:sz w:val="14"/>
        </w:rPr>
        <w:t>Northern Ireland, Scotland, the South East &amp; East Anglia, the South </w:t>
      </w:r>
      <w:r>
        <w:rPr>
          <w:spacing w:val="-3"/>
          <w:w w:val="105"/>
          <w:sz w:val="14"/>
        </w:rPr>
        <w:t>West, </w:t>
      </w:r>
      <w:r>
        <w:rPr>
          <w:spacing w:val="-4"/>
          <w:w w:val="105"/>
          <w:sz w:val="14"/>
        </w:rPr>
        <w:t>Wales, </w:t>
      </w:r>
      <w:r>
        <w:rPr>
          <w:w w:val="105"/>
          <w:sz w:val="14"/>
        </w:rPr>
        <w:t>the </w:t>
      </w:r>
      <w:r>
        <w:rPr>
          <w:spacing w:val="-4"/>
          <w:w w:val="105"/>
          <w:sz w:val="14"/>
        </w:rPr>
        <w:t>West </w:t>
      </w:r>
      <w:r>
        <w:rPr>
          <w:w w:val="105"/>
          <w:sz w:val="14"/>
        </w:rPr>
        <w:t>Midlands, and </w:t>
      </w:r>
      <w:r>
        <w:rPr>
          <w:spacing w:val="-3"/>
          <w:w w:val="105"/>
          <w:sz w:val="14"/>
        </w:rPr>
        <w:t>Yorkshire </w:t>
      </w:r>
      <w:r>
        <w:rPr>
          <w:w w:val="105"/>
          <w:sz w:val="14"/>
        </w:rPr>
        <w:t>&amp; the</w:t>
      </w:r>
      <w:r>
        <w:rPr>
          <w:spacing w:val="-22"/>
          <w:w w:val="105"/>
          <w:sz w:val="14"/>
        </w:rPr>
        <w:t> </w:t>
      </w:r>
      <w:r>
        <w:rPr>
          <w:w w:val="105"/>
          <w:sz w:val="14"/>
        </w:rPr>
        <w:t>Humber.</w:t>
      </w:r>
    </w:p>
    <w:p>
      <w:pPr>
        <w:spacing w:after="0" w:line="240" w:lineRule="auto"/>
        <w:jc w:val="left"/>
        <w:rPr>
          <w:sz w:val="14"/>
        </w:rPr>
        <w:sectPr>
          <w:type w:val="continuous"/>
          <w:pgSz w:w="11900" w:h="16840"/>
          <w:pgMar w:top="1260" w:bottom="280" w:left="640" w:right="640"/>
        </w:sectPr>
      </w:pPr>
    </w:p>
    <w:p>
      <w:pPr>
        <w:pStyle w:val="BodyText"/>
      </w:pPr>
    </w:p>
    <w:p>
      <w:pPr>
        <w:spacing w:after="0"/>
        <w:sectPr>
          <w:headerReference w:type="even" r:id="rId185"/>
          <w:pgSz w:w="11900" w:h="16840"/>
          <w:pgMar w:header="601" w:footer="605" w:top="800" w:bottom="800" w:left="640" w:right="640"/>
        </w:sectPr>
      </w:pPr>
    </w:p>
    <w:p>
      <w:pPr>
        <w:spacing w:before="241"/>
        <w:ind w:left="177" w:right="0" w:firstLine="0"/>
        <w:jc w:val="left"/>
        <w:rPr>
          <w:rFonts w:ascii="Trebuchet MS"/>
          <w:b/>
          <w:sz w:val="28"/>
        </w:rPr>
      </w:pPr>
      <w:r>
        <w:rPr>
          <w:rFonts w:ascii="Trebuchet MS"/>
          <w:b/>
          <w:color w:val="006CB4"/>
          <w:sz w:val="28"/>
        </w:rPr>
        <w:t>OUTPUT</w:t>
      </w:r>
    </w:p>
    <w:p>
      <w:pPr>
        <w:pStyle w:val="Heading4"/>
        <w:spacing w:before="232"/>
      </w:pPr>
      <w:r>
        <w:rPr>
          <w:color w:val="006CB4"/>
        </w:rPr>
        <w:t>Primary production</w:t>
      </w:r>
    </w:p>
    <w:p>
      <w:pPr>
        <w:pStyle w:val="BodyText"/>
        <w:spacing w:before="1"/>
        <w:rPr>
          <w:rFonts w:ascii="Trebuchet MS"/>
          <w:sz w:val="24"/>
        </w:rPr>
      </w:pPr>
    </w:p>
    <w:p>
      <w:pPr>
        <w:pStyle w:val="BodyText"/>
        <w:spacing w:line="271" w:lineRule="auto"/>
        <w:ind w:left="177" w:right="178"/>
      </w:pPr>
      <w:r>
        <w:rPr>
          <w:w w:val="105"/>
        </w:rPr>
        <w:t>Agricultural sector output </w:t>
      </w:r>
      <w:r>
        <w:rPr>
          <w:spacing w:val="-3"/>
          <w:w w:val="105"/>
        </w:rPr>
        <w:t>was </w:t>
      </w:r>
      <w:r>
        <w:rPr>
          <w:w w:val="105"/>
        </w:rPr>
        <w:t>reported </w:t>
      </w:r>
      <w:r>
        <w:rPr>
          <w:spacing w:val="-4"/>
          <w:w w:val="105"/>
        </w:rPr>
        <w:t>to </w:t>
      </w:r>
      <w:r>
        <w:rPr>
          <w:spacing w:val="-3"/>
          <w:w w:val="105"/>
        </w:rPr>
        <w:t>have </w:t>
      </w:r>
      <w:r>
        <w:rPr>
          <w:w w:val="105"/>
        </w:rPr>
        <w:t>declined during the period. There </w:t>
      </w:r>
      <w:r>
        <w:rPr>
          <w:spacing w:val="-3"/>
          <w:w w:val="105"/>
        </w:rPr>
        <w:t>were </w:t>
      </w:r>
      <w:r>
        <w:rPr>
          <w:w w:val="105"/>
        </w:rPr>
        <w:t>widespread reports that flooding in </w:t>
      </w:r>
      <w:r>
        <w:rPr>
          <w:spacing w:val="-3"/>
          <w:w w:val="105"/>
        </w:rPr>
        <w:t>many </w:t>
      </w:r>
      <w:r>
        <w:rPr>
          <w:w w:val="105"/>
        </w:rPr>
        <w:t>areas had significantly affected the harvesting and planting of many crops. Root crops (notably </w:t>
      </w:r>
      <w:r>
        <w:rPr>
          <w:spacing w:val="-3"/>
          <w:w w:val="105"/>
        </w:rPr>
        <w:t>potatoes) were </w:t>
      </w:r>
      <w:r>
        <w:rPr>
          <w:w w:val="105"/>
        </w:rPr>
        <w:t>the </w:t>
      </w:r>
      <w:r>
        <w:rPr>
          <w:spacing w:val="-3"/>
          <w:w w:val="105"/>
        </w:rPr>
        <w:t>worst </w:t>
      </w:r>
      <w:r>
        <w:rPr>
          <w:w w:val="105"/>
        </w:rPr>
        <w:t>affected. In addition, the inability of some farmers </w:t>
      </w:r>
      <w:r>
        <w:rPr>
          <w:spacing w:val="-4"/>
          <w:w w:val="105"/>
        </w:rPr>
        <w:t>to </w:t>
      </w:r>
      <w:r>
        <w:rPr>
          <w:w w:val="105"/>
        </w:rPr>
        <w:t>plant spring crops has affected the prospects for future</w:t>
      </w:r>
      <w:r>
        <w:rPr>
          <w:spacing w:val="-1"/>
          <w:w w:val="105"/>
        </w:rPr>
        <w:t> </w:t>
      </w:r>
      <w:r>
        <w:rPr>
          <w:w w:val="105"/>
        </w:rPr>
        <w:t>harvests.</w:t>
      </w:r>
    </w:p>
    <w:p>
      <w:pPr>
        <w:pStyle w:val="BodyText"/>
        <w:spacing w:before="8"/>
        <w:rPr>
          <w:sz w:val="22"/>
        </w:rPr>
      </w:pPr>
    </w:p>
    <w:p>
      <w:pPr>
        <w:pStyle w:val="BodyText"/>
        <w:spacing w:line="271" w:lineRule="auto"/>
        <w:ind w:left="177" w:right="5"/>
      </w:pPr>
      <w:r>
        <w:rPr>
          <w:w w:val="110"/>
        </w:rPr>
        <w:t>Milk production remained below quota. </w:t>
      </w:r>
      <w:r>
        <w:rPr>
          <w:spacing w:val="-4"/>
          <w:w w:val="110"/>
        </w:rPr>
        <w:t>However, </w:t>
      </w:r>
      <w:r>
        <w:rPr>
          <w:w w:val="110"/>
        </w:rPr>
        <w:t>there </w:t>
      </w:r>
      <w:r>
        <w:rPr>
          <w:spacing w:val="-3"/>
          <w:w w:val="110"/>
        </w:rPr>
        <w:t>were </w:t>
      </w:r>
      <w:r>
        <w:rPr>
          <w:w w:val="110"/>
        </w:rPr>
        <w:t>reports that the increase in the wholesale price of milk during the period had eased </w:t>
      </w:r>
      <w:r>
        <w:rPr>
          <w:spacing w:val="-3"/>
          <w:w w:val="110"/>
        </w:rPr>
        <w:t>pressure </w:t>
      </w:r>
      <w:r>
        <w:rPr>
          <w:w w:val="110"/>
        </w:rPr>
        <w:t>on margins </w:t>
      </w:r>
      <w:r>
        <w:rPr>
          <w:spacing w:val="-4"/>
          <w:w w:val="110"/>
        </w:rPr>
        <w:t>to </w:t>
      </w:r>
      <w:r>
        <w:rPr>
          <w:w w:val="110"/>
        </w:rPr>
        <w:t>some </w:t>
      </w:r>
      <w:r>
        <w:rPr>
          <w:spacing w:val="-3"/>
          <w:w w:val="110"/>
        </w:rPr>
        <w:t>extent. </w:t>
      </w:r>
      <w:r>
        <w:rPr>
          <w:w w:val="110"/>
        </w:rPr>
        <w:t>There </w:t>
      </w:r>
      <w:r>
        <w:rPr>
          <w:spacing w:val="-3"/>
          <w:w w:val="110"/>
        </w:rPr>
        <w:t>were </w:t>
      </w:r>
      <w:r>
        <w:rPr>
          <w:w w:val="110"/>
        </w:rPr>
        <w:t>reports that fishing output </w:t>
      </w:r>
      <w:r>
        <w:rPr>
          <w:spacing w:val="-3"/>
          <w:w w:val="110"/>
        </w:rPr>
        <w:t>was </w:t>
      </w:r>
      <w:r>
        <w:rPr>
          <w:w w:val="110"/>
        </w:rPr>
        <w:t>down considerably on a year ago.</w:t>
      </w:r>
    </w:p>
    <w:p>
      <w:pPr>
        <w:pStyle w:val="BodyText"/>
        <w:spacing w:before="4"/>
        <w:rPr>
          <w:sz w:val="19"/>
        </w:rPr>
      </w:pPr>
    </w:p>
    <w:p>
      <w:pPr>
        <w:pStyle w:val="Heading4"/>
      </w:pPr>
      <w:r>
        <w:rPr>
          <w:color w:val="006CB4"/>
        </w:rPr>
        <w:t>Manufacturing</w:t>
      </w:r>
    </w:p>
    <w:p>
      <w:pPr>
        <w:pStyle w:val="BodyText"/>
        <w:spacing w:before="1"/>
        <w:rPr>
          <w:rFonts w:ascii="Trebuchet MS"/>
          <w:sz w:val="24"/>
        </w:rPr>
      </w:pPr>
    </w:p>
    <w:p>
      <w:pPr>
        <w:pStyle w:val="BodyText"/>
        <w:spacing w:line="271" w:lineRule="auto"/>
        <w:ind w:left="177" w:right="49"/>
      </w:pPr>
      <w:r>
        <w:rPr>
          <w:w w:val="110"/>
        </w:rPr>
        <w:t>Reports suggested that manufacturing output </w:t>
      </w:r>
      <w:r>
        <w:rPr>
          <w:spacing w:val="-3"/>
          <w:w w:val="110"/>
        </w:rPr>
        <w:t>growth </w:t>
      </w:r>
      <w:r>
        <w:rPr>
          <w:w w:val="110"/>
        </w:rPr>
        <w:t>continued </w:t>
      </w:r>
      <w:r>
        <w:rPr>
          <w:spacing w:val="-4"/>
          <w:w w:val="110"/>
        </w:rPr>
        <w:t>to </w:t>
      </w:r>
      <w:r>
        <w:rPr>
          <w:w w:val="110"/>
        </w:rPr>
        <w:t>strengthen </w:t>
      </w:r>
      <w:r>
        <w:rPr>
          <w:spacing w:val="-3"/>
          <w:w w:val="110"/>
        </w:rPr>
        <w:t>moderately </w:t>
      </w:r>
      <w:r>
        <w:rPr>
          <w:w w:val="110"/>
        </w:rPr>
        <w:t>throughout the period in most regions. In most cases, this </w:t>
      </w:r>
      <w:r>
        <w:rPr>
          <w:spacing w:val="-3"/>
          <w:w w:val="110"/>
        </w:rPr>
        <w:t>was </w:t>
      </w:r>
      <w:r>
        <w:rPr>
          <w:w w:val="110"/>
        </w:rPr>
        <w:t>predominantly driven </w:t>
      </w:r>
      <w:r>
        <w:rPr>
          <w:spacing w:val="-3"/>
          <w:w w:val="110"/>
        </w:rPr>
        <w:t>by </w:t>
      </w:r>
      <w:r>
        <w:rPr>
          <w:w w:val="110"/>
        </w:rPr>
        <w:t>a further recovery in export growth. Growth in demand from domestic firms remained broadly unchanged. Although confidence in the sector remained </w:t>
      </w:r>
      <w:r>
        <w:rPr>
          <w:spacing w:val="-6"/>
          <w:w w:val="110"/>
        </w:rPr>
        <w:t>low, </w:t>
      </w:r>
      <w:r>
        <w:rPr>
          <w:w w:val="110"/>
        </w:rPr>
        <w:t>continued increases in order books and the recent weakening of sterling against the euro</w:t>
      </w:r>
      <w:r>
        <w:rPr>
          <w:spacing w:val="-18"/>
          <w:w w:val="110"/>
        </w:rPr>
        <w:t> </w:t>
      </w:r>
      <w:r>
        <w:rPr>
          <w:w w:val="110"/>
        </w:rPr>
        <w:t>led</w:t>
      </w:r>
      <w:r>
        <w:rPr>
          <w:spacing w:val="-17"/>
          <w:w w:val="110"/>
        </w:rPr>
        <w:t> </w:t>
      </w:r>
      <w:r>
        <w:rPr>
          <w:spacing w:val="-4"/>
          <w:w w:val="110"/>
        </w:rPr>
        <w:t>to</w:t>
      </w:r>
      <w:r>
        <w:rPr>
          <w:spacing w:val="-17"/>
          <w:w w:val="110"/>
        </w:rPr>
        <w:t> </w:t>
      </w:r>
      <w:r>
        <w:rPr>
          <w:w w:val="110"/>
        </w:rPr>
        <w:t>some</w:t>
      </w:r>
      <w:r>
        <w:rPr>
          <w:spacing w:val="-18"/>
          <w:w w:val="110"/>
        </w:rPr>
        <w:t> </w:t>
      </w:r>
      <w:r>
        <w:rPr>
          <w:w w:val="110"/>
        </w:rPr>
        <w:t>improvement</w:t>
      </w:r>
      <w:r>
        <w:rPr>
          <w:spacing w:val="-17"/>
          <w:w w:val="110"/>
        </w:rPr>
        <w:t> </w:t>
      </w:r>
      <w:r>
        <w:rPr>
          <w:w w:val="110"/>
        </w:rPr>
        <w:t>in</w:t>
      </w:r>
      <w:r>
        <w:rPr>
          <w:spacing w:val="-17"/>
          <w:w w:val="110"/>
        </w:rPr>
        <w:t> </w:t>
      </w:r>
      <w:r>
        <w:rPr>
          <w:w w:val="110"/>
        </w:rPr>
        <w:t>sentiment.</w:t>
      </w:r>
      <w:r>
        <w:rPr>
          <w:spacing w:val="21"/>
          <w:w w:val="110"/>
        </w:rPr>
        <w:t> </w:t>
      </w:r>
      <w:r>
        <w:rPr>
          <w:w w:val="110"/>
        </w:rPr>
        <w:t>In</w:t>
      </w:r>
      <w:r>
        <w:rPr>
          <w:spacing w:val="-17"/>
          <w:w w:val="110"/>
        </w:rPr>
        <w:t> </w:t>
      </w:r>
      <w:r>
        <w:rPr>
          <w:w w:val="110"/>
        </w:rPr>
        <w:t>addition, most contacts suggested that there had been little </w:t>
      </w:r>
      <w:r>
        <w:rPr>
          <w:spacing w:val="-3"/>
          <w:w w:val="110"/>
        </w:rPr>
        <w:t>adverse</w:t>
      </w:r>
      <w:r>
        <w:rPr>
          <w:spacing w:val="-23"/>
          <w:w w:val="110"/>
        </w:rPr>
        <w:t> </w:t>
      </w:r>
      <w:r>
        <w:rPr>
          <w:w w:val="110"/>
        </w:rPr>
        <w:t>impact</w:t>
      </w:r>
      <w:r>
        <w:rPr>
          <w:spacing w:val="-22"/>
          <w:w w:val="110"/>
        </w:rPr>
        <w:t> </w:t>
      </w:r>
      <w:r>
        <w:rPr>
          <w:w w:val="110"/>
        </w:rPr>
        <w:t>from</w:t>
      </w:r>
      <w:r>
        <w:rPr>
          <w:spacing w:val="-22"/>
          <w:w w:val="110"/>
        </w:rPr>
        <w:t> </w:t>
      </w:r>
      <w:r>
        <w:rPr>
          <w:w w:val="110"/>
        </w:rPr>
        <w:t>the</w:t>
      </w:r>
      <w:r>
        <w:rPr>
          <w:spacing w:val="-23"/>
          <w:w w:val="110"/>
        </w:rPr>
        <w:t> </w:t>
      </w:r>
      <w:r>
        <w:rPr>
          <w:spacing w:val="-3"/>
          <w:w w:val="110"/>
        </w:rPr>
        <w:t>slowdown</w:t>
      </w:r>
      <w:r>
        <w:rPr>
          <w:spacing w:val="-22"/>
          <w:w w:val="110"/>
        </w:rPr>
        <w:t> </w:t>
      </w:r>
      <w:r>
        <w:rPr>
          <w:w w:val="110"/>
        </w:rPr>
        <w:t>in</w:t>
      </w:r>
      <w:r>
        <w:rPr>
          <w:spacing w:val="-22"/>
          <w:w w:val="110"/>
        </w:rPr>
        <w:t> </w:t>
      </w:r>
      <w:r>
        <w:rPr>
          <w:w w:val="110"/>
        </w:rPr>
        <w:t>economic</w:t>
      </w:r>
      <w:r>
        <w:rPr>
          <w:spacing w:val="-22"/>
          <w:w w:val="110"/>
        </w:rPr>
        <w:t> </w:t>
      </w:r>
      <w:r>
        <w:rPr>
          <w:w w:val="110"/>
        </w:rPr>
        <w:t>activity in the United </w:t>
      </w:r>
      <w:r>
        <w:rPr>
          <w:spacing w:val="-3"/>
          <w:w w:val="110"/>
        </w:rPr>
        <w:t>States </w:t>
      </w:r>
      <w:r>
        <w:rPr>
          <w:spacing w:val="-4"/>
          <w:w w:val="110"/>
        </w:rPr>
        <w:t>to</w:t>
      </w:r>
      <w:r>
        <w:rPr>
          <w:spacing w:val="-23"/>
          <w:w w:val="110"/>
        </w:rPr>
        <w:t> </w:t>
      </w:r>
      <w:r>
        <w:rPr>
          <w:spacing w:val="-3"/>
          <w:w w:val="110"/>
        </w:rPr>
        <w:t>date.</w:t>
      </w:r>
    </w:p>
    <w:p>
      <w:pPr>
        <w:pStyle w:val="BodyText"/>
        <w:spacing w:before="8"/>
        <w:rPr>
          <w:sz w:val="22"/>
        </w:rPr>
      </w:pPr>
    </w:p>
    <w:p>
      <w:pPr>
        <w:pStyle w:val="BodyText"/>
        <w:spacing w:line="271" w:lineRule="auto"/>
        <w:ind w:left="177" w:right="178"/>
      </w:pPr>
      <w:r>
        <w:rPr>
          <w:w w:val="110"/>
        </w:rPr>
        <w:t>The divergence </w:t>
      </w:r>
      <w:r>
        <w:rPr>
          <w:spacing w:val="-3"/>
          <w:w w:val="110"/>
        </w:rPr>
        <w:t>between </w:t>
      </w:r>
      <w:r>
        <w:rPr>
          <w:w w:val="110"/>
        </w:rPr>
        <w:t>the performance of </w:t>
      </w:r>
      <w:r>
        <w:rPr>
          <w:spacing w:val="-3"/>
          <w:w w:val="110"/>
        </w:rPr>
        <w:t>industries </w:t>
      </w:r>
      <w:r>
        <w:rPr>
          <w:w w:val="110"/>
        </w:rPr>
        <w:t>within manufacturing remained a prominent theme.</w:t>
      </w:r>
    </w:p>
    <w:p>
      <w:pPr>
        <w:pStyle w:val="BodyText"/>
        <w:spacing w:line="271" w:lineRule="auto" w:before="1"/>
        <w:ind w:left="177"/>
      </w:pPr>
      <w:r>
        <w:rPr>
          <w:w w:val="110"/>
        </w:rPr>
        <w:t>Most</w:t>
      </w:r>
      <w:r>
        <w:rPr>
          <w:spacing w:val="-16"/>
          <w:w w:val="110"/>
        </w:rPr>
        <w:t> </w:t>
      </w:r>
      <w:r>
        <w:rPr>
          <w:w w:val="110"/>
        </w:rPr>
        <w:t>Agencies</w:t>
      </w:r>
      <w:r>
        <w:rPr>
          <w:spacing w:val="-16"/>
          <w:w w:val="110"/>
        </w:rPr>
        <w:t> </w:t>
      </w:r>
      <w:r>
        <w:rPr>
          <w:w w:val="110"/>
        </w:rPr>
        <w:t>continued</w:t>
      </w:r>
      <w:r>
        <w:rPr>
          <w:spacing w:val="-16"/>
          <w:w w:val="110"/>
        </w:rPr>
        <w:t> </w:t>
      </w:r>
      <w:r>
        <w:rPr>
          <w:spacing w:val="-4"/>
          <w:w w:val="110"/>
        </w:rPr>
        <w:t>to</w:t>
      </w:r>
      <w:r>
        <w:rPr>
          <w:spacing w:val="-16"/>
          <w:w w:val="110"/>
        </w:rPr>
        <w:t> </w:t>
      </w:r>
      <w:r>
        <w:rPr>
          <w:w w:val="110"/>
        </w:rPr>
        <w:t>report</w:t>
      </w:r>
      <w:r>
        <w:rPr>
          <w:spacing w:val="-16"/>
          <w:w w:val="110"/>
        </w:rPr>
        <w:t> </w:t>
      </w:r>
      <w:r>
        <w:rPr>
          <w:w w:val="110"/>
        </w:rPr>
        <w:t>that</w:t>
      </w:r>
      <w:r>
        <w:rPr>
          <w:spacing w:val="-16"/>
          <w:w w:val="110"/>
        </w:rPr>
        <w:t> </w:t>
      </w:r>
      <w:r>
        <w:rPr>
          <w:w w:val="110"/>
        </w:rPr>
        <w:t>high</w:t>
      </w:r>
      <w:r>
        <w:rPr>
          <w:spacing w:val="-16"/>
          <w:w w:val="110"/>
        </w:rPr>
        <w:t> </w:t>
      </w:r>
      <w:r>
        <w:rPr>
          <w:w w:val="110"/>
        </w:rPr>
        <w:t>value</w:t>
      </w:r>
      <w:r>
        <w:rPr>
          <w:spacing w:val="-16"/>
          <w:w w:val="110"/>
        </w:rPr>
        <w:t> </w:t>
      </w:r>
      <w:r>
        <w:rPr>
          <w:w w:val="110"/>
        </w:rPr>
        <w:t>added industries, such as electronics and telecommunications, continued </w:t>
      </w:r>
      <w:r>
        <w:rPr>
          <w:spacing w:val="-4"/>
          <w:w w:val="110"/>
        </w:rPr>
        <w:t>to </w:t>
      </w:r>
      <w:r>
        <w:rPr>
          <w:w w:val="110"/>
        </w:rPr>
        <w:t>record the strongest growth.</w:t>
      </w:r>
      <w:r>
        <w:rPr>
          <w:spacing w:val="7"/>
          <w:w w:val="110"/>
        </w:rPr>
        <w:t> </w:t>
      </w:r>
      <w:r>
        <w:rPr>
          <w:w w:val="110"/>
        </w:rPr>
        <w:t>Growth</w:t>
      </w:r>
    </w:p>
    <w:p>
      <w:pPr>
        <w:pStyle w:val="BodyText"/>
        <w:spacing w:line="271" w:lineRule="auto"/>
        <w:ind w:left="177" w:right="178"/>
      </w:pPr>
      <w:r>
        <w:rPr>
          <w:w w:val="110"/>
        </w:rPr>
        <w:t>in these industries </w:t>
      </w:r>
      <w:r>
        <w:rPr>
          <w:spacing w:val="-3"/>
          <w:w w:val="110"/>
        </w:rPr>
        <w:t>outweighed </w:t>
      </w:r>
      <w:r>
        <w:rPr>
          <w:w w:val="110"/>
        </w:rPr>
        <w:t>declining output in more traditional industries such as </w:t>
      </w:r>
      <w:r>
        <w:rPr>
          <w:spacing w:val="-3"/>
          <w:w w:val="110"/>
        </w:rPr>
        <w:t>automotive-related </w:t>
      </w:r>
      <w:r>
        <w:rPr>
          <w:w w:val="110"/>
        </w:rPr>
        <w:t>and basic metal processing, which are particularly concentrated in </w:t>
      </w:r>
      <w:r>
        <w:rPr>
          <w:spacing w:val="-5"/>
          <w:w w:val="110"/>
        </w:rPr>
        <w:t>Wales, </w:t>
      </w:r>
      <w:r>
        <w:rPr>
          <w:w w:val="110"/>
        </w:rPr>
        <w:t>the Midlands and the</w:t>
      </w:r>
    </w:p>
    <w:p>
      <w:pPr>
        <w:pStyle w:val="BodyText"/>
        <w:spacing w:before="1"/>
        <w:ind w:left="177"/>
      </w:pPr>
      <w:r>
        <w:rPr>
          <w:w w:val="110"/>
        </w:rPr>
        <w:t>North.</w:t>
      </w:r>
    </w:p>
    <w:p>
      <w:pPr>
        <w:pStyle w:val="BodyText"/>
        <w:spacing w:before="9"/>
        <w:rPr>
          <w:sz w:val="21"/>
        </w:rPr>
      </w:pPr>
    </w:p>
    <w:p>
      <w:pPr>
        <w:pStyle w:val="Heading4"/>
      </w:pPr>
      <w:r>
        <w:rPr>
          <w:color w:val="006CB4"/>
        </w:rPr>
        <w:t>Construction and housing</w:t>
      </w:r>
    </w:p>
    <w:p>
      <w:pPr>
        <w:pStyle w:val="BodyText"/>
        <w:spacing w:before="2"/>
        <w:rPr>
          <w:rFonts w:ascii="Trebuchet MS"/>
          <w:sz w:val="24"/>
        </w:rPr>
      </w:pPr>
    </w:p>
    <w:p>
      <w:pPr>
        <w:pStyle w:val="BodyText"/>
        <w:spacing w:line="271" w:lineRule="auto"/>
        <w:ind w:left="177"/>
      </w:pPr>
      <w:r>
        <w:rPr>
          <w:spacing w:val="-3"/>
          <w:w w:val="110"/>
        </w:rPr>
        <w:t>Overall,</w:t>
      </w:r>
      <w:r>
        <w:rPr>
          <w:spacing w:val="-25"/>
          <w:w w:val="110"/>
        </w:rPr>
        <w:t> </w:t>
      </w:r>
      <w:r>
        <w:rPr>
          <w:w w:val="110"/>
        </w:rPr>
        <w:t>construction</w:t>
      </w:r>
      <w:r>
        <w:rPr>
          <w:spacing w:val="-25"/>
          <w:w w:val="110"/>
        </w:rPr>
        <w:t> </w:t>
      </w:r>
      <w:r>
        <w:rPr>
          <w:spacing w:val="-2"/>
          <w:w w:val="110"/>
        </w:rPr>
        <w:t>growth</w:t>
      </w:r>
      <w:r>
        <w:rPr>
          <w:spacing w:val="-25"/>
          <w:w w:val="110"/>
        </w:rPr>
        <w:t> </w:t>
      </w:r>
      <w:r>
        <w:rPr>
          <w:spacing w:val="-3"/>
          <w:w w:val="110"/>
        </w:rPr>
        <w:t>was</w:t>
      </w:r>
      <w:r>
        <w:rPr>
          <w:spacing w:val="-24"/>
          <w:w w:val="110"/>
        </w:rPr>
        <w:t> </w:t>
      </w:r>
      <w:r>
        <w:rPr>
          <w:w w:val="110"/>
        </w:rPr>
        <w:t>reported</w:t>
      </w:r>
      <w:r>
        <w:rPr>
          <w:spacing w:val="-25"/>
          <w:w w:val="110"/>
        </w:rPr>
        <w:t> </w:t>
      </w:r>
      <w:r>
        <w:rPr>
          <w:spacing w:val="-4"/>
          <w:w w:val="110"/>
        </w:rPr>
        <w:t>to</w:t>
      </w:r>
      <w:r>
        <w:rPr>
          <w:spacing w:val="-25"/>
          <w:w w:val="110"/>
        </w:rPr>
        <w:t> </w:t>
      </w:r>
      <w:r>
        <w:rPr>
          <w:spacing w:val="-3"/>
          <w:w w:val="110"/>
        </w:rPr>
        <w:t>have</w:t>
      </w:r>
      <w:r>
        <w:rPr>
          <w:spacing w:val="-25"/>
          <w:w w:val="110"/>
        </w:rPr>
        <w:t> </w:t>
      </w:r>
      <w:r>
        <w:rPr>
          <w:w w:val="110"/>
        </w:rPr>
        <w:t>slowed considerably in recent months, as recent wet weather </w:t>
      </w:r>
      <w:r>
        <w:rPr>
          <w:spacing w:val="-3"/>
          <w:w w:val="110"/>
        </w:rPr>
        <w:t>delayed </w:t>
      </w:r>
      <w:r>
        <w:rPr>
          <w:w w:val="110"/>
        </w:rPr>
        <w:t>activity in </w:t>
      </w:r>
      <w:r>
        <w:rPr>
          <w:spacing w:val="-3"/>
          <w:w w:val="110"/>
        </w:rPr>
        <w:t>many </w:t>
      </w:r>
      <w:r>
        <w:rPr>
          <w:w w:val="110"/>
        </w:rPr>
        <w:t>regions. </w:t>
      </w:r>
      <w:r>
        <w:rPr>
          <w:spacing w:val="-4"/>
          <w:w w:val="110"/>
        </w:rPr>
        <w:t>However, </w:t>
      </w:r>
      <w:r>
        <w:rPr>
          <w:w w:val="110"/>
        </w:rPr>
        <w:t>contacts expect the </w:t>
      </w:r>
      <w:r>
        <w:rPr>
          <w:spacing w:val="-3"/>
          <w:w w:val="110"/>
        </w:rPr>
        <w:t>slowdown </w:t>
      </w:r>
      <w:r>
        <w:rPr>
          <w:spacing w:val="-4"/>
          <w:w w:val="110"/>
        </w:rPr>
        <w:t>to </w:t>
      </w:r>
      <w:r>
        <w:rPr>
          <w:w w:val="110"/>
        </w:rPr>
        <w:t>be </w:t>
      </w:r>
      <w:r>
        <w:rPr>
          <w:spacing w:val="-4"/>
          <w:w w:val="110"/>
        </w:rPr>
        <w:t>temporary, </w:t>
      </w:r>
      <w:r>
        <w:rPr>
          <w:w w:val="110"/>
        </w:rPr>
        <w:t>with underlying demand said </w:t>
      </w:r>
      <w:r>
        <w:rPr>
          <w:spacing w:val="-4"/>
          <w:w w:val="110"/>
        </w:rPr>
        <w:t>to </w:t>
      </w:r>
      <w:r>
        <w:rPr>
          <w:spacing w:val="-3"/>
          <w:w w:val="110"/>
        </w:rPr>
        <w:t>have </w:t>
      </w:r>
      <w:r>
        <w:rPr>
          <w:w w:val="110"/>
        </w:rPr>
        <w:t>remained strong. Contacts in most regions expect public construction activity </w:t>
      </w:r>
      <w:r>
        <w:rPr>
          <w:spacing w:val="-4"/>
          <w:w w:val="110"/>
        </w:rPr>
        <w:t>to </w:t>
      </w:r>
      <w:r>
        <w:rPr>
          <w:w w:val="110"/>
        </w:rPr>
        <w:t>pick up strongly in coming quarters. </w:t>
      </w:r>
      <w:r>
        <w:rPr>
          <w:spacing w:val="-4"/>
          <w:w w:val="110"/>
        </w:rPr>
        <w:t>However, </w:t>
      </w:r>
      <w:r>
        <w:rPr>
          <w:w w:val="110"/>
        </w:rPr>
        <w:t>there </w:t>
      </w:r>
      <w:r>
        <w:rPr>
          <w:spacing w:val="-3"/>
          <w:w w:val="110"/>
        </w:rPr>
        <w:t>was </w:t>
      </w:r>
      <w:r>
        <w:rPr>
          <w:w w:val="110"/>
        </w:rPr>
        <w:t>some uncertainty surrounding the </w:t>
      </w:r>
      <w:r>
        <w:rPr>
          <w:spacing w:val="-3"/>
          <w:w w:val="110"/>
        </w:rPr>
        <w:t>expected </w:t>
      </w:r>
      <w:r>
        <w:rPr>
          <w:w w:val="110"/>
        </w:rPr>
        <w:t>timing of this spending.</w:t>
      </w:r>
    </w:p>
    <w:p>
      <w:pPr>
        <w:pStyle w:val="BodyText"/>
        <w:spacing w:before="10"/>
      </w:pPr>
      <w:r>
        <w:rPr/>
        <w:br w:type="column"/>
      </w:r>
      <w:r>
        <w:rPr/>
      </w:r>
    </w:p>
    <w:p>
      <w:pPr>
        <w:pStyle w:val="BodyText"/>
        <w:spacing w:line="271" w:lineRule="auto"/>
        <w:ind w:left="177" w:right="165"/>
      </w:pPr>
      <w:r>
        <w:rPr>
          <w:w w:val="110"/>
        </w:rPr>
        <w:t>Most Agencies suggested that residential construction activity</w:t>
      </w:r>
      <w:r>
        <w:rPr>
          <w:spacing w:val="-21"/>
          <w:w w:val="110"/>
        </w:rPr>
        <w:t> </w:t>
      </w:r>
      <w:r>
        <w:rPr>
          <w:w w:val="110"/>
        </w:rPr>
        <w:t>had</w:t>
      </w:r>
      <w:r>
        <w:rPr>
          <w:spacing w:val="-20"/>
          <w:w w:val="110"/>
        </w:rPr>
        <w:t> </w:t>
      </w:r>
      <w:r>
        <w:rPr>
          <w:w w:val="110"/>
        </w:rPr>
        <w:t>now</w:t>
      </w:r>
      <w:r>
        <w:rPr>
          <w:spacing w:val="-20"/>
          <w:w w:val="110"/>
        </w:rPr>
        <w:t> </w:t>
      </w:r>
      <w:r>
        <w:rPr>
          <w:w w:val="110"/>
        </w:rPr>
        <w:t>stabilised</w:t>
      </w:r>
      <w:r>
        <w:rPr>
          <w:spacing w:val="-20"/>
          <w:w w:val="110"/>
        </w:rPr>
        <w:t> </w:t>
      </w:r>
      <w:r>
        <w:rPr>
          <w:w w:val="110"/>
        </w:rPr>
        <w:t>at</w:t>
      </w:r>
      <w:r>
        <w:rPr>
          <w:spacing w:val="-20"/>
          <w:w w:val="110"/>
        </w:rPr>
        <w:t> </w:t>
      </w:r>
      <w:r>
        <w:rPr>
          <w:w w:val="110"/>
        </w:rPr>
        <w:t>a</w:t>
      </w:r>
      <w:r>
        <w:rPr>
          <w:spacing w:val="-20"/>
          <w:w w:val="110"/>
        </w:rPr>
        <w:t> </w:t>
      </w:r>
      <w:r>
        <w:rPr>
          <w:spacing w:val="-3"/>
          <w:w w:val="110"/>
        </w:rPr>
        <w:t>lower</w:t>
      </w:r>
      <w:r>
        <w:rPr>
          <w:spacing w:val="-20"/>
          <w:w w:val="110"/>
        </w:rPr>
        <w:t> </w:t>
      </w:r>
      <w:r>
        <w:rPr>
          <w:spacing w:val="-3"/>
          <w:w w:val="110"/>
        </w:rPr>
        <w:t>level.</w:t>
      </w:r>
      <w:r>
        <w:rPr>
          <w:spacing w:val="16"/>
          <w:w w:val="110"/>
        </w:rPr>
        <w:t> </w:t>
      </w:r>
      <w:r>
        <w:rPr>
          <w:w w:val="110"/>
        </w:rPr>
        <w:t>The</w:t>
      </w:r>
      <w:r>
        <w:rPr>
          <w:spacing w:val="-20"/>
          <w:w w:val="110"/>
        </w:rPr>
        <w:t> </w:t>
      </w:r>
      <w:r>
        <w:rPr>
          <w:w w:val="110"/>
        </w:rPr>
        <w:t>earlier </w:t>
      </w:r>
      <w:r>
        <w:rPr>
          <w:spacing w:val="-3"/>
          <w:w w:val="110"/>
        </w:rPr>
        <w:t>slowdown </w:t>
      </w:r>
      <w:r>
        <w:rPr>
          <w:w w:val="110"/>
        </w:rPr>
        <w:t>in residential construction </w:t>
      </w:r>
      <w:r>
        <w:rPr>
          <w:spacing w:val="-3"/>
          <w:w w:val="110"/>
        </w:rPr>
        <w:t>was </w:t>
      </w:r>
      <w:r>
        <w:rPr>
          <w:w w:val="110"/>
        </w:rPr>
        <w:t>particularly noticeable in the southern regions of the United Kingdom, where activity had been relatively </w:t>
      </w:r>
      <w:r>
        <w:rPr>
          <w:spacing w:val="-3"/>
          <w:w w:val="110"/>
        </w:rPr>
        <w:t>stronger. </w:t>
      </w:r>
      <w:r>
        <w:rPr>
          <w:w w:val="110"/>
        </w:rPr>
        <w:t>While underlying demand remained strong, many Agencies</w:t>
      </w:r>
      <w:r>
        <w:rPr>
          <w:spacing w:val="-28"/>
          <w:w w:val="110"/>
        </w:rPr>
        <w:t> </w:t>
      </w:r>
      <w:r>
        <w:rPr>
          <w:w w:val="110"/>
        </w:rPr>
        <w:t>suggested</w:t>
      </w:r>
      <w:r>
        <w:rPr>
          <w:spacing w:val="-28"/>
          <w:w w:val="110"/>
        </w:rPr>
        <w:t> </w:t>
      </w:r>
      <w:r>
        <w:rPr>
          <w:w w:val="110"/>
        </w:rPr>
        <w:t>that</w:t>
      </w:r>
      <w:r>
        <w:rPr>
          <w:spacing w:val="-28"/>
          <w:w w:val="110"/>
        </w:rPr>
        <w:t> </w:t>
      </w:r>
      <w:r>
        <w:rPr>
          <w:w w:val="110"/>
        </w:rPr>
        <w:t>the</w:t>
      </w:r>
      <w:r>
        <w:rPr>
          <w:spacing w:val="-28"/>
          <w:w w:val="110"/>
        </w:rPr>
        <w:t> </w:t>
      </w:r>
      <w:r>
        <w:rPr>
          <w:w w:val="110"/>
        </w:rPr>
        <w:t>pace</w:t>
      </w:r>
      <w:r>
        <w:rPr>
          <w:spacing w:val="-28"/>
          <w:w w:val="110"/>
        </w:rPr>
        <w:t> </w:t>
      </w:r>
      <w:r>
        <w:rPr>
          <w:w w:val="110"/>
        </w:rPr>
        <w:t>of</w:t>
      </w:r>
      <w:r>
        <w:rPr>
          <w:spacing w:val="-28"/>
          <w:w w:val="110"/>
        </w:rPr>
        <w:t> </w:t>
      </w:r>
      <w:r>
        <w:rPr>
          <w:spacing w:val="-2"/>
          <w:w w:val="110"/>
        </w:rPr>
        <w:t>growth</w:t>
      </w:r>
      <w:r>
        <w:rPr>
          <w:spacing w:val="-28"/>
          <w:w w:val="110"/>
        </w:rPr>
        <w:t> </w:t>
      </w:r>
      <w:r>
        <w:rPr>
          <w:spacing w:val="-3"/>
          <w:w w:val="110"/>
        </w:rPr>
        <w:t>was</w:t>
      </w:r>
      <w:r>
        <w:rPr>
          <w:spacing w:val="-28"/>
          <w:w w:val="110"/>
        </w:rPr>
        <w:t> </w:t>
      </w:r>
      <w:r>
        <w:rPr>
          <w:w w:val="110"/>
        </w:rPr>
        <w:t>unlikely </w:t>
      </w:r>
      <w:r>
        <w:rPr>
          <w:spacing w:val="-4"/>
          <w:w w:val="110"/>
        </w:rPr>
        <w:t>to </w:t>
      </w:r>
      <w:r>
        <w:rPr>
          <w:w w:val="110"/>
        </w:rPr>
        <w:t>increase </w:t>
      </w:r>
      <w:r>
        <w:rPr>
          <w:spacing w:val="-3"/>
          <w:w w:val="110"/>
        </w:rPr>
        <w:t>significantly, </w:t>
      </w:r>
      <w:r>
        <w:rPr>
          <w:w w:val="110"/>
        </w:rPr>
        <w:t>given continued supply-side constraints (notably skill</w:t>
      </w:r>
      <w:r>
        <w:rPr>
          <w:spacing w:val="-24"/>
          <w:w w:val="110"/>
        </w:rPr>
        <w:t> </w:t>
      </w:r>
      <w:r>
        <w:rPr>
          <w:w w:val="110"/>
        </w:rPr>
        <w:t>shortages).</w:t>
      </w:r>
    </w:p>
    <w:p>
      <w:pPr>
        <w:pStyle w:val="BodyText"/>
        <w:spacing w:before="9"/>
        <w:rPr>
          <w:sz w:val="22"/>
        </w:rPr>
      </w:pPr>
    </w:p>
    <w:p>
      <w:pPr>
        <w:pStyle w:val="Heading4"/>
        <w:spacing w:before="1"/>
      </w:pPr>
      <w:r>
        <w:rPr>
          <w:color w:val="006CB4"/>
        </w:rPr>
        <w:t>Services</w:t>
      </w:r>
    </w:p>
    <w:p>
      <w:pPr>
        <w:pStyle w:val="BodyText"/>
        <w:spacing w:before="1"/>
        <w:rPr>
          <w:rFonts w:ascii="Trebuchet MS"/>
          <w:sz w:val="24"/>
        </w:rPr>
      </w:pPr>
    </w:p>
    <w:p>
      <w:pPr>
        <w:pStyle w:val="BodyText"/>
        <w:spacing w:line="271" w:lineRule="auto"/>
        <w:ind w:left="177" w:right="165"/>
      </w:pPr>
      <w:r>
        <w:rPr>
          <w:w w:val="110"/>
        </w:rPr>
        <w:t>Service sector growth </w:t>
      </w:r>
      <w:r>
        <w:rPr>
          <w:spacing w:val="-3"/>
          <w:w w:val="110"/>
        </w:rPr>
        <w:t>was </w:t>
      </w:r>
      <w:r>
        <w:rPr>
          <w:w w:val="110"/>
        </w:rPr>
        <w:t>reported </w:t>
      </w:r>
      <w:r>
        <w:rPr>
          <w:spacing w:val="-4"/>
          <w:w w:val="110"/>
        </w:rPr>
        <w:t>to </w:t>
      </w:r>
      <w:r>
        <w:rPr>
          <w:w w:val="110"/>
        </w:rPr>
        <w:t>have remained broadly </w:t>
      </w:r>
      <w:r>
        <w:rPr>
          <w:spacing w:val="-3"/>
          <w:w w:val="110"/>
        </w:rPr>
        <w:t>steady </w:t>
      </w:r>
      <w:r>
        <w:rPr>
          <w:w w:val="110"/>
        </w:rPr>
        <w:t>during recent months, although at a somewhat</w:t>
      </w:r>
      <w:r>
        <w:rPr>
          <w:spacing w:val="-22"/>
          <w:w w:val="110"/>
        </w:rPr>
        <w:t> </w:t>
      </w:r>
      <w:r>
        <w:rPr>
          <w:spacing w:val="-3"/>
          <w:w w:val="110"/>
        </w:rPr>
        <w:t>slower</w:t>
      </w:r>
      <w:r>
        <w:rPr>
          <w:spacing w:val="-22"/>
          <w:w w:val="110"/>
        </w:rPr>
        <w:t> </w:t>
      </w:r>
      <w:r>
        <w:rPr>
          <w:w w:val="110"/>
        </w:rPr>
        <w:t>pace</w:t>
      </w:r>
      <w:r>
        <w:rPr>
          <w:spacing w:val="-21"/>
          <w:w w:val="110"/>
        </w:rPr>
        <w:t> </w:t>
      </w:r>
      <w:r>
        <w:rPr>
          <w:w w:val="110"/>
        </w:rPr>
        <w:t>than</w:t>
      </w:r>
      <w:r>
        <w:rPr>
          <w:spacing w:val="-22"/>
          <w:w w:val="110"/>
        </w:rPr>
        <w:t> </w:t>
      </w:r>
      <w:r>
        <w:rPr>
          <w:w w:val="110"/>
        </w:rPr>
        <w:t>in</w:t>
      </w:r>
      <w:r>
        <w:rPr>
          <w:spacing w:val="-22"/>
          <w:w w:val="110"/>
        </w:rPr>
        <w:t> </w:t>
      </w:r>
      <w:r>
        <w:rPr>
          <w:w w:val="110"/>
        </w:rPr>
        <w:t>previous</w:t>
      </w:r>
      <w:r>
        <w:rPr>
          <w:spacing w:val="-21"/>
          <w:w w:val="110"/>
        </w:rPr>
        <w:t> </w:t>
      </w:r>
      <w:r>
        <w:rPr>
          <w:w w:val="110"/>
        </w:rPr>
        <w:t>quarters.</w:t>
      </w:r>
      <w:r>
        <w:rPr>
          <w:spacing w:val="12"/>
          <w:w w:val="110"/>
        </w:rPr>
        <w:t> </w:t>
      </w:r>
      <w:r>
        <w:rPr>
          <w:w w:val="110"/>
        </w:rPr>
        <w:t>During recent</w:t>
      </w:r>
      <w:r>
        <w:rPr>
          <w:spacing w:val="-28"/>
          <w:w w:val="110"/>
        </w:rPr>
        <w:t> </w:t>
      </w:r>
      <w:r>
        <w:rPr>
          <w:w w:val="110"/>
        </w:rPr>
        <w:t>months,</w:t>
      </w:r>
      <w:r>
        <w:rPr>
          <w:spacing w:val="-28"/>
          <w:w w:val="110"/>
        </w:rPr>
        <w:t> </w:t>
      </w:r>
      <w:r>
        <w:rPr>
          <w:w w:val="110"/>
        </w:rPr>
        <w:t>business</w:t>
      </w:r>
      <w:r>
        <w:rPr>
          <w:spacing w:val="-28"/>
          <w:w w:val="110"/>
        </w:rPr>
        <w:t> </w:t>
      </w:r>
      <w:r>
        <w:rPr>
          <w:w w:val="110"/>
        </w:rPr>
        <w:t>services</w:t>
      </w:r>
      <w:r>
        <w:rPr>
          <w:spacing w:val="-28"/>
          <w:w w:val="110"/>
        </w:rPr>
        <w:t> </w:t>
      </w:r>
      <w:r>
        <w:rPr>
          <w:spacing w:val="-2"/>
          <w:w w:val="110"/>
        </w:rPr>
        <w:t>growth</w:t>
      </w:r>
      <w:r>
        <w:rPr>
          <w:spacing w:val="-28"/>
          <w:w w:val="110"/>
        </w:rPr>
        <w:t> </w:t>
      </w:r>
      <w:r>
        <w:rPr>
          <w:spacing w:val="-3"/>
          <w:w w:val="110"/>
        </w:rPr>
        <w:t>was</w:t>
      </w:r>
      <w:r>
        <w:rPr>
          <w:spacing w:val="-28"/>
          <w:w w:val="110"/>
        </w:rPr>
        <w:t> </w:t>
      </w:r>
      <w:r>
        <w:rPr>
          <w:w w:val="110"/>
        </w:rPr>
        <w:t>maintained, although some Agencies suggested that </w:t>
      </w:r>
      <w:r>
        <w:rPr>
          <w:spacing w:val="-3"/>
          <w:w w:val="110"/>
        </w:rPr>
        <w:t>mergers </w:t>
      </w:r>
      <w:r>
        <w:rPr>
          <w:w w:val="110"/>
        </w:rPr>
        <w:t>and acquisitions</w:t>
      </w:r>
      <w:r>
        <w:rPr>
          <w:spacing w:val="-29"/>
          <w:w w:val="110"/>
        </w:rPr>
        <w:t> </w:t>
      </w:r>
      <w:r>
        <w:rPr>
          <w:w w:val="110"/>
        </w:rPr>
        <w:t>activity</w:t>
      </w:r>
      <w:r>
        <w:rPr>
          <w:spacing w:val="-29"/>
          <w:w w:val="110"/>
        </w:rPr>
        <w:t> </w:t>
      </w:r>
      <w:r>
        <w:rPr>
          <w:w w:val="110"/>
        </w:rPr>
        <w:t>had</w:t>
      </w:r>
      <w:r>
        <w:rPr>
          <w:spacing w:val="-29"/>
          <w:w w:val="110"/>
        </w:rPr>
        <w:t> </w:t>
      </w:r>
      <w:r>
        <w:rPr>
          <w:w w:val="110"/>
        </w:rPr>
        <w:t>slowed.</w:t>
      </w:r>
      <w:r>
        <w:rPr>
          <w:spacing w:val="-2"/>
          <w:w w:val="110"/>
        </w:rPr>
        <w:t> </w:t>
      </w:r>
      <w:r>
        <w:rPr>
          <w:w w:val="110"/>
        </w:rPr>
        <w:t>Accountancy</w:t>
      </w:r>
      <w:r>
        <w:rPr>
          <w:spacing w:val="-28"/>
          <w:w w:val="110"/>
        </w:rPr>
        <w:t> </w:t>
      </w:r>
      <w:r>
        <w:rPr>
          <w:w w:val="110"/>
        </w:rPr>
        <w:t>and</w:t>
      </w:r>
      <w:r>
        <w:rPr>
          <w:spacing w:val="-29"/>
          <w:w w:val="110"/>
        </w:rPr>
        <w:t> </w:t>
      </w:r>
      <w:r>
        <w:rPr>
          <w:w w:val="110"/>
        </w:rPr>
        <w:t>legal firms continued </w:t>
      </w:r>
      <w:r>
        <w:rPr>
          <w:spacing w:val="-4"/>
          <w:w w:val="110"/>
        </w:rPr>
        <w:t>to </w:t>
      </w:r>
      <w:r>
        <w:rPr>
          <w:w w:val="110"/>
        </w:rPr>
        <w:t>report the strongest demand, but most firms reported that skill shortages </w:t>
      </w:r>
      <w:r>
        <w:rPr>
          <w:spacing w:val="-3"/>
          <w:w w:val="110"/>
        </w:rPr>
        <w:t>were </w:t>
      </w:r>
      <w:r>
        <w:rPr>
          <w:w w:val="110"/>
        </w:rPr>
        <w:t>constraining growth. Distribution activity picked up, and </w:t>
      </w:r>
      <w:r>
        <w:rPr>
          <w:spacing w:val="-5"/>
          <w:w w:val="110"/>
        </w:rPr>
        <w:t>IT-related </w:t>
      </w:r>
      <w:r>
        <w:rPr>
          <w:w w:val="110"/>
        </w:rPr>
        <w:t>service activity also strengthened again </w:t>
      </w:r>
      <w:r>
        <w:rPr>
          <w:w w:val="105"/>
        </w:rPr>
        <w:t>following the post-millennium </w:t>
      </w:r>
      <w:r>
        <w:rPr>
          <w:spacing w:val="-3"/>
          <w:w w:val="105"/>
        </w:rPr>
        <w:t>slowdown. Many</w:t>
      </w:r>
      <w:r>
        <w:rPr>
          <w:spacing w:val="-37"/>
          <w:w w:val="105"/>
        </w:rPr>
        <w:t> </w:t>
      </w:r>
      <w:r>
        <w:rPr>
          <w:w w:val="105"/>
        </w:rPr>
        <w:t>Agencies </w:t>
      </w:r>
      <w:r>
        <w:rPr>
          <w:w w:val="110"/>
        </w:rPr>
        <w:t>reported that activity in the transport sector </w:t>
      </w:r>
      <w:r>
        <w:rPr>
          <w:spacing w:val="-3"/>
          <w:w w:val="110"/>
        </w:rPr>
        <w:t>was adversely </w:t>
      </w:r>
      <w:r>
        <w:rPr>
          <w:w w:val="110"/>
        </w:rPr>
        <w:t>affected </w:t>
      </w:r>
      <w:r>
        <w:rPr>
          <w:spacing w:val="-3"/>
          <w:w w:val="110"/>
        </w:rPr>
        <w:t>by rail </w:t>
      </w:r>
      <w:r>
        <w:rPr>
          <w:w w:val="110"/>
        </w:rPr>
        <w:t>disruptions and bad weather during the period. But this </w:t>
      </w:r>
      <w:r>
        <w:rPr>
          <w:spacing w:val="-3"/>
          <w:w w:val="110"/>
        </w:rPr>
        <w:t>was </w:t>
      </w:r>
      <w:r>
        <w:rPr>
          <w:w w:val="110"/>
        </w:rPr>
        <w:t>offset </w:t>
      </w:r>
      <w:r>
        <w:rPr>
          <w:spacing w:val="-3"/>
          <w:w w:val="110"/>
        </w:rPr>
        <w:t>by </w:t>
      </w:r>
      <w:r>
        <w:rPr>
          <w:w w:val="110"/>
        </w:rPr>
        <w:t>increased demand for air and road</w:t>
      </w:r>
      <w:r>
        <w:rPr>
          <w:spacing w:val="-29"/>
          <w:w w:val="110"/>
        </w:rPr>
        <w:t> </w:t>
      </w:r>
      <w:r>
        <w:rPr>
          <w:w w:val="110"/>
        </w:rPr>
        <w:t>transport.</w:t>
      </w:r>
    </w:p>
    <w:p>
      <w:pPr>
        <w:pStyle w:val="BodyText"/>
        <w:spacing w:before="9"/>
        <w:rPr>
          <w:sz w:val="22"/>
        </w:rPr>
      </w:pPr>
    </w:p>
    <w:p>
      <w:pPr>
        <w:pStyle w:val="BodyText"/>
        <w:spacing w:line="271" w:lineRule="auto"/>
        <w:ind w:left="177" w:right="122"/>
      </w:pPr>
      <w:r>
        <w:rPr>
          <w:w w:val="110"/>
        </w:rPr>
        <w:t>Consumer services growth remained </w:t>
      </w:r>
      <w:r>
        <w:rPr>
          <w:spacing w:val="-3"/>
          <w:w w:val="110"/>
        </w:rPr>
        <w:t>weaker </w:t>
      </w:r>
      <w:r>
        <w:rPr>
          <w:w w:val="110"/>
        </w:rPr>
        <w:t>than in business services, but appeared </w:t>
      </w:r>
      <w:r>
        <w:rPr>
          <w:spacing w:val="-4"/>
          <w:w w:val="110"/>
        </w:rPr>
        <w:t>to </w:t>
      </w:r>
      <w:r>
        <w:rPr>
          <w:w w:val="110"/>
        </w:rPr>
        <w:t>stabilise during the period. There </w:t>
      </w:r>
      <w:r>
        <w:rPr>
          <w:spacing w:val="-3"/>
          <w:w w:val="110"/>
        </w:rPr>
        <w:t>was </w:t>
      </w:r>
      <w:r>
        <w:rPr>
          <w:w w:val="110"/>
        </w:rPr>
        <w:t>little evidence of </w:t>
      </w:r>
      <w:r>
        <w:rPr>
          <w:spacing w:val="-3"/>
          <w:w w:val="110"/>
        </w:rPr>
        <w:t>any </w:t>
      </w:r>
      <w:r>
        <w:rPr>
          <w:w w:val="110"/>
        </w:rPr>
        <w:t>improvement in domestic </w:t>
      </w:r>
      <w:r>
        <w:rPr>
          <w:spacing w:val="-2"/>
          <w:w w:val="110"/>
        </w:rPr>
        <w:t>tourism-related </w:t>
      </w:r>
      <w:r>
        <w:rPr>
          <w:spacing w:val="-4"/>
          <w:w w:val="110"/>
        </w:rPr>
        <w:t>activity, </w:t>
      </w:r>
      <w:r>
        <w:rPr>
          <w:w w:val="110"/>
        </w:rPr>
        <w:t>following a downturn in demand during the summer. Confidence in the </w:t>
      </w:r>
      <w:r>
        <w:rPr>
          <w:spacing w:val="-4"/>
          <w:w w:val="110"/>
        </w:rPr>
        <w:t>sector </w:t>
      </w:r>
      <w:r>
        <w:rPr>
          <w:w w:val="110"/>
        </w:rPr>
        <w:t>remains </w:t>
      </w:r>
      <w:r>
        <w:rPr>
          <w:spacing w:val="-6"/>
          <w:w w:val="110"/>
        </w:rPr>
        <w:t>low. </w:t>
      </w:r>
      <w:r>
        <w:rPr>
          <w:w w:val="110"/>
        </w:rPr>
        <w:t>Leisure services growth remained firm in most regions, particularly for </w:t>
      </w:r>
      <w:r>
        <w:rPr>
          <w:spacing w:val="-3"/>
          <w:w w:val="110"/>
        </w:rPr>
        <w:t>restaurants, </w:t>
      </w:r>
      <w:r>
        <w:rPr>
          <w:w w:val="110"/>
        </w:rPr>
        <w:t>pubs and fitness centres.</w:t>
      </w:r>
    </w:p>
    <w:p>
      <w:pPr>
        <w:pStyle w:val="BodyText"/>
        <w:spacing w:before="6"/>
        <w:rPr>
          <w:sz w:val="19"/>
        </w:rPr>
      </w:pPr>
    </w:p>
    <w:p>
      <w:pPr>
        <w:spacing w:before="0"/>
        <w:ind w:left="177" w:right="0" w:firstLine="0"/>
        <w:jc w:val="left"/>
        <w:rPr>
          <w:rFonts w:ascii="Trebuchet MS"/>
          <w:b/>
          <w:sz w:val="28"/>
        </w:rPr>
      </w:pPr>
      <w:r>
        <w:rPr>
          <w:rFonts w:ascii="Trebuchet MS"/>
          <w:b/>
          <w:color w:val="006CB4"/>
          <w:sz w:val="28"/>
        </w:rPr>
        <w:t>DEMAND</w:t>
      </w:r>
    </w:p>
    <w:p>
      <w:pPr>
        <w:pStyle w:val="Heading4"/>
        <w:spacing w:before="232"/>
      </w:pPr>
      <w:r>
        <w:rPr>
          <w:color w:val="006CB4"/>
        </w:rPr>
        <w:t>Consumption</w:t>
      </w:r>
    </w:p>
    <w:p>
      <w:pPr>
        <w:pStyle w:val="BodyText"/>
        <w:spacing w:before="2"/>
        <w:rPr>
          <w:rFonts w:ascii="Trebuchet MS"/>
          <w:sz w:val="24"/>
        </w:rPr>
      </w:pPr>
    </w:p>
    <w:p>
      <w:pPr>
        <w:pStyle w:val="BodyText"/>
        <w:spacing w:line="271" w:lineRule="auto"/>
        <w:ind w:left="177" w:right="165"/>
      </w:pPr>
      <w:r>
        <w:rPr>
          <w:w w:val="110"/>
        </w:rPr>
        <w:t>On balance, annual retail sales value </w:t>
      </w:r>
      <w:r>
        <w:rPr>
          <w:spacing w:val="-2"/>
          <w:w w:val="110"/>
        </w:rPr>
        <w:t>growth </w:t>
      </w:r>
      <w:r>
        <w:rPr>
          <w:spacing w:val="-3"/>
          <w:w w:val="110"/>
        </w:rPr>
        <w:t>was </w:t>
      </w:r>
      <w:r>
        <w:rPr>
          <w:w w:val="110"/>
        </w:rPr>
        <w:t>little changed compared with the previous period. Some Agencies noted some easing in the early part of the period, mostly as a result of </w:t>
      </w:r>
      <w:r>
        <w:rPr>
          <w:spacing w:val="-3"/>
          <w:w w:val="110"/>
        </w:rPr>
        <w:t>temporary factors. </w:t>
      </w:r>
      <w:r>
        <w:rPr>
          <w:w w:val="110"/>
        </w:rPr>
        <w:t>But the majority</w:t>
      </w:r>
      <w:r>
        <w:rPr>
          <w:spacing w:val="-17"/>
          <w:w w:val="110"/>
        </w:rPr>
        <w:t> </w:t>
      </w:r>
      <w:r>
        <w:rPr>
          <w:w w:val="110"/>
        </w:rPr>
        <w:t>of</w:t>
      </w:r>
      <w:r>
        <w:rPr>
          <w:spacing w:val="-16"/>
          <w:w w:val="110"/>
        </w:rPr>
        <w:t> </w:t>
      </w:r>
      <w:r>
        <w:rPr>
          <w:w w:val="110"/>
        </w:rPr>
        <w:t>contacts</w:t>
      </w:r>
      <w:r>
        <w:rPr>
          <w:spacing w:val="-16"/>
          <w:w w:val="110"/>
        </w:rPr>
        <w:t> </w:t>
      </w:r>
      <w:r>
        <w:rPr>
          <w:w w:val="110"/>
        </w:rPr>
        <w:t>noted</w:t>
      </w:r>
      <w:r>
        <w:rPr>
          <w:spacing w:val="-17"/>
          <w:w w:val="110"/>
        </w:rPr>
        <w:t> </w:t>
      </w:r>
      <w:r>
        <w:rPr>
          <w:w w:val="110"/>
        </w:rPr>
        <w:t>that</w:t>
      </w:r>
      <w:r>
        <w:rPr>
          <w:spacing w:val="-16"/>
          <w:w w:val="110"/>
        </w:rPr>
        <w:t> </w:t>
      </w:r>
      <w:r>
        <w:rPr>
          <w:w w:val="110"/>
        </w:rPr>
        <w:t>annual</w:t>
      </w:r>
      <w:r>
        <w:rPr>
          <w:spacing w:val="-16"/>
          <w:w w:val="110"/>
        </w:rPr>
        <w:t> </w:t>
      </w:r>
      <w:r>
        <w:rPr>
          <w:w w:val="110"/>
        </w:rPr>
        <w:t>growth</w:t>
      </w:r>
      <w:r>
        <w:rPr>
          <w:spacing w:val="-16"/>
          <w:w w:val="110"/>
        </w:rPr>
        <w:t> </w:t>
      </w:r>
      <w:r>
        <w:rPr>
          <w:w w:val="110"/>
        </w:rPr>
        <w:t>picked</w:t>
      </w:r>
      <w:r>
        <w:rPr>
          <w:spacing w:val="-17"/>
          <w:w w:val="110"/>
        </w:rPr>
        <w:t> </w:t>
      </w:r>
      <w:r>
        <w:rPr>
          <w:w w:val="110"/>
        </w:rPr>
        <w:t>up strongly</w:t>
      </w:r>
      <w:r>
        <w:rPr>
          <w:spacing w:val="-23"/>
          <w:w w:val="110"/>
        </w:rPr>
        <w:t> </w:t>
      </w:r>
      <w:r>
        <w:rPr>
          <w:w w:val="110"/>
        </w:rPr>
        <w:t>during</w:t>
      </w:r>
      <w:r>
        <w:rPr>
          <w:spacing w:val="-22"/>
          <w:w w:val="110"/>
        </w:rPr>
        <w:t> </w:t>
      </w:r>
      <w:r>
        <w:rPr>
          <w:w w:val="110"/>
        </w:rPr>
        <w:t>the</w:t>
      </w:r>
      <w:r>
        <w:rPr>
          <w:spacing w:val="-23"/>
          <w:w w:val="110"/>
        </w:rPr>
        <w:t> </w:t>
      </w:r>
      <w:r>
        <w:rPr>
          <w:w w:val="110"/>
        </w:rPr>
        <w:t>Christmas</w:t>
      </w:r>
      <w:r>
        <w:rPr>
          <w:spacing w:val="-23"/>
          <w:w w:val="110"/>
        </w:rPr>
        <w:t> </w:t>
      </w:r>
      <w:r>
        <w:rPr>
          <w:w w:val="110"/>
        </w:rPr>
        <w:t>period.</w:t>
      </w:r>
      <w:r>
        <w:rPr>
          <w:spacing w:val="11"/>
          <w:w w:val="110"/>
        </w:rPr>
        <w:t> </w:t>
      </w:r>
      <w:r>
        <w:rPr>
          <w:w w:val="110"/>
        </w:rPr>
        <w:t>As</w:t>
      </w:r>
      <w:r>
        <w:rPr>
          <w:spacing w:val="-22"/>
          <w:w w:val="110"/>
        </w:rPr>
        <w:t> </w:t>
      </w:r>
      <w:r>
        <w:rPr>
          <w:w w:val="110"/>
        </w:rPr>
        <w:t>a</w:t>
      </w:r>
      <w:r>
        <w:rPr>
          <w:spacing w:val="-23"/>
          <w:w w:val="110"/>
        </w:rPr>
        <w:t> </w:t>
      </w:r>
      <w:r>
        <w:rPr>
          <w:w w:val="110"/>
        </w:rPr>
        <w:t>result,</w:t>
      </w:r>
      <w:r>
        <w:rPr>
          <w:spacing w:val="-22"/>
          <w:w w:val="110"/>
        </w:rPr>
        <w:t> </w:t>
      </w:r>
      <w:r>
        <w:rPr>
          <w:w w:val="110"/>
        </w:rPr>
        <w:t>stocks </w:t>
      </w:r>
      <w:r>
        <w:rPr>
          <w:spacing w:val="-3"/>
          <w:w w:val="110"/>
        </w:rPr>
        <w:t>were </w:t>
      </w:r>
      <w:r>
        <w:rPr>
          <w:w w:val="110"/>
        </w:rPr>
        <w:t>run down and </w:t>
      </w:r>
      <w:r>
        <w:rPr>
          <w:spacing w:val="-3"/>
          <w:w w:val="110"/>
        </w:rPr>
        <w:t>many </w:t>
      </w:r>
      <w:r>
        <w:rPr>
          <w:w w:val="110"/>
        </w:rPr>
        <w:t>retail contacts suggested that there </w:t>
      </w:r>
      <w:r>
        <w:rPr>
          <w:spacing w:val="-3"/>
          <w:w w:val="110"/>
        </w:rPr>
        <w:t>was </w:t>
      </w:r>
      <w:r>
        <w:rPr>
          <w:w w:val="110"/>
        </w:rPr>
        <w:t>now little stock overhang. </w:t>
      </w:r>
      <w:r>
        <w:rPr>
          <w:spacing w:val="-3"/>
          <w:w w:val="110"/>
        </w:rPr>
        <w:t>Overall, </w:t>
      </w:r>
      <w:r>
        <w:rPr>
          <w:w w:val="110"/>
        </w:rPr>
        <w:t>consumer confidence</w:t>
      </w:r>
      <w:r>
        <w:rPr>
          <w:spacing w:val="-25"/>
          <w:w w:val="110"/>
        </w:rPr>
        <w:t> </w:t>
      </w:r>
      <w:r>
        <w:rPr>
          <w:spacing w:val="-3"/>
          <w:w w:val="110"/>
        </w:rPr>
        <w:t>was</w:t>
      </w:r>
      <w:r>
        <w:rPr>
          <w:spacing w:val="-24"/>
          <w:w w:val="110"/>
        </w:rPr>
        <w:t> </w:t>
      </w:r>
      <w:r>
        <w:rPr>
          <w:w w:val="110"/>
        </w:rPr>
        <w:t>said</w:t>
      </w:r>
      <w:r>
        <w:rPr>
          <w:spacing w:val="-24"/>
          <w:w w:val="110"/>
        </w:rPr>
        <w:t> </w:t>
      </w:r>
      <w:r>
        <w:rPr>
          <w:spacing w:val="-4"/>
          <w:w w:val="110"/>
        </w:rPr>
        <w:t>to</w:t>
      </w:r>
      <w:r>
        <w:rPr>
          <w:spacing w:val="-24"/>
          <w:w w:val="110"/>
        </w:rPr>
        <w:t> </w:t>
      </w:r>
      <w:r>
        <w:rPr>
          <w:spacing w:val="-3"/>
          <w:w w:val="110"/>
        </w:rPr>
        <w:t>have</w:t>
      </w:r>
      <w:r>
        <w:rPr>
          <w:spacing w:val="-24"/>
          <w:w w:val="110"/>
        </w:rPr>
        <w:t> </w:t>
      </w:r>
      <w:r>
        <w:rPr>
          <w:w w:val="110"/>
        </w:rPr>
        <w:t>remained</w:t>
      </w:r>
      <w:r>
        <w:rPr>
          <w:spacing w:val="-24"/>
          <w:w w:val="110"/>
        </w:rPr>
        <w:t> </w:t>
      </w:r>
      <w:r>
        <w:rPr>
          <w:w w:val="110"/>
        </w:rPr>
        <w:t>relatively</w:t>
      </w:r>
      <w:r>
        <w:rPr>
          <w:spacing w:val="-24"/>
          <w:w w:val="110"/>
        </w:rPr>
        <w:t> </w:t>
      </w:r>
      <w:r>
        <w:rPr>
          <w:spacing w:val="-3"/>
          <w:w w:val="110"/>
        </w:rPr>
        <w:t>steady</w:t>
      </w:r>
      <w:r>
        <w:rPr>
          <w:spacing w:val="-24"/>
          <w:w w:val="110"/>
        </w:rPr>
        <w:t> </w:t>
      </w:r>
      <w:r>
        <w:rPr>
          <w:w w:val="110"/>
        </w:rPr>
        <w:t>in most regions. Many contacts reported stronger volume </w:t>
      </w:r>
      <w:r>
        <w:rPr>
          <w:spacing w:val="-2"/>
          <w:w w:val="110"/>
        </w:rPr>
        <w:t>growth</w:t>
      </w:r>
      <w:r>
        <w:rPr>
          <w:spacing w:val="-30"/>
          <w:w w:val="110"/>
        </w:rPr>
        <w:t> </w:t>
      </w:r>
      <w:r>
        <w:rPr>
          <w:w w:val="110"/>
        </w:rPr>
        <w:t>for</w:t>
      </w:r>
      <w:r>
        <w:rPr>
          <w:spacing w:val="-30"/>
          <w:w w:val="110"/>
        </w:rPr>
        <w:t> </w:t>
      </w:r>
      <w:r>
        <w:rPr>
          <w:w w:val="110"/>
        </w:rPr>
        <w:t>clothing,</w:t>
      </w:r>
      <w:r>
        <w:rPr>
          <w:spacing w:val="-29"/>
          <w:w w:val="110"/>
        </w:rPr>
        <w:t> </w:t>
      </w:r>
      <w:r>
        <w:rPr>
          <w:w w:val="110"/>
        </w:rPr>
        <w:t>following</w:t>
      </w:r>
      <w:r>
        <w:rPr>
          <w:spacing w:val="-30"/>
          <w:w w:val="110"/>
        </w:rPr>
        <w:t> </w:t>
      </w:r>
      <w:r>
        <w:rPr>
          <w:w w:val="110"/>
        </w:rPr>
        <w:t>a</w:t>
      </w:r>
      <w:r>
        <w:rPr>
          <w:spacing w:val="-29"/>
          <w:w w:val="110"/>
        </w:rPr>
        <w:t> </w:t>
      </w:r>
      <w:r>
        <w:rPr>
          <w:w w:val="110"/>
        </w:rPr>
        <w:t>sustained</w:t>
      </w:r>
      <w:r>
        <w:rPr>
          <w:spacing w:val="-30"/>
          <w:w w:val="110"/>
        </w:rPr>
        <w:t> </w:t>
      </w:r>
      <w:r>
        <w:rPr>
          <w:w w:val="110"/>
        </w:rPr>
        <w:t>period</w:t>
      </w:r>
      <w:r>
        <w:rPr>
          <w:spacing w:val="-29"/>
          <w:w w:val="110"/>
        </w:rPr>
        <w:t> </w:t>
      </w:r>
      <w:r>
        <w:rPr>
          <w:w w:val="110"/>
        </w:rPr>
        <w:t>of</w:t>
      </w:r>
      <w:r>
        <w:rPr>
          <w:spacing w:val="-30"/>
          <w:w w:val="110"/>
        </w:rPr>
        <w:t> </w:t>
      </w:r>
      <w:r>
        <w:rPr>
          <w:w w:val="110"/>
        </w:rPr>
        <w:t>weak demand. Sales of electronic items, particularly mobile phones, televisions and DVD </w:t>
      </w:r>
      <w:r>
        <w:rPr>
          <w:spacing w:val="-3"/>
          <w:w w:val="110"/>
        </w:rPr>
        <w:t>players, </w:t>
      </w:r>
      <w:r>
        <w:rPr>
          <w:w w:val="110"/>
        </w:rPr>
        <w:t>recorded the strongest</w:t>
      </w:r>
      <w:r>
        <w:rPr>
          <w:spacing w:val="-6"/>
          <w:w w:val="110"/>
        </w:rPr>
        <w:t> </w:t>
      </w:r>
      <w:r>
        <w:rPr>
          <w:w w:val="110"/>
        </w:rPr>
        <w:t>growth.</w:t>
      </w:r>
    </w:p>
    <w:p>
      <w:pPr>
        <w:spacing w:after="0" w:line="271" w:lineRule="auto"/>
        <w:sectPr>
          <w:type w:val="continuous"/>
          <w:pgSz w:w="11900" w:h="16840"/>
          <w:pgMar w:top="1260" w:bottom="280" w:left="640" w:right="640"/>
          <w:cols w:num="2" w:equalWidth="0">
            <w:col w:w="5110" w:space="272"/>
            <w:col w:w="5238"/>
          </w:cols>
        </w:sectPr>
      </w:pPr>
    </w:p>
    <w:p>
      <w:pPr>
        <w:spacing w:before="78" w:after="19"/>
        <w:ind w:left="0" w:right="137" w:firstLine="0"/>
        <w:jc w:val="right"/>
        <w:rPr>
          <w:rFonts w:ascii="Arial" w:hAnsi="Arial"/>
          <w:i/>
          <w:sz w:val="14"/>
        </w:rPr>
      </w:pPr>
      <w:r>
        <w:rPr>
          <w:rFonts w:ascii="Arial" w:hAnsi="Arial"/>
          <w:i/>
          <w:w w:val="95"/>
          <w:sz w:val="14"/>
        </w:rPr>
        <w:t>Agents’ summary of business conditions</w:t>
      </w:r>
    </w:p>
    <w:p>
      <w:pPr>
        <w:pStyle w:val="BodyText"/>
        <w:spacing w:line="20" w:lineRule="exact"/>
        <w:ind w:left="143"/>
        <w:rPr>
          <w:rFonts w:ascii="Arial"/>
          <w:sz w:val="2"/>
        </w:rPr>
      </w:pPr>
      <w:r>
        <w:rPr>
          <w:rFonts w:ascii="Arial"/>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rFonts w:ascii="Arial"/>
          <w:sz w:val="2"/>
        </w:rPr>
      </w:r>
    </w:p>
    <w:p>
      <w:pPr>
        <w:pStyle w:val="BodyText"/>
        <w:rPr>
          <w:rFonts w:ascii="Arial"/>
          <w:i/>
        </w:rPr>
      </w:pPr>
    </w:p>
    <w:p>
      <w:pPr>
        <w:spacing w:after="0"/>
        <w:rPr>
          <w:rFonts w:ascii="Arial"/>
        </w:rPr>
        <w:sectPr>
          <w:headerReference w:type="default" r:id="rId186"/>
          <w:pgSz w:w="11900" w:h="16840"/>
          <w:pgMar w:header="0" w:footer="585" w:top="540" w:bottom="780" w:left="640" w:right="640"/>
        </w:sectPr>
      </w:pPr>
    </w:p>
    <w:p>
      <w:pPr>
        <w:pStyle w:val="BodyText"/>
        <w:spacing w:before="5"/>
        <w:rPr>
          <w:rFonts w:ascii="Arial"/>
          <w:i/>
          <w:sz w:val="19"/>
        </w:rPr>
      </w:pPr>
    </w:p>
    <w:p>
      <w:pPr>
        <w:pStyle w:val="BodyText"/>
        <w:spacing w:line="271" w:lineRule="auto"/>
        <w:ind w:left="182" w:right="65"/>
      </w:pPr>
      <w:r>
        <w:rPr>
          <w:w w:val="110"/>
        </w:rPr>
        <w:t>Growth in most other areas of consumer spending </w:t>
      </w:r>
      <w:r>
        <w:rPr>
          <w:spacing w:val="-3"/>
          <w:w w:val="110"/>
        </w:rPr>
        <w:t>was </w:t>
      </w:r>
      <w:r>
        <w:rPr>
          <w:w w:val="110"/>
        </w:rPr>
        <w:t>little changed during the period, although there </w:t>
      </w:r>
      <w:r>
        <w:rPr>
          <w:spacing w:val="-3"/>
          <w:w w:val="110"/>
        </w:rPr>
        <w:t>were </w:t>
      </w:r>
      <w:r>
        <w:rPr>
          <w:w w:val="110"/>
        </w:rPr>
        <w:t>some</w:t>
      </w:r>
      <w:r>
        <w:rPr>
          <w:spacing w:val="-12"/>
          <w:w w:val="110"/>
        </w:rPr>
        <w:t> </w:t>
      </w:r>
      <w:r>
        <w:rPr>
          <w:w w:val="110"/>
        </w:rPr>
        <w:t>reports</w:t>
      </w:r>
      <w:r>
        <w:rPr>
          <w:spacing w:val="-12"/>
          <w:w w:val="110"/>
        </w:rPr>
        <w:t> </w:t>
      </w:r>
      <w:r>
        <w:rPr>
          <w:w w:val="110"/>
        </w:rPr>
        <w:t>of</w:t>
      </w:r>
      <w:r>
        <w:rPr>
          <w:spacing w:val="-12"/>
          <w:w w:val="110"/>
        </w:rPr>
        <w:t> </w:t>
      </w:r>
      <w:r>
        <w:rPr>
          <w:w w:val="110"/>
        </w:rPr>
        <w:t>a</w:t>
      </w:r>
      <w:r>
        <w:rPr>
          <w:spacing w:val="-12"/>
          <w:w w:val="110"/>
        </w:rPr>
        <w:t> </w:t>
      </w:r>
      <w:r>
        <w:rPr>
          <w:w w:val="110"/>
        </w:rPr>
        <w:t>temporary</w:t>
      </w:r>
      <w:r>
        <w:rPr>
          <w:spacing w:val="-12"/>
          <w:w w:val="110"/>
        </w:rPr>
        <w:t> </w:t>
      </w:r>
      <w:r>
        <w:rPr>
          <w:w w:val="110"/>
        </w:rPr>
        <w:t>downturn</w:t>
      </w:r>
      <w:r>
        <w:rPr>
          <w:spacing w:val="-12"/>
          <w:w w:val="110"/>
        </w:rPr>
        <w:t> </w:t>
      </w:r>
      <w:r>
        <w:rPr>
          <w:w w:val="110"/>
        </w:rPr>
        <w:t>during</w:t>
      </w:r>
      <w:r>
        <w:rPr>
          <w:spacing w:val="-12"/>
          <w:w w:val="110"/>
        </w:rPr>
        <w:t> </w:t>
      </w:r>
      <w:r>
        <w:rPr>
          <w:w w:val="110"/>
        </w:rPr>
        <w:t>the</w:t>
      </w:r>
      <w:r>
        <w:rPr>
          <w:spacing w:val="-12"/>
          <w:w w:val="110"/>
        </w:rPr>
        <w:t> </w:t>
      </w:r>
      <w:r>
        <w:rPr>
          <w:w w:val="110"/>
        </w:rPr>
        <w:t>period of extreme flooding. Strong growth in spending on </w:t>
      </w:r>
      <w:r>
        <w:rPr>
          <w:spacing w:val="-3"/>
          <w:w w:val="110"/>
        </w:rPr>
        <w:t>overseas travel </w:t>
      </w:r>
      <w:r>
        <w:rPr>
          <w:w w:val="110"/>
        </w:rPr>
        <w:t>continued, though this </w:t>
      </w:r>
      <w:r>
        <w:rPr>
          <w:spacing w:val="-3"/>
          <w:w w:val="110"/>
        </w:rPr>
        <w:t>was </w:t>
      </w:r>
      <w:r>
        <w:rPr>
          <w:w w:val="110"/>
        </w:rPr>
        <w:t>partly offset </w:t>
      </w:r>
      <w:r>
        <w:rPr>
          <w:spacing w:val="-3"/>
          <w:w w:val="110"/>
        </w:rPr>
        <w:t>by </w:t>
      </w:r>
      <w:r>
        <w:rPr>
          <w:w w:val="110"/>
        </w:rPr>
        <w:t>lower spending on domestic</w:t>
      </w:r>
      <w:r>
        <w:rPr>
          <w:spacing w:val="-36"/>
          <w:w w:val="110"/>
        </w:rPr>
        <w:t> </w:t>
      </w:r>
      <w:r>
        <w:rPr>
          <w:spacing w:val="-3"/>
          <w:w w:val="110"/>
        </w:rPr>
        <w:t>travel.</w:t>
      </w:r>
    </w:p>
    <w:p>
      <w:pPr>
        <w:pStyle w:val="BodyText"/>
        <w:spacing w:before="2"/>
        <w:rPr>
          <w:sz w:val="19"/>
        </w:rPr>
      </w:pPr>
    </w:p>
    <w:p>
      <w:pPr>
        <w:pStyle w:val="BodyText"/>
        <w:spacing w:line="271" w:lineRule="auto"/>
        <w:ind w:left="182"/>
      </w:pPr>
      <w:r>
        <w:rPr>
          <w:w w:val="105"/>
        </w:rPr>
        <w:t>New car sales to individuals recovered significantly, following a sustained period of weak demand. Sales of used cars also improved in many cases, though to a lesser extent. Many motor vehicle traders suggested that consumers probably now perceive that prices are unlikely to fall much further.</w:t>
      </w:r>
    </w:p>
    <w:p>
      <w:pPr>
        <w:pStyle w:val="BodyText"/>
        <w:spacing w:before="6"/>
        <w:rPr>
          <w:sz w:val="17"/>
        </w:rPr>
      </w:pPr>
    </w:p>
    <w:p>
      <w:pPr>
        <w:pStyle w:val="Heading4"/>
        <w:spacing w:before="1"/>
        <w:ind w:left="182"/>
      </w:pPr>
      <w:r>
        <w:rPr>
          <w:color w:val="006CB4"/>
        </w:rPr>
        <w:t>Exports and imports</w:t>
      </w:r>
    </w:p>
    <w:p>
      <w:pPr>
        <w:pStyle w:val="BodyText"/>
        <w:spacing w:line="271" w:lineRule="auto" w:before="220"/>
        <w:ind w:left="182" w:right="90"/>
      </w:pPr>
      <w:r>
        <w:rPr>
          <w:w w:val="110"/>
        </w:rPr>
        <w:t>Export volume growth strengthened further in most regions,</w:t>
      </w:r>
      <w:r>
        <w:rPr>
          <w:spacing w:val="-25"/>
          <w:w w:val="110"/>
        </w:rPr>
        <w:t> </w:t>
      </w:r>
      <w:r>
        <w:rPr>
          <w:w w:val="110"/>
        </w:rPr>
        <w:t>reflecting</w:t>
      </w:r>
      <w:r>
        <w:rPr>
          <w:spacing w:val="-24"/>
          <w:w w:val="110"/>
        </w:rPr>
        <w:t> </w:t>
      </w:r>
      <w:r>
        <w:rPr>
          <w:w w:val="110"/>
        </w:rPr>
        <w:t>stronger</w:t>
      </w:r>
      <w:r>
        <w:rPr>
          <w:spacing w:val="-24"/>
          <w:w w:val="110"/>
        </w:rPr>
        <w:t> </w:t>
      </w:r>
      <w:r>
        <w:rPr>
          <w:w w:val="110"/>
        </w:rPr>
        <w:t>world</w:t>
      </w:r>
      <w:r>
        <w:rPr>
          <w:spacing w:val="-24"/>
          <w:w w:val="110"/>
        </w:rPr>
        <w:t> </w:t>
      </w:r>
      <w:r>
        <w:rPr>
          <w:w w:val="110"/>
        </w:rPr>
        <w:t>demand.</w:t>
      </w:r>
      <w:r>
        <w:rPr>
          <w:spacing w:val="8"/>
          <w:w w:val="110"/>
        </w:rPr>
        <w:t> </w:t>
      </w:r>
      <w:r>
        <w:rPr>
          <w:w w:val="110"/>
        </w:rPr>
        <w:t>Most</w:t>
      </w:r>
      <w:r>
        <w:rPr>
          <w:spacing w:val="-24"/>
          <w:w w:val="110"/>
        </w:rPr>
        <w:t> </w:t>
      </w:r>
      <w:r>
        <w:rPr>
          <w:spacing w:val="-3"/>
          <w:w w:val="110"/>
        </w:rPr>
        <w:t>regions </w:t>
      </w:r>
      <w:r>
        <w:rPr>
          <w:w w:val="110"/>
        </w:rPr>
        <w:t>reported that demand from the United </w:t>
      </w:r>
      <w:r>
        <w:rPr>
          <w:spacing w:val="-3"/>
          <w:w w:val="110"/>
        </w:rPr>
        <w:t>States </w:t>
      </w:r>
      <w:r>
        <w:rPr>
          <w:w w:val="110"/>
        </w:rPr>
        <w:t>remained robust</w:t>
      </w:r>
      <w:r>
        <w:rPr>
          <w:spacing w:val="-21"/>
          <w:w w:val="110"/>
        </w:rPr>
        <w:t> </w:t>
      </w:r>
      <w:r>
        <w:rPr>
          <w:w w:val="110"/>
        </w:rPr>
        <w:t>(particularly</w:t>
      </w:r>
      <w:r>
        <w:rPr>
          <w:spacing w:val="-21"/>
          <w:w w:val="110"/>
        </w:rPr>
        <w:t> </w:t>
      </w:r>
      <w:r>
        <w:rPr>
          <w:w w:val="110"/>
        </w:rPr>
        <w:t>for</w:t>
      </w:r>
      <w:r>
        <w:rPr>
          <w:spacing w:val="-21"/>
          <w:w w:val="110"/>
        </w:rPr>
        <w:t> </w:t>
      </w:r>
      <w:r>
        <w:rPr>
          <w:w w:val="110"/>
        </w:rPr>
        <w:t>electronics),</w:t>
      </w:r>
      <w:r>
        <w:rPr>
          <w:spacing w:val="-20"/>
          <w:w w:val="110"/>
        </w:rPr>
        <w:t> </w:t>
      </w:r>
      <w:r>
        <w:rPr>
          <w:w w:val="110"/>
        </w:rPr>
        <w:t>although</w:t>
      </w:r>
      <w:r>
        <w:rPr>
          <w:spacing w:val="-21"/>
          <w:w w:val="110"/>
        </w:rPr>
        <w:t> </w:t>
      </w:r>
      <w:r>
        <w:rPr>
          <w:w w:val="110"/>
        </w:rPr>
        <w:t>there</w:t>
      </w:r>
      <w:r>
        <w:rPr>
          <w:spacing w:val="-21"/>
          <w:w w:val="110"/>
        </w:rPr>
        <w:t> </w:t>
      </w:r>
      <w:r>
        <w:rPr>
          <w:spacing w:val="-3"/>
          <w:w w:val="110"/>
        </w:rPr>
        <w:t>were </w:t>
      </w:r>
      <w:r>
        <w:rPr>
          <w:w w:val="110"/>
        </w:rPr>
        <w:t>isolated reports of some </w:t>
      </w:r>
      <w:r>
        <w:rPr>
          <w:spacing w:val="-3"/>
          <w:w w:val="110"/>
        </w:rPr>
        <w:t>slowdown </w:t>
      </w:r>
      <w:r>
        <w:rPr>
          <w:w w:val="110"/>
        </w:rPr>
        <w:t>in </w:t>
      </w:r>
      <w:r>
        <w:rPr>
          <w:spacing w:val="-3"/>
          <w:w w:val="110"/>
        </w:rPr>
        <w:t>orders </w:t>
      </w:r>
      <w:r>
        <w:rPr>
          <w:w w:val="110"/>
        </w:rPr>
        <w:t>in more recent weeks. </w:t>
      </w:r>
      <w:r>
        <w:rPr>
          <w:spacing w:val="-4"/>
          <w:w w:val="110"/>
        </w:rPr>
        <w:t>However, </w:t>
      </w:r>
      <w:r>
        <w:rPr>
          <w:w w:val="110"/>
        </w:rPr>
        <w:t>while contacts reported some concern about the future impact of the </w:t>
      </w:r>
      <w:r>
        <w:rPr>
          <w:spacing w:val="-3"/>
          <w:w w:val="110"/>
        </w:rPr>
        <w:t>slowdown </w:t>
      </w:r>
      <w:r>
        <w:rPr>
          <w:w w:val="110"/>
        </w:rPr>
        <w:t>in economic activity in the United </w:t>
      </w:r>
      <w:r>
        <w:rPr>
          <w:spacing w:val="-3"/>
          <w:w w:val="110"/>
        </w:rPr>
        <w:t>States, many </w:t>
      </w:r>
      <w:r>
        <w:rPr>
          <w:w w:val="110"/>
        </w:rPr>
        <w:t>firms believed</w:t>
      </w:r>
      <w:r>
        <w:rPr>
          <w:spacing w:val="-23"/>
          <w:w w:val="110"/>
        </w:rPr>
        <w:t> </w:t>
      </w:r>
      <w:r>
        <w:rPr>
          <w:w w:val="110"/>
        </w:rPr>
        <w:t>the</w:t>
      </w:r>
      <w:r>
        <w:rPr>
          <w:spacing w:val="-23"/>
          <w:w w:val="110"/>
        </w:rPr>
        <w:t> </w:t>
      </w:r>
      <w:r>
        <w:rPr>
          <w:w w:val="110"/>
        </w:rPr>
        <w:t>impact</w:t>
      </w:r>
      <w:r>
        <w:rPr>
          <w:spacing w:val="-22"/>
          <w:w w:val="110"/>
        </w:rPr>
        <w:t> </w:t>
      </w:r>
      <w:r>
        <w:rPr>
          <w:w w:val="110"/>
        </w:rPr>
        <w:t>would</w:t>
      </w:r>
      <w:r>
        <w:rPr>
          <w:spacing w:val="-23"/>
          <w:w w:val="110"/>
        </w:rPr>
        <w:t> </w:t>
      </w:r>
      <w:r>
        <w:rPr>
          <w:w w:val="110"/>
        </w:rPr>
        <w:t>be</w:t>
      </w:r>
      <w:r>
        <w:rPr>
          <w:spacing w:val="-23"/>
          <w:w w:val="110"/>
        </w:rPr>
        <w:t> </w:t>
      </w:r>
      <w:r>
        <w:rPr>
          <w:w w:val="110"/>
        </w:rPr>
        <w:t>limited,</w:t>
      </w:r>
      <w:r>
        <w:rPr>
          <w:spacing w:val="-22"/>
          <w:w w:val="110"/>
        </w:rPr>
        <w:t> </w:t>
      </w:r>
      <w:r>
        <w:rPr>
          <w:w w:val="110"/>
        </w:rPr>
        <w:t>and</w:t>
      </w:r>
      <w:r>
        <w:rPr>
          <w:spacing w:val="-23"/>
          <w:w w:val="110"/>
        </w:rPr>
        <w:t> </w:t>
      </w:r>
      <w:r>
        <w:rPr>
          <w:w w:val="110"/>
        </w:rPr>
        <w:t>offset</w:t>
      </w:r>
      <w:r>
        <w:rPr>
          <w:spacing w:val="-23"/>
          <w:w w:val="110"/>
        </w:rPr>
        <w:t> </w:t>
      </w:r>
      <w:r>
        <w:rPr>
          <w:w w:val="110"/>
        </w:rPr>
        <w:t>mostly </w:t>
      </w:r>
      <w:r>
        <w:rPr>
          <w:spacing w:val="-3"/>
          <w:w w:val="110"/>
        </w:rPr>
        <w:t>by</w:t>
      </w:r>
      <w:r>
        <w:rPr>
          <w:spacing w:val="-14"/>
          <w:w w:val="110"/>
        </w:rPr>
        <w:t> </w:t>
      </w:r>
      <w:r>
        <w:rPr>
          <w:w w:val="110"/>
        </w:rPr>
        <w:t>stronger</w:t>
      </w:r>
      <w:r>
        <w:rPr>
          <w:spacing w:val="-14"/>
          <w:w w:val="110"/>
        </w:rPr>
        <w:t> </w:t>
      </w:r>
      <w:r>
        <w:rPr>
          <w:w w:val="110"/>
        </w:rPr>
        <w:t>growth</w:t>
      </w:r>
      <w:r>
        <w:rPr>
          <w:spacing w:val="-14"/>
          <w:w w:val="110"/>
        </w:rPr>
        <w:t> </w:t>
      </w:r>
      <w:r>
        <w:rPr>
          <w:w w:val="110"/>
        </w:rPr>
        <w:t>in</w:t>
      </w:r>
      <w:r>
        <w:rPr>
          <w:spacing w:val="-13"/>
          <w:w w:val="110"/>
        </w:rPr>
        <w:t> </w:t>
      </w:r>
      <w:r>
        <w:rPr>
          <w:w w:val="110"/>
        </w:rPr>
        <w:t>other</w:t>
      </w:r>
      <w:r>
        <w:rPr>
          <w:spacing w:val="-14"/>
          <w:w w:val="110"/>
        </w:rPr>
        <w:t> </w:t>
      </w:r>
      <w:r>
        <w:rPr>
          <w:w w:val="110"/>
        </w:rPr>
        <w:t>markets.</w:t>
      </w:r>
      <w:r>
        <w:rPr>
          <w:spacing w:val="28"/>
          <w:w w:val="110"/>
        </w:rPr>
        <w:t> </w:t>
      </w:r>
      <w:r>
        <w:rPr>
          <w:w w:val="110"/>
        </w:rPr>
        <w:t>During</w:t>
      </w:r>
      <w:r>
        <w:rPr>
          <w:spacing w:val="-13"/>
          <w:w w:val="110"/>
        </w:rPr>
        <w:t> </w:t>
      </w:r>
      <w:r>
        <w:rPr>
          <w:w w:val="110"/>
        </w:rPr>
        <w:t>the</w:t>
      </w:r>
      <w:r>
        <w:rPr>
          <w:spacing w:val="-14"/>
          <w:w w:val="110"/>
        </w:rPr>
        <w:t> </w:t>
      </w:r>
      <w:r>
        <w:rPr>
          <w:w w:val="110"/>
        </w:rPr>
        <w:t>period, export </w:t>
      </w:r>
      <w:r>
        <w:rPr>
          <w:spacing w:val="-2"/>
          <w:w w:val="110"/>
        </w:rPr>
        <w:t>growth </w:t>
      </w:r>
      <w:r>
        <w:rPr>
          <w:spacing w:val="-4"/>
          <w:w w:val="110"/>
        </w:rPr>
        <w:t>to </w:t>
      </w:r>
      <w:r>
        <w:rPr>
          <w:w w:val="110"/>
        </w:rPr>
        <w:t>markets in the Middle East and Asia </w:t>
      </w:r>
      <w:r>
        <w:rPr>
          <w:spacing w:val="-3"/>
          <w:w w:val="110"/>
        </w:rPr>
        <w:t>improved </w:t>
      </w:r>
      <w:r>
        <w:rPr>
          <w:w w:val="110"/>
        </w:rPr>
        <w:t>further. But sales </w:t>
      </w:r>
      <w:r>
        <w:rPr>
          <w:spacing w:val="-4"/>
          <w:w w:val="110"/>
        </w:rPr>
        <w:t>to </w:t>
      </w:r>
      <w:r>
        <w:rPr>
          <w:w w:val="110"/>
        </w:rPr>
        <w:t>Europe remained relatively</w:t>
      </w:r>
      <w:r>
        <w:rPr>
          <w:spacing w:val="-32"/>
          <w:w w:val="110"/>
        </w:rPr>
        <w:t> </w:t>
      </w:r>
      <w:r>
        <w:rPr>
          <w:w w:val="110"/>
        </w:rPr>
        <w:t>more</w:t>
      </w:r>
      <w:r>
        <w:rPr>
          <w:spacing w:val="-32"/>
          <w:w w:val="110"/>
        </w:rPr>
        <w:t> </w:t>
      </w:r>
      <w:r>
        <w:rPr>
          <w:w w:val="110"/>
        </w:rPr>
        <w:t>difficult.</w:t>
      </w:r>
      <w:r>
        <w:rPr>
          <w:spacing w:val="-7"/>
          <w:w w:val="110"/>
        </w:rPr>
        <w:t> </w:t>
      </w:r>
      <w:r>
        <w:rPr>
          <w:spacing w:val="-4"/>
          <w:w w:val="110"/>
        </w:rPr>
        <w:t>However,</w:t>
      </w:r>
      <w:r>
        <w:rPr>
          <w:spacing w:val="-32"/>
          <w:w w:val="110"/>
        </w:rPr>
        <w:t> </w:t>
      </w:r>
      <w:r>
        <w:rPr>
          <w:spacing w:val="-3"/>
          <w:w w:val="110"/>
        </w:rPr>
        <w:t>many</w:t>
      </w:r>
      <w:r>
        <w:rPr>
          <w:spacing w:val="-31"/>
          <w:w w:val="110"/>
        </w:rPr>
        <w:t> </w:t>
      </w:r>
      <w:r>
        <w:rPr>
          <w:w w:val="110"/>
        </w:rPr>
        <w:t>manufacturers noted some improvement in margins in recent weeks, following</w:t>
      </w:r>
      <w:r>
        <w:rPr>
          <w:spacing w:val="-18"/>
          <w:w w:val="110"/>
        </w:rPr>
        <w:t> </w:t>
      </w:r>
      <w:r>
        <w:rPr>
          <w:w w:val="110"/>
        </w:rPr>
        <w:t>the</w:t>
      </w:r>
      <w:r>
        <w:rPr>
          <w:spacing w:val="-17"/>
          <w:w w:val="110"/>
        </w:rPr>
        <w:t> </w:t>
      </w:r>
      <w:r>
        <w:rPr>
          <w:w w:val="110"/>
        </w:rPr>
        <w:t>weakening</w:t>
      </w:r>
      <w:r>
        <w:rPr>
          <w:spacing w:val="-17"/>
          <w:w w:val="110"/>
        </w:rPr>
        <w:t> </w:t>
      </w:r>
      <w:r>
        <w:rPr>
          <w:w w:val="110"/>
        </w:rPr>
        <w:t>of</w:t>
      </w:r>
      <w:r>
        <w:rPr>
          <w:spacing w:val="-18"/>
          <w:w w:val="110"/>
        </w:rPr>
        <w:t> </w:t>
      </w:r>
      <w:r>
        <w:rPr>
          <w:w w:val="110"/>
        </w:rPr>
        <w:t>sterling</w:t>
      </w:r>
      <w:r>
        <w:rPr>
          <w:spacing w:val="-17"/>
          <w:w w:val="110"/>
        </w:rPr>
        <w:t> </w:t>
      </w:r>
      <w:r>
        <w:rPr>
          <w:w w:val="110"/>
        </w:rPr>
        <w:t>against</w:t>
      </w:r>
      <w:r>
        <w:rPr>
          <w:spacing w:val="-17"/>
          <w:w w:val="110"/>
        </w:rPr>
        <w:t> </w:t>
      </w:r>
      <w:r>
        <w:rPr>
          <w:w w:val="110"/>
        </w:rPr>
        <w:t>the</w:t>
      </w:r>
      <w:r>
        <w:rPr>
          <w:spacing w:val="-18"/>
          <w:w w:val="110"/>
        </w:rPr>
        <w:t> </w:t>
      </w:r>
      <w:r>
        <w:rPr>
          <w:w w:val="110"/>
        </w:rPr>
        <w:t>euro.</w:t>
      </w:r>
    </w:p>
    <w:p>
      <w:pPr>
        <w:pStyle w:val="BodyText"/>
        <w:spacing w:line="271" w:lineRule="auto" w:before="1"/>
        <w:ind w:left="182" w:right="65"/>
      </w:pPr>
      <w:r>
        <w:rPr>
          <w:w w:val="110"/>
        </w:rPr>
        <w:t>Looking forward, the exchange </w:t>
      </w:r>
      <w:r>
        <w:rPr>
          <w:spacing w:val="-4"/>
          <w:w w:val="110"/>
        </w:rPr>
        <w:t>rate </w:t>
      </w:r>
      <w:r>
        <w:rPr>
          <w:w w:val="110"/>
        </w:rPr>
        <w:t>movement, if maintained,</w:t>
      </w:r>
      <w:r>
        <w:rPr>
          <w:spacing w:val="-17"/>
          <w:w w:val="110"/>
        </w:rPr>
        <w:t> </w:t>
      </w:r>
      <w:r>
        <w:rPr>
          <w:w w:val="110"/>
        </w:rPr>
        <w:t>is</w:t>
      </w:r>
      <w:r>
        <w:rPr>
          <w:spacing w:val="-17"/>
          <w:w w:val="110"/>
        </w:rPr>
        <w:t> </w:t>
      </w:r>
      <w:r>
        <w:rPr>
          <w:spacing w:val="-3"/>
          <w:w w:val="110"/>
        </w:rPr>
        <w:t>expected</w:t>
      </w:r>
      <w:r>
        <w:rPr>
          <w:spacing w:val="-16"/>
          <w:w w:val="110"/>
        </w:rPr>
        <w:t> </w:t>
      </w:r>
      <w:r>
        <w:rPr>
          <w:spacing w:val="-4"/>
          <w:w w:val="110"/>
        </w:rPr>
        <w:t>to</w:t>
      </w:r>
      <w:r>
        <w:rPr>
          <w:spacing w:val="-17"/>
          <w:w w:val="110"/>
        </w:rPr>
        <w:t> </w:t>
      </w:r>
      <w:r>
        <w:rPr>
          <w:w w:val="110"/>
        </w:rPr>
        <w:t>result</w:t>
      </w:r>
      <w:r>
        <w:rPr>
          <w:spacing w:val="-17"/>
          <w:w w:val="110"/>
        </w:rPr>
        <w:t> </w:t>
      </w:r>
      <w:r>
        <w:rPr>
          <w:w w:val="110"/>
        </w:rPr>
        <w:t>in</w:t>
      </w:r>
      <w:r>
        <w:rPr>
          <w:spacing w:val="-16"/>
          <w:w w:val="110"/>
        </w:rPr>
        <w:t> </w:t>
      </w:r>
      <w:r>
        <w:rPr>
          <w:w w:val="110"/>
        </w:rPr>
        <w:t>a</w:t>
      </w:r>
      <w:r>
        <w:rPr>
          <w:spacing w:val="-17"/>
          <w:w w:val="110"/>
        </w:rPr>
        <w:t> </w:t>
      </w:r>
      <w:r>
        <w:rPr>
          <w:spacing w:val="-5"/>
          <w:w w:val="110"/>
        </w:rPr>
        <w:t>pick-up</w:t>
      </w:r>
      <w:r>
        <w:rPr>
          <w:spacing w:val="-17"/>
          <w:w w:val="110"/>
        </w:rPr>
        <w:t> </w:t>
      </w:r>
      <w:r>
        <w:rPr>
          <w:w w:val="110"/>
        </w:rPr>
        <w:t>in</w:t>
      </w:r>
      <w:r>
        <w:rPr>
          <w:spacing w:val="-16"/>
          <w:w w:val="110"/>
        </w:rPr>
        <w:t> </w:t>
      </w:r>
      <w:r>
        <w:rPr>
          <w:w w:val="110"/>
        </w:rPr>
        <w:t>volume </w:t>
      </w:r>
      <w:r>
        <w:rPr>
          <w:spacing w:val="-2"/>
          <w:w w:val="110"/>
        </w:rPr>
        <w:t>growth</w:t>
      </w:r>
      <w:r>
        <w:rPr>
          <w:spacing w:val="-13"/>
          <w:w w:val="110"/>
        </w:rPr>
        <w:t> </w:t>
      </w:r>
      <w:r>
        <w:rPr>
          <w:spacing w:val="-4"/>
          <w:w w:val="110"/>
        </w:rPr>
        <w:t>to</w:t>
      </w:r>
      <w:r>
        <w:rPr>
          <w:spacing w:val="-13"/>
          <w:w w:val="110"/>
        </w:rPr>
        <w:t> </w:t>
      </w:r>
      <w:r>
        <w:rPr>
          <w:w w:val="110"/>
        </w:rPr>
        <w:t>the</w:t>
      </w:r>
      <w:r>
        <w:rPr>
          <w:spacing w:val="-13"/>
          <w:w w:val="110"/>
        </w:rPr>
        <w:t> </w:t>
      </w:r>
      <w:r>
        <w:rPr>
          <w:w w:val="110"/>
        </w:rPr>
        <w:t>euro</w:t>
      </w:r>
      <w:r>
        <w:rPr>
          <w:spacing w:val="-13"/>
          <w:w w:val="110"/>
        </w:rPr>
        <w:t> </w:t>
      </w:r>
      <w:r>
        <w:rPr>
          <w:w w:val="110"/>
        </w:rPr>
        <w:t>area</w:t>
      </w:r>
      <w:r>
        <w:rPr>
          <w:spacing w:val="-13"/>
          <w:w w:val="110"/>
        </w:rPr>
        <w:t> </w:t>
      </w:r>
      <w:r>
        <w:rPr>
          <w:w w:val="110"/>
        </w:rPr>
        <w:t>in</w:t>
      </w:r>
      <w:r>
        <w:rPr>
          <w:spacing w:val="-13"/>
          <w:w w:val="110"/>
        </w:rPr>
        <w:t> </w:t>
      </w:r>
      <w:r>
        <w:rPr>
          <w:w w:val="110"/>
        </w:rPr>
        <w:t>coming</w:t>
      </w:r>
      <w:r>
        <w:rPr>
          <w:spacing w:val="-13"/>
          <w:w w:val="110"/>
        </w:rPr>
        <w:t> </w:t>
      </w:r>
      <w:r>
        <w:rPr>
          <w:w w:val="110"/>
        </w:rPr>
        <w:t>quarters,</w:t>
      </w:r>
      <w:r>
        <w:rPr>
          <w:spacing w:val="-13"/>
          <w:w w:val="110"/>
        </w:rPr>
        <w:t> </w:t>
      </w:r>
      <w:r>
        <w:rPr>
          <w:w w:val="110"/>
        </w:rPr>
        <w:t>as</w:t>
      </w:r>
      <w:r>
        <w:rPr>
          <w:spacing w:val="-13"/>
          <w:w w:val="110"/>
        </w:rPr>
        <w:t> </w:t>
      </w:r>
      <w:r>
        <w:rPr>
          <w:w w:val="110"/>
        </w:rPr>
        <w:t>exports become relatively more</w:t>
      </w:r>
      <w:r>
        <w:rPr>
          <w:spacing w:val="-27"/>
          <w:w w:val="110"/>
        </w:rPr>
        <w:t> </w:t>
      </w:r>
      <w:r>
        <w:rPr>
          <w:w w:val="110"/>
        </w:rPr>
        <w:t>competitive.</w:t>
      </w:r>
    </w:p>
    <w:p>
      <w:pPr>
        <w:pStyle w:val="BodyText"/>
        <w:spacing w:before="2"/>
        <w:rPr>
          <w:sz w:val="19"/>
        </w:rPr>
      </w:pPr>
    </w:p>
    <w:p>
      <w:pPr>
        <w:pStyle w:val="BodyText"/>
        <w:spacing w:line="271" w:lineRule="auto"/>
        <w:ind w:left="182" w:right="65"/>
      </w:pPr>
      <w:r>
        <w:rPr>
          <w:w w:val="110"/>
        </w:rPr>
        <w:t>Import demand remained brisk during the period, although</w:t>
      </w:r>
      <w:r>
        <w:rPr>
          <w:spacing w:val="-17"/>
          <w:w w:val="110"/>
        </w:rPr>
        <w:t> </w:t>
      </w:r>
      <w:r>
        <w:rPr>
          <w:w w:val="110"/>
        </w:rPr>
        <w:t>the</w:t>
      </w:r>
      <w:r>
        <w:rPr>
          <w:spacing w:val="-17"/>
          <w:w w:val="110"/>
        </w:rPr>
        <w:t> </w:t>
      </w:r>
      <w:r>
        <w:rPr>
          <w:w w:val="110"/>
        </w:rPr>
        <w:t>pace</w:t>
      </w:r>
      <w:r>
        <w:rPr>
          <w:spacing w:val="-17"/>
          <w:w w:val="110"/>
        </w:rPr>
        <w:t> </w:t>
      </w:r>
      <w:r>
        <w:rPr>
          <w:w w:val="110"/>
        </w:rPr>
        <w:t>of</w:t>
      </w:r>
      <w:r>
        <w:rPr>
          <w:spacing w:val="-17"/>
          <w:w w:val="110"/>
        </w:rPr>
        <w:t> </w:t>
      </w:r>
      <w:r>
        <w:rPr>
          <w:spacing w:val="-2"/>
          <w:w w:val="110"/>
        </w:rPr>
        <w:t>growth</w:t>
      </w:r>
      <w:r>
        <w:rPr>
          <w:spacing w:val="-17"/>
          <w:w w:val="110"/>
        </w:rPr>
        <w:t> </w:t>
      </w:r>
      <w:r>
        <w:rPr>
          <w:spacing w:val="-3"/>
          <w:w w:val="110"/>
        </w:rPr>
        <w:t>was</w:t>
      </w:r>
      <w:r>
        <w:rPr>
          <w:spacing w:val="-17"/>
          <w:w w:val="110"/>
        </w:rPr>
        <w:t> </w:t>
      </w:r>
      <w:r>
        <w:rPr>
          <w:w w:val="110"/>
        </w:rPr>
        <w:t>little</w:t>
      </w:r>
      <w:r>
        <w:rPr>
          <w:spacing w:val="-17"/>
          <w:w w:val="110"/>
        </w:rPr>
        <w:t> </w:t>
      </w:r>
      <w:r>
        <w:rPr>
          <w:w w:val="110"/>
        </w:rPr>
        <w:t>changed</w:t>
      </w:r>
      <w:r>
        <w:rPr>
          <w:spacing w:val="-17"/>
          <w:w w:val="110"/>
        </w:rPr>
        <w:t> </w:t>
      </w:r>
      <w:r>
        <w:rPr>
          <w:w w:val="110"/>
        </w:rPr>
        <w:t>from</w:t>
      </w:r>
      <w:r>
        <w:rPr>
          <w:spacing w:val="-17"/>
          <w:w w:val="110"/>
        </w:rPr>
        <w:t> </w:t>
      </w:r>
      <w:r>
        <w:rPr>
          <w:w w:val="110"/>
        </w:rPr>
        <w:t>the previous</w:t>
      </w:r>
      <w:r>
        <w:rPr>
          <w:spacing w:val="-6"/>
          <w:w w:val="110"/>
        </w:rPr>
        <w:t> </w:t>
      </w:r>
      <w:r>
        <w:rPr>
          <w:w w:val="110"/>
        </w:rPr>
        <w:t>period.</w:t>
      </w:r>
    </w:p>
    <w:p>
      <w:pPr>
        <w:pStyle w:val="BodyText"/>
        <w:spacing w:before="10"/>
        <w:rPr>
          <w:sz w:val="15"/>
        </w:rPr>
      </w:pPr>
    </w:p>
    <w:p>
      <w:pPr>
        <w:pStyle w:val="Heading4"/>
        <w:ind w:left="182"/>
      </w:pPr>
      <w:r>
        <w:rPr>
          <w:color w:val="006CB4"/>
        </w:rPr>
        <w:t>Investment</w:t>
      </w:r>
    </w:p>
    <w:p>
      <w:pPr>
        <w:pStyle w:val="BodyText"/>
        <w:spacing w:line="271" w:lineRule="auto" w:before="220"/>
        <w:ind w:left="182" w:right="65"/>
      </w:pPr>
      <w:r>
        <w:rPr>
          <w:w w:val="110"/>
        </w:rPr>
        <w:t>There </w:t>
      </w:r>
      <w:r>
        <w:rPr>
          <w:spacing w:val="-3"/>
          <w:w w:val="110"/>
        </w:rPr>
        <w:t>was </w:t>
      </w:r>
      <w:r>
        <w:rPr>
          <w:w w:val="110"/>
        </w:rPr>
        <w:t>little change </w:t>
      </w:r>
      <w:r>
        <w:rPr>
          <w:spacing w:val="-4"/>
          <w:w w:val="110"/>
        </w:rPr>
        <w:t>to </w:t>
      </w:r>
      <w:r>
        <w:rPr>
          <w:w w:val="110"/>
        </w:rPr>
        <w:t>the trend of weak manufacturing </w:t>
      </w:r>
      <w:r>
        <w:rPr>
          <w:spacing w:val="-3"/>
          <w:w w:val="110"/>
        </w:rPr>
        <w:t>investment </w:t>
      </w:r>
      <w:r>
        <w:rPr>
          <w:w w:val="110"/>
        </w:rPr>
        <w:t>intentions reported in previous </w:t>
      </w:r>
      <w:r>
        <w:rPr>
          <w:i/>
          <w:w w:val="110"/>
        </w:rPr>
        <w:t>Agents’ Summaries</w:t>
      </w:r>
      <w:r>
        <w:rPr>
          <w:w w:val="110"/>
        </w:rPr>
        <w:t>. The only exception appeared </w:t>
      </w:r>
      <w:r>
        <w:rPr>
          <w:spacing w:val="-4"/>
          <w:w w:val="110"/>
        </w:rPr>
        <w:t>to </w:t>
      </w:r>
      <w:r>
        <w:rPr>
          <w:w w:val="110"/>
        </w:rPr>
        <w:t>be in ‘high-tech’ industries. Manufacturers in traditional manufacturing industries continued </w:t>
      </w:r>
      <w:r>
        <w:rPr>
          <w:spacing w:val="-4"/>
          <w:w w:val="110"/>
        </w:rPr>
        <w:t>to </w:t>
      </w:r>
      <w:r>
        <w:rPr>
          <w:w w:val="110"/>
        </w:rPr>
        <w:t>report a </w:t>
      </w:r>
      <w:r>
        <w:rPr>
          <w:spacing w:val="-3"/>
          <w:w w:val="110"/>
        </w:rPr>
        <w:t>steady </w:t>
      </w:r>
      <w:r>
        <w:rPr>
          <w:w w:val="110"/>
        </w:rPr>
        <w:t>decline in capacity as a result of rationalisation and relocation </w:t>
      </w:r>
      <w:r>
        <w:rPr>
          <w:spacing w:val="-4"/>
          <w:w w:val="110"/>
        </w:rPr>
        <w:t>to </w:t>
      </w:r>
      <w:r>
        <w:rPr>
          <w:w w:val="110"/>
        </w:rPr>
        <w:t>plants </w:t>
      </w:r>
      <w:r>
        <w:rPr>
          <w:spacing w:val="-3"/>
          <w:w w:val="110"/>
        </w:rPr>
        <w:t>overseas </w:t>
      </w:r>
      <w:r>
        <w:rPr>
          <w:w w:val="110"/>
        </w:rPr>
        <w:t>(particularly</w:t>
      </w:r>
      <w:r>
        <w:rPr>
          <w:spacing w:val="-28"/>
          <w:w w:val="110"/>
        </w:rPr>
        <w:t> </w:t>
      </w:r>
      <w:r>
        <w:rPr>
          <w:w w:val="110"/>
        </w:rPr>
        <w:t>in</w:t>
      </w:r>
      <w:r>
        <w:rPr>
          <w:spacing w:val="-28"/>
          <w:w w:val="110"/>
        </w:rPr>
        <w:t> </w:t>
      </w:r>
      <w:r>
        <w:rPr>
          <w:w w:val="110"/>
        </w:rPr>
        <w:t>Eastern</w:t>
      </w:r>
      <w:r>
        <w:rPr>
          <w:spacing w:val="-27"/>
          <w:w w:val="110"/>
        </w:rPr>
        <w:t> </w:t>
      </w:r>
      <w:r>
        <w:rPr>
          <w:w w:val="110"/>
        </w:rPr>
        <w:t>Europe</w:t>
      </w:r>
      <w:r>
        <w:rPr>
          <w:spacing w:val="-28"/>
          <w:w w:val="110"/>
        </w:rPr>
        <w:t> </w:t>
      </w:r>
      <w:r>
        <w:rPr>
          <w:w w:val="110"/>
        </w:rPr>
        <w:t>and</w:t>
      </w:r>
      <w:r>
        <w:rPr>
          <w:spacing w:val="-27"/>
          <w:w w:val="110"/>
        </w:rPr>
        <w:t> </w:t>
      </w:r>
      <w:r>
        <w:rPr>
          <w:w w:val="110"/>
        </w:rPr>
        <w:t>Asia). In</w:t>
      </w:r>
      <w:r>
        <w:rPr>
          <w:spacing w:val="-27"/>
          <w:w w:val="110"/>
        </w:rPr>
        <w:t> </w:t>
      </w:r>
      <w:r>
        <w:rPr>
          <w:spacing w:val="-3"/>
          <w:w w:val="110"/>
        </w:rPr>
        <w:t>many</w:t>
      </w:r>
      <w:r>
        <w:rPr>
          <w:spacing w:val="-28"/>
          <w:w w:val="110"/>
        </w:rPr>
        <w:t> </w:t>
      </w:r>
      <w:r>
        <w:rPr>
          <w:w w:val="110"/>
        </w:rPr>
        <w:t>cases, </w:t>
      </w:r>
      <w:r>
        <w:rPr>
          <w:spacing w:val="-3"/>
          <w:w w:val="110"/>
        </w:rPr>
        <w:t>lower</w:t>
      </w:r>
      <w:r>
        <w:rPr>
          <w:spacing w:val="-23"/>
          <w:w w:val="110"/>
        </w:rPr>
        <w:t> </w:t>
      </w:r>
      <w:r>
        <w:rPr>
          <w:spacing w:val="-3"/>
          <w:w w:val="110"/>
        </w:rPr>
        <w:t>profitability</w:t>
      </w:r>
      <w:r>
        <w:rPr>
          <w:spacing w:val="-22"/>
          <w:w w:val="110"/>
        </w:rPr>
        <w:t> </w:t>
      </w:r>
      <w:r>
        <w:rPr>
          <w:w w:val="110"/>
        </w:rPr>
        <w:t>meant</w:t>
      </w:r>
      <w:r>
        <w:rPr>
          <w:spacing w:val="-23"/>
          <w:w w:val="110"/>
        </w:rPr>
        <w:t> </w:t>
      </w:r>
      <w:r>
        <w:rPr>
          <w:w w:val="110"/>
        </w:rPr>
        <w:t>that</w:t>
      </w:r>
      <w:r>
        <w:rPr>
          <w:spacing w:val="-22"/>
          <w:w w:val="110"/>
        </w:rPr>
        <w:t> </w:t>
      </w:r>
      <w:r>
        <w:rPr>
          <w:w w:val="110"/>
        </w:rPr>
        <w:t>cash</w:t>
      </w:r>
      <w:r>
        <w:rPr>
          <w:spacing w:val="-23"/>
          <w:w w:val="110"/>
        </w:rPr>
        <w:t> </w:t>
      </w:r>
      <w:r>
        <w:rPr>
          <w:w w:val="110"/>
        </w:rPr>
        <w:t>flow</w:t>
      </w:r>
      <w:r>
        <w:rPr>
          <w:spacing w:val="-22"/>
          <w:w w:val="110"/>
        </w:rPr>
        <w:t> </w:t>
      </w:r>
      <w:r>
        <w:rPr>
          <w:spacing w:val="-3"/>
          <w:w w:val="110"/>
        </w:rPr>
        <w:t>was</w:t>
      </w:r>
      <w:r>
        <w:rPr>
          <w:spacing w:val="-23"/>
          <w:w w:val="110"/>
        </w:rPr>
        <w:t> </w:t>
      </w:r>
      <w:r>
        <w:rPr>
          <w:w w:val="110"/>
        </w:rPr>
        <w:t>constrained. </w:t>
      </w:r>
      <w:r>
        <w:rPr>
          <w:spacing w:val="-3"/>
          <w:w w:val="110"/>
        </w:rPr>
        <w:t>Several </w:t>
      </w:r>
      <w:r>
        <w:rPr>
          <w:w w:val="110"/>
        </w:rPr>
        <w:t>contacts reported that </w:t>
      </w:r>
      <w:r>
        <w:rPr>
          <w:spacing w:val="-3"/>
          <w:w w:val="110"/>
        </w:rPr>
        <w:t>investment </w:t>
      </w:r>
      <w:r>
        <w:rPr>
          <w:w w:val="110"/>
        </w:rPr>
        <w:t>spending </w:t>
      </w:r>
      <w:r>
        <w:rPr>
          <w:spacing w:val="-3"/>
          <w:w w:val="110"/>
        </w:rPr>
        <w:t>rarely </w:t>
      </w:r>
      <w:r>
        <w:rPr>
          <w:w w:val="110"/>
        </w:rPr>
        <w:t>exceeded</w:t>
      </w:r>
      <w:r>
        <w:rPr>
          <w:spacing w:val="-10"/>
          <w:w w:val="110"/>
        </w:rPr>
        <w:t> </w:t>
      </w:r>
      <w:r>
        <w:rPr>
          <w:w w:val="110"/>
        </w:rPr>
        <w:t>depreciation.</w:t>
      </w:r>
    </w:p>
    <w:p>
      <w:pPr>
        <w:pStyle w:val="BodyText"/>
        <w:spacing w:before="8"/>
        <w:rPr>
          <w:sz w:val="22"/>
        </w:rPr>
      </w:pPr>
    </w:p>
    <w:p>
      <w:pPr>
        <w:pStyle w:val="BodyText"/>
        <w:spacing w:line="271" w:lineRule="auto"/>
        <w:ind w:left="182" w:right="65"/>
      </w:pPr>
      <w:r>
        <w:rPr>
          <w:w w:val="110"/>
        </w:rPr>
        <w:t>By</w:t>
      </w:r>
      <w:r>
        <w:rPr>
          <w:spacing w:val="-24"/>
          <w:w w:val="110"/>
        </w:rPr>
        <w:t> </w:t>
      </w:r>
      <w:r>
        <w:rPr>
          <w:w w:val="110"/>
        </w:rPr>
        <w:t>contrast,</w:t>
      </w:r>
      <w:r>
        <w:rPr>
          <w:spacing w:val="-23"/>
          <w:w w:val="110"/>
        </w:rPr>
        <w:t> </w:t>
      </w:r>
      <w:r>
        <w:rPr>
          <w:w w:val="110"/>
        </w:rPr>
        <w:t>service</w:t>
      </w:r>
      <w:r>
        <w:rPr>
          <w:spacing w:val="-24"/>
          <w:w w:val="110"/>
        </w:rPr>
        <w:t> </w:t>
      </w:r>
      <w:r>
        <w:rPr>
          <w:w w:val="110"/>
        </w:rPr>
        <w:t>sector</w:t>
      </w:r>
      <w:r>
        <w:rPr>
          <w:spacing w:val="-23"/>
          <w:w w:val="110"/>
        </w:rPr>
        <w:t> </w:t>
      </w:r>
      <w:r>
        <w:rPr>
          <w:spacing w:val="-3"/>
          <w:w w:val="110"/>
        </w:rPr>
        <w:t>investment</w:t>
      </w:r>
      <w:r>
        <w:rPr>
          <w:spacing w:val="-24"/>
          <w:w w:val="110"/>
        </w:rPr>
        <w:t> </w:t>
      </w:r>
      <w:r>
        <w:rPr>
          <w:w w:val="110"/>
        </w:rPr>
        <w:t>remained</w:t>
      </w:r>
      <w:r>
        <w:rPr>
          <w:spacing w:val="-23"/>
          <w:w w:val="110"/>
        </w:rPr>
        <w:t> </w:t>
      </w:r>
      <w:r>
        <w:rPr>
          <w:w w:val="110"/>
        </w:rPr>
        <w:t>much stronger</w:t>
      </w:r>
      <w:r>
        <w:rPr>
          <w:spacing w:val="-17"/>
          <w:w w:val="110"/>
        </w:rPr>
        <w:t> </w:t>
      </w:r>
      <w:r>
        <w:rPr>
          <w:w w:val="110"/>
        </w:rPr>
        <w:t>than</w:t>
      </w:r>
      <w:r>
        <w:rPr>
          <w:spacing w:val="-17"/>
          <w:w w:val="110"/>
        </w:rPr>
        <w:t> </w:t>
      </w:r>
      <w:r>
        <w:rPr>
          <w:w w:val="110"/>
        </w:rPr>
        <w:t>manufacturing,</w:t>
      </w:r>
      <w:r>
        <w:rPr>
          <w:spacing w:val="-17"/>
          <w:w w:val="110"/>
        </w:rPr>
        <w:t> </w:t>
      </w:r>
      <w:r>
        <w:rPr>
          <w:w w:val="110"/>
        </w:rPr>
        <w:t>although</w:t>
      </w:r>
      <w:r>
        <w:rPr>
          <w:spacing w:val="-17"/>
          <w:w w:val="110"/>
        </w:rPr>
        <w:t> </w:t>
      </w:r>
      <w:r>
        <w:rPr>
          <w:w w:val="110"/>
        </w:rPr>
        <w:t>there</w:t>
      </w:r>
      <w:r>
        <w:rPr>
          <w:spacing w:val="-17"/>
          <w:w w:val="110"/>
        </w:rPr>
        <w:t> </w:t>
      </w:r>
      <w:r>
        <w:rPr>
          <w:spacing w:val="-3"/>
          <w:w w:val="110"/>
        </w:rPr>
        <w:t>was</w:t>
      </w:r>
      <w:r>
        <w:rPr>
          <w:spacing w:val="-17"/>
          <w:w w:val="110"/>
        </w:rPr>
        <w:t> </w:t>
      </w:r>
      <w:r>
        <w:rPr>
          <w:w w:val="110"/>
        </w:rPr>
        <w:t>little</w:t>
      </w:r>
    </w:p>
    <w:p>
      <w:pPr>
        <w:pStyle w:val="BodyText"/>
        <w:spacing w:before="5"/>
        <w:rPr>
          <w:sz w:val="19"/>
        </w:rPr>
      </w:pPr>
      <w:r>
        <w:rPr/>
        <w:br w:type="column"/>
      </w:r>
      <w:r>
        <w:rPr>
          <w:sz w:val="19"/>
        </w:rPr>
      </w:r>
    </w:p>
    <w:p>
      <w:pPr>
        <w:pStyle w:val="BodyText"/>
        <w:spacing w:line="271" w:lineRule="auto"/>
        <w:ind w:left="182" w:right="237"/>
      </w:pPr>
      <w:r>
        <w:rPr>
          <w:w w:val="110"/>
        </w:rPr>
        <w:t>evidence of </w:t>
      </w:r>
      <w:r>
        <w:rPr>
          <w:spacing w:val="-3"/>
          <w:w w:val="110"/>
        </w:rPr>
        <w:t>any </w:t>
      </w:r>
      <w:r>
        <w:rPr>
          <w:w w:val="110"/>
        </w:rPr>
        <w:t>change in trend during the period. </w:t>
      </w:r>
      <w:r>
        <w:rPr>
          <w:spacing w:val="-3"/>
          <w:w w:val="110"/>
        </w:rPr>
        <w:t>Investment </w:t>
      </w:r>
      <w:r>
        <w:rPr>
          <w:w w:val="110"/>
        </w:rPr>
        <w:t>intentions remained robust in almost all regions,</w:t>
      </w:r>
      <w:r>
        <w:rPr>
          <w:spacing w:val="-18"/>
          <w:w w:val="110"/>
        </w:rPr>
        <w:t> </w:t>
      </w:r>
      <w:r>
        <w:rPr>
          <w:w w:val="110"/>
        </w:rPr>
        <w:t>with</w:t>
      </w:r>
      <w:r>
        <w:rPr>
          <w:spacing w:val="-17"/>
          <w:w w:val="110"/>
        </w:rPr>
        <w:t> </w:t>
      </w:r>
      <w:r>
        <w:rPr>
          <w:w w:val="110"/>
        </w:rPr>
        <w:t>IT</w:t>
      </w:r>
      <w:r>
        <w:rPr>
          <w:spacing w:val="-17"/>
          <w:w w:val="110"/>
        </w:rPr>
        <w:t> </w:t>
      </w:r>
      <w:r>
        <w:rPr>
          <w:w w:val="110"/>
        </w:rPr>
        <w:t>spending</w:t>
      </w:r>
      <w:r>
        <w:rPr>
          <w:spacing w:val="-17"/>
          <w:w w:val="110"/>
        </w:rPr>
        <w:t> </w:t>
      </w:r>
      <w:r>
        <w:rPr>
          <w:w w:val="110"/>
        </w:rPr>
        <w:t>said</w:t>
      </w:r>
      <w:r>
        <w:rPr>
          <w:spacing w:val="-18"/>
          <w:w w:val="110"/>
        </w:rPr>
        <w:t> </w:t>
      </w:r>
      <w:r>
        <w:rPr>
          <w:spacing w:val="-4"/>
          <w:w w:val="110"/>
        </w:rPr>
        <w:t>to</w:t>
      </w:r>
      <w:r>
        <w:rPr>
          <w:spacing w:val="-17"/>
          <w:w w:val="110"/>
        </w:rPr>
        <w:t> </w:t>
      </w:r>
      <w:r>
        <w:rPr>
          <w:w w:val="110"/>
        </w:rPr>
        <w:t>be</w:t>
      </w:r>
      <w:r>
        <w:rPr>
          <w:spacing w:val="-17"/>
          <w:w w:val="110"/>
        </w:rPr>
        <w:t> </w:t>
      </w:r>
      <w:r>
        <w:rPr>
          <w:w w:val="110"/>
        </w:rPr>
        <w:t>a</w:t>
      </w:r>
      <w:r>
        <w:rPr>
          <w:spacing w:val="-17"/>
          <w:w w:val="110"/>
        </w:rPr>
        <w:t> </w:t>
      </w:r>
      <w:r>
        <w:rPr>
          <w:w w:val="110"/>
        </w:rPr>
        <w:t>priority</w:t>
      </w:r>
      <w:r>
        <w:rPr>
          <w:spacing w:val="-18"/>
          <w:w w:val="110"/>
        </w:rPr>
        <w:t> </w:t>
      </w:r>
      <w:r>
        <w:rPr>
          <w:w w:val="110"/>
        </w:rPr>
        <w:t>for</w:t>
      </w:r>
      <w:r>
        <w:rPr>
          <w:spacing w:val="-17"/>
          <w:w w:val="110"/>
        </w:rPr>
        <w:t> </w:t>
      </w:r>
      <w:r>
        <w:rPr>
          <w:w w:val="110"/>
        </w:rPr>
        <w:t>most firms. Reflecting this, there </w:t>
      </w:r>
      <w:r>
        <w:rPr>
          <w:spacing w:val="-3"/>
          <w:w w:val="110"/>
        </w:rPr>
        <w:t>were </w:t>
      </w:r>
      <w:r>
        <w:rPr>
          <w:w w:val="110"/>
        </w:rPr>
        <w:t>reports of a strengthening</w:t>
      </w:r>
      <w:r>
        <w:rPr>
          <w:spacing w:val="-20"/>
          <w:w w:val="110"/>
        </w:rPr>
        <w:t> </w:t>
      </w:r>
      <w:r>
        <w:rPr>
          <w:w w:val="110"/>
        </w:rPr>
        <w:t>in</w:t>
      </w:r>
      <w:r>
        <w:rPr>
          <w:spacing w:val="-19"/>
          <w:w w:val="110"/>
        </w:rPr>
        <w:t> </w:t>
      </w:r>
      <w:r>
        <w:rPr>
          <w:w w:val="110"/>
        </w:rPr>
        <w:t>IT</w:t>
      </w:r>
      <w:r>
        <w:rPr>
          <w:spacing w:val="-19"/>
          <w:w w:val="110"/>
        </w:rPr>
        <w:t> </w:t>
      </w:r>
      <w:r>
        <w:rPr>
          <w:spacing w:val="-3"/>
          <w:w w:val="110"/>
        </w:rPr>
        <w:t>investment</w:t>
      </w:r>
      <w:r>
        <w:rPr>
          <w:spacing w:val="-19"/>
          <w:w w:val="110"/>
        </w:rPr>
        <w:t> </w:t>
      </w:r>
      <w:r>
        <w:rPr>
          <w:w w:val="110"/>
        </w:rPr>
        <w:t>in</w:t>
      </w:r>
      <w:r>
        <w:rPr>
          <w:spacing w:val="-20"/>
          <w:w w:val="110"/>
        </w:rPr>
        <w:t> </w:t>
      </w:r>
      <w:r>
        <w:rPr>
          <w:w w:val="110"/>
        </w:rPr>
        <w:t>some</w:t>
      </w:r>
      <w:r>
        <w:rPr>
          <w:spacing w:val="-19"/>
          <w:w w:val="110"/>
        </w:rPr>
        <w:t> </w:t>
      </w:r>
      <w:r>
        <w:rPr>
          <w:w w:val="110"/>
        </w:rPr>
        <w:t>regions.</w:t>
      </w:r>
      <w:r>
        <w:rPr>
          <w:spacing w:val="17"/>
          <w:w w:val="110"/>
        </w:rPr>
        <w:t> </w:t>
      </w:r>
      <w:r>
        <w:rPr>
          <w:w w:val="110"/>
        </w:rPr>
        <w:t>Firms continued</w:t>
      </w:r>
      <w:r>
        <w:rPr>
          <w:spacing w:val="-20"/>
          <w:w w:val="110"/>
        </w:rPr>
        <w:t> </w:t>
      </w:r>
      <w:r>
        <w:rPr>
          <w:spacing w:val="-4"/>
          <w:w w:val="110"/>
        </w:rPr>
        <w:t>to</w:t>
      </w:r>
      <w:r>
        <w:rPr>
          <w:spacing w:val="-20"/>
          <w:w w:val="110"/>
        </w:rPr>
        <w:t> </w:t>
      </w:r>
      <w:r>
        <w:rPr>
          <w:w w:val="110"/>
        </w:rPr>
        <w:t>report</w:t>
      </w:r>
      <w:r>
        <w:rPr>
          <w:spacing w:val="-19"/>
          <w:w w:val="110"/>
        </w:rPr>
        <w:t> </w:t>
      </w:r>
      <w:r>
        <w:rPr>
          <w:w w:val="110"/>
        </w:rPr>
        <w:t>high</w:t>
      </w:r>
      <w:r>
        <w:rPr>
          <w:spacing w:val="-20"/>
          <w:w w:val="110"/>
        </w:rPr>
        <w:t> </w:t>
      </w:r>
      <w:r>
        <w:rPr>
          <w:w w:val="110"/>
        </w:rPr>
        <w:t>levels</w:t>
      </w:r>
      <w:r>
        <w:rPr>
          <w:spacing w:val="-19"/>
          <w:w w:val="110"/>
        </w:rPr>
        <w:t> </w:t>
      </w:r>
      <w:r>
        <w:rPr>
          <w:w w:val="110"/>
        </w:rPr>
        <w:t>of</w:t>
      </w:r>
      <w:r>
        <w:rPr>
          <w:spacing w:val="-20"/>
          <w:w w:val="110"/>
        </w:rPr>
        <w:t> </w:t>
      </w:r>
      <w:r>
        <w:rPr>
          <w:w w:val="110"/>
        </w:rPr>
        <w:t>investment</w:t>
      </w:r>
      <w:r>
        <w:rPr>
          <w:spacing w:val="-19"/>
          <w:w w:val="110"/>
        </w:rPr>
        <w:t> </w:t>
      </w:r>
      <w:r>
        <w:rPr>
          <w:w w:val="110"/>
        </w:rPr>
        <w:t>in</w:t>
      </w:r>
      <w:r>
        <w:rPr>
          <w:spacing w:val="-20"/>
          <w:w w:val="110"/>
        </w:rPr>
        <w:t> </w:t>
      </w:r>
      <w:r>
        <w:rPr>
          <w:w w:val="110"/>
        </w:rPr>
        <w:t>offices, as</w:t>
      </w:r>
      <w:r>
        <w:rPr>
          <w:spacing w:val="-13"/>
          <w:w w:val="110"/>
        </w:rPr>
        <w:t> </w:t>
      </w:r>
      <w:r>
        <w:rPr>
          <w:w w:val="110"/>
        </w:rPr>
        <w:t>well</w:t>
      </w:r>
      <w:r>
        <w:rPr>
          <w:spacing w:val="-13"/>
          <w:w w:val="110"/>
        </w:rPr>
        <w:t> </w:t>
      </w:r>
      <w:r>
        <w:rPr>
          <w:w w:val="110"/>
        </w:rPr>
        <w:t>as</w:t>
      </w:r>
      <w:r>
        <w:rPr>
          <w:spacing w:val="-13"/>
          <w:w w:val="110"/>
        </w:rPr>
        <w:t> </w:t>
      </w:r>
      <w:r>
        <w:rPr>
          <w:w w:val="110"/>
        </w:rPr>
        <w:t>continued</w:t>
      </w:r>
      <w:r>
        <w:rPr>
          <w:spacing w:val="-13"/>
          <w:w w:val="110"/>
        </w:rPr>
        <w:t> </w:t>
      </w:r>
      <w:r>
        <w:rPr>
          <w:spacing w:val="-3"/>
          <w:w w:val="110"/>
        </w:rPr>
        <w:t>investment</w:t>
      </w:r>
      <w:r>
        <w:rPr>
          <w:spacing w:val="-13"/>
          <w:w w:val="110"/>
        </w:rPr>
        <w:t> </w:t>
      </w:r>
      <w:r>
        <w:rPr>
          <w:w w:val="110"/>
        </w:rPr>
        <w:t>in</w:t>
      </w:r>
      <w:r>
        <w:rPr>
          <w:spacing w:val="-13"/>
          <w:w w:val="110"/>
        </w:rPr>
        <w:t> </w:t>
      </w:r>
      <w:r>
        <w:rPr>
          <w:w w:val="110"/>
        </w:rPr>
        <w:t>the</w:t>
      </w:r>
      <w:r>
        <w:rPr>
          <w:spacing w:val="-13"/>
          <w:w w:val="110"/>
        </w:rPr>
        <w:t> </w:t>
      </w:r>
      <w:r>
        <w:rPr>
          <w:w w:val="110"/>
        </w:rPr>
        <w:t>leisure</w:t>
      </w:r>
      <w:r>
        <w:rPr>
          <w:spacing w:val="-13"/>
          <w:w w:val="110"/>
        </w:rPr>
        <w:t> </w:t>
      </w:r>
      <w:r>
        <w:rPr>
          <w:w w:val="110"/>
        </w:rPr>
        <w:t>and</w:t>
      </w:r>
      <w:r>
        <w:rPr>
          <w:spacing w:val="-12"/>
          <w:w w:val="110"/>
        </w:rPr>
        <w:t> </w:t>
      </w:r>
      <w:r>
        <w:rPr>
          <w:spacing w:val="-3"/>
          <w:w w:val="110"/>
        </w:rPr>
        <w:t>retail sectors </w:t>
      </w:r>
      <w:r>
        <w:rPr>
          <w:w w:val="110"/>
        </w:rPr>
        <w:t>(particularly</w:t>
      </w:r>
      <w:r>
        <w:rPr>
          <w:spacing w:val="-12"/>
          <w:w w:val="110"/>
        </w:rPr>
        <w:t> </w:t>
      </w:r>
      <w:r>
        <w:rPr>
          <w:w w:val="110"/>
        </w:rPr>
        <w:t>refurbishment).</w:t>
      </w:r>
    </w:p>
    <w:p>
      <w:pPr>
        <w:pStyle w:val="BodyText"/>
        <w:rPr>
          <w:sz w:val="16"/>
        </w:rPr>
      </w:pPr>
    </w:p>
    <w:p>
      <w:pPr>
        <w:spacing w:before="1"/>
        <w:ind w:left="182" w:right="0" w:firstLine="0"/>
        <w:jc w:val="left"/>
        <w:rPr>
          <w:rFonts w:ascii="Trebuchet MS"/>
          <w:b/>
          <w:sz w:val="28"/>
        </w:rPr>
      </w:pPr>
      <w:r>
        <w:rPr>
          <w:rFonts w:ascii="Trebuchet MS"/>
          <w:b/>
          <w:color w:val="006CB4"/>
          <w:sz w:val="28"/>
        </w:rPr>
        <w:t>COSTS AND PRICES</w:t>
      </w:r>
    </w:p>
    <w:p>
      <w:pPr>
        <w:pStyle w:val="Heading4"/>
        <w:spacing w:before="232"/>
        <w:ind w:left="182"/>
      </w:pPr>
      <w:r>
        <w:rPr>
          <w:color w:val="006CB4"/>
        </w:rPr>
        <w:t>Input prices</w:t>
      </w:r>
    </w:p>
    <w:p>
      <w:pPr>
        <w:pStyle w:val="BodyText"/>
        <w:spacing w:before="1"/>
        <w:rPr>
          <w:rFonts w:ascii="Trebuchet MS"/>
          <w:sz w:val="24"/>
        </w:rPr>
      </w:pPr>
    </w:p>
    <w:p>
      <w:pPr>
        <w:pStyle w:val="BodyText"/>
        <w:spacing w:line="271" w:lineRule="auto"/>
        <w:ind w:left="182" w:right="518"/>
      </w:pPr>
      <w:r>
        <w:rPr>
          <w:w w:val="110"/>
        </w:rPr>
        <w:t>Input price inflation eased considerably during the period.</w:t>
      </w:r>
      <w:r>
        <w:rPr>
          <w:spacing w:val="18"/>
          <w:w w:val="110"/>
        </w:rPr>
        <w:t> </w:t>
      </w:r>
      <w:r>
        <w:rPr>
          <w:w w:val="110"/>
        </w:rPr>
        <w:t>This</w:t>
      </w:r>
      <w:r>
        <w:rPr>
          <w:spacing w:val="-19"/>
          <w:w w:val="110"/>
        </w:rPr>
        <w:t> </w:t>
      </w:r>
      <w:r>
        <w:rPr>
          <w:spacing w:val="-3"/>
          <w:w w:val="110"/>
        </w:rPr>
        <w:t>was</w:t>
      </w:r>
      <w:r>
        <w:rPr>
          <w:spacing w:val="-19"/>
          <w:w w:val="110"/>
        </w:rPr>
        <w:t> </w:t>
      </w:r>
      <w:r>
        <w:rPr>
          <w:w w:val="110"/>
        </w:rPr>
        <w:t>largely</w:t>
      </w:r>
      <w:r>
        <w:rPr>
          <w:spacing w:val="-18"/>
          <w:w w:val="110"/>
        </w:rPr>
        <w:t> </w:t>
      </w:r>
      <w:r>
        <w:rPr>
          <w:w w:val="110"/>
        </w:rPr>
        <w:t>due</w:t>
      </w:r>
      <w:r>
        <w:rPr>
          <w:spacing w:val="-19"/>
          <w:w w:val="110"/>
        </w:rPr>
        <w:t> </w:t>
      </w:r>
      <w:r>
        <w:rPr>
          <w:spacing w:val="-4"/>
          <w:w w:val="110"/>
        </w:rPr>
        <w:t>to</w:t>
      </w:r>
      <w:r>
        <w:rPr>
          <w:spacing w:val="-19"/>
          <w:w w:val="110"/>
        </w:rPr>
        <w:t> </w:t>
      </w:r>
      <w:r>
        <w:rPr>
          <w:w w:val="110"/>
        </w:rPr>
        <w:t>a</w:t>
      </w:r>
      <w:r>
        <w:rPr>
          <w:spacing w:val="-18"/>
          <w:w w:val="110"/>
        </w:rPr>
        <w:t> </w:t>
      </w:r>
      <w:r>
        <w:rPr>
          <w:w w:val="110"/>
        </w:rPr>
        <w:t>pass-through</w:t>
      </w:r>
      <w:r>
        <w:rPr>
          <w:spacing w:val="-19"/>
          <w:w w:val="110"/>
        </w:rPr>
        <w:t> </w:t>
      </w:r>
      <w:r>
        <w:rPr>
          <w:w w:val="110"/>
        </w:rPr>
        <w:t>of</w:t>
      </w:r>
      <w:r>
        <w:rPr>
          <w:spacing w:val="-19"/>
          <w:w w:val="110"/>
        </w:rPr>
        <w:t> </w:t>
      </w:r>
      <w:r>
        <w:rPr>
          <w:w w:val="110"/>
        </w:rPr>
        <w:t>the </w:t>
      </w:r>
      <w:r>
        <w:rPr>
          <w:spacing w:val="-3"/>
          <w:w w:val="110"/>
        </w:rPr>
        <w:t>lower</w:t>
      </w:r>
      <w:r>
        <w:rPr>
          <w:spacing w:val="-15"/>
          <w:w w:val="110"/>
        </w:rPr>
        <w:t> </w:t>
      </w:r>
      <w:r>
        <w:rPr>
          <w:spacing w:val="-3"/>
          <w:w w:val="110"/>
        </w:rPr>
        <w:t>world</w:t>
      </w:r>
      <w:r>
        <w:rPr>
          <w:spacing w:val="-15"/>
          <w:w w:val="110"/>
        </w:rPr>
        <w:t> </w:t>
      </w:r>
      <w:r>
        <w:rPr>
          <w:w w:val="110"/>
        </w:rPr>
        <w:t>oil</w:t>
      </w:r>
      <w:r>
        <w:rPr>
          <w:spacing w:val="-14"/>
          <w:w w:val="110"/>
        </w:rPr>
        <w:t> </w:t>
      </w:r>
      <w:r>
        <w:rPr>
          <w:w w:val="110"/>
        </w:rPr>
        <w:t>price</w:t>
      </w:r>
      <w:r>
        <w:rPr>
          <w:spacing w:val="-15"/>
          <w:w w:val="110"/>
        </w:rPr>
        <w:t> </w:t>
      </w:r>
      <w:r>
        <w:rPr>
          <w:w w:val="110"/>
        </w:rPr>
        <w:t>in</w:t>
      </w:r>
      <w:r>
        <w:rPr>
          <w:spacing w:val="-15"/>
          <w:w w:val="110"/>
        </w:rPr>
        <w:t> </w:t>
      </w:r>
      <w:r>
        <w:rPr>
          <w:w w:val="110"/>
        </w:rPr>
        <w:t>recent</w:t>
      </w:r>
      <w:r>
        <w:rPr>
          <w:spacing w:val="-14"/>
          <w:w w:val="110"/>
        </w:rPr>
        <w:t> </w:t>
      </w:r>
      <w:r>
        <w:rPr>
          <w:w w:val="110"/>
        </w:rPr>
        <w:t>months</w:t>
      </w:r>
      <w:r>
        <w:rPr>
          <w:spacing w:val="-15"/>
          <w:w w:val="110"/>
        </w:rPr>
        <w:t> </w:t>
      </w:r>
      <w:r>
        <w:rPr>
          <w:spacing w:val="-4"/>
          <w:w w:val="110"/>
        </w:rPr>
        <w:t>to</w:t>
      </w:r>
      <w:r>
        <w:rPr>
          <w:spacing w:val="-14"/>
          <w:w w:val="110"/>
        </w:rPr>
        <w:t> </w:t>
      </w:r>
      <w:r>
        <w:rPr>
          <w:w w:val="110"/>
        </w:rPr>
        <w:t>oil-related products. </w:t>
      </w:r>
      <w:r>
        <w:rPr>
          <w:spacing w:val="-3"/>
          <w:w w:val="110"/>
        </w:rPr>
        <w:t>Many </w:t>
      </w:r>
      <w:r>
        <w:rPr>
          <w:w w:val="110"/>
        </w:rPr>
        <w:t>contacts believe this will continue </w:t>
      </w:r>
      <w:r>
        <w:rPr>
          <w:spacing w:val="-4"/>
          <w:w w:val="110"/>
        </w:rPr>
        <w:t>to</w:t>
      </w:r>
      <w:r>
        <w:rPr>
          <w:spacing w:val="-9"/>
          <w:w w:val="110"/>
        </w:rPr>
        <w:t> </w:t>
      </w:r>
      <w:r>
        <w:rPr>
          <w:w w:val="110"/>
        </w:rPr>
        <w:t>feed</w:t>
      </w:r>
      <w:r>
        <w:rPr>
          <w:spacing w:val="-8"/>
          <w:w w:val="110"/>
        </w:rPr>
        <w:t> </w:t>
      </w:r>
      <w:r>
        <w:rPr>
          <w:w w:val="110"/>
        </w:rPr>
        <w:t>through</w:t>
      </w:r>
      <w:r>
        <w:rPr>
          <w:spacing w:val="-8"/>
          <w:w w:val="110"/>
        </w:rPr>
        <w:t> </w:t>
      </w:r>
      <w:r>
        <w:rPr>
          <w:spacing w:val="-4"/>
          <w:w w:val="110"/>
        </w:rPr>
        <w:t>to</w:t>
      </w:r>
      <w:r>
        <w:rPr>
          <w:spacing w:val="-8"/>
          <w:w w:val="110"/>
        </w:rPr>
        <w:t> </w:t>
      </w:r>
      <w:r>
        <w:rPr>
          <w:w w:val="110"/>
        </w:rPr>
        <w:t>lower</w:t>
      </w:r>
      <w:r>
        <w:rPr>
          <w:spacing w:val="-8"/>
          <w:w w:val="110"/>
        </w:rPr>
        <w:t> </w:t>
      </w:r>
      <w:r>
        <w:rPr>
          <w:w w:val="110"/>
        </w:rPr>
        <w:t>input</w:t>
      </w:r>
      <w:r>
        <w:rPr>
          <w:spacing w:val="-8"/>
          <w:w w:val="110"/>
        </w:rPr>
        <w:t> </w:t>
      </w:r>
      <w:r>
        <w:rPr>
          <w:w w:val="110"/>
        </w:rPr>
        <w:t>prices</w:t>
      </w:r>
      <w:r>
        <w:rPr>
          <w:spacing w:val="-8"/>
          <w:w w:val="110"/>
        </w:rPr>
        <w:t> </w:t>
      </w:r>
      <w:r>
        <w:rPr>
          <w:w w:val="110"/>
        </w:rPr>
        <w:t>in</w:t>
      </w:r>
      <w:r>
        <w:rPr>
          <w:spacing w:val="-8"/>
          <w:w w:val="110"/>
        </w:rPr>
        <w:t> </w:t>
      </w:r>
      <w:r>
        <w:rPr>
          <w:w w:val="110"/>
        </w:rPr>
        <w:t>coming</w:t>
      </w:r>
    </w:p>
    <w:p>
      <w:pPr>
        <w:pStyle w:val="BodyText"/>
        <w:spacing w:line="271" w:lineRule="auto" w:before="1"/>
        <w:ind w:left="182" w:right="147"/>
      </w:pPr>
      <w:r>
        <w:rPr>
          <w:w w:val="110"/>
        </w:rPr>
        <w:t>months. </w:t>
      </w:r>
      <w:r>
        <w:rPr>
          <w:spacing w:val="-4"/>
          <w:w w:val="110"/>
        </w:rPr>
        <w:t>However, </w:t>
      </w:r>
      <w:r>
        <w:rPr>
          <w:w w:val="110"/>
        </w:rPr>
        <w:t>this </w:t>
      </w:r>
      <w:r>
        <w:rPr>
          <w:spacing w:val="-3"/>
          <w:w w:val="110"/>
        </w:rPr>
        <w:t>was </w:t>
      </w:r>
      <w:r>
        <w:rPr>
          <w:w w:val="110"/>
        </w:rPr>
        <w:t>not common </w:t>
      </w:r>
      <w:r>
        <w:rPr>
          <w:spacing w:val="-4"/>
          <w:w w:val="110"/>
        </w:rPr>
        <w:t>to </w:t>
      </w:r>
      <w:r>
        <w:rPr>
          <w:w w:val="110"/>
        </w:rPr>
        <w:t>all contacts, with </w:t>
      </w:r>
      <w:r>
        <w:rPr>
          <w:spacing w:val="-3"/>
          <w:w w:val="110"/>
        </w:rPr>
        <w:t>many </w:t>
      </w:r>
      <w:r>
        <w:rPr>
          <w:w w:val="110"/>
        </w:rPr>
        <w:t>still reporting increases as a result of the earlier oil price rise. Gas prices continued </w:t>
      </w:r>
      <w:r>
        <w:rPr>
          <w:spacing w:val="-4"/>
          <w:w w:val="110"/>
        </w:rPr>
        <w:t>to </w:t>
      </w:r>
      <w:r>
        <w:rPr>
          <w:w w:val="110"/>
        </w:rPr>
        <w:t>be mentioned</w:t>
      </w:r>
      <w:r>
        <w:rPr>
          <w:spacing w:val="-20"/>
          <w:w w:val="110"/>
        </w:rPr>
        <w:t> </w:t>
      </w:r>
      <w:r>
        <w:rPr>
          <w:spacing w:val="-3"/>
          <w:w w:val="110"/>
        </w:rPr>
        <w:t>by</w:t>
      </w:r>
      <w:r>
        <w:rPr>
          <w:spacing w:val="-19"/>
          <w:w w:val="110"/>
        </w:rPr>
        <w:t> </w:t>
      </w:r>
      <w:r>
        <w:rPr>
          <w:spacing w:val="-3"/>
          <w:w w:val="110"/>
        </w:rPr>
        <w:t>several</w:t>
      </w:r>
      <w:r>
        <w:rPr>
          <w:spacing w:val="-19"/>
          <w:w w:val="110"/>
        </w:rPr>
        <w:t> </w:t>
      </w:r>
      <w:r>
        <w:rPr>
          <w:w w:val="110"/>
        </w:rPr>
        <w:t>Agencies</w:t>
      </w:r>
      <w:r>
        <w:rPr>
          <w:spacing w:val="-19"/>
          <w:w w:val="110"/>
        </w:rPr>
        <w:t> </w:t>
      </w:r>
      <w:r>
        <w:rPr>
          <w:w w:val="110"/>
        </w:rPr>
        <w:t>as</w:t>
      </w:r>
      <w:r>
        <w:rPr>
          <w:spacing w:val="-20"/>
          <w:w w:val="110"/>
        </w:rPr>
        <w:t> </w:t>
      </w:r>
      <w:r>
        <w:rPr>
          <w:w w:val="110"/>
        </w:rPr>
        <w:t>another</w:t>
      </w:r>
      <w:r>
        <w:rPr>
          <w:spacing w:val="-19"/>
          <w:w w:val="110"/>
        </w:rPr>
        <w:t> </w:t>
      </w:r>
      <w:r>
        <w:rPr>
          <w:w w:val="110"/>
        </w:rPr>
        <w:t>source</w:t>
      </w:r>
      <w:r>
        <w:rPr>
          <w:spacing w:val="-19"/>
          <w:w w:val="110"/>
        </w:rPr>
        <w:t> </w:t>
      </w:r>
      <w:r>
        <w:rPr>
          <w:w w:val="110"/>
        </w:rPr>
        <w:t>of</w:t>
      </w:r>
      <w:r>
        <w:rPr>
          <w:spacing w:val="-19"/>
          <w:w w:val="110"/>
        </w:rPr>
        <w:t> </w:t>
      </w:r>
      <w:r>
        <w:rPr>
          <w:w w:val="110"/>
        </w:rPr>
        <w:t>price pressure.</w:t>
      </w:r>
    </w:p>
    <w:p>
      <w:pPr>
        <w:pStyle w:val="BodyText"/>
        <w:spacing w:before="7"/>
        <w:rPr>
          <w:sz w:val="22"/>
        </w:rPr>
      </w:pPr>
    </w:p>
    <w:p>
      <w:pPr>
        <w:pStyle w:val="BodyText"/>
        <w:spacing w:line="271" w:lineRule="auto" w:before="1"/>
        <w:ind w:left="182" w:right="237"/>
      </w:pPr>
      <w:r>
        <w:rPr>
          <w:w w:val="110"/>
        </w:rPr>
        <w:t>Regulation costs </w:t>
      </w:r>
      <w:r>
        <w:rPr>
          <w:spacing w:val="-3"/>
          <w:w w:val="110"/>
        </w:rPr>
        <w:t>were </w:t>
      </w:r>
      <w:r>
        <w:rPr>
          <w:w w:val="110"/>
        </w:rPr>
        <w:t>still regularly mentioned as a concern,</w:t>
      </w:r>
      <w:r>
        <w:rPr>
          <w:spacing w:val="-33"/>
          <w:w w:val="110"/>
        </w:rPr>
        <w:t> </w:t>
      </w:r>
      <w:r>
        <w:rPr>
          <w:w w:val="110"/>
        </w:rPr>
        <w:t>particularly</w:t>
      </w:r>
      <w:r>
        <w:rPr>
          <w:spacing w:val="-33"/>
          <w:w w:val="110"/>
        </w:rPr>
        <w:t> </w:t>
      </w:r>
      <w:r>
        <w:rPr>
          <w:w w:val="110"/>
        </w:rPr>
        <w:t>the</w:t>
      </w:r>
      <w:r>
        <w:rPr>
          <w:spacing w:val="-33"/>
          <w:w w:val="110"/>
        </w:rPr>
        <w:t> </w:t>
      </w:r>
      <w:r>
        <w:rPr>
          <w:w w:val="110"/>
        </w:rPr>
        <w:t>Climate</w:t>
      </w:r>
      <w:r>
        <w:rPr>
          <w:spacing w:val="-33"/>
          <w:w w:val="110"/>
        </w:rPr>
        <w:t> </w:t>
      </w:r>
      <w:r>
        <w:rPr>
          <w:w w:val="110"/>
        </w:rPr>
        <w:t>Change</w:t>
      </w:r>
      <w:r>
        <w:rPr>
          <w:spacing w:val="-33"/>
          <w:w w:val="110"/>
        </w:rPr>
        <w:t> </w:t>
      </w:r>
      <w:r>
        <w:rPr>
          <w:w w:val="110"/>
        </w:rPr>
        <w:t>Levy</w:t>
      </w:r>
      <w:r>
        <w:rPr>
          <w:spacing w:val="-33"/>
          <w:w w:val="110"/>
        </w:rPr>
        <w:t> </w:t>
      </w:r>
      <w:r>
        <w:rPr>
          <w:spacing w:val="-3"/>
          <w:w w:val="110"/>
        </w:rPr>
        <w:t>(effective </w:t>
      </w:r>
      <w:r>
        <w:rPr>
          <w:w w:val="110"/>
        </w:rPr>
        <w:t>from April</w:t>
      </w:r>
      <w:r>
        <w:rPr>
          <w:spacing w:val="-12"/>
          <w:w w:val="110"/>
        </w:rPr>
        <w:t> </w:t>
      </w:r>
      <w:r>
        <w:rPr>
          <w:spacing w:val="-8"/>
          <w:w w:val="110"/>
        </w:rPr>
        <w:t>2001).</w:t>
      </w:r>
    </w:p>
    <w:p>
      <w:pPr>
        <w:pStyle w:val="BodyText"/>
        <w:spacing w:before="3"/>
        <w:rPr>
          <w:sz w:val="19"/>
        </w:rPr>
      </w:pPr>
    </w:p>
    <w:p>
      <w:pPr>
        <w:pStyle w:val="Heading4"/>
        <w:ind w:left="182"/>
      </w:pPr>
      <w:r>
        <w:rPr>
          <w:color w:val="006CB4"/>
        </w:rPr>
        <w:t>Output prices</w:t>
      </w:r>
    </w:p>
    <w:p>
      <w:pPr>
        <w:pStyle w:val="BodyText"/>
        <w:spacing w:before="1"/>
        <w:rPr>
          <w:rFonts w:ascii="Trebuchet MS"/>
          <w:sz w:val="24"/>
        </w:rPr>
      </w:pPr>
    </w:p>
    <w:p>
      <w:pPr>
        <w:pStyle w:val="BodyText"/>
        <w:spacing w:line="271" w:lineRule="auto"/>
        <w:ind w:left="182" w:right="237"/>
      </w:pPr>
      <w:r>
        <w:rPr>
          <w:w w:val="110"/>
        </w:rPr>
        <w:t>Manufacturers’ output prices appeared </w:t>
      </w:r>
      <w:r>
        <w:rPr>
          <w:spacing w:val="-4"/>
          <w:w w:val="110"/>
        </w:rPr>
        <w:t>to </w:t>
      </w:r>
      <w:r>
        <w:rPr>
          <w:w w:val="110"/>
        </w:rPr>
        <w:t>stabilise during the period, following a sustained period of </w:t>
      </w:r>
      <w:r>
        <w:rPr>
          <w:spacing w:val="-3"/>
          <w:w w:val="110"/>
        </w:rPr>
        <w:t>downward </w:t>
      </w:r>
      <w:r>
        <w:rPr>
          <w:w w:val="110"/>
        </w:rPr>
        <w:t>pressure. Agencies reported that </w:t>
      </w:r>
      <w:r>
        <w:rPr>
          <w:spacing w:val="-3"/>
          <w:w w:val="110"/>
        </w:rPr>
        <w:t>many </w:t>
      </w:r>
      <w:r>
        <w:rPr>
          <w:w w:val="110"/>
        </w:rPr>
        <w:t>manufacturers</w:t>
      </w:r>
      <w:r>
        <w:rPr>
          <w:spacing w:val="-26"/>
          <w:w w:val="110"/>
        </w:rPr>
        <w:t> </w:t>
      </w:r>
      <w:r>
        <w:rPr>
          <w:spacing w:val="-3"/>
          <w:w w:val="110"/>
        </w:rPr>
        <w:t>were</w:t>
      </w:r>
      <w:r>
        <w:rPr>
          <w:spacing w:val="-26"/>
          <w:w w:val="110"/>
        </w:rPr>
        <w:t> </w:t>
      </w:r>
      <w:r>
        <w:rPr>
          <w:w w:val="110"/>
        </w:rPr>
        <w:t>now</w:t>
      </w:r>
      <w:r>
        <w:rPr>
          <w:spacing w:val="-26"/>
          <w:w w:val="110"/>
        </w:rPr>
        <w:t> </w:t>
      </w:r>
      <w:r>
        <w:rPr>
          <w:w w:val="110"/>
        </w:rPr>
        <w:t>increasingly</w:t>
      </w:r>
      <w:r>
        <w:rPr>
          <w:spacing w:val="-26"/>
          <w:w w:val="110"/>
        </w:rPr>
        <w:t> </w:t>
      </w:r>
      <w:r>
        <w:rPr>
          <w:w w:val="110"/>
        </w:rPr>
        <w:t>able</w:t>
      </w:r>
      <w:r>
        <w:rPr>
          <w:spacing w:val="-25"/>
          <w:w w:val="110"/>
        </w:rPr>
        <w:t> </w:t>
      </w:r>
      <w:r>
        <w:rPr>
          <w:spacing w:val="-4"/>
          <w:w w:val="110"/>
        </w:rPr>
        <w:t>to</w:t>
      </w:r>
      <w:r>
        <w:rPr>
          <w:spacing w:val="-26"/>
          <w:w w:val="110"/>
        </w:rPr>
        <w:t> </w:t>
      </w:r>
      <w:r>
        <w:rPr>
          <w:w w:val="110"/>
        </w:rPr>
        <w:t>resist</w:t>
      </w:r>
      <w:r>
        <w:rPr>
          <w:spacing w:val="-26"/>
          <w:w w:val="110"/>
        </w:rPr>
        <w:t> </w:t>
      </w:r>
      <w:r>
        <w:rPr>
          <w:w w:val="110"/>
        </w:rPr>
        <w:t>price cuts, in favour of unchanged prices. In addition, </w:t>
      </w:r>
      <w:r>
        <w:rPr>
          <w:spacing w:val="-3"/>
          <w:w w:val="110"/>
        </w:rPr>
        <w:t>many </w:t>
      </w:r>
      <w:r>
        <w:rPr>
          <w:w w:val="110"/>
        </w:rPr>
        <w:t>firms reported some easing of margin pressure, particularly in export</w:t>
      </w:r>
      <w:r>
        <w:rPr>
          <w:spacing w:val="-21"/>
          <w:w w:val="110"/>
        </w:rPr>
        <w:t> </w:t>
      </w:r>
      <w:r>
        <w:rPr>
          <w:w w:val="110"/>
        </w:rPr>
        <w:t>markets.</w:t>
      </w:r>
    </w:p>
    <w:p>
      <w:pPr>
        <w:pStyle w:val="BodyText"/>
        <w:spacing w:before="8"/>
        <w:rPr>
          <w:sz w:val="22"/>
        </w:rPr>
      </w:pPr>
    </w:p>
    <w:p>
      <w:pPr>
        <w:pStyle w:val="BodyText"/>
        <w:spacing w:line="271" w:lineRule="auto"/>
        <w:ind w:left="182" w:right="237"/>
      </w:pPr>
      <w:r>
        <w:rPr>
          <w:w w:val="105"/>
        </w:rPr>
        <w:t>By comparison, service sector price increases remained relatively stronger, though the pace of inflation was broadly unchanged from the previous period in most cases.</w:t>
      </w:r>
    </w:p>
    <w:p>
      <w:pPr>
        <w:pStyle w:val="BodyText"/>
        <w:spacing w:before="3"/>
        <w:rPr>
          <w:sz w:val="19"/>
        </w:rPr>
      </w:pPr>
    </w:p>
    <w:p>
      <w:pPr>
        <w:pStyle w:val="Heading4"/>
        <w:ind w:left="182"/>
      </w:pPr>
      <w:r>
        <w:rPr>
          <w:color w:val="006CB4"/>
        </w:rPr>
        <w:t>Retail prices</w:t>
      </w:r>
    </w:p>
    <w:p>
      <w:pPr>
        <w:pStyle w:val="BodyText"/>
        <w:spacing w:before="2"/>
        <w:rPr>
          <w:rFonts w:ascii="Trebuchet MS"/>
          <w:sz w:val="24"/>
        </w:rPr>
      </w:pPr>
    </w:p>
    <w:p>
      <w:pPr>
        <w:pStyle w:val="BodyText"/>
        <w:spacing w:line="271" w:lineRule="auto"/>
        <w:ind w:left="182" w:right="431"/>
      </w:pPr>
      <w:r>
        <w:rPr>
          <w:w w:val="110"/>
        </w:rPr>
        <w:t>There</w:t>
      </w:r>
      <w:r>
        <w:rPr>
          <w:spacing w:val="-12"/>
          <w:w w:val="110"/>
        </w:rPr>
        <w:t> </w:t>
      </w:r>
      <w:r>
        <w:rPr>
          <w:spacing w:val="-3"/>
          <w:w w:val="110"/>
        </w:rPr>
        <w:t>were</w:t>
      </w:r>
      <w:r>
        <w:rPr>
          <w:spacing w:val="-12"/>
          <w:w w:val="110"/>
        </w:rPr>
        <w:t> </w:t>
      </w:r>
      <w:r>
        <w:rPr>
          <w:w w:val="110"/>
        </w:rPr>
        <w:t>clear</w:t>
      </w:r>
      <w:r>
        <w:rPr>
          <w:spacing w:val="-11"/>
          <w:w w:val="110"/>
        </w:rPr>
        <w:t> </w:t>
      </w:r>
      <w:r>
        <w:rPr>
          <w:w w:val="110"/>
        </w:rPr>
        <w:t>signs</w:t>
      </w:r>
      <w:r>
        <w:rPr>
          <w:spacing w:val="-12"/>
          <w:w w:val="110"/>
        </w:rPr>
        <w:t> </w:t>
      </w:r>
      <w:r>
        <w:rPr>
          <w:w w:val="110"/>
        </w:rPr>
        <w:t>that</w:t>
      </w:r>
      <w:r>
        <w:rPr>
          <w:spacing w:val="-11"/>
          <w:w w:val="110"/>
        </w:rPr>
        <w:t> </w:t>
      </w:r>
      <w:r>
        <w:rPr>
          <w:w w:val="110"/>
        </w:rPr>
        <w:t>the</w:t>
      </w:r>
      <w:r>
        <w:rPr>
          <w:spacing w:val="-12"/>
          <w:w w:val="110"/>
        </w:rPr>
        <w:t> </w:t>
      </w:r>
      <w:r>
        <w:rPr>
          <w:w w:val="110"/>
        </w:rPr>
        <w:t>annual</w:t>
      </w:r>
      <w:r>
        <w:rPr>
          <w:spacing w:val="-11"/>
          <w:w w:val="110"/>
        </w:rPr>
        <w:t> </w:t>
      </w:r>
      <w:r>
        <w:rPr>
          <w:w w:val="110"/>
        </w:rPr>
        <w:t>pace</w:t>
      </w:r>
      <w:r>
        <w:rPr>
          <w:spacing w:val="-12"/>
          <w:w w:val="110"/>
        </w:rPr>
        <w:t> </w:t>
      </w:r>
      <w:r>
        <w:rPr>
          <w:w w:val="110"/>
        </w:rPr>
        <w:t>of</w:t>
      </w:r>
      <w:r>
        <w:rPr>
          <w:spacing w:val="-11"/>
          <w:w w:val="110"/>
        </w:rPr>
        <w:t> </w:t>
      </w:r>
      <w:r>
        <w:rPr>
          <w:w w:val="110"/>
        </w:rPr>
        <w:t>decline in</w:t>
      </w:r>
      <w:r>
        <w:rPr>
          <w:spacing w:val="-9"/>
          <w:w w:val="110"/>
        </w:rPr>
        <w:t> </w:t>
      </w:r>
      <w:r>
        <w:rPr>
          <w:w w:val="110"/>
        </w:rPr>
        <w:t>retail</w:t>
      </w:r>
      <w:r>
        <w:rPr>
          <w:spacing w:val="-8"/>
          <w:w w:val="110"/>
        </w:rPr>
        <w:t> </w:t>
      </w:r>
      <w:r>
        <w:rPr>
          <w:w w:val="110"/>
        </w:rPr>
        <w:t>goods</w:t>
      </w:r>
      <w:r>
        <w:rPr>
          <w:spacing w:val="-8"/>
          <w:w w:val="110"/>
        </w:rPr>
        <w:t> </w:t>
      </w:r>
      <w:r>
        <w:rPr>
          <w:w w:val="110"/>
        </w:rPr>
        <w:t>prices</w:t>
      </w:r>
      <w:r>
        <w:rPr>
          <w:spacing w:val="-8"/>
          <w:w w:val="110"/>
        </w:rPr>
        <w:t> </w:t>
      </w:r>
      <w:r>
        <w:rPr>
          <w:w w:val="110"/>
        </w:rPr>
        <w:t>eased</w:t>
      </w:r>
      <w:r>
        <w:rPr>
          <w:spacing w:val="-9"/>
          <w:w w:val="110"/>
        </w:rPr>
        <w:t> </w:t>
      </w:r>
      <w:r>
        <w:rPr>
          <w:w w:val="110"/>
        </w:rPr>
        <w:t>during</w:t>
      </w:r>
      <w:r>
        <w:rPr>
          <w:spacing w:val="-8"/>
          <w:w w:val="110"/>
        </w:rPr>
        <w:t> </w:t>
      </w:r>
      <w:r>
        <w:rPr>
          <w:w w:val="110"/>
        </w:rPr>
        <w:t>the</w:t>
      </w:r>
      <w:r>
        <w:rPr>
          <w:spacing w:val="-8"/>
          <w:w w:val="110"/>
        </w:rPr>
        <w:t> </w:t>
      </w:r>
      <w:r>
        <w:rPr>
          <w:w w:val="110"/>
        </w:rPr>
        <w:t>period.</w:t>
      </w:r>
    </w:p>
    <w:p>
      <w:pPr>
        <w:pStyle w:val="BodyText"/>
        <w:spacing w:line="271" w:lineRule="auto"/>
        <w:ind w:left="182" w:right="431"/>
      </w:pPr>
      <w:r>
        <w:rPr>
          <w:spacing w:val="-3"/>
          <w:w w:val="110"/>
        </w:rPr>
        <w:t>Many retailers </w:t>
      </w:r>
      <w:r>
        <w:rPr>
          <w:w w:val="110"/>
        </w:rPr>
        <w:t>noted that continued strong volume growth</w:t>
      </w:r>
      <w:r>
        <w:rPr>
          <w:spacing w:val="-20"/>
          <w:w w:val="110"/>
        </w:rPr>
        <w:t> </w:t>
      </w:r>
      <w:r>
        <w:rPr>
          <w:spacing w:val="-3"/>
          <w:w w:val="110"/>
        </w:rPr>
        <w:t>resulted</w:t>
      </w:r>
      <w:r>
        <w:rPr>
          <w:spacing w:val="-20"/>
          <w:w w:val="110"/>
        </w:rPr>
        <w:t> </w:t>
      </w:r>
      <w:r>
        <w:rPr>
          <w:w w:val="110"/>
        </w:rPr>
        <w:t>in</w:t>
      </w:r>
      <w:r>
        <w:rPr>
          <w:spacing w:val="-19"/>
          <w:w w:val="110"/>
        </w:rPr>
        <w:t> </w:t>
      </w:r>
      <w:r>
        <w:rPr>
          <w:w w:val="110"/>
        </w:rPr>
        <w:t>less</w:t>
      </w:r>
      <w:r>
        <w:rPr>
          <w:spacing w:val="-20"/>
          <w:w w:val="110"/>
        </w:rPr>
        <w:t> </w:t>
      </w:r>
      <w:r>
        <w:rPr>
          <w:w w:val="110"/>
        </w:rPr>
        <w:t>significant</w:t>
      </w:r>
      <w:r>
        <w:rPr>
          <w:spacing w:val="-20"/>
          <w:w w:val="110"/>
        </w:rPr>
        <w:t> </w:t>
      </w:r>
      <w:r>
        <w:rPr>
          <w:w w:val="110"/>
        </w:rPr>
        <w:t>discounting</w:t>
      </w:r>
      <w:r>
        <w:rPr>
          <w:spacing w:val="-19"/>
          <w:w w:val="110"/>
        </w:rPr>
        <w:t> </w:t>
      </w:r>
      <w:r>
        <w:rPr>
          <w:w w:val="110"/>
        </w:rPr>
        <w:t>during the</w:t>
      </w:r>
      <w:r>
        <w:rPr>
          <w:spacing w:val="-17"/>
          <w:w w:val="110"/>
        </w:rPr>
        <w:t> </w:t>
      </w:r>
      <w:r>
        <w:rPr>
          <w:w w:val="110"/>
        </w:rPr>
        <w:t>January</w:t>
      </w:r>
      <w:r>
        <w:rPr>
          <w:spacing w:val="-16"/>
          <w:w w:val="110"/>
        </w:rPr>
        <w:t> </w:t>
      </w:r>
      <w:r>
        <w:rPr>
          <w:w w:val="110"/>
        </w:rPr>
        <w:t>‘sales’</w:t>
      </w:r>
      <w:r>
        <w:rPr>
          <w:spacing w:val="-16"/>
          <w:w w:val="110"/>
        </w:rPr>
        <w:t> </w:t>
      </w:r>
      <w:r>
        <w:rPr>
          <w:w w:val="110"/>
        </w:rPr>
        <w:t>than</w:t>
      </w:r>
      <w:r>
        <w:rPr>
          <w:spacing w:val="-16"/>
          <w:w w:val="110"/>
        </w:rPr>
        <w:t> </w:t>
      </w:r>
      <w:r>
        <w:rPr>
          <w:w w:val="110"/>
        </w:rPr>
        <w:t>last</w:t>
      </w:r>
      <w:r>
        <w:rPr>
          <w:spacing w:val="-16"/>
          <w:w w:val="110"/>
        </w:rPr>
        <w:t> </w:t>
      </w:r>
      <w:r>
        <w:rPr>
          <w:spacing w:val="-4"/>
          <w:w w:val="110"/>
        </w:rPr>
        <w:t>year.</w:t>
      </w:r>
      <w:r>
        <w:rPr>
          <w:spacing w:val="23"/>
          <w:w w:val="110"/>
        </w:rPr>
        <w:t> </w:t>
      </w:r>
      <w:r>
        <w:rPr>
          <w:spacing w:val="-4"/>
          <w:w w:val="110"/>
        </w:rPr>
        <w:t>However,</w:t>
      </w:r>
      <w:r>
        <w:rPr>
          <w:spacing w:val="-16"/>
          <w:w w:val="110"/>
        </w:rPr>
        <w:t> </w:t>
      </w:r>
      <w:r>
        <w:rPr>
          <w:w w:val="110"/>
        </w:rPr>
        <w:t>there</w:t>
      </w:r>
    </w:p>
    <w:p>
      <w:pPr>
        <w:pStyle w:val="BodyText"/>
        <w:spacing w:line="271" w:lineRule="auto"/>
        <w:ind w:left="182" w:right="518"/>
      </w:pPr>
      <w:r>
        <w:rPr>
          <w:spacing w:val="-3"/>
          <w:w w:val="110"/>
        </w:rPr>
        <w:t>was </w:t>
      </w:r>
      <w:r>
        <w:rPr>
          <w:w w:val="110"/>
        </w:rPr>
        <w:t>some indication that discounting for clothing had deepened again </w:t>
      </w:r>
      <w:r>
        <w:rPr>
          <w:spacing w:val="-3"/>
          <w:w w:val="110"/>
        </w:rPr>
        <w:t>recently. </w:t>
      </w:r>
      <w:r>
        <w:rPr>
          <w:w w:val="110"/>
        </w:rPr>
        <w:t>In addition, many Agencies</w:t>
      </w:r>
      <w:r>
        <w:rPr>
          <w:spacing w:val="-30"/>
          <w:w w:val="110"/>
        </w:rPr>
        <w:t> </w:t>
      </w:r>
      <w:r>
        <w:rPr>
          <w:w w:val="110"/>
        </w:rPr>
        <w:t>noted</w:t>
      </w:r>
      <w:r>
        <w:rPr>
          <w:spacing w:val="-30"/>
          <w:w w:val="110"/>
        </w:rPr>
        <w:t> </w:t>
      </w:r>
      <w:r>
        <w:rPr>
          <w:w w:val="110"/>
        </w:rPr>
        <w:t>significant</w:t>
      </w:r>
      <w:r>
        <w:rPr>
          <w:spacing w:val="-30"/>
          <w:w w:val="110"/>
        </w:rPr>
        <w:t> </w:t>
      </w:r>
      <w:r>
        <w:rPr>
          <w:w w:val="110"/>
        </w:rPr>
        <w:t>increases</w:t>
      </w:r>
      <w:r>
        <w:rPr>
          <w:spacing w:val="-30"/>
          <w:w w:val="110"/>
        </w:rPr>
        <w:t> </w:t>
      </w:r>
      <w:r>
        <w:rPr>
          <w:w w:val="110"/>
        </w:rPr>
        <w:t>in</w:t>
      </w:r>
      <w:r>
        <w:rPr>
          <w:spacing w:val="-29"/>
          <w:w w:val="110"/>
        </w:rPr>
        <w:t> </w:t>
      </w:r>
      <w:r>
        <w:rPr>
          <w:w w:val="110"/>
        </w:rPr>
        <w:t>seasonal</w:t>
      </w:r>
      <w:r>
        <w:rPr>
          <w:spacing w:val="-30"/>
          <w:w w:val="110"/>
        </w:rPr>
        <w:t> </w:t>
      </w:r>
      <w:r>
        <w:rPr>
          <w:w w:val="110"/>
        </w:rPr>
        <w:t>food prices, as bad weather </w:t>
      </w:r>
      <w:r>
        <w:rPr>
          <w:spacing w:val="-3"/>
          <w:w w:val="110"/>
        </w:rPr>
        <w:t>restricted </w:t>
      </w:r>
      <w:r>
        <w:rPr>
          <w:w w:val="110"/>
        </w:rPr>
        <w:t>the supply of </w:t>
      </w:r>
      <w:r>
        <w:rPr>
          <w:spacing w:val="-3"/>
          <w:w w:val="110"/>
        </w:rPr>
        <w:t>many </w:t>
      </w:r>
      <w:r>
        <w:rPr>
          <w:w w:val="110"/>
        </w:rPr>
        <w:t>products.</w:t>
      </w:r>
    </w:p>
    <w:p>
      <w:pPr>
        <w:spacing w:after="0" w:line="271" w:lineRule="auto"/>
        <w:sectPr>
          <w:type w:val="continuous"/>
          <w:pgSz w:w="11900" w:h="16840"/>
          <w:pgMar w:top="1260" w:bottom="280" w:left="640" w:right="640"/>
          <w:cols w:num="2" w:equalWidth="0">
            <w:col w:w="5120" w:space="261"/>
            <w:col w:w="5239"/>
          </w:cols>
        </w:sectPr>
      </w:pPr>
    </w:p>
    <w:p>
      <w:pPr>
        <w:pStyle w:val="BodyText"/>
      </w:pPr>
    </w:p>
    <w:p>
      <w:pPr>
        <w:spacing w:after="0"/>
        <w:sectPr>
          <w:headerReference w:type="even" r:id="rId187"/>
          <w:footerReference w:type="even" r:id="rId188"/>
          <w:pgSz w:w="11900" w:h="16840"/>
          <w:pgMar w:header="601" w:footer="605" w:top="800" w:bottom="800" w:left="640" w:right="640"/>
          <w:pgNumType w:start="74"/>
        </w:sectPr>
      </w:pPr>
    </w:p>
    <w:p>
      <w:pPr>
        <w:pStyle w:val="BodyText"/>
        <w:spacing w:before="10"/>
      </w:pPr>
    </w:p>
    <w:p>
      <w:pPr>
        <w:pStyle w:val="BodyText"/>
        <w:spacing w:line="271" w:lineRule="auto"/>
        <w:ind w:left="171" w:right="85"/>
      </w:pPr>
      <w:r>
        <w:rPr>
          <w:w w:val="110"/>
        </w:rPr>
        <w:t>On balance, service sector inflation appeared </w:t>
      </w:r>
      <w:r>
        <w:rPr>
          <w:spacing w:val="-4"/>
          <w:w w:val="110"/>
        </w:rPr>
        <w:t>to </w:t>
      </w:r>
      <w:r>
        <w:rPr>
          <w:w w:val="110"/>
        </w:rPr>
        <w:t>stabilise during the period. Within services, some hotels and leisure services reported stronger price increases</w:t>
      </w:r>
      <w:r>
        <w:rPr>
          <w:spacing w:val="-26"/>
          <w:w w:val="110"/>
        </w:rPr>
        <w:t> </w:t>
      </w:r>
      <w:r>
        <w:rPr>
          <w:spacing w:val="-4"/>
          <w:w w:val="110"/>
        </w:rPr>
        <w:t>recently.</w:t>
      </w:r>
      <w:r>
        <w:rPr>
          <w:spacing w:val="4"/>
          <w:w w:val="110"/>
        </w:rPr>
        <w:t> </w:t>
      </w:r>
      <w:r>
        <w:rPr>
          <w:w w:val="110"/>
        </w:rPr>
        <w:t>But</w:t>
      </w:r>
      <w:r>
        <w:rPr>
          <w:spacing w:val="-25"/>
          <w:w w:val="110"/>
        </w:rPr>
        <w:t> </w:t>
      </w:r>
      <w:r>
        <w:rPr>
          <w:w w:val="110"/>
        </w:rPr>
        <w:t>elsewhere,</w:t>
      </w:r>
      <w:r>
        <w:rPr>
          <w:spacing w:val="-26"/>
          <w:w w:val="110"/>
        </w:rPr>
        <w:t> </w:t>
      </w:r>
      <w:r>
        <w:rPr>
          <w:w w:val="110"/>
        </w:rPr>
        <w:t>there</w:t>
      </w:r>
      <w:r>
        <w:rPr>
          <w:spacing w:val="-25"/>
          <w:w w:val="110"/>
        </w:rPr>
        <w:t> </w:t>
      </w:r>
      <w:r>
        <w:rPr>
          <w:spacing w:val="-3"/>
          <w:w w:val="110"/>
        </w:rPr>
        <w:t>were</w:t>
      </w:r>
      <w:r>
        <w:rPr>
          <w:spacing w:val="-26"/>
          <w:w w:val="110"/>
        </w:rPr>
        <w:t> </w:t>
      </w:r>
      <w:r>
        <w:rPr>
          <w:w w:val="110"/>
        </w:rPr>
        <w:t>some</w:t>
      </w:r>
      <w:r>
        <w:rPr>
          <w:spacing w:val="-26"/>
          <w:w w:val="110"/>
        </w:rPr>
        <w:t> </w:t>
      </w:r>
      <w:r>
        <w:rPr>
          <w:w w:val="110"/>
        </w:rPr>
        <w:t>signs of</w:t>
      </w:r>
      <w:r>
        <w:rPr>
          <w:spacing w:val="-6"/>
          <w:w w:val="110"/>
        </w:rPr>
        <w:t> </w:t>
      </w:r>
      <w:r>
        <w:rPr>
          <w:w w:val="110"/>
        </w:rPr>
        <w:t>easing.</w:t>
      </w:r>
    </w:p>
    <w:p>
      <w:pPr>
        <w:pStyle w:val="BodyText"/>
        <w:spacing w:before="7"/>
        <w:rPr>
          <w:sz w:val="22"/>
        </w:rPr>
      </w:pPr>
    </w:p>
    <w:p>
      <w:pPr>
        <w:pStyle w:val="BodyText"/>
        <w:spacing w:line="271" w:lineRule="auto" w:before="1"/>
        <w:ind w:left="171"/>
      </w:pPr>
      <w:r>
        <w:rPr>
          <w:w w:val="110"/>
        </w:rPr>
        <w:t>During the period, most Agencies noted a continued slowing in annual house price inflation. </w:t>
      </w:r>
      <w:r>
        <w:rPr>
          <w:spacing w:val="-4"/>
          <w:w w:val="110"/>
        </w:rPr>
        <w:t>However, </w:t>
      </w:r>
      <w:r>
        <w:rPr>
          <w:spacing w:val="-3"/>
          <w:w w:val="110"/>
        </w:rPr>
        <w:t>after </w:t>
      </w:r>
      <w:r>
        <w:rPr>
          <w:w w:val="110"/>
        </w:rPr>
        <w:t>recording</w:t>
      </w:r>
      <w:r>
        <w:rPr>
          <w:spacing w:val="-14"/>
          <w:w w:val="110"/>
        </w:rPr>
        <w:t> </w:t>
      </w:r>
      <w:r>
        <w:rPr>
          <w:w w:val="110"/>
        </w:rPr>
        <w:t>falls</w:t>
      </w:r>
      <w:r>
        <w:rPr>
          <w:spacing w:val="-14"/>
          <w:w w:val="110"/>
        </w:rPr>
        <w:t> </w:t>
      </w:r>
      <w:r>
        <w:rPr>
          <w:w w:val="110"/>
        </w:rPr>
        <w:t>in</w:t>
      </w:r>
      <w:r>
        <w:rPr>
          <w:spacing w:val="-13"/>
          <w:w w:val="110"/>
        </w:rPr>
        <w:t> </w:t>
      </w:r>
      <w:r>
        <w:rPr>
          <w:w w:val="110"/>
        </w:rPr>
        <w:t>the</w:t>
      </w:r>
      <w:r>
        <w:rPr>
          <w:spacing w:val="-14"/>
          <w:w w:val="110"/>
        </w:rPr>
        <w:t> </w:t>
      </w:r>
      <w:r>
        <w:rPr>
          <w:spacing w:val="-3"/>
          <w:w w:val="110"/>
        </w:rPr>
        <w:t>level</w:t>
      </w:r>
      <w:r>
        <w:rPr>
          <w:spacing w:val="-14"/>
          <w:w w:val="110"/>
        </w:rPr>
        <w:t> </w:t>
      </w:r>
      <w:r>
        <w:rPr>
          <w:w w:val="110"/>
        </w:rPr>
        <w:t>of</w:t>
      </w:r>
      <w:r>
        <w:rPr>
          <w:spacing w:val="-13"/>
          <w:w w:val="110"/>
        </w:rPr>
        <w:t> </w:t>
      </w:r>
      <w:r>
        <w:rPr>
          <w:w w:val="110"/>
        </w:rPr>
        <w:t>house</w:t>
      </w:r>
      <w:r>
        <w:rPr>
          <w:spacing w:val="-14"/>
          <w:w w:val="110"/>
        </w:rPr>
        <w:t> </w:t>
      </w:r>
      <w:r>
        <w:rPr>
          <w:w w:val="110"/>
        </w:rPr>
        <w:t>prices</w:t>
      </w:r>
      <w:r>
        <w:rPr>
          <w:spacing w:val="-14"/>
          <w:w w:val="110"/>
        </w:rPr>
        <w:t> </w:t>
      </w:r>
      <w:r>
        <w:rPr>
          <w:w w:val="110"/>
        </w:rPr>
        <w:t>in</w:t>
      </w:r>
      <w:r>
        <w:rPr>
          <w:spacing w:val="-13"/>
          <w:w w:val="110"/>
        </w:rPr>
        <w:t> </w:t>
      </w:r>
      <w:r>
        <w:rPr>
          <w:w w:val="110"/>
        </w:rPr>
        <w:t>parts</w:t>
      </w:r>
      <w:r>
        <w:rPr>
          <w:spacing w:val="-14"/>
          <w:w w:val="110"/>
        </w:rPr>
        <w:t> </w:t>
      </w:r>
      <w:r>
        <w:rPr>
          <w:w w:val="110"/>
        </w:rPr>
        <w:t>of</w:t>
      </w:r>
      <w:r>
        <w:rPr>
          <w:spacing w:val="-14"/>
          <w:w w:val="110"/>
        </w:rPr>
        <w:t> </w:t>
      </w:r>
      <w:r>
        <w:rPr>
          <w:w w:val="110"/>
        </w:rPr>
        <w:t>the South in the previous period, prices appeared </w:t>
      </w:r>
      <w:r>
        <w:rPr>
          <w:spacing w:val="-4"/>
          <w:w w:val="110"/>
        </w:rPr>
        <w:t>to </w:t>
      </w:r>
      <w:r>
        <w:rPr>
          <w:spacing w:val="-3"/>
          <w:w w:val="110"/>
        </w:rPr>
        <w:t>have </w:t>
      </w:r>
      <w:r>
        <w:rPr>
          <w:w w:val="110"/>
        </w:rPr>
        <w:t>risen again recently (although at a much </w:t>
      </w:r>
      <w:r>
        <w:rPr>
          <w:spacing w:val="-3"/>
          <w:w w:val="110"/>
        </w:rPr>
        <w:t>slower </w:t>
      </w:r>
      <w:r>
        <w:rPr>
          <w:w w:val="110"/>
        </w:rPr>
        <w:t>pace than</w:t>
      </w:r>
      <w:r>
        <w:rPr>
          <w:spacing w:val="-16"/>
          <w:w w:val="110"/>
        </w:rPr>
        <w:t> </w:t>
      </w:r>
      <w:r>
        <w:rPr>
          <w:w w:val="110"/>
        </w:rPr>
        <w:t>last</w:t>
      </w:r>
      <w:r>
        <w:rPr>
          <w:spacing w:val="-15"/>
          <w:w w:val="110"/>
        </w:rPr>
        <w:t> </w:t>
      </w:r>
      <w:r>
        <w:rPr>
          <w:w w:val="110"/>
        </w:rPr>
        <w:t>year).</w:t>
      </w:r>
      <w:r>
        <w:rPr>
          <w:spacing w:val="25"/>
          <w:w w:val="110"/>
        </w:rPr>
        <w:t> </w:t>
      </w:r>
      <w:r>
        <w:rPr>
          <w:w w:val="110"/>
        </w:rPr>
        <w:t>In</w:t>
      </w:r>
      <w:r>
        <w:rPr>
          <w:spacing w:val="-16"/>
          <w:w w:val="110"/>
        </w:rPr>
        <w:t> </w:t>
      </w:r>
      <w:r>
        <w:rPr>
          <w:w w:val="110"/>
        </w:rPr>
        <w:t>other</w:t>
      </w:r>
      <w:r>
        <w:rPr>
          <w:spacing w:val="-15"/>
          <w:w w:val="110"/>
        </w:rPr>
        <w:t> </w:t>
      </w:r>
      <w:r>
        <w:rPr>
          <w:w w:val="110"/>
        </w:rPr>
        <w:t>regions,</w:t>
      </w:r>
      <w:r>
        <w:rPr>
          <w:spacing w:val="-16"/>
          <w:w w:val="110"/>
        </w:rPr>
        <w:t> </w:t>
      </w:r>
      <w:r>
        <w:rPr>
          <w:w w:val="110"/>
        </w:rPr>
        <w:t>the</w:t>
      </w:r>
      <w:r>
        <w:rPr>
          <w:spacing w:val="-15"/>
          <w:w w:val="110"/>
        </w:rPr>
        <w:t> </w:t>
      </w:r>
      <w:r>
        <w:rPr>
          <w:spacing w:val="-3"/>
          <w:w w:val="110"/>
        </w:rPr>
        <w:t>level</w:t>
      </w:r>
      <w:r>
        <w:rPr>
          <w:spacing w:val="-16"/>
          <w:w w:val="110"/>
        </w:rPr>
        <w:t> </w:t>
      </w:r>
      <w:r>
        <w:rPr>
          <w:w w:val="110"/>
        </w:rPr>
        <w:t>of</w:t>
      </w:r>
      <w:r>
        <w:rPr>
          <w:spacing w:val="-15"/>
          <w:w w:val="110"/>
        </w:rPr>
        <w:t> </w:t>
      </w:r>
      <w:r>
        <w:rPr>
          <w:w w:val="110"/>
        </w:rPr>
        <w:t>house</w:t>
      </w:r>
      <w:r>
        <w:rPr>
          <w:spacing w:val="-16"/>
          <w:w w:val="110"/>
        </w:rPr>
        <w:t> </w:t>
      </w:r>
      <w:r>
        <w:rPr>
          <w:w w:val="110"/>
        </w:rPr>
        <w:t>prices continued </w:t>
      </w:r>
      <w:r>
        <w:rPr>
          <w:spacing w:val="-4"/>
          <w:w w:val="110"/>
        </w:rPr>
        <w:t>to </w:t>
      </w:r>
      <w:r>
        <w:rPr>
          <w:w w:val="110"/>
        </w:rPr>
        <w:t>rise</w:t>
      </w:r>
      <w:r>
        <w:rPr>
          <w:spacing w:val="-14"/>
          <w:w w:val="110"/>
        </w:rPr>
        <w:t> </w:t>
      </w:r>
      <w:r>
        <w:rPr>
          <w:spacing w:val="-3"/>
          <w:w w:val="110"/>
        </w:rPr>
        <w:t>modestly.</w:t>
      </w:r>
    </w:p>
    <w:p>
      <w:pPr>
        <w:pStyle w:val="BodyText"/>
        <w:spacing w:before="7"/>
        <w:rPr>
          <w:sz w:val="22"/>
        </w:rPr>
      </w:pPr>
    </w:p>
    <w:p>
      <w:pPr>
        <w:pStyle w:val="BodyText"/>
        <w:spacing w:line="271" w:lineRule="auto" w:before="1"/>
        <w:ind w:left="171"/>
      </w:pPr>
      <w:r>
        <w:rPr>
          <w:w w:val="105"/>
        </w:rPr>
        <w:t>The price of new cars stabilised during the period, following a sustained period of steadily falling prices. Contacts reported that it was now unlikely that prices would fall much further. Evidence on used car prices was mixed, although the majority of Agencies reported that prices in this market had also stabilised.</w:t>
      </w:r>
    </w:p>
    <w:p>
      <w:pPr>
        <w:pStyle w:val="BodyText"/>
        <w:spacing w:before="3"/>
        <w:rPr>
          <w:sz w:val="19"/>
        </w:rPr>
      </w:pPr>
    </w:p>
    <w:p>
      <w:pPr>
        <w:pStyle w:val="Heading4"/>
        <w:ind w:left="171"/>
      </w:pPr>
      <w:r>
        <w:rPr>
          <w:color w:val="006CB4"/>
        </w:rPr>
        <w:t>Pay</w:t>
      </w:r>
    </w:p>
    <w:p>
      <w:pPr>
        <w:pStyle w:val="BodyText"/>
        <w:spacing w:before="1"/>
        <w:rPr>
          <w:rFonts w:ascii="Trebuchet MS"/>
          <w:sz w:val="24"/>
        </w:rPr>
      </w:pPr>
    </w:p>
    <w:p>
      <w:pPr>
        <w:pStyle w:val="BodyText"/>
        <w:spacing w:line="271" w:lineRule="auto"/>
        <w:ind w:left="171" w:right="73"/>
      </w:pPr>
      <w:r>
        <w:rPr>
          <w:w w:val="110"/>
        </w:rPr>
        <w:t>Agencies continued </w:t>
      </w:r>
      <w:r>
        <w:rPr>
          <w:spacing w:val="-4"/>
          <w:w w:val="110"/>
        </w:rPr>
        <w:t>to </w:t>
      </w:r>
      <w:r>
        <w:rPr>
          <w:w w:val="110"/>
        </w:rPr>
        <w:t>suggest little change </w:t>
      </w:r>
      <w:r>
        <w:rPr>
          <w:spacing w:val="-4"/>
          <w:w w:val="110"/>
        </w:rPr>
        <w:t>to </w:t>
      </w:r>
      <w:r>
        <w:rPr>
          <w:w w:val="110"/>
        </w:rPr>
        <w:t>the benign picture of </w:t>
      </w:r>
      <w:r>
        <w:rPr>
          <w:spacing w:val="-3"/>
          <w:w w:val="110"/>
        </w:rPr>
        <w:t>pay </w:t>
      </w:r>
      <w:r>
        <w:rPr>
          <w:w w:val="110"/>
        </w:rPr>
        <w:t>outturns reported in recent </w:t>
      </w:r>
      <w:r>
        <w:rPr>
          <w:i/>
          <w:w w:val="110"/>
        </w:rPr>
        <w:t>Agents’ Summaries</w:t>
      </w:r>
      <w:r>
        <w:rPr>
          <w:w w:val="110"/>
        </w:rPr>
        <w:t>. </w:t>
      </w:r>
      <w:r>
        <w:rPr>
          <w:spacing w:val="-4"/>
          <w:w w:val="110"/>
        </w:rPr>
        <w:t>Generally, </w:t>
      </w:r>
      <w:r>
        <w:rPr>
          <w:w w:val="110"/>
        </w:rPr>
        <w:t>settlements remained at around 2%–3% in the manufacturing </w:t>
      </w:r>
      <w:r>
        <w:rPr>
          <w:spacing w:val="-4"/>
          <w:w w:val="110"/>
        </w:rPr>
        <w:t>sector, </w:t>
      </w:r>
      <w:r>
        <w:rPr>
          <w:w w:val="110"/>
        </w:rPr>
        <w:t>although there </w:t>
      </w:r>
      <w:r>
        <w:rPr>
          <w:spacing w:val="-3"/>
          <w:w w:val="110"/>
        </w:rPr>
        <w:t>were </w:t>
      </w:r>
      <w:r>
        <w:rPr>
          <w:w w:val="110"/>
        </w:rPr>
        <w:t>some isolated reports of rather higher increases as the period progressed. Looking forward, </w:t>
      </w:r>
      <w:r>
        <w:rPr>
          <w:spacing w:val="-3"/>
          <w:w w:val="110"/>
        </w:rPr>
        <w:t>many </w:t>
      </w:r>
      <w:r>
        <w:rPr>
          <w:w w:val="110"/>
        </w:rPr>
        <w:t>manufacturing contacts voiced concern about the possibility of higher settlements in the upcoming </w:t>
      </w:r>
      <w:r>
        <w:rPr>
          <w:spacing w:val="-3"/>
          <w:w w:val="110"/>
        </w:rPr>
        <w:t>pay </w:t>
      </w:r>
      <w:r>
        <w:rPr>
          <w:w w:val="110"/>
        </w:rPr>
        <w:t>round—most notably in the southern regions. </w:t>
      </w:r>
      <w:r>
        <w:rPr>
          <w:spacing w:val="-5"/>
          <w:w w:val="110"/>
        </w:rPr>
        <w:t>Total </w:t>
      </w:r>
      <w:r>
        <w:rPr>
          <w:w w:val="110"/>
        </w:rPr>
        <w:t>earnings growth in the sector remained subdued, reflecting lower overtime payments.</w:t>
      </w:r>
    </w:p>
    <w:p>
      <w:pPr>
        <w:pStyle w:val="BodyText"/>
        <w:spacing w:before="9"/>
        <w:rPr>
          <w:sz w:val="22"/>
        </w:rPr>
      </w:pPr>
    </w:p>
    <w:p>
      <w:pPr>
        <w:pStyle w:val="BodyText"/>
        <w:spacing w:line="271" w:lineRule="auto"/>
        <w:ind w:left="171" w:right="85"/>
      </w:pPr>
      <w:r>
        <w:rPr>
          <w:spacing w:val="-3"/>
          <w:w w:val="110"/>
        </w:rPr>
        <w:t>Similarly,</w:t>
      </w:r>
      <w:r>
        <w:rPr>
          <w:spacing w:val="-27"/>
          <w:w w:val="110"/>
        </w:rPr>
        <w:t> </w:t>
      </w:r>
      <w:r>
        <w:rPr>
          <w:spacing w:val="-3"/>
          <w:w w:val="110"/>
        </w:rPr>
        <w:t>overall</w:t>
      </w:r>
      <w:r>
        <w:rPr>
          <w:spacing w:val="-26"/>
          <w:w w:val="110"/>
        </w:rPr>
        <w:t> </w:t>
      </w:r>
      <w:r>
        <w:rPr>
          <w:spacing w:val="-3"/>
          <w:w w:val="110"/>
        </w:rPr>
        <w:t>pay</w:t>
      </w:r>
      <w:r>
        <w:rPr>
          <w:spacing w:val="-26"/>
          <w:w w:val="110"/>
        </w:rPr>
        <w:t> </w:t>
      </w:r>
      <w:r>
        <w:rPr>
          <w:spacing w:val="-3"/>
          <w:w w:val="110"/>
        </w:rPr>
        <w:t>pressures</w:t>
      </w:r>
      <w:r>
        <w:rPr>
          <w:spacing w:val="-26"/>
          <w:w w:val="110"/>
        </w:rPr>
        <w:t> </w:t>
      </w:r>
      <w:r>
        <w:rPr>
          <w:w w:val="110"/>
        </w:rPr>
        <w:t>in</w:t>
      </w:r>
      <w:r>
        <w:rPr>
          <w:spacing w:val="-26"/>
          <w:w w:val="110"/>
        </w:rPr>
        <w:t> </w:t>
      </w:r>
      <w:r>
        <w:rPr>
          <w:w w:val="110"/>
        </w:rPr>
        <w:t>the</w:t>
      </w:r>
      <w:r>
        <w:rPr>
          <w:spacing w:val="-27"/>
          <w:w w:val="110"/>
        </w:rPr>
        <w:t> </w:t>
      </w:r>
      <w:r>
        <w:rPr>
          <w:w w:val="110"/>
        </w:rPr>
        <w:t>services</w:t>
      </w:r>
      <w:r>
        <w:rPr>
          <w:spacing w:val="-26"/>
          <w:w w:val="110"/>
        </w:rPr>
        <w:t> </w:t>
      </w:r>
      <w:r>
        <w:rPr>
          <w:w w:val="110"/>
        </w:rPr>
        <w:t>sector</w:t>
      </w:r>
      <w:r>
        <w:rPr>
          <w:spacing w:val="-26"/>
          <w:w w:val="110"/>
        </w:rPr>
        <w:t> </w:t>
      </w:r>
      <w:r>
        <w:rPr>
          <w:w w:val="110"/>
        </w:rPr>
        <w:t>also remained</w:t>
      </w:r>
      <w:r>
        <w:rPr>
          <w:spacing w:val="-10"/>
          <w:w w:val="110"/>
        </w:rPr>
        <w:t> </w:t>
      </w:r>
      <w:r>
        <w:rPr>
          <w:w w:val="110"/>
        </w:rPr>
        <w:t>little</w:t>
      </w:r>
      <w:r>
        <w:rPr>
          <w:spacing w:val="-10"/>
          <w:w w:val="110"/>
        </w:rPr>
        <w:t> </w:t>
      </w:r>
      <w:r>
        <w:rPr>
          <w:w w:val="110"/>
        </w:rPr>
        <w:t>changed,</w:t>
      </w:r>
      <w:r>
        <w:rPr>
          <w:spacing w:val="-10"/>
          <w:w w:val="110"/>
        </w:rPr>
        <w:t> </w:t>
      </w:r>
      <w:r>
        <w:rPr>
          <w:w w:val="110"/>
        </w:rPr>
        <w:t>although</w:t>
      </w:r>
      <w:r>
        <w:rPr>
          <w:spacing w:val="-10"/>
          <w:w w:val="110"/>
        </w:rPr>
        <w:t> </w:t>
      </w:r>
      <w:r>
        <w:rPr>
          <w:w w:val="110"/>
        </w:rPr>
        <w:t>they</w:t>
      </w:r>
      <w:r>
        <w:rPr>
          <w:spacing w:val="-10"/>
          <w:w w:val="110"/>
        </w:rPr>
        <w:t> </w:t>
      </w:r>
      <w:r>
        <w:rPr>
          <w:w w:val="110"/>
        </w:rPr>
        <w:t>remained</w:t>
      </w:r>
    </w:p>
    <w:p>
      <w:pPr>
        <w:pStyle w:val="BodyText"/>
        <w:spacing w:before="10"/>
      </w:pPr>
      <w:r>
        <w:rPr/>
        <w:br w:type="column"/>
      </w:r>
      <w:r>
        <w:rPr/>
      </w:r>
    </w:p>
    <w:p>
      <w:pPr>
        <w:pStyle w:val="BodyText"/>
        <w:spacing w:line="271" w:lineRule="auto"/>
        <w:ind w:left="171" w:right="115"/>
      </w:pPr>
      <w:r>
        <w:rPr>
          <w:w w:val="110"/>
        </w:rPr>
        <w:t>considerably stronger than in manufacturing. </w:t>
      </w:r>
      <w:r>
        <w:rPr>
          <w:spacing w:val="-5"/>
          <w:w w:val="110"/>
        </w:rPr>
        <w:t>Pay </w:t>
      </w:r>
      <w:r>
        <w:rPr>
          <w:w w:val="110"/>
        </w:rPr>
        <w:t>increases</w:t>
      </w:r>
      <w:r>
        <w:rPr>
          <w:spacing w:val="-30"/>
          <w:w w:val="110"/>
        </w:rPr>
        <w:t> </w:t>
      </w:r>
      <w:r>
        <w:rPr>
          <w:w w:val="110"/>
        </w:rPr>
        <w:t>in</w:t>
      </w:r>
      <w:r>
        <w:rPr>
          <w:spacing w:val="-30"/>
          <w:w w:val="110"/>
        </w:rPr>
        <w:t> </w:t>
      </w:r>
      <w:r>
        <w:rPr>
          <w:w w:val="110"/>
        </w:rPr>
        <w:t>professional</w:t>
      </w:r>
      <w:r>
        <w:rPr>
          <w:spacing w:val="-30"/>
          <w:w w:val="110"/>
        </w:rPr>
        <w:t> </w:t>
      </w:r>
      <w:r>
        <w:rPr>
          <w:w w:val="110"/>
        </w:rPr>
        <w:t>services,</w:t>
      </w:r>
      <w:r>
        <w:rPr>
          <w:spacing w:val="-30"/>
          <w:w w:val="110"/>
        </w:rPr>
        <w:t> </w:t>
      </w:r>
      <w:r>
        <w:rPr>
          <w:w w:val="110"/>
        </w:rPr>
        <w:t>such</w:t>
      </w:r>
      <w:r>
        <w:rPr>
          <w:spacing w:val="-30"/>
          <w:w w:val="110"/>
        </w:rPr>
        <w:t> </w:t>
      </w:r>
      <w:r>
        <w:rPr>
          <w:w w:val="110"/>
        </w:rPr>
        <w:t>as</w:t>
      </w:r>
      <w:r>
        <w:rPr>
          <w:spacing w:val="-29"/>
          <w:w w:val="110"/>
        </w:rPr>
        <w:t> </w:t>
      </w:r>
      <w:r>
        <w:rPr>
          <w:w w:val="110"/>
        </w:rPr>
        <w:t>accountancy and</w:t>
      </w:r>
      <w:r>
        <w:rPr>
          <w:spacing w:val="-9"/>
          <w:w w:val="110"/>
        </w:rPr>
        <w:t> </w:t>
      </w:r>
      <w:r>
        <w:rPr>
          <w:spacing w:val="-4"/>
          <w:w w:val="110"/>
        </w:rPr>
        <w:t>IT,</w:t>
      </w:r>
      <w:r>
        <w:rPr>
          <w:spacing w:val="-8"/>
          <w:w w:val="110"/>
        </w:rPr>
        <w:t> </w:t>
      </w:r>
      <w:r>
        <w:rPr>
          <w:w w:val="110"/>
        </w:rPr>
        <w:t>continued</w:t>
      </w:r>
      <w:r>
        <w:rPr>
          <w:spacing w:val="-8"/>
          <w:w w:val="110"/>
        </w:rPr>
        <w:t> </w:t>
      </w:r>
      <w:r>
        <w:rPr>
          <w:spacing w:val="-4"/>
          <w:w w:val="110"/>
        </w:rPr>
        <w:t>to</w:t>
      </w:r>
      <w:r>
        <w:rPr>
          <w:spacing w:val="-8"/>
          <w:w w:val="110"/>
        </w:rPr>
        <w:t> </w:t>
      </w:r>
      <w:r>
        <w:rPr>
          <w:w w:val="110"/>
        </w:rPr>
        <w:t>record</w:t>
      </w:r>
      <w:r>
        <w:rPr>
          <w:spacing w:val="-8"/>
          <w:w w:val="110"/>
        </w:rPr>
        <w:t> </w:t>
      </w:r>
      <w:r>
        <w:rPr>
          <w:w w:val="110"/>
        </w:rPr>
        <w:t>the</w:t>
      </w:r>
      <w:r>
        <w:rPr>
          <w:spacing w:val="-8"/>
          <w:w w:val="110"/>
        </w:rPr>
        <w:t> </w:t>
      </w:r>
      <w:r>
        <w:rPr>
          <w:w w:val="110"/>
        </w:rPr>
        <w:t>strongest</w:t>
      </w:r>
      <w:r>
        <w:rPr>
          <w:spacing w:val="-8"/>
          <w:w w:val="110"/>
        </w:rPr>
        <w:t> </w:t>
      </w:r>
      <w:r>
        <w:rPr>
          <w:w w:val="110"/>
        </w:rPr>
        <w:t>growth.</w:t>
      </w:r>
    </w:p>
    <w:p>
      <w:pPr>
        <w:pStyle w:val="BodyText"/>
        <w:spacing w:line="271" w:lineRule="auto"/>
        <w:ind w:left="171" w:right="115"/>
      </w:pPr>
      <w:r>
        <w:rPr>
          <w:w w:val="110"/>
        </w:rPr>
        <w:t>Looking forward, there </w:t>
      </w:r>
      <w:r>
        <w:rPr>
          <w:spacing w:val="-3"/>
          <w:w w:val="110"/>
        </w:rPr>
        <w:t>were </w:t>
      </w:r>
      <w:r>
        <w:rPr>
          <w:w w:val="110"/>
        </w:rPr>
        <w:t>signs that public sector services</w:t>
      </w:r>
      <w:r>
        <w:rPr>
          <w:spacing w:val="-23"/>
          <w:w w:val="110"/>
        </w:rPr>
        <w:t> </w:t>
      </w:r>
      <w:r>
        <w:rPr>
          <w:w w:val="110"/>
        </w:rPr>
        <w:t>settlements</w:t>
      </w:r>
      <w:r>
        <w:rPr>
          <w:spacing w:val="-22"/>
          <w:w w:val="110"/>
        </w:rPr>
        <w:t> </w:t>
      </w:r>
      <w:r>
        <w:rPr>
          <w:w w:val="110"/>
        </w:rPr>
        <w:t>could</w:t>
      </w:r>
      <w:r>
        <w:rPr>
          <w:spacing w:val="-23"/>
          <w:w w:val="110"/>
        </w:rPr>
        <w:t> </w:t>
      </w:r>
      <w:r>
        <w:rPr>
          <w:w w:val="110"/>
        </w:rPr>
        <w:t>rise</w:t>
      </w:r>
      <w:r>
        <w:rPr>
          <w:spacing w:val="-22"/>
          <w:w w:val="110"/>
        </w:rPr>
        <w:t> </w:t>
      </w:r>
      <w:r>
        <w:rPr>
          <w:w w:val="110"/>
        </w:rPr>
        <w:t>in</w:t>
      </w:r>
      <w:r>
        <w:rPr>
          <w:spacing w:val="-23"/>
          <w:w w:val="110"/>
        </w:rPr>
        <w:t> </w:t>
      </w:r>
      <w:r>
        <w:rPr>
          <w:w w:val="110"/>
        </w:rPr>
        <w:t>coming</w:t>
      </w:r>
      <w:r>
        <w:rPr>
          <w:spacing w:val="-22"/>
          <w:w w:val="110"/>
        </w:rPr>
        <w:t> </w:t>
      </w:r>
      <w:r>
        <w:rPr>
          <w:w w:val="110"/>
        </w:rPr>
        <w:t>months.</w:t>
      </w:r>
      <w:r>
        <w:rPr>
          <w:spacing w:val="11"/>
          <w:w w:val="110"/>
        </w:rPr>
        <w:t> </w:t>
      </w:r>
      <w:r>
        <w:rPr>
          <w:w w:val="110"/>
        </w:rPr>
        <w:t>The picture</w:t>
      </w:r>
      <w:r>
        <w:rPr>
          <w:spacing w:val="-12"/>
          <w:w w:val="110"/>
        </w:rPr>
        <w:t> </w:t>
      </w:r>
      <w:r>
        <w:rPr>
          <w:w w:val="110"/>
        </w:rPr>
        <w:t>on</w:t>
      </w:r>
      <w:r>
        <w:rPr>
          <w:spacing w:val="-12"/>
          <w:w w:val="110"/>
        </w:rPr>
        <w:t> </w:t>
      </w:r>
      <w:r>
        <w:rPr>
          <w:w w:val="110"/>
        </w:rPr>
        <w:t>bonuses</w:t>
      </w:r>
      <w:r>
        <w:rPr>
          <w:spacing w:val="-11"/>
          <w:w w:val="110"/>
        </w:rPr>
        <w:t> </w:t>
      </w:r>
      <w:r>
        <w:rPr>
          <w:spacing w:val="-3"/>
          <w:w w:val="110"/>
        </w:rPr>
        <w:t>was</w:t>
      </w:r>
      <w:r>
        <w:rPr>
          <w:spacing w:val="-12"/>
          <w:w w:val="110"/>
        </w:rPr>
        <w:t> </w:t>
      </w:r>
      <w:r>
        <w:rPr>
          <w:w w:val="110"/>
        </w:rPr>
        <w:t>unclear</w:t>
      </w:r>
      <w:r>
        <w:rPr>
          <w:spacing w:val="-12"/>
          <w:w w:val="110"/>
        </w:rPr>
        <w:t> </w:t>
      </w:r>
      <w:r>
        <w:rPr>
          <w:w w:val="110"/>
        </w:rPr>
        <w:t>across</w:t>
      </w:r>
      <w:r>
        <w:rPr>
          <w:spacing w:val="-11"/>
          <w:w w:val="110"/>
        </w:rPr>
        <w:t> </w:t>
      </w:r>
      <w:r>
        <w:rPr>
          <w:w w:val="110"/>
        </w:rPr>
        <w:t>the</w:t>
      </w:r>
      <w:r>
        <w:rPr>
          <w:spacing w:val="-12"/>
          <w:w w:val="110"/>
        </w:rPr>
        <w:t> </w:t>
      </w:r>
      <w:r>
        <w:rPr>
          <w:w w:val="110"/>
        </w:rPr>
        <w:t>regions.</w:t>
      </w:r>
    </w:p>
    <w:p>
      <w:pPr>
        <w:pStyle w:val="BodyText"/>
        <w:spacing w:line="271" w:lineRule="auto" w:before="1"/>
        <w:ind w:left="171" w:right="115"/>
      </w:pPr>
      <w:r>
        <w:rPr>
          <w:spacing w:val="-4"/>
          <w:w w:val="105"/>
        </w:rPr>
        <w:t>However, </w:t>
      </w:r>
      <w:r>
        <w:rPr>
          <w:w w:val="105"/>
        </w:rPr>
        <w:t>there </w:t>
      </w:r>
      <w:r>
        <w:rPr>
          <w:spacing w:val="-3"/>
          <w:w w:val="105"/>
        </w:rPr>
        <w:t>was </w:t>
      </w:r>
      <w:r>
        <w:rPr>
          <w:w w:val="105"/>
        </w:rPr>
        <w:t>further evidence that underlying </w:t>
      </w:r>
      <w:r>
        <w:rPr>
          <w:spacing w:val="-3"/>
          <w:w w:val="105"/>
        </w:rPr>
        <w:t>pay </w:t>
      </w:r>
      <w:r>
        <w:rPr>
          <w:spacing w:val="-2"/>
          <w:w w:val="105"/>
        </w:rPr>
        <w:t>growth </w:t>
      </w:r>
      <w:r>
        <w:rPr>
          <w:spacing w:val="-3"/>
          <w:w w:val="105"/>
        </w:rPr>
        <w:t>was </w:t>
      </w:r>
      <w:r>
        <w:rPr>
          <w:w w:val="105"/>
        </w:rPr>
        <w:t>being mitigated </w:t>
      </w:r>
      <w:r>
        <w:rPr>
          <w:spacing w:val="-3"/>
          <w:w w:val="105"/>
        </w:rPr>
        <w:t>by </w:t>
      </w:r>
      <w:r>
        <w:rPr>
          <w:w w:val="105"/>
        </w:rPr>
        <w:t>the increased use</w:t>
      </w:r>
      <w:r>
        <w:rPr>
          <w:spacing w:val="12"/>
          <w:w w:val="105"/>
        </w:rPr>
        <w:t> </w:t>
      </w:r>
      <w:r>
        <w:rPr>
          <w:w w:val="105"/>
        </w:rPr>
        <w:t>of</w:t>
      </w:r>
    </w:p>
    <w:p>
      <w:pPr>
        <w:pStyle w:val="BodyText"/>
        <w:spacing w:line="271" w:lineRule="auto"/>
        <w:ind w:left="171" w:right="115"/>
      </w:pPr>
      <w:r>
        <w:rPr>
          <w:w w:val="105"/>
        </w:rPr>
        <w:t>non-wage benefits, such as flexible working hour arrangements.</w:t>
      </w:r>
    </w:p>
    <w:p>
      <w:pPr>
        <w:pStyle w:val="BodyText"/>
        <w:rPr>
          <w:sz w:val="16"/>
        </w:rPr>
      </w:pPr>
    </w:p>
    <w:p>
      <w:pPr>
        <w:spacing w:before="0"/>
        <w:ind w:left="171" w:right="0" w:firstLine="0"/>
        <w:jc w:val="left"/>
        <w:rPr>
          <w:rFonts w:ascii="Trebuchet MS"/>
          <w:b/>
          <w:sz w:val="28"/>
        </w:rPr>
      </w:pPr>
      <w:r>
        <w:rPr>
          <w:rFonts w:ascii="Trebuchet MS"/>
          <w:b/>
          <w:color w:val="006CB4"/>
          <w:sz w:val="28"/>
        </w:rPr>
        <w:t>EMPLOYMENT</w:t>
      </w:r>
    </w:p>
    <w:p>
      <w:pPr>
        <w:pStyle w:val="BodyText"/>
        <w:spacing w:line="271" w:lineRule="auto" w:before="271"/>
        <w:ind w:left="171" w:right="115"/>
      </w:pPr>
      <w:r>
        <w:rPr>
          <w:w w:val="110"/>
        </w:rPr>
        <w:t>Skill shortages remained acute in most regions during the period, although there </w:t>
      </w:r>
      <w:r>
        <w:rPr>
          <w:spacing w:val="-3"/>
          <w:w w:val="110"/>
        </w:rPr>
        <w:t>was </w:t>
      </w:r>
      <w:r>
        <w:rPr>
          <w:w w:val="110"/>
        </w:rPr>
        <w:t>little evidence that they had</w:t>
      </w:r>
      <w:r>
        <w:rPr>
          <w:spacing w:val="-21"/>
          <w:w w:val="110"/>
        </w:rPr>
        <w:t> </w:t>
      </w:r>
      <w:r>
        <w:rPr>
          <w:w w:val="110"/>
        </w:rPr>
        <w:t>intensified.</w:t>
      </w:r>
      <w:r>
        <w:rPr>
          <w:spacing w:val="15"/>
          <w:w w:val="110"/>
        </w:rPr>
        <w:t> </w:t>
      </w:r>
      <w:r>
        <w:rPr>
          <w:w w:val="110"/>
        </w:rPr>
        <w:t>Shortages</w:t>
      </w:r>
      <w:r>
        <w:rPr>
          <w:spacing w:val="-21"/>
          <w:w w:val="110"/>
        </w:rPr>
        <w:t> </w:t>
      </w:r>
      <w:r>
        <w:rPr>
          <w:w w:val="110"/>
        </w:rPr>
        <w:t>remained</w:t>
      </w:r>
      <w:r>
        <w:rPr>
          <w:spacing w:val="-20"/>
          <w:w w:val="110"/>
        </w:rPr>
        <w:t> </w:t>
      </w:r>
      <w:r>
        <w:rPr>
          <w:w w:val="110"/>
        </w:rPr>
        <w:t>mostly</w:t>
      </w:r>
      <w:r>
        <w:rPr>
          <w:spacing w:val="-21"/>
          <w:w w:val="110"/>
        </w:rPr>
        <w:t> </w:t>
      </w:r>
      <w:r>
        <w:rPr>
          <w:w w:val="110"/>
        </w:rPr>
        <w:t>confined</w:t>
      </w:r>
      <w:r>
        <w:rPr>
          <w:spacing w:val="-20"/>
          <w:w w:val="110"/>
        </w:rPr>
        <w:t> </w:t>
      </w:r>
      <w:r>
        <w:rPr>
          <w:spacing w:val="-4"/>
          <w:w w:val="110"/>
        </w:rPr>
        <w:t>to </w:t>
      </w:r>
      <w:r>
        <w:rPr>
          <w:w w:val="110"/>
        </w:rPr>
        <w:t>professional and skilled </w:t>
      </w:r>
      <w:r>
        <w:rPr>
          <w:spacing w:val="-3"/>
          <w:w w:val="110"/>
        </w:rPr>
        <w:t>workers, </w:t>
      </w:r>
      <w:r>
        <w:rPr>
          <w:w w:val="110"/>
        </w:rPr>
        <w:t>although there </w:t>
      </w:r>
      <w:r>
        <w:rPr>
          <w:spacing w:val="-3"/>
          <w:w w:val="110"/>
        </w:rPr>
        <w:t>were </w:t>
      </w:r>
      <w:r>
        <w:rPr>
          <w:w w:val="110"/>
        </w:rPr>
        <w:t>increased reports (particularly from the southern regions)</w:t>
      </w:r>
      <w:r>
        <w:rPr>
          <w:spacing w:val="-31"/>
          <w:w w:val="110"/>
        </w:rPr>
        <w:t> </w:t>
      </w:r>
      <w:r>
        <w:rPr>
          <w:w w:val="110"/>
        </w:rPr>
        <w:t>of</w:t>
      </w:r>
      <w:r>
        <w:rPr>
          <w:spacing w:val="-30"/>
          <w:w w:val="110"/>
        </w:rPr>
        <w:t> </w:t>
      </w:r>
      <w:r>
        <w:rPr>
          <w:w w:val="110"/>
        </w:rPr>
        <w:t>difficulty</w:t>
      </w:r>
      <w:r>
        <w:rPr>
          <w:spacing w:val="-30"/>
          <w:w w:val="110"/>
        </w:rPr>
        <w:t> </w:t>
      </w:r>
      <w:r>
        <w:rPr>
          <w:w w:val="110"/>
        </w:rPr>
        <w:t>in</w:t>
      </w:r>
      <w:r>
        <w:rPr>
          <w:spacing w:val="-30"/>
          <w:w w:val="110"/>
        </w:rPr>
        <w:t> </w:t>
      </w:r>
      <w:r>
        <w:rPr>
          <w:w w:val="110"/>
        </w:rPr>
        <w:t>recruiting</w:t>
      </w:r>
      <w:r>
        <w:rPr>
          <w:spacing w:val="-30"/>
          <w:w w:val="110"/>
        </w:rPr>
        <w:t> </w:t>
      </w:r>
      <w:r>
        <w:rPr>
          <w:spacing w:val="-4"/>
          <w:w w:val="110"/>
        </w:rPr>
        <w:t>lower-skilled</w:t>
      </w:r>
      <w:r>
        <w:rPr>
          <w:spacing w:val="-31"/>
          <w:w w:val="110"/>
        </w:rPr>
        <w:t> </w:t>
      </w:r>
      <w:r>
        <w:rPr>
          <w:spacing w:val="-3"/>
          <w:w w:val="110"/>
        </w:rPr>
        <w:t>workers, </w:t>
      </w:r>
      <w:r>
        <w:rPr>
          <w:w w:val="110"/>
        </w:rPr>
        <w:t>such</w:t>
      </w:r>
      <w:r>
        <w:rPr>
          <w:spacing w:val="-18"/>
          <w:w w:val="110"/>
        </w:rPr>
        <w:t> </w:t>
      </w:r>
      <w:r>
        <w:rPr>
          <w:w w:val="110"/>
        </w:rPr>
        <w:t>as</w:t>
      </w:r>
      <w:r>
        <w:rPr>
          <w:spacing w:val="-18"/>
          <w:w w:val="110"/>
        </w:rPr>
        <w:t> </w:t>
      </w:r>
      <w:r>
        <w:rPr>
          <w:w w:val="110"/>
        </w:rPr>
        <w:t>retail,</w:t>
      </w:r>
      <w:r>
        <w:rPr>
          <w:spacing w:val="-18"/>
          <w:w w:val="110"/>
        </w:rPr>
        <w:t> </w:t>
      </w:r>
      <w:r>
        <w:rPr>
          <w:w w:val="110"/>
        </w:rPr>
        <w:t>hotel</w:t>
      </w:r>
      <w:r>
        <w:rPr>
          <w:spacing w:val="-17"/>
          <w:w w:val="110"/>
        </w:rPr>
        <w:t> </w:t>
      </w:r>
      <w:r>
        <w:rPr>
          <w:w w:val="110"/>
        </w:rPr>
        <w:t>and</w:t>
      </w:r>
      <w:r>
        <w:rPr>
          <w:spacing w:val="-18"/>
          <w:w w:val="110"/>
        </w:rPr>
        <w:t> </w:t>
      </w:r>
      <w:r>
        <w:rPr>
          <w:w w:val="110"/>
        </w:rPr>
        <w:t>cleaning</w:t>
      </w:r>
      <w:r>
        <w:rPr>
          <w:spacing w:val="-18"/>
          <w:w w:val="110"/>
        </w:rPr>
        <w:t> </w:t>
      </w:r>
      <w:r>
        <w:rPr>
          <w:w w:val="110"/>
        </w:rPr>
        <w:t>staff,</w:t>
      </w:r>
      <w:r>
        <w:rPr>
          <w:spacing w:val="-18"/>
          <w:w w:val="110"/>
        </w:rPr>
        <w:t> </w:t>
      </w:r>
      <w:r>
        <w:rPr>
          <w:w w:val="110"/>
        </w:rPr>
        <w:t>in</w:t>
      </w:r>
      <w:r>
        <w:rPr>
          <w:spacing w:val="-17"/>
          <w:w w:val="110"/>
        </w:rPr>
        <w:t> </w:t>
      </w:r>
      <w:r>
        <w:rPr>
          <w:w w:val="110"/>
        </w:rPr>
        <w:t>recent</w:t>
      </w:r>
      <w:r>
        <w:rPr>
          <w:spacing w:val="-18"/>
          <w:w w:val="110"/>
        </w:rPr>
        <w:t> </w:t>
      </w:r>
      <w:r>
        <w:rPr>
          <w:w w:val="110"/>
        </w:rPr>
        <w:t>months.</w:t>
      </w:r>
    </w:p>
    <w:p>
      <w:pPr>
        <w:pStyle w:val="BodyText"/>
        <w:spacing w:before="8"/>
        <w:rPr>
          <w:sz w:val="22"/>
        </w:rPr>
      </w:pPr>
    </w:p>
    <w:p>
      <w:pPr>
        <w:pStyle w:val="BodyText"/>
        <w:spacing w:line="271" w:lineRule="auto"/>
        <w:ind w:left="171" w:right="115"/>
      </w:pPr>
      <w:r>
        <w:rPr>
          <w:w w:val="110"/>
        </w:rPr>
        <w:t>There</w:t>
      </w:r>
      <w:r>
        <w:rPr>
          <w:spacing w:val="-24"/>
          <w:w w:val="110"/>
        </w:rPr>
        <w:t> </w:t>
      </w:r>
      <w:r>
        <w:rPr>
          <w:spacing w:val="-3"/>
          <w:w w:val="110"/>
        </w:rPr>
        <w:t>was</w:t>
      </w:r>
      <w:r>
        <w:rPr>
          <w:spacing w:val="-23"/>
          <w:w w:val="110"/>
        </w:rPr>
        <w:t> </w:t>
      </w:r>
      <w:r>
        <w:rPr>
          <w:w w:val="110"/>
        </w:rPr>
        <w:t>little</w:t>
      </w:r>
      <w:r>
        <w:rPr>
          <w:spacing w:val="-23"/>
          <w:w w:val="110"/>
        </w:rPr>
        <w:t> </w:t>
      </w:r>
      <w:r>
        <w:rPr>
          <w:w w:val="110"/>
        </w:rPr>
        <w:t>change</w:t>
      </w:r>
      <w:r>
        <w:rPr>
          <w:spacing w:val="-24"/>
          <w:w w:val="110"/>
        </w:rPr>
        <w:t> </w:t>
      </w:r>
      <w:r>
        <w:rPr>
          <w:spacing w:val="-4"/>
          <w:w w:val="110"/>
        </w:rPr>
        <w:t>to</w:t>
      </w:r>
      <w:r>
        <w:rPr>
          <w:spacing w:val="-23"/>
          <w:w w:val="110"/>
        </w:rPr>
        <w:t> </w:t>
      </w:r>
      <w:r>
        <w:rPr>
          <w:w w:val="110"/>
        </w:rPr>
        <w:t>trends</w:t>
      </w:r>
      <w:r>
        <w:rPr>
          <w:spacing w:val="-23"/>
          <w:w w:val="110"/>
        </w:rPr>
        <w:t> </w:t>
      </w:r>
      <w:r>
        <w:rPr>
          <w:w w:val="110"/>
        </w:rPr>
        <w:t>in</w:t>
      </w:r>
      <w:r>
        <w:rPr>
          <w:spacing w:val="-24"/>
          <w:w w:val="110"/>
        </w:rPr>
        <w:t> </w:t>
      </w:r>
      <w:r>
        <w:rPr>
          <w:w w:val="110"/>
        </w:rPr>
        <w:t>employment</w:t>
      </w:r>
      <w:r>
        <w:rPr>
          <w:spacing w:val="-23"/>
          <w:w w:val="110"/>
        </w:rPr>
        <w:t> </w:t>
      </w:r>
      <w:r>
        <w:rPr>
          <w:w w:val="110"/>
        </w:rPr>
        <w:t>growth. Manufacturing employment continued </w:t>
      </w:r>
      <w:r>
        <w:rPr>
          <w:spacing w:val="-4"/>
          <w:w w:val="110"/>
        </w:rPr>
        <w:t>to </w:t>
      </w:r>
      <w:r>
        <w:rPr>
          <w:w w:val="110"/>
        </w:rPr>
        <w:t>decline at a similar</w:t>
      </w:r>
      <w:r>
        <w:rPr>
          <w:spacing w:val="-12"/>
          <w:w w:val="110"/>
        </w:rPr>
        <w:t> </w:t>
      </w:r>
      <w:r>
        <w:rPr>
          <w:w w:val="110"/>
        </w:rPr>
        <w:t>pace</w:t>
      </w:r>
      <w:r>
        <w:rPr>
          <w:spacing w:val="-12"/>
          <w:w w:val="110"/>
        </w:rPr>
        <w:t> </w:t>
      </w:r>
      <w:r>
        <w:rPr>
          <w:spacing w:val="-4"/>
          <w:w w:val="110"/>
        </w:rPr>
        <w:t>to</w:t>
      </w:r>
      <w:r>
        <w:rPr>
          <w:spacing w:val="-12"/>
          <w:w w:val="110"/>
        </w:rPr>
        <w:t> </w:t>
      </w:r>
      <w:r>
        <w:rPr>
          <w:w w:val="110"/>
        </w:rPr>
        <w:t>the</w:t>
      </w:r>
      <w:r>
        <w:rPr>
          <w:spacing w:val="-12"/>
          <w:w w:val="110"/>
        </w:rPr>
        <w:t> </w:t>
      </w:r>
      <w:r>
        <w:rPr>
          <w:w w:val="110"/>
        </w:rPr>
        <w:t>previous</w:t>
      </w:r>
      <w:r>
        <w:rPr>
          <w:spacing w:val="-12"/>
          <w:w w:val="110"/>
        </w:rPr>
        <w:t> </w:t>
      </w:r>
      <w:r>
        <w:rPr>
          <w:w w:val="110"/>
        </w:rPr>
        <w:t>period</w:t>
      </w:r>
      <w:r>
        <w:rPr>
          <w:spacing w:val="-12"/>
          <w:w w:val="110"/>
        </w:rPr>
        <w:t> </w:t>
      </w:r>
      <w:r>
        <w:rPr>
          <w:w w:val="110"/>
        </w:rPr>
        <w:t>in</w:t>
      </w:r>
      <w:r>
        <w:rPr>
          <w:spacing w:val="-12"/>
          <w:w w:val="110"/>
        </w:rPr>
        <w:t> </w:t>
      </w:r>
      <w:r>
        <w:rPr>
          <w:w w:val="110"/>
        </w:rPr>
        <w:t>most</w:t>
      </w:r>
      <w:r>
        <w:rPr>
          <w:spacing w:val="-12"/>
          <w:w w:val="110"/>
        </w:rPr>
        <w:t> </w:t>
      </w:r>
      <w:r>
        <w:rPr>
          <w:w w:val="110"/>
        </w:rPr>
        <w:t>regions.</w:t>
      </w:r>
    </w:p>
    <w:p>
      <w:pPr>
        <w:pStyle w:val="BodyText"/>
        <w:spacing w:line="271" w:lineRule="auto"/>
        <w:ind w:left="171" w:right="115"/>
      </w:pPr>
      <w:r>
        <w:rPr>
          <w:w w:val="110"/>
        </w:rPr>
        <w:t>Increases</w:t>
      </w:r>
      <w:r>
        <w:rPr>
          <w:spacing w:val="-26"/>
          <w:w w:val="110"/>
        </w:rPr>
        <w:t> </w:t>
      </w:r>
      <w:r>
        <w:rPr>
          <w:w w:val="110"/>
        </w:rPr>
        <w:t>in</w:t>
      </w:r>
      <w:r>
        <w:rPr>
          <w:spacing w:val="-25"/>
          <w:w w:val="110"/>
        </w:rPr>
        <w:t> </w:t>
      </w:r>
      <w:r>
        <w:rPr>
          <w:w w:val="110"/>
        </w:rPr>
        <w:t>employment</w:t>
      </w:r>
      <w:r>
        <w:rPr>
          <w:spacing w:val="-25"/>
          <w:w w:val="110"/>
        </w:rPr>
        <w:t> </w:t>
      </w:r>
      <w:r>
        <w:rPr>
          <w:w w:val="110"/>
        </w:rPr>
        <w:t>in</w:t>
      </w:r>
      <w:r>
        <w:rPr>
          <w:spacing w:val="-25"/>
          <w:w w:val="110"/>
        </w:rPr>
        <w:t> </w:t>
      </w:r>
      <w:r>
        <w:rPr>
          <w:spacing w:val="-3"/>
          <w:w w:val="110"/>
        </w:rPr>
        <w:t>many</w:t>
      </w:r>
      <w:r>
        <w:rPr>
          <w:spacing w:val="-25"/>
          <w:w w:val="110"/>
        </w:rPr>
        <w:t> </w:t>
      </w:r>
      <w:r>
        <w:rPr>
          <w:w w:val="110"/>
        </w:rPr>
        <w:t>‘high-tech’</w:t>
      </w:r>
      <w:r>
        <w:rPr>
          <w:spacing w:val="-25"/>
          <w:w w:val="110"/>
        </w:rPr>
        <w:t> </w:t>
      </w:r>
      <w:r>
        <w:rPr>
          <w:w w:val="110"/>
        </w:rPr>
        <w:t>industries continued</w:t>
      </w:r>
      <w:r>
        <w:rPr>
          <w:spacing w:val="-16"/>
          <w:w w:val="110"/>
        </w:rPr>
        <w:t> </w:t>
      </w:r>
      <w:r>
        <w:rPr>
          <w:spacing w:val="-4"/>
          <w:w w:val="110"/>
        </w:rPr>
        <w:t>to</w:t>
      </w:r>
      <w:r>
        <w:rPr>
          <w:spacing w:val="-16"/>
          <w:w w:val="110"/>
        </w:rPr>
        <w:t> </w:t>
      </w:r>
      <w:r>
        <w:rPr>
          <w:w w:val="110"/>
        </w:rPr>
        <w:t>be</w:t>
      </w:r>
      <w:r>
        <w:rPr>
          <w:spacing w:val="-15"/>
          <w:w w:val="110"/>
        </w:rPr>
        <w:t> </w:t>
      </w:r>
      <w:r>
        <w:rPr>
          <w:w w:val="110"/>
        </w:rPr>
        <w:t>more</w:t>
      </w:r>
      <w:r>
        <w:rPr>
          <w:spacing w:val="-16"/>
          <w:w w:val="110"/>
        </w:rPr>
        <w:t> </w:t>
      </w:r>
      <w:r>
        <w:rPr>
          <w:w w:val="110"/>
        </w:rPr>
        <w:t>than</w:t>
      </w:r>
      <w:r>
        <w:rPr>
          <w:spacing w:val="-16"/>
          <w:w w:val="110"/>
        </w:rPr>
        <w:t> </w:t>
      </w:r>
      <w:r>
        <w:rPr>
          <w:w w:val="110"/>
        </w:rPr>
        <w:t>offset</w:t>
      </w:r>
      <w:r>
        <w:rPr>
          <w:spacing w:val="-15"/>
          <w:w w:val="110"/>
        </w:rPr>
        <w:t> </w:t>
      </w:r>
      <w:r>
        <w:rPr>
          <w:w w:val="110"/>
        </w:rPr>
        <w:t>by</w:t>
      </w:r>
      <w:r>
        <w:rPr>
          <w:spacing w:val="-16"/>
          <w:w w:val="110"/>
        </w:rPr>
        <w:t> </w:t>
      </w:r>
      <w:r>
        <w:rPr>
          <w:w w:val="110"/>
        </w:rPr>
        <w:t>considerable</w:t>
      </w:r>
      <w:r>
        <w:rPr>
          <w:spacing w:val="-16"/>
          <w:w w:val="110"/>
        </w:rPr>
        <w:t> </w:t>
      </w:r>
      <w:r>
        <w:rPr>
          <w:w w:val="110"/>
        </w:rPr>
        <w:t>falls</w:t>
      </w:r>
      <w:r>
        <w:rPr>
          <w:spacing w:val="-15"/>
          <w:w w:val="110"/>
        </w:rPr>
        <w:t> </w:t>
      </w:r>
      <w:r>
        <w:rPr>
          <w:w w:val="110"/>
        </w:rPr>
        <w:t>in the remaining </w:t>
      </w:r>
      <w:r>
        <w:rPr>
          <w:spacing w:val="-3"/>
          <w:w w:val="110"/>
        </w:rPr>
        <w:t>sectors. </w:t>
      </w:r>
      <w:r>
        <w:rPr>
          <w:w w:val="110"/>
        </w:rPr>
        <w:t>Most Agencies suggested that there</w:t>
      </w:r>
      <w:r>
        <w:rPr>
          <w:spacing w:val="-13"/>
          <w:w w:val="110"/>
        </w:rPr>
        <w:t> </w:t>
      </w:r>
      <w:r>
        <w:rPr>
          <w:spacing w:val="-3"/>
          <w:w w:val="110"/>
        </w:rPr>
        <w:t>was</w:t>
      </w:r>
      <w:r>
        <w:rPr>
          <w:spacing w:val="-12"/>
          <w:w w:val="110"/>
        </w:rPr>
        <w:t> </w:t>
      </w:r>
      <w:r>
        <w:rPr>
          <w:w w:val="110"/>
        </w:rPr>
        <w:t>no</w:t>
      </w:r>
      <w:r>
        <w:rPr>
          <w:spacing w:val="-12"/>
          <w:w w:val="110"/>
        </w:rPr>
        <w:t> </w:t>
      </w:r>
      <w:r>
        <w:rPr>
          <w:w w:val="110"/>
        </w:rPr>
        <w:t>expectation</w:t>
      </w:r>
      <w:r>
        <w:rPr>
          <w:spacing w:val="-12"/>
          <w:w w:val="110"/>
        </w:rPr>
        <w:t> </w:t>
      </w:r>
      <w:r>
        <w:rPr>
          <w:w w:val="110"/>
        </w:rPr>
        <w:t>of</w:t>
      </w:r>
      <w:r>
        <w:rPr>
          <w:spacing w:val="-12"/>
          <w:w w:val="110"/>
        </w:rPr>
        <w:t> </w:t>
      </w:r>
      <w:r>
        <w:rPr>
          <w:w w:val="110"/>
        </w:rPr>
        <w:t>these</w:t>
      </w:r>
      <w:r>
        <w:rPr>
          <w:spacing w:val="-12"/>
          <w:w w:val="110"/>
        </w:rPr>
        <w:t> </w:t>
      </w:r>
      <w:r>
        <w:rPr>
          <w:w w:val="110"/>
        </w:rPr>
        <w:t>trends</w:t>
      </w:r>
      <w:r>
        <w:rPr>
          <w:spacing w:val="-12"/>
          <w:w w:val="110"/>
        </w:rPr>
        <w:t> </w:t>
      </w:r>
      <w:r>
        <w:rPr>
          <w:w w:val="110"/>
        </w:rPr>
        <w:t>changing</w:t>
      </w:r>
      <w:r>
        <w:rPr>
          <w:spacing w:val="-12"/>
          <w:w w:val="110"/>
        </w:rPr>
        <w:t> </w:t>
      </w:r>
      <w:r>
        <w:rPr>
          <w:w w:val="110"/>
        </w:rPr>
        <w:t>in</w:t>
      </w:r>
      <w:r>
        <w:rPr>
          <w:spacing w:val="-12"/>
          <w:w w:val="110"/>
        </w:rPr>
        <w:t> </w:t>
      </w:r>
      <w:r>
        <w:rPr>
          <w:w w:val="110"/>
        </w:rPr>
        <w:t>the near</w:t>
      </w:r>
      <w:r>
        <w:rPr>
          <w:spacing w:val="-6"/>
          <w:w w:val="110"/>
        </w:rPr>
        <w:t> </w:t>
      </w:r>
      <w:r>
        <w:rPr>
          <w:w w:val="110"/>
        </w:rPr>
        <w:t>future.</w:t>
      </w:r>
    </w:p>
    <w:p>
      <w:pPr>
        <w:pStyle w:val="BodyText"/>
        <w:spacing w:before="8"/>
        <w:rPr>
          <w:sz w:val="22"/>
        </w:rPr>
      </w:pPr>
    </w:p>
    <w:p>
      <w:pPr>
        <w:pStyle w:val="BodyText"/>
        <w:spacing w:line="271" w:lineRule="auto"/>
        <w:ind w:left="171" w:right="115"/>
      </w:pPr>
      <w:r>
        <w:rPr>
          <w:spacing w:val="-2"/>
          <w:w w:val="110"/>
        </w:rPr>
        <w:t>Growth </w:t>
      </w:r>
      <w:r>
        <w:rPr>
          <w:w w:val="110"/>
        </w:rPr>
        <w:t>in the services and construction </w:t>
      </w:r>
      <w:r>
        <w:rPr>
          <w:spacing w:val="-3"/>
          <w:w w:val="110"/>
        </w:rPr>
        <w:t>sectors </w:t>
      </w:r>
      <w:r>
        <w:rPr>
          <w:w w:val="110"/>
        </w:rPr>
        <w:t>continued at a </w:t>
      </w:r>
      <w:r>
        <w:rPr>
          <w:spacing w:val="-3"/>
          <w:w w:val="110"/>
        </w:rPr>
        <w:t>steady </w:t>
      </w:r>
      <w:r>
        <w:rPr>
          <w:w w:val="110"/>
        </w:rPr>
        <w:t>pace, but still appeared </w:t>
      </w:r>
      <w:r>
        <w:rPr>
          <w:spacing w:val="-4"/>
          <w:w w:val="110"/>
        </w:rPr>
        <w:t>to </w:t>
      </w:r>
      <w:r>
        <w:rPr>
          <w:w w:val="110"/>
        </w:rPr>
        <w:t>be constrained</w:t>
      </w:r>
      <w:r>
        <w:rPr>
          <w:spacing w:val="-28"/>
          <w:w w:val="110"/>
        </w:rPr>
        <w:t> </w:t>
      </w:r>
      <w:r>
        <w:rPr>
          <w:spacing w:val="-3"/>
          <w:w w:val="110"/>
        </w:rPr>
        <w:t>by</w:t>
      </w:r>
      <w:r>
        <w:rPr>
          <w:spacing w:val="-27"/>
          <w:w w:val="110"/>
        </w:rPr>
        <w:t> </w:t>
      </w:r>
      <w:r>
        <w:rPr>
          <w:w w:val="110"/>
        </w:rPr>
        <w:t>the</w:t>
      </w:r>
      <w:r>
        <w:rPr>
          <w:spacing w:val="-27"/>
          <w:w w:val="110"/>
        </w:rPr>
        <w:t> </w:t>
      </w:r>
      <w:r>
        <w:rPr>
          <w:w w:val="110"/>
        </w:rPr>
        <w:t>limited</w:t>
      </w:r>
      <w:r>
        <w:rPr>
          <w:spacing w:val="-27"/>
          <w:w w:val="110"/>
        </w:rPr>
        <w:t> </w:t>
      </w:r>
      <w:r>
        <w:rPr>
          <w:spacing w:val="-3"/>
          <w:w w:val="110"/>
        </w:rPr>
        <w:t>availability</w:t>
      </w:r>
      <w:r>
        <w:rPr>
          <w:spacing w:val="-27"/>
          <w:w w:val="110"/>
        </w:rPr>
        <w:t> </w:t>
      </w:r>
      <w:r>
        <w:rPr>
          <w:w w:val="110"/>
        </w:rPr>
        <w:t>of</w:t>
      </w:r>
      <w:r>
        <w:rPr>
          <w:spacing w:val="-27"/>
          <w:w w:val="110"/>
        </w:rPr>
        <w:t> </w:t>
      </w:r>
      <w:r>
        <w:rPr>
          <w:w w:val="110"/>
        </w:rPr>
        <w:t>suitably</w:t>
      </w:r>
      <w:r>
        <w:rPr>
          <w:spacing w:val="-27"/>
          <w:w w:val="110"/>
        </w:rPr>
        <w:t> </w:t>
      </w:r>
      <w:r>
        <w:rPr>
          <w:w w:val="110"/>
        </w:rPr>
        <w:t>skilled </w:t>
      </w:r>
      <w:r>
        <w:rPr>
          <w:spacing w:val="-3"/>
          <w:w w:val="110"/>
        </w:rPr>
        <w:t>labour. </w:t>
      </w:r>
      <w:r>
        <w:rPr>
          <w:w w:val="110"/>
        </w:rPr>
        <w:t>In </w:t>
      </w:r>
      <w:r>
        <w:rPr>
          <w:spacing w:val="-3"/>
          <w:w w:val="110"/>
        </w:rPr>
        <w:t>many </w:t>
      </w:r>
      <w:r>
        <w:rPr>
          <w:w w:val="110"/>
        </w:rPr>
        <w:t>cases, firms (particularly in London) </w:t>
      </w:r>
      <w:r>
        <w:rPr>
          <w:spacing w:val="-3"/>
          <w:w w:val="110"/>
        </w:rPr>
        <w:t>have </w:t>
      </w:r>
      <w:r>
        <w:rPr>
          <w:w w:val="110"/>
        </w:rPr>
        <w:t>mitigated the impact of labour shortages </w:t>
      </w:r>
      <w:r>
        <w:rPr>
          <w:spacing w:val="-4"/>
          <w:w w:val="110"/>
        </w:rPr>
        <w:t>to </w:t>
      </w:r>
      <w:r>
        <w:rPr>
          <w:w w:val="110"/>
        </w:rPr>
        <w:t>some </w:t>
      </w:r>
      <w:r>
        <w:rPr>
          <w:spacing w:val="-3"/>
          <w:w w:val="110"/>
        </w:rPr>
        <w:t>extent </w:t>
      </w:r>
      <w:r>
        <w:rPr>
          <w:w w:val="110"/>
        </w:rPr>
        <w:t>through the increased recruitment of </w:t>
      </w:r>
      <w:r>
        <w:rPr>
          <w:spacing w:val="-3"/>
          <w:w w:val="110"/>
        </w:rPr>
        <w:t>overseas workers.</w:t>
      </w:r>
    </w:p>
    <w:p>
      <w:pPr>
        <w:spacing w:after="0" w:line="271" w:lineRule="auto"/>
        <w:sectPr>
          <w:type w:val="continuous"/>
          <w:pgSz w:w="11900" w:h="16840"/>
          <w:pgMar w:top="1260" w:bottom="280" w:left="640" w:right="640"/>
          <w:cols w:num="2" w:equalWidth="0">
            <w:col w:w="5112" w:space="271"/>
            <w:col w:w="5237"/>
          </w:cols>
        </w:sectPr>
      </w:pPr>
    </w:p>
    <w:p>
      <w:pPr>
        <w:spacing w:before="74"/>
        <w:ind w:left="180" w:right="0" w:firstLine="0"/>
        <w:jc w:val="left"/>
        <w:rPr>
          <w:rFonts w:ascii="Trebuchet MS"/>
          <w:b/>
          <w:sz w:val="30"/>
        </w:rPr>
      </w:pPr>
      <w:bookmarkStart w:name="Press Notices" w:id="103"/>
      <w:bookmarkEnd w:id="103"/>
      <w:r>
        <w:rPr/>
      </w:r>
      <w:bookmarkStart w:name="_bookmark53" w:id="104"/>
      <w:bookmarkEnd w:id="104"/>
      <w:r>
        <w:rPr/>
      </w:r>
      <w:r>
        <w:rPr>
          <w:rFonts w:ascii="Trebuchet MS"/>
          <w:b/>
          <w:color w:val="89C6DC"/>
          <w:spacing w:val="-23"/>
          <w:w w:val="81"/>
          <w:sz w:val="30"/>
        </w:rPr>
        <w:t>T</w:t>
      </w:r>
      <w:r>
        <w:rPr>
          <w:rFonts w:ascii="Trebuchet MS"/>
          <w:b/>
          <w:color w:val="89C6DC"/>
          <w:spacing w:val="-1"/>
          <w:w w:val="84"/>
          <w:sz w:val="30"/>
        </w:rPr>
        <w:t>ex</w:t>
      </w:r>
      <w:r>
        <w:rPr>
          <w:rFonts w:ascii="Trebuchet MS"/>
          <w:b/>
          <w:color w:val="89C6DC"/>
          <w:w w:val="84"/>
          <w:sz w:val="30"/>
        </w:rPr>
        <w:t>t</w:t>
      </w:r>
      <w:r>
        <w:rPr>
          <w:rFonts w:ascii="Trebuchet MS"/>
          <w:b/>
          <w:color w:val="89C6DC"/>
          <w:spacing w:val="9"/>
          <w:sz w:val="30"/>
        </w:rPr>
        <w:t> </w:t>
      </w:r>
      <w:r>
        <w:rPr>
          <w:rFonts w:ascii="Trebuchet MS"/>
          <w:b/>
          <w:color w:val="89C6DC"/>
          <w:spacing w:val="-1"/>
          <w:w w:val="85"/>
          <w:sz w:val="30"/>
        </w:rPr>
        <w:t>o</w:t>
      </w:r>
      <w:r>
        <w:rPr>
          <w:rFonts w:ascii="Trebuchet MS"/>
          <w:b/>
          <w:color w:val="89C6DC"/>
          <w:w w:val="85"/>
          <w:sz w:val="30"/>
        </w:rPr>
        <w:t>f</w:t>
      </w:r>
      <w:r>
        <w:rPr>
          <w:rFonts w:ascii="Trebuchet MS"/>
          <w:b/>
          <w:color w:val="89C6DC"/>
          <w:spacing w:val="9"/>
          <w:sz w:val="30"/>
        </w:rPr>
        <w:t> </w:t>
      </w:r>
      <w:r>
        <w:rPr>
          <w:rFonts w:ascii="Trebuchet MS"/>
          <w:b/>
          <w:color w:val="89C6DC"/>
          <w:spacing w:val="-4"/>
          <w:w w:val="99"/>
          <w:sz w:val="30"/>
        </w:rPr>
        <w:t>B</w:t>
      </w:r>
      <w:r>
        <w:rPr>
          <w:rFonts w:ascii="Trebuchet MS"/>
          <w:b/>
          <w:color w:val="89C6DC"/>
          <w:spacing w:val="-1"/>
          <w:w w:val="91"/>
          <w:sz w:val="30"/>
        </w:rPr>
        <w:t>an</w:t>
      </w:r>
      <w:r>
        <w:rPr>
          <w:rFonts w:ascii="Trebuchet MS"/>
          <w:b/>
          <w:color w:val="89C6DC"/>
          <w:w w:val="91"/>
          <w:sz w:val="30"/>
        </w:rPr>
        <w:t>k</w:t>
      </w:r>
      <w:r>
        <w:rPr>
          <w:rFonts w:ascii="Trebuchet MS"/>
          <w:b/>
          <w:color w:val="89C6DC"/>
          <w:spacing w:val="9"/>
          <w:sz w:val="30"/>
        </w:rPr>
        <w:t> </w:t>
      </w:r>
      <w:r>
        <w:rPr>
          <w:rFonts w:ascii="Trebuchet MS"/>
          <w:b/>
          <w:color w:val="89C6DC"/>
          <w:spacing w:val="-1"/>
          <w:w w:val="85"/>
          <w:sz w:val="30"/>
        </w:rPr>
        <w:t>o</w:t>
      </w:r>
      <w:r>
        <w:rPr>
          <w:rFonts w:ascii="Trebuchet MS"/>
          <w:b/>
          <w:color w:val="89C6DC"/>
          <w:w w:val="85"/>
          <w:sz w:val="30"/>
        </w:rPr>
        <w:t>f</w:t>
      </w:r>
      <w:r>
        <w:rPr>
          <w:rFonts w:ascii="Trebuchet MS"/>
          <w:b/>
          <w:color w:val="89C6DC"/>
          <w:spacing w:val="9"/>
          <w:sz w:val="30"/>
        </w:rPr>
        <w:t> </w:t>
      </w:r>
      <w:r>
        <w:rPr>
          <w:rFonts w:ascii="Trebuchet MS"/>
          <w:b/>
          <w:color w:val="89C6DC"/>
          <w:spacing w:val="-2"/>
          <w:w w:val="87"/>
          <w:sz w:val="30"/>
        </w:rPr>
        <w:t>E</w:t>
      </w:r>
      <w:r>
        <w:rPr>
          <w:rFonts w:ascii="Trebuchet MS"/>
          <w:b/>
          <w:color w:val="89C6DC"/>
          <w:spacing w:val="-1"/>
          <w:w w:val="95"/>
          <w:sz w:val="30"/>
        </w:rPr>
        <w:t>nglan</w:t>
      </w:r>
      <w:r>
        <w:rPr>
          <w:rFonts w:ascii="Trebuchet MS"/>
          <w:b/>
          <w:color w:val="89C6DC"/>
          <w:w w:val="95"/>
          <w:sz w:val="30"/>
        </w:rPr>
        <w:t>d</w:t>
      </w:r>
      <w:r>
        <w:rPr>
          <w:rFonts w:ascii="Trebuchet MS"/>
          <w:b/>
          <w:color w:val="89C6DC"/>
          <w:spacing w:val="9"/>
          <w:sz w:val="30"/>
        </w:rPr>
        <w:t> </w:t>
      </w:r>
      <w:r>
        <w:rPr>
          <w:rFonts w:ascii="Trebuchet MS"/>
          <w:b/>
          <w:color w:val="89C6DC"/>
          <w:spacing w:val="-1"/>
          <w:w w:val="88"/>
          <w:sz w:val="30"/>
        </w:rPr>
        <w:t>p</w:t>
      </w:r>
      <w:r>
        <w:rPr>
          <w:rFonts w:ascii="Trebuchet MS"/>
          <w:b/>
          <w:color w:val="89C6DC"/>
          <w:spacing w:val="-6"/>
          <w:w w:val="88"/>
          <w:sz w:val="30"/>
        </w:rPr>
        <w:t>r</w:t>
      </w:r>
      <w:r>
        <w:rPr>
          <w:rFonts w:ascii="Trebuchet MS"/>
          <w:b/>
          <w:color w:val="89C6DC"/>
          <w:spacing w:val="-1"/>
          <w:w w:val="99"/>
          <w:sz w:val="30"/>
        </w:rPr>
        <w:t>es</w:t>
      </w:r>
      <w:r>
        <w:rPr>
          <w:rFonts w:ascii="Trebuchet MS"/>
          <w:b/>
          <w:color w:val="89C6DC"/>
          <w:w w:val="99"/>
          <w:sz w:val="30"/>
        </w:rPr>
        <w:t>s</w:t>
      </w:r>
      <w:r>
        <w:rPr>
          <w:rFonts w:ascii="Trebuchet MS"/>
          <w:b/>
          <w:color w:val="89C6DC"/>
          <w:spacing w:val="9"/>
          <w:sz w:val="30"/>
        </w:rPr>
        <w:t> </w:t>
      </w:r>
      <w:r>
        <w:rPr>
          <w:rFonts w:ascii="Trebuchet MS"/>
          <w:b/>
          <w:color w:val="89C6DC"/>
          <w:spacing w:val="-1"/>
          <w:w w:val="86"/>
          <w:sz w:val="30"/>
        </w:rPr>
        <w:t>notic</w:t>
      </w:r>
      <w:r>
        <w:rPr>
          <w:rFonts w:ascii="Trebuchet MS"/>
          <w:b/>
          <w:color w:val="89C6DC"/>
          <w:w w:val="86"/>
          <w:sz w:val="30"/>
        </w:rPr>
        <w:t>e</w:t>
      </w:r>
      <w:r>
        <w:rPr>
          <w:rFonts w:ascii="Trebuchet MS"/>
          <w:b/>
          <w:color w:val="89C6DC"/>
          <w:spacing w:val="9"/>
          <w:sz w:val="30"/>
        </w:rPr>
        <w:t> </w:t>
      </w:r>
      <w:r>
        <w:rPr>
          <w:rFonts w:ascii="Trebuchet MS"/>
          <w:b/>
          <w:color w:val="89C6DC"/>
          <w:spacing w:val="-1"/>
          <w:w w:val="85"/>
          <w:sz w:val="30"/>
        </w:rPr>
        <w:t>o</w:t>
      </w:r>
      <w:r>
        <w:rPr>
          <w:rFonts w:ascii="Trebuchet MS"/>
          <w:b/>
          <w:color w:val="89C6DC"/>
          <w:w w:val="85"/>
          <w:sz w:val="30"/>
        </w:rPr>
        <w:t>f</w:t>
      </w:r>
      <w:r>
        <w:rPr>
          <w:rFonts w:ascii="Trebuchet MS"/>
          <w:b/>
          <w:color w:val="89C6DC"/>
          <w:spacing w:val="9"/>
          <w:sz w:val="30"/>
        </w:rPr>
        <w:t> </w:t>
      </w:r>
      <w:r>
        <w:rPr>
          <w:rFonts w:ascii="Trebuchet MS"/>
          <w:b/>
          <w:color w:val="89C6DC"/>
          <w:w w:val="91"/>
          <w:sz w:val="30"/>
        </w:rPr>
        <w:t>7</w:t>
      </w:r>
      <w:r>
        <w:rPr>
          <w:rFonts w:ascii="Trebuchet MS"/>
          <w:b/>
          <w:color w:val="89C6DC"/>
          <w:spacing w:val="9"/>
          <w:sz w:val="30"/>
        </w:rPr>
        <w:t> </w:t>
      </w:r>
      <w:r>
        <w:rPr>
          <w:rFonts w:ascii="Trebuchet MS"/>
          <w:b/>
          <w:color w:val="89C6DC"/>
          <w:spacing w:val="-2"/>
          <w:w w:val="94"/>
          <w:sz w:val="30"/>
        </w:rPr>
        <w:t>D</w:t>
      </w:r>
      <w:r>
        <w:rPr>
          <w:rFonts w:ascii="Trebuchet MS"/>
          <w:b/>
          <w:color w:val="89C6DC"/>
          <w:spacing w:val="-1"/>
          <w:w w:val="87"/>
          <w:sz w:val="30"/>
        </w:rPr>
        <w:t>ecembe</w:t>
      </w:r>
      <w:r>
        <w:rPr>
          <w:rFonts w:ascii="Trebuchet MS"/>
          <w:b/>
          <w:color w:val="89C6DC"/>
          <w:w w:val="87"/>
          <w:sz w:val="30"/>
        </w:rPr>
        <w:t>r</w:t>
      </w:r>
      <w:r>
        <w:rPr>
          <w:rFonts w:ascii="Trebuchet MS"/>
          <w:b/>
          <w:color w:val="89C6DC"/>
          <w:spacing w:val="9"/>
          <w:sz w:val="30"/>
        </w:rPr>
        <w:t> </w:t>
      </w:r>
      <w:r>
        <w:rPr>
          <w:rFonts w:ascii="Trebuchet MS"/>
          <w:b/>
          <w:smallCaps/>
          <w:color w:val="89C6DC"/>
          <w:spacing w:val="-1"/>
          <w:w w:val="91"/>
          <w:sz w:val="30"/>
        </w:rPr>
        <w:t>2000</w:t>
      </w:r>
    </w:p>
    <w:p>
      <w:pPr>
        <w:spacing w:before="291"/>
        <w:ind w:left="180" w:right="0" w:firstLine="0"/>
        <w:jc w:val="left"/>
        <w:rPr>
          <w:rFonts w:ascii="Trebuchet MS"/>
          <w:b/>
          <w:sz w:val="30"/>
        </w:rPr>
      </w:pPr>
      <w:r>
        <w:rPr>
          <w:rFonts w:ascii="Trebuchet MS"/>
          <w:b/>
          <w:color w:val="89C6DC"/>
          <w:sz w:val="30"/>
        </w:rPr>
        <w:t>Bank of England maintains interest rates at 6.0%</w:t>
      </w:r>
    </w:p>
    <w:p>
      <w:pPr>
        <w:spacing w:line="511" w:lineRule="auto" w:before="199"/>
        <w:ind w:left="184" w:right="2420" w:firstLine="0"/>
        <w:jc w:val="left"/>
        <w:rPr>
          <w:sz w:val="18"/>
        </w:rPr>
      </w:pPr>
      <w:r>
        <w:rPr>
          <w:w w:val="110"/>
          <w:sz w:val="18"/>
        </w:rPr>
        <w:t>The</w:t>
      </w:r>
      <w:r>
        <w:rPr>
          <w:spacing w:val="-22"/>
          <w:w w:val="110"/>
          <w:sz w:val="18"/>
        </w:rPr>
        <w:t> </w:t>
      </w:r>
      <w:r>
        <w:rPr>
          <w:w w:val="110"/>
          <w:sz w:val="18"/>
        </w:rPr>
        <w:t>Bank</w:t>
      </w:r>
      <w:r>
        <w:rPr>
          <w:spacing w:val="-22"/>
          <w:w w:val="110"/>
          <w:sz w:val="18"/>
        </w:rPr>
        <w:t> </w:t>
      </w:r>
      <w:r>
        <w:rPr>
          <w:w w:val="110"/>
          <w:sz w:val="18"/>
        </w:rPr>
        <w:t>of</w:t>
      </w:r>
      <w:r>
        <w:rPr>
          <w:spacing w:val="-21"/>
          <w:w w:val="110"/>
          <w:sz w:val="18"/>
        </w:rPr>
        <w:t> </w:t>
      </w:r>
      <w:r>
        <w:rPr>
          <w:spacing w:val="-3"/>
          <w:w w:val="110"/>
          <w:sz w:val="18"/>
        </w:rPr>
        <w:t>England’s</w:t>
      </w:r>
      <w:r>
        <w:rPr>
          <w:spacing w:val="-22"/>
          <w:w w:val="110"/>
          <w:sz w:val="18"/>
        </w:rPr>
        <w:t> </w:t>
      </w:r>
      <w:r>
        <w:rPr>
          <w:w w:val="110"/>
          <w:sz w:val="18"/>
        </w:rPr>
        <w:t>Monetary</w:t>
      </w:r>
      <w:r>
        <w:rPr>
          <w:spacing w:val="-21"/>
          <w:w w:val="110"/>
          <w:sz w:val="18"/>
        </w:rPr>
        <w:t> </w:t>
      </w:r>
      <w:r>
        <w:rPr>
          <w:spacing w:val="-4"/>
          <w:w w:val="110"/>
          <w:sz w:val="18"/>
        </w:rPr>
        <w:t>Policy</w:t>
      </w:r>
      <w:r>
        <w:rPr>
          <w:spacing w:val="-22"/>
          <w:w w:val="110"/>
          <w:sz w:val="18"/>
        </w:rPr>
        <w:t> </w:t>
      </w:r>
      <w:r>
        <w:rPr>
          <w:spacing w:val="-3"/>
          <w:w w:val="110"/>
          <w:sz w:val="18"/>
        </w:rPr>
        <w:t>Committee</w:t>
      </w:r>
      <w:r>
        <w:rPr>
          <w:spacing w:val="-21"/>
          <w:w w:val="110"/>
          <w:sz w:val="18"/>
        </w:rPr>
        <w:t> </w:t>
      </w:r>
      <w:r>
        <w:rPr>
          <w:spacing w:val="-3"/>
          <w:w w:val="110"/>
          <w:sz w:val="18"/>
        </w:rPr>
        <w:t>today</w:t>
      </w:r>
      <w:r>
        <w:rPr>
          <w:spacing w:val="-22"/>
          <w:w w:val="110"/>
          <w:sz w:val="18"/>
        </w:rPr>
        <w:t> </w:t>
      </w:r>
      <w:r>
        <w:rPr>
          <w:spacing w:val="-3"/>
          <w:w w:val="110"/>
          <w:sz w:val="18"/>
        </w:rPr>
        <w:t>voted</w:t>
      </w:r>
      <w:r>
        <w:rPr>
          <w:spacing w:val="-21"/>
          <w:w w:val="110"/>
          <w:sz w:val="18"/>
        </w:rPr>
        <w:t> </w:t>
      </w:r>
      <w:r>
        <w:rPr>
          <w:spacing w:val="-3"/>
          <w:w w:val="110"/>
          <w:sz w:val="18"/>
        </w:rPr>
        <w:t>to</w:t>
      </w:r>
      <w:r>
        <w:rPr>
          <w:spacing w:val="-22"/>
          <w:w w:val="110"/>
          <w:sz w:val="18"/>
        </w:rPr>
        <w:t> </w:t>
      </w:r>
      <w:r>
        <w:rPr>
          <w:w w:val="110"/>
          <w:sz w:val="18"/>
        </w:rPr>
        <w:t>maintain</w:t>
      </w:r>
      <w:r>
        <w:rPr>
          <w:spacing w:val="-21"/>
          <w:w w:val="110"/>
          <w:sz w:val="18"/>
        </w:rPr>
        <w:t> </w:t>
      </w:r>
      <w:r>
        <w:rPr>
          <w:w w:val="110"/>
          <w:sz w:val="18"/>
        </w:rPr>
        <w:t>the</w:t>
      </w:r>
      <w:r>
        <w:rPr>
          <w:spacing w:val="-22"/>
          <w:w w:val="110"/>
          <w:sz w:val="18"/>
        </w:rPr>
        <w:t> </w:t>
      </w:r>
      <w:r>
        <w:rPr>
          <w:spacing w:val="-3"/>
          <w:w w:val="110"/>
          <w:sz w:val="18"/>
        </w:rPr>
        <w:t>Bank’s</w:t>
      </w:r>
      <w:r>
        <w:rPr>
          <w:spacing w:val="-22"/>
          <w:w w:val="110"/>
          <w:sz w:val="18"/>
        </w:rPr>
        <w:t> </w:t>
      </w:r>
      <w:r>
        <w:rPr>
          <w:w w:val="110"/>
          <w:sz w:val="18"/>
        </w:rPr>
        <w:t>repo</w:t>
      </w:r>
      <w:r>
        <w:rPr>
          <w:spacing w:val="-21"/>
          <w:w w:val="110"/>
          <w:sz w:val="18"/>
        </w:rPr>
        <w:t> </w:t>
      </w:r>
      <w:r>
        <w:rPr>
          <w:spacing w:val="-4"/>
          <w:w w:val="110"/>
          <w:sz w:val="18"/>
        </w:rPr>
        <w:t>rate</w:t>
      </w:r>
      <w:r>
        <w:rPr>
          <w:spacing w:val="-22"/>
          <w:w w:val="110"/>
          <w:sz w:val="18"/>
        </w:rPr>
        <w:t> </w:t>
      </w:r>
      <w:r>
        <w:rPr>
          <w:w w:val="110"/>
          <w:sz w:val="18"/>
        </w:rPr>
        <w:t>at</w:t>
      </w:r>
      <w:r>
        <w:rPr>
          <w:spacing w:val="-21"/>
          <w:w w:val="110"/>
          <w:sz w:val="18"/>
        </w:rPr>
        <w:t> </w:t>
      </w:r>
      <w:r>
        <w:rPr>
          <w:w w:val="110"/>
          <w:sz w:val="18"/>
        </w:rPr>
        <w:t>6.0%. The</w:t>
      </w:r>
      <w:r>
        <w:rPr>
          <w:spacing w:val="-9"/>
          <w:w w:val="110"/>
          <w:sz w:val="18"/>
        </w:rPr>
        <w:t> </w:t>
      </w:r>
      <w:r>
        <w:rPr>
          <w:w w:val="110"/>
          <w:sz w:val="18"/>
        </w:rPr>
        <w:t>minutes</w:t>
      </w:r>
      <w:r>
        <w:rPr>
          <w:spacing w:val="-8"/>
          <w:w w:val="110"/>
          <w:sz w:val="18"/>
        </w:rPr>
        <w:t> </w:t>
      </w:r>
      <w:r>
        <w:rPr>
          <w:w w:val="110"/>
          <w:sz w:val="18"/>
        </w:rPr>
        <w:t>of</w:t>
      </w:r>
      <w:r>
        <w:rPr>
          <w:spacing w:val="-9"/>
          <w:w w:val="110"/>
          <w:sz w:val="18"/>
        </w:rPr>
        <w:t> </w:t>
      </w:r>
      <w:r>
        <w:rPr>
          <w:w w:val="110"/>
          <w:sz w:val="18"/>
        </w:rPr>
        <w:t>the</w:t>
      </w:r>
      <w:r>
        <w:rPr>
          <w:spacing w:val="-8"/>
          <w:w w:val="110"/>
          <w:sz w:val="18"/>
        </w:rPr>
        <w:t> </w:t>
      </w:r>
      <w:r>
        <w:rPr>
          <w:w w:val="110"/>
          <w:sz w:val="18"/>
        </w:rPr>
        <w:t>meeting</w:t>
      </w:r>
      <w:r>
        <w:rPr>
          <w:spacing w:val="-8"/>
          <w:w w:val="110"/>
          <w:sz w:val="18"/>
        </w:rPr>
        <w:t> </w:t>
      </w:r>
      <w:r>
        <w:rPr>
          <w:w w:val="110"/>
          <w:sz w:val="18"/>
        </w:rPr>
        <w:t>will</w:t>
      </w:r>
      <w:r>
        <w:rPr>
          <w:spacing w:val="-9"/>
          <w:w w:val="110"/>
          <w:sz w:val="18"/>
        </w:rPr>
        <w:t> </w:t>
      </w:r>
      <w:r>
        <w:rPr>
          <w:w w:val="110"/>
          <w:sz w:val="18"/>
        </w:rPr>
        <w:t>be</w:t>
      </w:r>
      <w:r>
        <w:rPr>
          <w:spacing w:val="-8"/>
          <w:w w:val="110"/>
          <w:sz w:val="18"/>
        </w:rPr>
        <w:t> </w:t>
      </w:r>
      <w:r>
        <w:rPr>
          <w:w w:val="110"/>
          <w:sz w:val="18"/>
        </w:rPr>
        <w:t>published</w:t>
      </w:r>
      <w:r>
        <w:rPr>
          <w:spacing w:val="-8"/>
          <w:w w:val="110"/>
          <w:sz w:val="18"/>
        </w:rPr>
        <w:t> </w:t>
      </w:r>
      <w:r>
        <w:rPr>
          <w:w w:val="110"/>
          <w:sz w:val="18"/>
        </w:rPr>
        <w:t>at</w:t>
      </w:r>
      <w:r>
        <w:rPr>
          <w:spacing w:val="-9"/>
          <w:w w:val="110"/>
          <w:sz w:val="18"/>
        </w:rPr>
        <w:t> </w:t>
      </w:r>
      <w:r>
        <w:rPr>
          <w:spacing w:val="-5"/>
          <w:w w:val="110"/>
          <w:sz w:val="18"/>
        </w:rPr>
        <w:t>9.30</w:t>
      </w:r>
      <w:r>
        <w:rPr>
          <w:spacing w:val="-8"/>
          <w:w w:val="110"/>
          <w:sz w:val="18"/>
        </w:rPr>
        <w:t> </w:t>
      </w:r>
      <w:r>
        <w:rPr>
          <w:w w:val="110"/>
          <w:sz w:val="18"/>
        </w:rPr>
        <w:t>am</w:t>
      </w:r>
      <w:r>
        <w:rPr>
          <w:spacing w:val="-9"/>
          <w:w w:val="110"/>
          <w:sz w:val="18"/>
        </w:rPr>
        <w:t> </w:t>
      </w:r>
      <w:r>
        <w:rPr>
          <w:w w:val="110"/>
          <w:sz w:val="18"/>
        </w:rPr>
        <w:t>on</w:t>
      </w:r>
      <w:r>
        <w:rPr>
          <w:spacing w:val="-8"/>
          <w:w w:val="110"/>
          <w:sz w:val="18"/>
        </w:rPr>
        <w:t> </w:t>
      </w:r>
      <w:r>
        <w:rPr>
          <w:spacing w:val="-3"/>
          <w:w w:val="110"/>
          <w:sz w:val="18"/>
        </w:rPr>
        <w:t>Wednesday</w:t>
      </w:r>
      <w:r>
        <w:rPr>
          <w:spacing w:val="-8"/>
          <w:w w:val="110"/>
          <w:sz w:val="18"/>
        </w:rPr>
        <w:t> </w:t>
      </w:r>
      <w:r>
        <w:rPr>
          <w:spacing w:val="-6"/>
          <w:w w:val="110"/>
          <w:sz w:val="18"/>
        </w:rPr>
        <w:t>20</w:t>
      </w:r>
      <w:r>
        <w:rPr>
          <w:spacing w:val="-9"/>
          <w:w w:val="110"/>
          <w:sz w:val="18"/>
        </w:rPr>
        <w:t> </w:t>
      </w:r>
      <w:r>
        <w:rPr>
          <w:w w:val="110"/>
          <w:sz w:val="18"/>
        </w:rPr>
        <w:t>December.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17"/>
        </w:rPr>
      </w:pPr>
    </w:p>
    <w:p>
      <w:pPr>
        <w:pStyle w:val="Heading2"/>
        <w:spacing w:line="640" w:lineRule="atLeast"/>
        <w:ind w:right="3225"/>
      </w:pPr>
      <w:r>
        <w:rPr>
          <w:color w:val="89C6DC"/>
          <w:spacing w:val="-23"/>
          <w:w w:val="81"/>
        </w:rPr>
        <w:t>T</w:t>
      </w:r>
      <w:r>
        <w:rPr>
          <w:color w:val="89C6DC"/>
          <w:spacing w:val="-1"/>
          <w:w w:val="84"/>
        </w:rPr>
        <w:t>ex</w:t>
      </w:r>
      <w:r>
        <w:rPr>
          <w:color w:val="89C6DC"/>
          <w:w w:val="84"/>
        </w:rPr>
        <w:t>t</w:t>
      </w:r>
      <w:r>
        <w:rPr>
          <w:color w:val="89C6DC"/>
          <w:spacing w:val="9"/>
        </w:rPr>
        <w:t> </w:t>
      </w:r>
      <w:r>
        <w:rPr>
          <w:color w:val="89C6DC"/>
          <w:spacing w:val="-1"/>
          <w:w w:val="85"/>
        </w:rPr>
        <w:t>o</w:t>
      </w:r>
      <w:r>
        <w:rPr>
          <w:color w:val="89C6DC"/>
          <w:w w:val="85"/>
        </w:rPr>
        <w:t>f</w:t>
      </w:r>
      <w:r>
        <w:rPr>
          <w:color w:val="89C6DC"/>
          <w:spacing w:val="9"/>
        </w:rPr>
        <w:t> </w:t>
      </w:r>
      <w:r>
        <w:rPr>
          <w:color w:val="89C6DC"/>
          <w:spacing w:val="-4"/>
          <w:w w:val="99"/>
        </w:rPr>
        <w:t>B</w:t>
      </w:r>
      <w:r>
        <w:rPr>
          <w:color w:val="89C6DC"/>
          <w:spacing w:val="-1"/>
          <w:w w:val="91"/>
        </w:rPr>
        <w:t>an</w:t>
      </w:r>
      <w:r>
        <w:rPr>
          <w:color w:val="89C6DC"/>
          <w:w w:val="91"/>
        </w:rPr>
        <w:t>k</w:t>
      </w:r>
      <w:r>
        <w:rPr>
          <w:color w:val="89C6DC"/>
          <w:spacing w:val="9"/>
        </w:rPr>
        <w:t> </w:t>
      </w:r>
      <w:r>
        <w:rPr>
          <w:color w:val="89C6DC"/>
          <w:spacing w:val="-1"/>
          <w:w w:val="85"/>
        </w:rPr>
        <w:t>o</w:t>
      </w:r>
      <w:r>
        <w:rPr>
          <w:color w:val="89C6DC"/>
          <w:w w:val="85"/>
        </w:rPr>
        <w:t>f</w:t>
      </w:r>
      <w:r>
        <w:rPr>
          <w:color w:val="89C6DC"/>
          <w:spacing w:val="9"/>
        </w:rPr>
        <w:t> </w:t>
      </w:r>
      <w:r>
        <w:rPr>
          <w:color w:val="89C6DC"/>
          <w:spacing w:val="-2"/>
          <w:w w:val="87"/>
        </w:rPr>
        <w:t>E</w:t>
      </w:r>
      <w:r>
        <w:rPr>
          <w:color w:val="89C6DC"/>
          <w:spacing w:val="-1"/>
          <w:w w:val="95"/>
        </w:rPr>
        <w:t>nglan</w:t>
      </w:r>
      <w:r>
        <w:rPr>
          <w:color w:val="89C6DC"/>
          <w:w w:val="95"/>
        </w:rPr>
        <w:t>d</w:t>
      </w:r>
      <w:r>
        <w:rPr>
          <w:color w:val="89C6DC"/>
          <w:spacing w:val="9"/>
        </w:rPr>
        <w:t> </w:t>
      </w:r>
      <w:r>
        <w:rPr>
          <w:color w:val="89C6DC"/>
          <w:spacing w:val="-1"/>
          <w:w w:val="88"/>
        </w:rPr>
        <w:t>p</w:t>
      </w:r>
      <w:r>
        <w:rPr>
          <w:color w:val="89C6DC"/>
          <w:spacing w:val="-6"/>
          <w:w w:val="88"/>
        </w:rPr>
        <w:t>r</w:t>
      </w:r>
      <w:r>
        <w:rPr>
          <w:color w:val="89C6DC"/>
          <w:spacing w:val="-1"/>
          <w:w w:val="99"/>
        </w:rPr>
        <w:t>es</w:t>
      </w:r>
      <w:r>
        <w:rPr>
          <w:color w:val="89C6DC"/>
          <w:w w:val="99"/>
        </w:rPr>
        <w:t>s</w:t>
      </w:r>
      <w:r>
        <w:rPr>
          <w:color w:val="89C6DC"/>
          <w:spacing w:val="9"/>
        </w:rPr>
        <w:t> </w:t>
      </w:r>
      <w:r>
        <w:rPr>
          <w:color w:val="89C6DC"/>
          <w:spacing w:val="-1"/>
          <w:w w:val="86"/>
        </w:rPr>
        <w:t>notic</w:t>
      </w:r>
      <w:r>
        <w:rPr>
          <w:color w:val="89C6DC"/>
          <w:w w:val="86"/>
        </w:rPr>
        <w:t>e</w:t>
      </w:r>
      <w:r>
        <w:rPr>
          <w:color w:val="89C6DC"/>
          <w:spacing w:val="9"/>
        </w:rPr>
        <w:t> </w:t>
      </w:r>
      <w:r>
        <w:rPr>
          <w:color w:val="89C6DC"/>
          <w:spacing w:val="-1"/>
          <w:w w:val="85"/>
        </w:rPr>
        <w:t>o</w:t>
      </w:r>
      <w:r>
        <w:rPr>
          <w:color w:val="89C6DC"/>
          <w:w w:val="85"/>
        </w:rPr>
        <w:t>f</w:t>
      </w:r>
      <w:r>
        <w:rPr>
          <w:color w:val="89C6DC"/>
          <w:spacing w:val="9"/>
        </w:rPr>
        <w:t> </w:t>
      </w:r>
      <w:r>
        <w:rPr>
          <w:smallCaps/>
          <w:color w:val="89C6DC"/>
          <w:spacing w:val="-1"/>
          <w:w w:val="76"/>
        </w:rPr>
        <w:t>1</w:t>
      </w:r>
      <w:r>
        <w:rPr>
          <w:smallCaps/>
          <w:color w:val="89C6DC"/>
          <w:w w:val="76"/>
        </w:rPr>
        <w:t>1</w:t>
      </w:r>
      <w:r>
        <w:rPr>
          <w:smallCaps w:val="0"/>
          <w:color w:val="89C6DC"/>
          <w:spacing w:val="9"/>
        </w:rPr>
        <w:t> </w:t>
      </w:r>
      <w:r>
        <w:rPr>
          <w:smallCaps w:val="0"/>
          <w:color w:val="89C6DC"/>
          <w:spacing w:val="-8"/>
          <w:w w:val="53"/>
        </w:rPr>
        <w:t>J</w:t>
      </w:r>
      <w:r>
        <w:rPr>
          <w:smallCaps w:val="0"/>
          <w:color w:val="89C6DC"/>
          <w:spacing w:val="-1"/>
          <w:w w:val="89"/>
        </w:rPr>
        <w:t>anua</w:t>
      </w:r>
      <w:r>
        <w:rPr>
          <w:smallCaps w:val="0"/>
          <w:color w:val="89C6DC"/>
          <w:spacing w:val="5"/>
          <w:w w:val="89"/>
        </w:rPr>
        <w:t>r</w:t>
      </w:r>
      <w:r>
        <w:rPr>
          <w:smallCaps w:val="0"/>
          <w:color w:val="89C6DC"/>
          <w:w w:val="93"/>
        </w:rPr>
        <w:t>y</w:t>
      </w:r>
      <w:r>
        <w:rPr>
          <w:smallCaps w:val="0"/>
          <w:color w:val="89C6DC"/>
          <w:spacing w:val="9"/>
        </w:rPr>
        <w:t> </w:t>
      </w:r>
      <w:r>
        <w:rPr>
          <w:smallCaps/>
          <w:color w:val="89C6DC"/>
          <w:spacing w:val="-1"/>
          <w:w w:val="87"/>
        </w:rPr>
        <w:t>2001</w:t>
      </w:r>
      <w:r>
        <w:rPr>
          <w:smallCaps w:val="0"/>
          <w:color w:val="89C6DC"/>
          <w:spacing w:val="-1"/>
          <w:w w:val="87"/>
        </w:rPr>
        <w:t> </w:t>
      </w:r>
      <w:r>
        <w:rPr>
          <w:smallCaps w:val="0"/>
          <w:color w:val="89C6DC"/>
          <w:spacing w:val="-4"/>
          <w:w w:val="99"/>
        </w:rPr>
        <w:t>B</w:t>
      </w:r>
      <w:r>
        <w:rPr>
          <w:smallCaps w:val="0"/>
          <w:color w:val="89C6DC"/>
          <w:spacing w:val="-1"/>
          <w:w w:val="91"/>
        </w:rPr>
        <w:t>an</w:t>
      </w:r>
      <w:r>
        <w:rPr>
          <w:smallCaps w:val="0"/>
          <w:color w:val="89C6DC"/>
          <w:w w:val="91"/>
        </w:rPr>
        <w:t>k</w:t>
      </w:r>
      <w:r>
        <w:rPr>
          <w:smallCaps w:val="0"/>
          <w:color w:val="89C6DC"/>
          <w:spacing w:val="9"/>
        </w:rPr>
        <w:t> </w:t>
      </w:r>
      <w:r>
        <w:rPr>
          <w:smallCaps w:val="0"/>
          <w:color w:val="89C6DC"/>
          <w:spacing w:val="-1"/>
          <w:w w:val="85"/>
        </w:rPr>
        <w:t>o</w:t>
      </w:r>
      <w:r>
        <w:rPr>
          <w:smallCaps w:val="0"/>
          <w:color w:val="89C6DC"/>
          <w:w w:val="85"/>
        </w:rPr>
        <w:t>f</w:t>
      </w:r>
      <w:r>
        <w:rPr>
          <w:smallCaps w:val="0"/>
          <w:color w:val="89C6DC"/>
          <w:spacing w:val="9"/>
        </w:rPr>
        <w:t> </w:t>
      </w:r>
      <w:r>
        <w:rPr>
          <w:smallCaps w:val="0"/>
          <w:color w:val="89C6DC"/>
          <w:spacing w:val="-2"/>
          <w:w w:val="87"/>
        </w:rPr>
        <w:t>E</w:t>
      </w:r>
      <w:r>
        <w:rPr>
          <w:smallCaps w:val="0"/>
          <w:color w:val="89C6DC"/>
          <w:spacing w:val="-1"/>
          <w:w w:val="95"/>
        </w:rPr>
        <w:t>nglan</w:t>
      </w:r>
      <w:r>
        <w:rPr>
          <w:smallCaps w:val="0"/>
          <w:color w:val="89C6DC"/>
          <w:w w:val="95"/>
        </w:rPr>
        <w:t>d</w:t>
      </w:r>
      <w:r>
        <w:rPr>
          <w:smallCaps w:val="0"/>
          <w:color w:val="89C6DC"/>
          <w:spacing w:val="9"/>
        </w:rPr>
        <w:t> </w:t>
      </w:r>
      <w:r>
        <w:rPr>
          <w:smallCaps w:val="0"/>
          <w:color w:val="89C6DC"/>
          <w:spacing w:val="-1"/>
          <w:w w:val="90"/>
        </w:rPr>
        <w:t>maintain</w:t>
      </w:r>
      <w:r>
        <w:rPr>
          <w:smallCaps w:val="0"/>
          <w:color w:val="89C6DC"/>
          <w:w w:val="90"/>
        </w:rPr>
        <w:t>s</w:t>
      </w:r>
      <w:r>
        <w:rPr>
          <w:smallCaps w:val="0"/>
          <w:color w:val="89C6DC"/>
          <w:spacing w:val="9"/>
        </w:rPr>
        <w:t> </w:t>
      </w:r>
      <w:r>
        <w:rPr>
          <w:smallCaps w:val="0"/>
          <w:color w:val="89C6DC"/>
          <w:spacing w:val="-1"/>
          <w:w w:val="84"/>
        </w:rPr>
        <w:t>inte</w:t>
      </w:r>
      <w:r>
        <w:rPr>
          <w:smallCaps w:val="0"/>
          <w:color w:val="89C6DC"/>
          <w:spacing w:val="-6"/>
          <w:w w:val="84"/>
        </w:rPr>
        <w:t>r</w:t>
      </w:r>
      <w:r>
        <w:rPr>
          <w:smallCaps w:val="0"/>
          <w:color w:val="89C6DC"/>
          <w:spacing w:val="-1"/>
          <w:w w:val="90"/>
        </w:rPr>
        <w:t>es</w:t>
      </w:r>
      <w:r>
        <w:rPr>
          <w:smallCaps w:val="0"/>
          <w:color w:val="89C6DC"/>
          <w:w w:val="90"/>
        </w:rPr>
        <w:t>t</w:t>
      </w:r>
      <w:r>
        <w:rPr>
          <w:smallCaps w:val="0"/>
          <w:color w:val="89C6DC"/>
          <w:spacing w:val="9"/>
        </w:rPr>
        <w:t> </w:t>
      </w:r>
      <w:r>
        <w:rPr>
          <w:smallCaps w:val="0"/>
          <w:color w:val="89C6DC"/>
          <w:spacing w:val="-1"/>
          <w:w w:val="89"/>
        </w:rPr>
        <w:t>rate</w:t>
      </w:r>
      <w:r>
        <w:rPr>
          <w:smallCaps w:val="0"/>
          <w:color w:val="89C6DC"/>
          <w:w w:val="89"/>
        </w:rPr>
        <w:t>s</w:t>
      </w:r>
      <w:r>
        <w:rPr>
          <w:smallCaps w:val="0"/>
          <w:color w:val="89C6DC"/>
          <w:spacing w:val="9"/>
        </w:rPr>
        <w:t> </w:t>
      </w:r>
      <w:r>
        <w:rPr>
          <w:smallCaps w:val="0"/>
          <w:color w:val="89C6DC"/>
          <w:spacing w:val="-1"/>
          <w:w w:val="86"/>
        </w:rPr>
        <w:t>a</w:t>
      </w:r>
      <w:r>
        <w:rPr>
          <w:smallCaps w:val="0"/>
          <w:color w:val="89C6DC"/>
          <w:w w:val="86"/>
        </w:rPr>
        <w:t>t</w:t>
      </w:r>
      <w:r>
        <w:rPr>
          <w:smallCaps w:val="0"/>
          <w:color w:val="89C6DC"/>
          <w:spacing w:val="9"/>
        </w:rPr>
        <w:t> </w:t>
      </w:r>
      <w:r>
        <w:rPr>
          <w:smallCaps w:val="0"/>
          <w:color w:val="89C6DC"/>
          <w:spacing w:val="-1"/>
          <w:w w:val="96"/>
        </w:rPr>
        <w:t>6.0%</w:t>
      </w:r>
    </w:p>
    <w:p>
      <w:pPr>
        <w:pStyle w:val="BodyText"/>
        <w:spacing w:before="6"/>
        <w:rPr>
          <w:rFonts w:ascii="Trebuchet MS"/>
          <w:b/>
          <w:sz w:val="11"/>
        </w:rPr>
      </w:pPr>
    </w:p>
    <w:p>
      <w:pPr>
        <w:spacing w:line="511" w:lineRule="auto" w:before="65"/>
        <w:ind w:left="184" w:right="2420" w:firstLine="0"/>
        <w:jc w:val="left"/>
        <w:rPr>
          <w:sz w:val="18"/>
        </w:rPr>
      </w:pPr>
      <w:r>
        <w:rPr>
          <w:w w:val="110"/>
          <w:sz w:val="18"/>
        </w:rPr>
        <w:t>The</w:t>
      </w:r>
      <w:r>
        <w:rPr>
          <w:spacing w:val="-22"/>
          <w:w w:val="110"/>
          <w:sz w:val="18"/>
        </w:rPr>
        <w:t> </w:t>
      </w:r>
      <w:r>
        <w:rPr>
          <w:w w:val="110"/>
          <w:sz w:val="18"/>
        </w:rPr>
        <w:t>Bank</w:t>
      </w:r>
      <w:r>
        <w:rPr>
          <w:spacing w:val="-22"/>
          <w:w w:val="110"/>
          <w:sz w:val="18"/>
        </w:rPr>
        <w:t> </w:t>
      </w:r>
      <w:r>
        <w:rPr>
          <w:w w:val="110"/>
          <w:sz w:val="18"/>
        </w:rPr>
        <w:t>of</w:t>
      </w:r>
      <w:r>
        <w:rPr>
          <w:spacing w:val="-21"/>
          <w:w w:val="110"/>
          <w:sz w:val="18"/>
        </w:rPr>
        <w:t> </w:t>
      </w:r>
      <w:r>
        <w:rPr>
          <w:spacing w:val="-3"/>
          <w:w w:val="110"/>
          <w:sz w:val="18"/>
        </w:rPr>
        <w:t>England’s</w:t>
      </w:r>
      <w:r>
        <w:rPr>
          <w:spacing w:val="-22"/>
          <w:w w:val="110"/>
          <w:sz w:val="18"/>
        </w:rPr>
        <w:t> </w:t>
      </w:r>
      <w:r>
        <w:rPr>
          <w:w w:val="110"/>
          <w:sz w:val="18"/>
        </w:rPr>
        <w:t>Monetary</w:t>
      </w:r>
      <w:r>
        <w:rPr>
          <w:spacing w:val="-21"/>
          <w:w w:val="110"/>
          <w:sz w:val="18"/>
        </w:rPr>
        <w:t> </w:t>
      </w:r>
      <w:r>
        <w:rPr>
          <w:spacing w:val="-4"/>
          <w:w w:val="110"/>
          <w:sz w:val="18"/>
        </w:rPr>
        <w:t>Policy</w:t>
      </w:r>
      <w:r>
        <w:rPr>
          <w:spacing w:val="-22"/>
          <w:w w:val="110"/>
          <w:sz w:val="18"/>
        </w:rPr>
        <w:t> </w:t>
      </w:r>
      <w:r>
        <w:rPr>
          <w:spacing w:val="-3"/>
          <w:w w:val="110"/>
          <w:sz w:val="18"/>
        </w:rPr>
        <w:t>Committee</w:t>
      </w:r>
      <w:r>
        <w:rPr>
          <w:spacing w:val="-21"/>
          <w:w w:val="110"/>
          <w:sz w:val="18"/>
        </w:rPr>
        <w:t> </w:t>
      </w:r>
      <w:r>
        <w:rPr>
          <w:spacing w:val="-3"/>
          <w:w w:val="110"/>
          <w:sz w:val="18"/>
        </w:rPr>
        <w:t>today</w:t>
      </w:r>
      <w:r>
        <w:rPr>
          <w:spacing w:val="-22"/>
          <w:w w:val="110"/>
          <w:sz w:val="18"/>
        </w:rPr>
        <w:t> </w:t>
      </w:r>
      <w:r>
        <w:rPr>
          <w:spacing w:val="-3"/>
          <w:w w:val="110"/>
          <w:sz w:val="18"/>
        </w:rPr>
        <w:t>voted</w:t>
      </w:r>
      <w:r>
        <w:rPr>
          <w:spacing w:val="-21"/>
          <w:w w:val="110"/>
          <w:sz w:val="18"/>
        </w:rPr>
        <w:t> </w:t>
      </w:r>
      <w:r>
        <w:rPr>
          <w:spacing w:val="-3"/>
          <w:w w:val="110"/>
          <w:sz w:val="18"/>
        </w:rPr>
        <w:t>to</w:t>
      </w:r>
      <w:r>
        <w:rPr>
          <w:spacing w:val="-22"/>
          <w:w w:val="110"/>
          <w:sz w:val="18"/>
        </w:rPr>
        <w:t> </w:t>
      </w:r>
      <w:r>
        <w:rPr>
          <w:w w:val="110"/>
          <w:sz w:val="18"/>
        </w:rPr>
        <w:t>maintain</w:t>
      </w:r>
      <w:r>
        <w:rPr>
          <w:spacing w:val="-21"/>
          <w:w w:val="110"/>
          <w:sz w:val="18"/>
        </w:rPr>
        <w:t> </w:t>
      </w:r>
      <w:r>
        <w:rPr>
          <w:w w:val="110"/>
          <w:sz w:val="18"/>
        </w:rPr>
        <w:t>the</w:t>
      </w:r>
      <w:r>
        <w:rPr>
          <w:spacing w:val="-22"/>
          <w:w w:val="110"/>
          <w:sz w:val="18"/>
        </w:rPr>
        <w:t> </w:t>
      </w:r>
      <w:r>
        <w:rPr>
          <w:spacing w:val="-3"/>
          <w:w w:val="110"/>
          <w:sz w:val="18"/>
        </w:rPr>
        <w:t>Bank’s</w:t>
      </w:r>
      <w:r>
        <w:rPr>
          <w:spacing w:val="-22"/>
          <w:w w:val="110"/>
          <w:sz w:val="18"/>
        </w:rPr>
        <w:t> </w:t>
      </w:r>
      <w:r>
        <w:rPr>
          <w:w w:val="110"/>
          <w:sz w:val="18"/>
        </w:rPr>
        <w:t>repo</w:t>
      </w:r>
      <w:r>
        <w:rPr>
          <w:spacing w:val="-21"/>
          <w:w w:val="110"/>
          <w:sz w:val="18"/>
        </w:rPr>
        <w:t> </w:t>
      </w:r>
      <w:r>
        <w:rPr>
          <w:spacing w:val="-4"/>
          <w:w w:val="110"/>
          <w:sz w:val="18"/>
        </w:rPr>
        <w:t>rate</w:t>
      </w:r>
      <w:r>
        <w:rPr>
          <w:spacing w:val="-22"/>
          <w:w w:val="110"/>
          <w:sz w:val="18"/>
        </w:rPr>
        <w:t> </w:t>
      </w:r>
      <w:r>
        <w:rPr>
          <w:w w:val="110"/>
          <w:sz w:val="18"/>
        </w:rPr>
        <w:t>at</w:t>
      </w:r>
      <w:r>
        <w:rPr>
          <w:spacing w:val="-21"/>
          <w:w w:val="110"/>
          <w:sz w:val="18"/>
        </w:rPr>
        <w:t> </w:t>
      </w:r>
      <w:r>
        <w:rPr>
          <w:w w:val="110"/>
          <w:sz w:val="18"/>
        </w:rPr>
        <w:t>6.0%. The</w:t>
      </w:r>
      <w:r>
        <w:rPr>
          <w:spacing w:val="-8"/>
          <w:w w:val="110"/>
          <w:sz w:val="18"/>
        </w:rPr>
        <w:t> </w:t>
      </w:r>
      <w:r>
        <w:rPr>
          <w:w w:val="110"/>
          <w:sz w:val="18"/>
        </w:rPr>
        <w:t>minutes</w:t>
      </w:r>
      <w:r>
        <w:rPr>
          <w:spacing w:val="-8"/>
          <w:w w:val="110"/>
          <w:sz w:val="18"/>
        </w:rPr>
        <w:t> </w:t>
      </w:r>
      <w:r>
        <w:rPr>
          <w:w w:val="110"/>
          <w:sz w:val="18"/>
        </w:rPr>
        <w:t>of</w:t>
      </w:r>
      <w:r>
        <w:rPr>
          <w:spacing w:val="-7"/>
          <w:w w:val="110"/>
          <w:sz w:val="18"/>
        </w:rPr>
        <w:t> </w:t>
      </w:r>
      <w:r>
        <w:rPr>
          <w:w w:val="110"/>
          <w:sz w:val="18"/>
        </w:rPr>
        <w:t>the</w:t>
      </w:r>
      <w:r>
        <w:rPr>
          <w:spacing w:val="-8"/>
          <w:w w:val="110"/>
          <w:sz w:val="18"/>
        </w:rPr>
        <w:t> </w:t>
      </w:r>
      <w:r>
        <w:rPr>
          <w:w w:val="110"/>
          <w:sz w:val="18"/>
        </w:rPr>
        <w:t>meeting</w:t>
      </w:r>
      <w:r>
        <w:rPr>
          <w:spacing w:val="-7"/>
          <w:w w:val="110"/>
          <w:sz w:val="18"/>
        </w:rPr>
        <w:t> </w:t>
      </w:r>
      <w:r>
        <w:rPr>
          <w:w w:val="110"/>
          <w:sz w:val="18"/>
        </w:rPr>
        <w:t>will</w:t>
      </w:r>
      <w:r>
        <w:rPr>
          <w:spacing w:val="-8"/>
          <w:w w:val="110"/>
          <w:sz w:val="18"/>
        </w:rPr>
        <w:t> </w:t>
      </w:r>
      <w:r>
        <w:rPr>
          <w:w w:val="110"/>
          <w:sz w:val="18"/>
        </w:rPr>
        <w:t>be</w:t>
      </w:r>
      <w:r>
        <w:rPr>
          <w:spacing w:val="-8"/>
          <w:w w:val="110"/>
          <w:sz w:val="18"/>
        </w:rPr>
        <w:t> </w:t>
      </w:r>
      <w:r>
        <w:rPr>
          <w:w w:val="110"/>
          <w:sz w:val="18"/>
        </w:rPr>
        <w:t>published</w:t>
      </w:r>
      <w:r>
        <w:rPr>
          <w:spacing w:val="-7"/>
          <w:w w:val="110"/>
          <w:sz w:val="18"/>
        </w:rPr>
        <w:t> </w:t>
      </w:r>
      <w:r>
        <w:rPr>
          <w:w w:val="110"/>
          <w:sz w:val="18"/>
        </w:rPr>
        <w:t>at</w:t>
      </w:r>
      <w:r>
        <w:rPr>
          <w:spacing w:val="-8"/>
          <w:w w:val="110"/>
          <w:sz w:val="18"/>
        </w:rPr>
        <w:t> </w:t>
      </w:r>
      <w:r>
        <w:rPr>
          <w:spacing w:val="-5"/>
          <w:w w:val="110"/>
          <w:sz w:val="18"/>
        </w:rPr>
        <w:t>9.30</w:t>
      </w:r>
      <w:r>
        <w:rPr>
          <w:spacing w:val="-7"/>
          <w:w w:val="110"/>
          <w:sz w:val="18"/>
        </w:rPr>
        <w:t> </w:t>
      </w:r>
      <w:r>
        <w:rPr>
          <w:w w:val="110"/>
          <w:sz w:val="18"/>
        </w:rPr>
        <w:t>am</w:t>
      </w:r>
      <w:r>
        <w:rPr>
          <w:spacing w:val="-8"/>
          <w:w w:val="110"/>
          <w:sz w:val="18"/>
        </w:rPr>
        <w:t> </w:t>
      </w:r>
      <w:r>
        <w:rPr>
          <w:w w:val="110"/>
          <w:sz w:val="18"/>
        </w:rPr>
        <w:t>on</w:t>
      </w:r>
      <w:r>
        <w:rPr>
          <w:spacing w:val="-8"/>
          <w:w w:val="110"/>
          <w:sz w:val="18"/>
        </w:rPr>
        <w:t> </w:t>
      </w:r>
      <w:r>
        <w:rPr>
          <w:spacing w:val="-3"/>
          <w:w w:val="110"/>
          <w:sz w:val="18"/>
        </w:rPr>
        <w:t>Wednesday</w:t>
      </w:r>
      <w:r>
        <w:rPr>
          <w:spacing w:val="-7"/>
          <w:w w:val="110"/>
          <w:sz w:val="18"/>
        </w:rPr>
        <w:t> </w:t>
      </w:r>
      <w:r>
        <w:rPr>
          <w:spacing w:val="-8"/>
          <w:w w:val="110"/>
          <w:sz w:val="18"/>
        </w:rPr>
        <w:t>24 </w:t>
      </w:r>
      <w:r>
        <w:rPr>
          <w:w w:val="110"/>
          <w:sz w:val="18"/>
        </w:rPr>
        <w:t>January</w:t>
      </w:r>
      <w:r>
        <w:rPr>
          <w:spacing w:val="-7"/>
          <w:w w:val="110"/>
          <w:sz w:val="18"/>
        </w:rPr>
        <w:t> </w:t>
      </w:r>
      <w:r>
        <w:rPr>
          <w:spacing w:val="-8"/>
          <w:w w:val="110"/>
          <w:sz w:val="18"/>
        </w:rPr>
        <w:t>2001.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4"/>
        </w:rPr>
      </w:pPr>
    </w:p>
    <w:p>
      <w:pPr>
        <w:pStyle w:val="Heading2"/>
        <w:spacing w:line="441" w:lineRule="auto" w:before="96"/>
        <w:ind w:right="2627"/>
      </w:pPr>
      <w:r>
        <w:rPr>
          <w:color w:val="89C6DC"/>
          <w:spacing w:val="-23"/>
          <w:w w:val="81"/>
        </w:rPr>
        <w:t>T</w:t>
      </w:r>
      <w:r>
        <w:rPr>
          <w:color w:val="89C6DC"/>
          <w:spacing w:val="-1"/>
          <w:w w:val="84"/>
        </w:rPr>
        <w:t>ex</w:t>
      </w:r>
      <w:r>
        <w:rPr>
          <w:color w:val="89C6DC"/>
          <w:w w:val="84"/>
        </w:rPr>
        <w:t>t</w:t>
      </w:r>
      <w:r>
        <w:rPr>
          <w:color w:val="89C6DC"/>
          <w:spacing w:val="9"/>
        </w:rPr>
        <w:t> </w:t>
      </w:r>
      <w:r>
        <w:rPr>
          <w:color w:val="89C6DC"/>
          <w:spacing w:val="-1"/>
          <w:w w:val="85"/>
        </w:rPr>
        <w:t>o</w:t>
      </w:r>
      <w:r>
        <w:rPr>
          <w:color w:val="89C6DC"/>
          <w:w w:val="85"/>
        </w:rPr>
        <w:t>f</w:t>
      </w:r>
      <w:r>
        <w:rPr>
          <w:color w:val="89C6DC"/>
          <w:spacing w:val="9"/>
        </w:rPr>
        <w:t> </w:t>
      </w:r>
      <w:r>
        <w:rPr>
          <w:color w:val="89C6DC"/>
          <w:spacing w:val="-4"/>
          <w:w w:val="99"/>
        </w:rPr>
        <w:t>B</w:t>
      </w:r>
      <w:r>
        <w:rPr>
          <w:color w:val="89C6DC"/>
          <w:spacing w:val="-1"/>
          <w:w w:val="91"/>
        </w:rPr>
        <w:t>an</w:t>
      </w:r>
      <w:r>
        <w:rPr>
          <w:color w:val="89C6DC"/>
          <w:w w:val="91"/>
        </w:rPr>
        <w:t>k</w:t>
      </w:r>
      <w:r>
        <w:rPr>
          <w:color w:val="89C6DC"/>
          <w:spacing w:val="9"/>
        </w:rPr>
        <w:t> </w:t>
      </w:r>
      <w:r>
        <w:rPr>
          <w:color w:val="89C6DC"/>
          <w:spacing w:val="-1"/>
          <w:w w:val="85"/>
        </w:rPr>
        <w:t>o</w:t>
      </w:r>
      <w:r>
        <w:rPr>
          <w:color w:val="89C6DC"/>
          <w:w w:val="85"/>
        </w:rPr>
        <w:t>f</w:t>
      </w:r>
      <w:r>
        <w:rPr>
          <w:color w:val="89C6DC"/>
          <w:spacing w:val="9"/>
        </w:rPr>
        <w:t> </w:t>
      </w:r>
      <w:r>
        <w:rPr>
          <w:color w:val="89C6DC"/>
          <w:spacing w:val="-2"/>
          <w:w w:val="87"/>
        </w:rPr>
        <w:t>E</w:t>
      </w:r>
      <w:r>
        <w:rPr>
          <w:color w:val="89C6DC"/>
          <w:spacing w:val="-1"/>
          <w:w w:val="95"/>
        </w:rPr>
        <w:t>nglan</w:t>
      </w:r>
      <w:r>
        <w:rPr>
          <w:color w:val="89C6DC"/>
          <w:w w:val="95"/>
        </w:rPr>
        <w:t>d</w:t>
      </w:r>
      <w:r>
        <w:rPr>
          <w:color w:val="89C6DC"/>
          <w:spacing w:val="9"/>
        </w:rPr>
        <w:t> </w:t>
      </w:r>
      <w:r>
        <w:rPr>
          <w:color w:val="89C6DC"/>
          <w:spacing w:val="-1"/>
          <w:w w:val="88"/>
        </w:rPr>
        <w:t>p</w:t>
      </w:r>
      <w:r>
        <w:rPr>
          <w:color w:val="89C6DC"/>
          <w:spacing w:val="-6"/>
          <w:w w:val="88"/>
        </w:rPr>
        <w:t>r</w:t>
      </w:r>
      <w:r>
        <w:rPr>
          <w:color w:val="89C6DC"/>
          <w:spacing w:val="-1"/>
          <w:w w:val="99"/>
        </w:rPr>
        <w:t>es</w:t>
      </w:r>
      <w:r>
        <w:rPr>
          <w:color w:val="89C6DC"/>
          <w:w w:val="99"/>
        </w:rPr>
        <w:t>s</w:t>
      </w:r>
      <w:r>
        <w:rPr>
          <w:color w:val="89C6DC"/>
          <w:spacing w:val="9"/>
        </w:rPr>
        <w:t> </w:t>
      </w:r>
      <w:r>
        <w:rPr>
          <w:color w:val="89C6DC"/>
          <w:spacing w:val="-1"/>
          <w:w w:val="86"/>
        </w:rPr>
        <w:t>notic</w:t>
      </w:r>
      <w:r>
        <w:rPr>
          <w:color w:val="89C6DC"/>
          <w:w w:val="86"/>
        </w:rPr>
        <w:t>e</w:t>
      </w:r>
      <w:r>
        <w:rPr>
          <w:color w:val="89C6DC"/>
          <w:spacing w:val="9"/>
        </w:rPr>
        <w:t> </w:t>
      </w:r>
      <w:r>
        <w:rPr>
          <w:color w:val="89C6DC"/>
          <w:spacing w:val="-1"/>
          <w:w w:val="85"/>
        </w:rPr>
        <w:t>o</w:t>
      </w:r>
      <w:r>
        <w:rPr>
          <w:color w:val="89C6DC"/>
          <w:w w:val="85"/>
        </w:rPr>
        <w:t>f</w:t>
      </w:r>
      <w:r>
        <w:rPr>
          <w:color w:val="89C6DC"/>
          <w:spacing w:val="9"/>
        </w:rPr>
        <w:t> </w:t>
      </w:r>
      <w:r>
        <w:rPr>
          <w:color w:val="89C6DC"/>
          <w:w w:val="91"/>
        </w:rPr>
        <w:t>8</w:t>
      </w:r>
      <w:r>
        <w:rPr>
          <w:color w:val="89C6DC"/>
          <w:spacing w:val="9"/>
        </w:rPr>
        <w:t> </w:t>
      </w:r>
      <w:r>
        <w:rPr>
          <w:color w:val="89C6DC"/>
          <w:spacing w:val="-11"/>
          <w:w w:val="76"/>
        </w:rPr>
        <w:t>F</w:t>
      </w:r>
      <w:r>
        <w:rPr>
          <w:color w:val="89C6DC"/>
          <w:spacing w:val="-1"/>
          <w:w w:val="87"/>
        </w:rPr>
        <w:t>eb</w:t>
      </w:r>
      <w:r>
        <w:rPr>
          <w:color w:val="89C6DC"/>
          <w:spacing w:val="2"/>
          <w:w w:val="87"/>
        </w:rPr>
        <w:t>r</w:t>
      </w:r>
      <w:r>
        <w:rPr>
          <w:color w:val="89C6DC"/>
          <w:spacing w:val="-1"/>
          <w:w w:val="88"/>
        </w:rPr>
        <w:t>ua</w:t>
      </w:r>
      <w:r>
        <w:rPr>
          <w:color w:val="89C6DC"/>
          <w:spacing w:val="5"/>
          <w:w w:val="88"/>
        </w:rPr>
        <w:t>r</w:t>
      </w:r>
      <w:r>
        <w:rPr>
          <w:color w:val="89C6DC"/>
          <w:w w:val="93"/>
        </w:rPr>
        <w:t>y</w:t>
      </w:r>
      <w:r>
        <w:rPr>
          <w:color w:val="89C6DC"/>
          <w:spacing w:val="9"/>
        </w:rPr>
        <w:t> </w:t>
      </w:r>
      <w:r>
        <w:rPr>
          <w:smallCaps/>
          <w:color w:val="89C6DC"/>
          <w:spacing w:val="-1"/>
          <w:w w:val="87"/>
        </w:rPr>
        <w:t>2001</w:t>
      </w:r>
      <w:r>
        <w:rPr>
          <w:smallCaps w:val="0"/>
          <w:color w:val="89C6DC"/>
          <w:spacing w:val="-1"/>
          <w:w w:val="87"/>
        </w:rPr>
        <w:t> </w:t>
      </w:r>
      <w:r>
        <w:rPr>
          <w:smallCaps w:val="0"/>
          <w:color w:val="89C6DC"/>
          <w:spacing w:val="-4"/>
          <w:w w:val="99"/>
        </w:rPr>
        <w:t>B</w:t>
      </w:r>
      <w:r>
        <w:rPr>
          <w:smallCaps w:val="0"/>
          <w:color w:val="89C6DC"/>
          <w:spacing w:val="-1"/>
          <w:w w:val="91"/>
        </w:rPr>
        <w:t>an</w:t>
      </w:r>
      <w:r>
        <w:rPr>
          <w:smallCaps w:val="0"/>
          <w:color w:val="89C6DC"/>
          <w:w w:val="91"/>
        </w:rPr>
        <w:t>k</w:t>
      </w:r>
      <w:r>
        <w:rPr>
          <w:smallCaps w:val="0"/>
          <w:color w:val="89C6DC"/>
          <w:spacing w:val="9"/>
        </w:rPr>
        <w:t> </w:t>
      </w:r>
      <w:r>
        <w:rPr>
          <w:smallCaps w:val="0"/>
          <w:color w:val="89C6DC"/>
          <w:spacing w:val="-1"/>
          <w:w w:val="85"/>
        </w:rPr>
        <w:t>o</w:t>
      </w:r>
      <w:r>
        <w:rPr>
          <w:smallCaps w:val="0"/>
          <w:color w:val="89C6DC"/>
          <w:w w:val="85"/>
        </w:rPr>
        <w:t>f</w:t>
      </w:r>
      <w:r>
        <w:rPr>
          <w:smallCaps w:val="0"/>
          <w:color w:val="89C6DC"/>
          <w:spacing w:val="9"/>
        </w:rPr>
        <w:t> </w:t>
      </w:r>
      <w:r>
        <w:rPr>
          <w:smallCaps w:val="0"/>
          <w:color w:val="89C6DC"/>
          <w:spacing w:val="-2"/>
          <w:w w:val="87"/>
        </w:rPr>
        <w:t>E</w:t>
      </w:r>
      <w:r>
        <w:rPr>
          <w:smallCaps w:val="0"/>
          <w:color w:val="89C6DC"/>
          <w:spacing w:val="-1"/>
          <w:w w:val="95"/>
        </w:rPr>
        <w:t>nglan</w:t>
      </w:r>
      <w:r>
        <w:rPr>
          <w:smallCaps w:val="0"/>
          <w:color w:val="89C6DC"/>
          <w:w w:val="95"/>
        </w:rPr>
        <w:t>d</w:t>
      </w:r>
      <w:r>
        <w:rPr>
          <w:smallCaps w:val="0"/>
          <w:color w:val="89C6DC"/>
          <w:spacing w:val="9"/>
        </w:rPr>
        <w:t> </w:t>
      </w:r>
      <w:r>
        <w:rPr>
          <w:smallCaps w:val="0"/>
          <w:color w:val="89C6DC"/>
          <w:spacing w:val="-6"/>
          <w:w w:val="79"/>
        </w:rPr>
        <w:t>r</w:t>
      </w:r>
      <w:r>
        <w:rPr>
          <w:smallCaps w:val="0"/>
          <w:color w:val="89C6DC"/>
          <w:spacing w:val="-1"/>
          <w:w w:val="91"/>
        </w:rPr>
        <w:t>educe</w:t>
      </w:r>
      <w:r>
        <w:rPr>
          <w:smallCaps w:val="0"/>
          <w:color w:val="89C6DC"/>
          <w:w w:val="91"/>
        </w:rPr>
        <w:t>s</w:t>
      </w:r>
      <w:r>
        <w:rPr>
          <w:smallCaps w:val="0"/>
          <w:color w:val="89C6DC"/>
          <w:spacing w:val="9"/>
        </w:rPr>
        <w:t> </w:t>
      </w:r>
      <w:r>
        <w:rPr>
          <w:smallCaps w:val="0"/>
          <w:color w:val="89C6DC"/>
          <w:spacing w:val="-1"/>
          <w:w w:val="84"/>
        </w:rPr>
        <w:t>inte</w:t>
      </w:r>
      <w:r>
        <w:rPr>
          <w:smallCaps w:val="0"/>
          <w:color w:val="89C6DC"/>
          <w:spacing w:val="-6"/>
          <w:w w:val="84"/>
        </w:rPr>
        <w:t>r</w:t>
      </w:r>
      <w:r>
        <w:rPr>
          <w:smallCaps w:val="0"/>
          <w:color w:val="89C6DC"/>
          <w:spacing w:val="-1"/>
          <w:w w:val="90"/>
        </w:rPr>
        <w:t>es</w:t>
      </w:r>
      <w:r>
        <w:rPr>
          <w:smallCaps w:val="0"/>
          <w:color w:val="89C6DC"/>
          <w:w w:val="90"/>
        </w:rPr>
        <w:t>t</w:t>
      </w:r>
      <w:r>
        <w:rPr>
          <w:smallCaps w:val="0"/>
          <w:color w:val="89C6DC"/>
          <w:spacing w:val="9"/>
        </w:rPr>
        <w:t> </w:t>
      </w:r>
      <w:r>
        <w:rPr>
          <w:smallCaps w:val="0"/>
          <w:color w:val="89C6DC"/>
          <w:spacing w:val="-1"/>
          <w:w w:val="89"/>
        </w:rPr>
        <w:t>rate</w:t>
      </w:r>
      <w:r>
        <w:rPr>
          <w:smallCaps w:val="0"/>
          <w:color w:val="89C6DC"/>
          <w:w w:val="89"/>
        </w:rPr>
        <w:t>s</w:t>
      </w:r>
      <w:r>
        <w:rPr>
          <w:smallCaps w:val="0"/>
          <w:color w:val="89C6DC"/>
          <w:spacing w:val="9"/>
        </w:rPr>
        <w:t> </w:t>
      </w:r>
      <w:r>
        <w:rPr>
          <w:smallCaps w:val="0"/>
          <w:color w:val="89C6DC"/>
          <w:spacing w:val="-2"/>
          <w:w w:val="95"/>
        </w:rPr>
        <w:t>b</w:t>
      </w:r>
      <w:r>
        <w:rPr>
          <w:smallCaps w:val="0"/>
          <w:color w:val="89C6DC"/>
          <w:w w:val="93"/>
        </w:rPr>
        <w:t>y</w:t>
      </w:r>
      <w:r>
        <w:rPr>
          <w:smallCaps w:val="0"/>
          <w:color w:val="89C6DC"/>
          <w:spacing w:val="9"/>
        </w:rPr>
        <w:t> </w:t>
      </w:r>
      <w:r>
        <w:rPr>
          <w:smallCaps/>
          <w:color w:val="89C6DC"/>
          <w:spacing w:val="-1"/>
          <w:w w:val="95"/>
        </w:rPr>
        <w:t>0.25</w:t>
      </w:r>
      <w:r>
        <w:rPr>
          <w:smallCaps/>
          <w:color w:val="89C6DC"/>
          <w:w w:val="95"/>
        </w:rPr>
        <w:t>%</w:t>
      </w:r>
      <w:r>
        <w:rPr>
          <w:smallCaps w:val="0"/>
          <w:color w:val="89C6DC"/>
          <w:spacing w:val="9"/>
        </w:rPr>
        <w:t> </w:t>
      </w:r>
      <w:r>
        <w:rPr>
          <w:smallCaps w:val="0"/>
          <w:color w:val="89C6DC"/>
          <w:spacing w:val="-1"/>
          <w:w w:val="85"/>
        </w:rPr>
        <w:t>t</w:t>
      </w:r>
      <w:r>
        <w:rPr>
          <w:smallCaps w:val="0"/>
          <w:color w:val="89C6DC"/>
          <w:w w:val="85"/>
        </w:rPr>
        <w:t>o</w:t>
      </w:r>
      <w:r>
        <w:rPr>
          <w:smallCaps w:val="0"/>
          <w:color w:val="89C6DC"/>
          <w:spacing w:val="9"/>
        </w:rPr>
        <w:t> </w:t>
      </w:r>
      <w:r>
        <w:rPr>
          <w:smallCaps w:val="0"/>
          <w:color w:val="89C6DC"/>
          <w:spacing w:val="-1"/>
          <w:w w:val="95"/>
        </w:rPr>
        <w:t>5.75%</w:t>
      </w:r>
    </w:p>
    <w:p>
      <w:pPr>
        <w:spacing w:line="132" w:lineRule="exact" w:before="0"/>
        <w:ind w:left="209" w:right="0" w:firstLine="0"/>
        <w:jc w:val="left"/>
        <w:rPr>
          <w:sz w:val="18"/>
        </w:rPr>
      </w:pPr>
      <w:r>
        <w:rPr>
          <w:w w:val="110"/>
          <w:sz w:val="18"/>
        </w:rPr>
        <w:t>The Bank of England’s Monetary Policy Committee today voted to reduce the Bank’s repo rate by 0.25% to 5.75%.</w:t>
      </w:r>
    </w:p>
    <w:p>
      <w:pPr>
        <w:pStyle w:val="BodyText"/>
        <w:spacing w:before="6"/>
        <w:rPr>
          <w:sz w:val="19"/>
        </w:rPr>
      </w:pPr>
    </w:p>
    <w:p>
      <w:pPr>
        <w:spacing w:line="249" w:lineRule="auto" w:before="0"/>
        <w:ind w:left="209" w:right="1089" w:hanging="1"/>
        <w:jc w:val="left"/>
        <w:rPr>
          <w:sz w:val="18"/>
        </w:rPr>
      </w:pPr>
      <w:r>
        <w:rPr>
          <w:w w:val="110"/>
          <w:sz w:val="18"/>
        </w:rPr>
        <w:t>The</w:t>
      </w:r>
      <w:r>
        <w:rPr>
          <w:spacing w:val="-17"/>
          <w:w w:val="110"/>
          <w:sz w:val="18"/>
        </w:rPr>
        <w:t> </w:t>
      </w:r>
      <w:r>
        <w:rPr>
          <w:spacing w:val="-3"/>
          <w:w w:val="110"/>
          <w:sz w:val="18"/>
        </w:rPr>
        <w:t>Committee’s</w:t>
      </w:r>
      <w:r>
        <w:rPr>
          <w:spacing w:val="-16"/>
          <w:w w:val="110"/>
          <w:sz w:val="18"/>
        </w:rPr>
        <w:t> </w:t>
      </w:r>
      <w:r>
        <w:rPr>
          <w:spacing w:val="-2"/>
          <w:w w:val="110"/>
          <w:sz w:val="18"/>
        </w:rPr>
        <w:t>latest</w:t>
      </w:r>
      <w:r>
        <w:rPr>
          <w:spacing w:val="-16"/>
          <w:w w:val="110"/>
          <w:sz w:val="18"/>
        </w:rPr>
        <w:t> </w:t>
      </w:r>
      <w:r>
        <w:rPr>
          <w:w w:val="110"/>
          <w:sz w:val="18"/>
        </w:rPr>
        <w:t>inflation</w:t>
      </w:r>
      <w:r>
        <w:rPr>
          <w:spacing w:val="-16"/>
          <w:w w:val="110"/>
          <w:sz w:val="18"/>
        </w:rPr>
        <w:t> </w:t>
      </w:r>
      <w:r>
        <w:rPr>
          <w:w w:val="110"/>
          <w:sz w:val="18"/>
        </w:rPr>
        <w:t>and</w:t>
      </w:r>
      <w:r>
        <w:rPr>
          <w:spacing w:val="-16"/>
          <w:w w:val="110"/>
          <w:sz w:val="18"/>
        </w:rPr>
        <w:t> </w:t>
      </w:r>
      <w:r>
        <w:rPr>
          <w:w w:val="110"/>
          <w:sz w:val="18"/>
        </w:rPr>
        <w:t>output</w:t>
      </w:r>
      <w:r>
        <w:rPr>
          <w:spacing w:val="-16"/>
          <w:w w:val="110"/>
          <w:sz w:val="18"/>
        </w:rPr>
        <w:t> </w:t>
      </w:r>
      <w:r>
        <w:rPr>
          <w:w w:val="110"/>
          <w:sz w:val="18"/>
        </w:rPr>
        <w:t>projections</w:t>
      </w:r>
      <w:r>
        <w:rPr>
          <w:spacing w:val="-16"/>
          <w:w w:val="110"/>
          <w:sz w:val="18"/>
        </w:rPr>
        <w:t> </w:t>
      </w:r>
      <w:r>
        <w:rPr>
          <w:w w:val="110"/>
          <w:sz w:val="18"/>
        </w:rPr>
        <w:t>will</w:t>
      </w:r>
      <w:r>
        <w:rPr>
          <w:spacing w:val="-16"/>
          <w:w w:val="110"/>
          <w:sz w:val="18"/>
        </w:rPr>
        <w:t> </w:t>
      </w:r>
      <w:r>
        <w:rPr>
          <w:w w:val="110"/>
          <w:sz w:val="18"/>
        </w:rPr>
        <w:t>appear</w:t>
      </w:r>
      <w:r>
        <w:rPr>
          <w:spacing w:val="-16"/>
          <w:w w:val="110"/>
          <w:sz w:val="18"/>
        </w:rPr>
        <w:t> </w:t>
      </w:r>
      <w:r>
        <w:rPr>
          <w:w w:val="110"/>
          <w:sz w:val="18"/>
        </w:rPr>
        <w:t>in</w:t>
      </w:r>
      <w:r>
        <w:rPr>
          <w:spacing w:val="-16"/>
          <w:w w:val="110"/>
          <w:sz w:val="18"/>
        </w:rPr>
        <w:t> </w:t>
      </w:r>
      <w:r>
        <w:rPr>
          <w:w w:val="110"/>
          <w:sz w:val="18"/>
        </w:rPr>
        <w:t>the</w:t>
      </w:r>
      <w:r>
        <w:rPr>
          <w:spacing w:val="-16"/>
          <w:w w:val="110"/>
          <w:sz w:val="18"/>
        </w:rPr>
        <w:t> </w:t>
      </w:r>
      <w:r>
        <w:rPr>
          <w:i/>
          <w:w w:val="110"/>
          <w:sz w:val="18"/>
        </w:rPr>
        <w:t>Inflation</w:t>
      </w:r>
      <w:r>
        <w:rPr>
          <w:i/>
          <w:spacing w:val="-16"/>
          <w:w w:val="110"/>
          <w:sz w:val="18"/>
        </w:rPr>
        <w:t> </w:t>
      </w:r>
      <w:r>
        <w:rPr>
          <w:i/>
          <w:w w:val="110"/>
          <w:sz w:val="18"/>
        </w:rPr>
        <w:t>Report</w:t>
      </w:r>
      <w:r>
        <w:rPr>
          <w:i/>
          <w:spacing w:val="-16"/>
          <w:w w:val="110"/>
          <w:sz w:val="18"/>
        </w:rPr>
        <w:t> </w:t>
      </w:r>
      <w:r>
        <w:rPr>
          <w:spacing w:val="-3"/>
          <w:w w:val="110"/>
          <w:sz w:val="18"/>
        </w:rPr>
        <w:t>to</w:t>
      </w:r>
      <w:r>
        <w:rPr>
          <w:spacing w:val="-16"/>
          <w:w w:val="110"/>
          <w:sz w:val="18"/>
        </w:rPr>
        <w:t> </w:t>
      </w:r>
      <w:r>
        <w:rPr>
          <w:w w:val="110"/>
          <w:sz w:val="18"/>
        </w:rPr>
        <w:t>be</w:t>
      </w:r>
      <w:r>
        <w:rPr>
          <w:spacing w:val="-16"/>
          <w:w w:val="110"/>
          <w:sz w:val="18"/>
        </w:rPr>
        <w:t> </w:t>
      </w:r>
      <w:r>
        <w:rPr>
          <w:w w:val="110"/>
          <w:sz w:val="18"/>
        </w:rPr>
        <w:t>published</w:t>
      </w:r>
      <w:r>
        <w:rPr>
          <w:spacing w:val="-16"/>
          <w:w w:val="110"/>
          <w:sz w:val="18"/>
        </w:rPr>
        <w:t> </w:t>
      </w:r>
      <w:r>
        <w:rPr>
          <w:w w:val="110"/>
          <w:sz w:val="18"/>
        </w:rPr>
        <w:t>on</w:t>
      </w:r>
      <w:r>
        <w:rPr>
          <w:spacing w:val="-16"/>
          <w:w w:val="110"/>
          <w:sz w:val="18"/>
        </w:rPr>
        <w:t> </w:t>
      </w:r>
      <w:r>
        <w:rPr>
          <w:spacing w:val="-3"/>
          <w:w w:val="110"/>
          <w:sz w:val="18"/>
        </w:rPr>
        <w:t>Wednesday </w:t>
      </w:r>
      <w:r>
        <w:rPr>
          <w:spacing w:val="-15"/>
          <w:w w:val="110"/>
          <w:sz w:val="18"/>
        </w:rPr>
        <w:t>14</w:t>
      </w:r>
      <w:r>
        <w:rPr>
          <w:spacing w:val="-5"/>
          <w:w w:val="110"/>
          <w:sz w:val="18"/>
        </w:rPr>
        <w:t> </w:t>
      </w:r>
      <w:r>
        <w:rPr>
          <w:spacing w:val="-3"/>
          <w:w w:val="110"/>
          <w:sz w:val="18"/>
        </w:rPr>
        <w:t>February.</w:t>
      </w:r>
    </w:p>
    <w:p>
      <w:pPr>
        <w:pStyle w:val="BodyText"/>
        <w:spacing w:before="11"/>
        <w:rPr>
          <w:sz w:val="18"/>
        </w:rPr>
      </w:pPr>
    </w:p>
    <w:p>
      <w:pPr>
        <w:spacing w:before="0"/>
        <w:ind w:left="209" w:right="0" w:firstLine="0"/>
        <w:jc w:val="left"/>
        <w:rPr>
          <w:sz w:val="18"/>
        </w:rPr>
      </w:pPr>
      <w:r>
        <w:rPr>
          <w:w w:val="110"/>
          <w:sz w:val="18"/>
        </w:rPr>
        <w:t>The minutes of the meeting will be published at 9.30 am on Wednesday 21 February.</w:t>
      </w:r>
    </w:p>
    <w:p>
      <w:pPr>
        <w:spacing w:after="0"/>
        <w:jc w:val="left"/>
        <w:rPr>
          <w:sz w:val="18"/>
        </w:rPr>
        <w:sectPr>
          <w:headerReference w:type="default" r:id="rId189"/>
          <w:footerReference w:type="default" r:id="rId190"/>
          <w:pgSz w:w="11900" w:h="16840"/>
          <w:pgMar w:header="0" w:footer="0" w:top="1200" w:bottom="280" w:left="640" w:right="640"/>
        </w:sectPr>
      </w:pPr>
    </w:p>
    <w:p>
      <w:pPr>
        <w:pStyle w:val="Heading3"/>
        <w:spacing w:before="83"/>
        <w:ind w:left="580" w:firstLine="0"/>
        <w:rPr>
          <w:u w:val="none"/>
        </w:rPr>
      </w:pPr>
      <w:bookmarkStart w:name="Glossary and other information" w:id="105"/>
      <w:bookmarkEnd w:id="105"/>
      <w:r>
        <w:rPr>
          <w:b w:val="0"/>
          <w:u w:val="none"/>
        </w:rPr>
      </w:r>
      <w:bookmarkStart w:name="_bookmark54" w:id="106"/>
      <w:bookmarkEnd w:id="106"/>
      <w:r>
        <w:rPr>
          <w:b w:val="0"/>
          <w:u w:val="none"/>
        </w:rPr>
      </w:r>
      <w:r>
        <w:rPr>
          <w:color w:val="89C6DC"/>
          <w:u w:val="none"/>
        </w:rPr>
        <w:t>Glossary and other information</w:t>
      </w:r>
    </w:p>
    <w:p>
      <w:pPr>
        <w:pStyle w:val="BodyText"/>
        <w:spacing w:before="2"/>
        <w:rPr>
          <w:rFonts w:ascii="Trebuchet MS"/>
          <w:b/>
          <w:sz w:val="25"/>
        </w:rPr>
      </w:pPr>
    </w:p>
    <w:p>
      <w:pPr>
        <w:pStyle w:val="Heading4"/>
        <w:ind w:left="580"/>
      </w:pPr>
      <w:r>
        <w:rPr>
          <w:color w:val="89C6DC"/>
        </w:rPr>
        <w:t>Glossary of selected data</w:t>
      </w:r>
    </w:p>
    <w:p>
      <w:pPr>
        <w:spacing w:before="119"/>
        <w:ind w:left="582" w:right="0" w:firstLine="0"/>
        <w:jc w:val="left"/>
        <w:rPr>
          <w:sz w:val="19"/>
        </w:rPr>
      </w:pPr>
      <w:r>
        <w:rPr>
          <w:sz w:val="19"/>
        </w:rPr>
        <w:t>AEI: Average Earnings Index.</w:t>
      </w:r>
    </w:p>
    <w:p>
      <w:pPr>
        <w:spacing w:line="252" w:lineRule="auto" w:before="12"/>
        <w:ind w:left="582" w:right="6684" w:firstLine="0"/>
        <w:jc w:val="left"/>
        <w:rPr>
          <w:sz w:val="19"/>
        </w:rPr>
      </w:pPr>
      <w:r>
        <w:rPr>
          <w:w w:val="105"/>
          <w:sz w:val="19"/>
        </w:rPr>
        <w:t>CSPI: corporate services price index. DGI: domestically generated inflation.</w:t>
      </w:r>
    </w:p>
    <w:p>
      <w:pPr>
        <w:spacing w:line="252" w:lineRule="auto" w:before="1"/>
        <w:ind w:left="800" w:right="172" w:hanging="218"/>
        <w:jc w:val="left"/>
        <w:rPr>
          <w:sz w:val="19"/>
        </w:rPr>
      </w:pPr>
      <w:r>
        <w:rPr>
          <w:spacing w:val="13"/>
          <w:w w:val="110"/>
          <w:sz w:val="19"/>
        </w:rPr>
        <w:t>Divisia</w:t>
      </w:r>
      <w:r>
        <w:rPr>
          <w:spacing w:val="5"/>
          <w:w w:val="110"/>
          <w:sz w:val="19"/>
        </w:rPr>
        <w:t> </w:t>
      </w:r>
      <w:r>
        <w:rPr>
          <w:spacing w:val="13"/>
          <w:w w:val="110"/>
          <w:sz w:val="19"/>
        </w:rPr>
        <w:t>money:</w:t>
      </w:r>
      <w:r>
        <w:rPr>
          <w:spacing w:val="19"/>
          <w:w w:val="110"/>
          <w:sz w:val="19"/>
        </w:rPr>
        <w:t> </w:t>
      </w:r>
      <w:r>
        <w:rPr>
          <w:w w:val="110"/>
          <w:sz w:val="19"/>
        </w:rPr>
        <w:t>a</w:t>
      </w:r>
      <w:r>
        <w:rPr>
          <w:spacing w:val="-18"/>
          <w:w w:val="110"/>
          <w:sz w:val="19"/>
        </w:rPr>
        <w:t> </w:t>
      </w:r>
      <w:r>
        <w:rPr>
          <w:w w:val="110"/>
          <w:sz w:val="19"/>
        </w:rPr>
        <w:t>measure</w:t>
      </w:r>
      <w:r>
        <w:rPr>
          <w:spacing w:val="-18"/>
          <w:w w:val="110"/>
          <w:sz w:val="19"/>
        </w:rPr>
        <w:t> </w:t>
      </w:r>
      <w:r>
        <w:rPr>
          <w:w w:val="110"/>
          <w:sz w:val="19"/>
        </w:rPr>
        <w:t>of</w:t>
      </w:r>
      <w:r>
        <w:rPr>
          <w:spacing w:val="-18"/>
          <w:w w:val="110"/>
          <w:sz w:val="19"/>
        </w:rPr>
        <w:t> </w:t>
      </w:r>
      <w:r>
        <w:rPr>
          <w:w w:val="110"/>
          <w:sz w:val="19"/>
        </w:rPr>
        <w:t>the</w:t>
      </w:r>
      <w:r>
        <w:rPr>
          <w:spacing w:val="-18"/>
          <w:w w:val="110"/>
          <w:sz w:val="19"/>
        </w:rPr>
        <w:t> </w:t>
      </w:r>
      <w:r>
        <w:rPr>
          <w:w w:val="110"/>
          <w:sz w:val="19"/>
        </w:rPr>
        <w:t>money</w:t>
      </w:r>
      <w:r>
        <w:rPr>
          <w:spacing w:val="-18"/>
          <w:w w:val="110"/>
          <w:sz w:val="19"/>
        </w:rPr>
        <w:t> </w:t>
      </w:r>
      <w:r>
        <w:rPr>
          <w:w w:val="110"/>
          <w:sz w:val="19"/>
        </w:rPr>
        <w:t>stock</w:t>
      </w:r>
      <w:r>
        <w:rPr>
          <w:spacing w:val="-18"/>
          <w:w w:val="110"/>
          <w:sz w:val="19"/>
        </w:rPr>
        <w:t> </w:t>
      </w:r>
      <w:r>
        <w:rPr>
          <w:w w:val="110"/>
          <w:sz w:val="19"/>
        </w:rPr>
        <w:t>in</w:t>
      </w:r>
      <w:r>
        <w:rPr>
          <w:spacing w:val="-18"/>
          <w:w w:val="110"/>
          <w:sz w:val="19"/>
        </w:rPr>
        <w:t> </w:t>
      </w:r>
      <w:r>
        <w:rPr>
          <w:w w:val="110"/>
          <w:sz w:val="19"/>
        </w:rPr>
        <w:t>which</w:t>
      </w:r>
      <w:r>
        <w:rPr>
          <w:spacing w:val="-18"/>
          <w:w w:val="110"/>
          <w:sz w:val="19"/>
        </w:rPr>
        <w:t> </w:t>
      </w:r>
      <w:r>
        <w:rPr>
          <w:w w:val="110"/>
          <w:sz w:val="19"/>
        </w:rPr>
        <w:t>each</w:t>
      </w:r>
      <w:r>
        <w:rPr>
          <w:spacing w:val="-19"/>
          <w:w w:val="110"/>
          <w:sz w:val="19"/>
        </w:rPr>
        <w:t> </w:t>
      </w:r>
      <w:r>
        <w:rPr>
          <w:w w:val="110"/>
          <w:sz w:val="19"/>
        </w:rPr>
        <w:t>component</w:t>
      </w:r>
      <w:r>
        <w:rPr>
          <w:spacing w:val="-18"/>
          <w:w w:val="110"/>
          <w:sz w:val="19"/>
        </w:rPr>
        <w:t> </w:t>
      </w:r>
      <w:r>
        <w:rPr>
          <w:w w:val="110"/>
          <w:sz w:val="19"/>
        </w:rPr>
        <w:t>is</w:t>
      </w:r>
      <w:r>
        <w:rPr>
          <w:spacing w:val="-18"/>
          <w:w w:val="110"/>
          <w:sz w:val="19"/>
        </w:rPr>
        <w:t> </w:t>
      </w:r>
      <w:r>
        <w:rPr>
          <w:spacing w:val="-3"/>
          <w:w w:val="110"/>
          <w:sz w:val="19"/>
        </w:rPr>
        <w:t>weighted</w:t>
      </w:r>
      <w:r>
        <w:rPr>
          <w:spacing w:val="-18"/>
          <w:w w:val="110"/>
          <w:sz w:val="19"/>
        </w:rPr>
        <w:t> </w:t>
      </w:r>
      <w:r>
        <w:rPr>
          <w:w w:val="110"/>
          <w:sz w:val="19"/>
        </w:rPr>
        <w:t>according</w:t>
      </w:r>
      <w:r>
        <w:rPr>
          <w:spacing w:val="-18"/>
          <w:w w:val="110"/>
          <w:sz w:val="19"/>
        </w:rPr>
        <w:t> </w:t>
      </w:r>
      <w:r>
        <w:rPr>
          <w:spacing w:val="-4"/>
          <w:w w:val="110"/>
          <w:sz w:val="19"/>
        </w:rPr>
        <w:t>to</w:t>
      </w:r>
      <w:r>
        <w:rPr>
          <w:spacing w:val="-18"/>
          <w:w w:val="110"/>
          <w:sz w:val="19"/>
        </w:rPr>
        <w:t> </w:t>
      </w:r>
      <w:r>
        <w:rPr>
          <w:w w:val="110"/>
          <w:sz w:val="19"/>
        </w:rPr>
        <w:t>an</w:t>
      </w:r>
      <w:r>
        <w:rPr>
          <w:spacing w:val="-18"/>
          <w:w w:val="110"/>
          <w:sz w:val="19"/>
        </w:rPr>
        <w:t> </w:t>
      </w:r>
      <w:r>
        <w:rPr>
          <w:w w:val="110"/>
          <w:sz w:val="19"/>
        </w:rPr>
        <w:t>estimate</w:t>
      </w:r>
      <w:r>
        <w:rPr>
          <w:spacing w:val="-18"/>
          <w:w w:val="110"/>
          <w:sz w:val="19"/>
        </w:rPr>
        <w:t> </w:t>
      </w:r>
      <w:r>
        <w:rPr>
          <w:w w:val="110"/>
          <w:sz w:val="19"/>
        </w:rPr>
        <w:t>of</w:t>
      </w:r>
      <w:r>
        <w:rPr>
          <w:spacing w:val="-18"/>
          <w:w w:val="110"/>
          <w:sz w:val="19"/>
        </w:rPr>
        <w:t> </w:t>
      </w:r>
      <w:r>
        <w:rPr>
          <w:w w:val="110"/>
          <w:sz w:val="19"/>
        </w:rPr>
        <w:t>its likely use for</w:t>
      </w:r>
      <w:r>
        <w:rPr>
          <w:spacing w:val="-17"/>
          <w:w w:val="110"/>
          <w:sz w:val="19"/>
        </w:rPr>
        <w:t> </w:t>
      </w:r>
      <w:r>
        <w:rPr>
          <w:w w:val="110"/>
          <w:sz w:val="19"/>
        </w:rPr>
        <w:t>transactions.</w:t>
      </w:r>
    </w:p>
    <w:p>
      <w:pPr>
        <w:spacing w:before="1"/>
        <w:ind w:left="582" w:right="0" w:firstLine="0"/>
        <w:jc w:val="left"/>
        <w:rPr>
          <w:sz w:val="19"/>
        </w:rPr>
      </w:pPr>
      <w:r>
        <w:rPr>
          <w:w w:val="105"/>
          <w:sz w:val="19"/>
        </w:rPr>
        <w:t>ERI: exchange rate index.</w:t>
      </w:r>
    </w:p>
    <w:p>
      <w:pPr>
        <w:spacing w:before="11"/>
        <w:ind w:left="582" w:right="0" w:firstLine="0"/>
        <w:jc w:val="left"/>
        <w:rPr>
          <w:sz w:val="19"/>
        </w:rPr>
      </w:pPr>
      <w:r>
        <w:rPr>
          <w:w w:val="105"/>
          <w:sz w:val="19"/>
        </w:rPr>
        <w:t>FEPI: final expenditure price index.</w:t>
      </w:r>
    </w:p>
    <w:p>
      <w:pPr>
        <w:spacing w:before="12"/>
        <w:ind w:left="582" w:right="0" w:firstLine="0"/>
        <w:jc w:val="left"/>
        <w:rPr>
          <w:sz w:val="19"/>
        </w:rPr>
      </w:pPr>
      <w:r>
        <w:rPr>
          <w:w w:val="105"/>
          <w:sz w:val="19"/>
        </w:rPr>
        <w:t>HICP: Harmonised Index of Consumer Prices.</w:t>
      </w:r>
    </w:p>
    <w:p>
      <w:pPr>
        <w:spacing w:before="11"/>
        <w:ind w:left="582" w:right="0" w:firstLine="0"/>
        <w:jc w:val="left"/>
        <w:rPr>
          <w:sz w:val="19"/>
        </w:rPr>
      </w:pPr>
      <w:r>
        <w:rPr>
          <w:w w:val="110"/>
          <w:sz w:val="19"/>
        </w:rPr>
        <w:t>M 0 : notes and coin in circulation outside the Bank of England and bankers’ operational deposits at the Bank.</w:t>
      </w:r>
    </w:p>
    <w:p>
      <w:pPr>
        <w:spacing w:line="252" w:lineRule="auto" w:before="12"/>
        <w:ind w:left="800" w:right="234" w:hanging="218"/>
        <w:jc w:val="left"/>
        <w:rPr>
          <w:sz w:val="19"/>
        </w:rPr>
      </w:pPr>
      <w:r>
        <w:rPr>
          <w:w w:val="110"/>
          <w:sz w:val="19"/>
        </w:rPr>
        <w:t>M 4 : UK non-bank, non building society </w:t>
      </w:r>
      <w:r>
        <w:rPr>
          <w:spacing w:val="-3"/>
          <w:w w:val="110"/>
          <w:sz w:val="19"/>
        </w:rPr>
        <w:t>private </w:t>
      </w:r>
      <w:r>
        <w:rPr>
          <w:spacing w:val="-4"/>
          <w:w w:val="110"/>
          <w:sz w:val="19"/>
        </w:rPr>
        <w:t>sector’s </w:t>
      </w:r>
      <w:r>
        <w:rPr>
          <w:w w:val="110"/>
          <w:sz w:val="19"/>
        </w:rPr>
        <w:t>holdings of </w:t>
      </w:r>
      <w:r>
        <w:rPr>
          <w:spacing w:val="-3"/>
          <w:w w:val="110"/>
          <w:sz w:val="19"/>
        </w:rPr>
        <w:t>notes </w:t>
      </w:r>
      <w:r>
        <w:rPr>
          <w:w w:val="110"/>
          <w:sz w:val="19"/>
        </w:rPr>
        <w:t>and coin, plus all sterling deposits (including</w:t>
      </w:r>
      <w:r>
        <w:rPr>
          <w:spacing w:val="-19"/>
          <w:w w:val="110"/>
          <w:sz w:val="19"/>
        </w:rPr>
        <w:t> </w:t>
      </w:r>
      <w:r>
        <w:rPr>
          <w:w w:val="110"/>
          <w:sz w:val="19"/>
        </w:rPr>
        <w:t>certificates</w:t>
      </w:r>
      <w:r>
        <w:rPr>
          <w:spacing w:val="-19"/>
          <w:w w:val="110"/>
          <w:sz w:val="19"/>
        </w:rPr>
        <w:t> </w:t>
      </w:r>
      <w:r>
        <w:rPr>
          <w:w w:val="110"/>
          <w:sz w:val="19"/>
        </w:rPr>
        <w:t>of</w:t>
      </w:r>
      <w:r>
        <w:rPr>
          <w:spacing w:val="-19"/>
          <w:w w:val="110"/>
          <w:sz w:val="19"/>
        </w:rPr>
        <w:t> </w:t>
      </w:r>
      <w:r>
        <w:rPr>
          <w:w w:val="110"/>
          <w:sz w:val="19"/>
        </w:rPr>
        <w:t>deposit)</w:t>
      </w:r>
      <w:r>
        <w:rPr>
          <w:spacing w:val="-19"/>
          <w:w w:val="110"/>
          <w:sz w:val="19"/>
        </w:rPr>
        <w:t> </w:t>
      </w:r>
      <w:r>
        <w:rPr>
          <w:w w:val="110"/>
          <w:sz w:val="19"/>
        </w:rPr>
        <w:t>held</w:t>
      </w:r>
      <w:r>
        <w:rPr>
          <w:spacing w:val="-18"/>
          <w:w w:val="110"/>
          <w:sz w:val="19"/>
        </w:rPr>
        <w:t> </w:t>
      </w:r>
      <w:r>
        <w:rPr>
          <w:w w:val="110"/>
          <w:sz w:val="19"/>
        </w:rPr>
        <w:t>at</w:t>
      </w:r>
      <w:r>
        <w:rPr>
          <w:spacing w:val="-19"/>
          <w:w w:val="110"/>
          <w:sz w:val="19"/>
        </w:rPr>
        <w:t> </w:t>
      </w:r>
      <w:r>
        <w:rPr>
          <w:w w:val="110"/>
          <w:sz w:val="19"/>
        </w:rPr>
        <w:t>UK</w:t>
      </w:r>
      <w:r>
        <w:rPr>
          <w:spacing w:val="-19"/>
          <w:w w:val="110"/>
          <w:sz w:val="19"/>
        </w:rPr>
        <w:t> </w:t>
      </w:r>
      <w:r>
        <w:rPr>
          <w:w w:val="110"/>
          <w:sz w:val="19"/>
        </w:rPr>
        <w:t>banks</w:t>
      </w:r>
      <w:r>
        <w:rPr>
          <w:spacing w:val="-19"/>
          <w:w w:val="110"/>
          <w:sz w:val="19"/>
        </w:rPr>
        <w:t> </w:t>
      </w:r>
      <w:r>
        <w:rPr>
          <w:w w:val="110"/>
          <w:sz w:val="19"/>
        </w:rPr>
        <w:t>and</w:t>
      </w:r>
      <w:r>
        <w:rPr>
          <w:spacing w:val="-18"/>
          <w:w w:val="110"/>
          <w:sz w:val="19"/>
        </w:rPr>
        <w:t> </w:t>
      </w:r>
      <w:r>
        <w:rPr>
          <w:w w:val="110"/>
          <w:sz w:val="19"/>
        </w:rPr>
        <w:t>building</w:t>
      </w:r>
      <w:r>
        <w:rPr>
          <w:spacing w:val="-19"/>
          <w:w w:val="110"/>
          <w:sz w:val="19"/>
        </w:rPr>
        <w:t> </w:t>
      </w:r>
      <w:r>
        <w:rPr>
          <w:w w:val="110"/>
          <w:sz w:val="19"/>
        </w:rPr>
        <w:t>societies</w:t>
      </w:r>
      <w:r>
        <w:rPr>
          <w:spacing w:val="-19"/>
          <w:w w:val="110"/>
          <w:sz w:val="19"/>
        </w:rPr>
        <w:t> </w:t>
      </w:r>
      <w:r>
        <w:rPr>
          <w:w w:val="110"/>
          <w:sz w:val="19"/>
        </w:rPr>
        <w:t>by</w:t>
      </w:r>
      <w:r>
        <w:rPr>
          <w:spacing w:val="-19"/>
          <w:w w:val="110"/>
          <w:sz w:val="19"/>
        </w:rPr>
        <w:t> </w:t>
      </w:r>
      <w:r>
        <w:rPr>
          <w:w w:val="110"/>
          <w:sz w:val="19"/>
        </w:rPr>
        <w:t>the</w:t>
      </w:r>
      <w:r>
        <w:rPr>
          <w:spacing w:val="-18"/>
          <w:w w:val="110"/>
          <w:sz w:val="19"/>
        </w:rPr>
        <w:t> </w:t>
      </w:r>
      <w:r>
        <w:rPr>
          <w:w w:val="110"/>
          <w:sz w:val="19"/>
        </w:rPr>
        <w:t>non-bank,</w:t>
      </w:r>
      <w:r>
        <w:rPr>
          <w:spacing w:val="-19"/>
          <w:w w:val="110"/>
          <w:sz w:val="19"/>
        </w:rPr>
        <w:t> </w:t>
      </w:r>
      <w:r>
        <w:rPr>
          <w:w w:val="110"/>
          <w:sz w:val="19"/>
        </w:rPr>
        <w:t>non</w:t>
      </w:r>
      <w:r>
        <w:rPr>
          <w:spacing w:val="-19"/>
          <w:w w:val="110"/>
          <w:sz w:val="19"/>
        </w:rPr>
        <w:t> </w:t>
      </w:r>
      <w:r>
        <w:rPr>
          <w:w w:val="110"/>
          <w:sz w:val="19"/>
        </w:rPr>
        <w:t>building</w:t>
      </w:r>
      <w:r>
        <w:rPr>
          <w:spacing w:val="-19"/>
          <w:w w:val="110"/>
          <w:sz w:val="19"/>
        </w:rPr>
        <w:t> </w:t>
      </w:r>
      <w:r>
        <w:rPr>
          <w:w w:val="110"/>
          <w:sz w:val="19"/>
        </w:rPr>
        <w:t>society </w:t>
      </w:r>
      <w:r>
        <w:rPr>
          <w:spacing w:val="-3"/>
          <w:w w:val="110"/>
          <w:sz w:val="19"/>
        </w:rPr>
        <w:t>private</w:t>
      </w:r>
      <w:r>
        <w:rPr>
          <w:spacing w:val="-5"/>
          <w:w w:val="110"/>
          <w:sz w:val="19"/>
        </w:rPr>
        <w:t> </w:t>
      </w:r>
      <w:r>
        <w:rPr>
          <w:spacing w:val="-3"/>
          <w:w w:val="110"/>
          <w:sz w:val="19"/>
        </w:rPr>
        <w:t>sector.</w:t>
      </w:r>
    </w:p>
    <w:p>
      <w:pPr>
        <w:spacing w:line="252" w:lineRule="auto" w:before="2"/>
        <w:ind w:left="800" w:right="296" w:hanging="218"/>
        <w:jc w:val="left"/>
        <w:rPr>
          <w:sz w:val="19"/>
        </w:rPr>
      </w:pPr>
      <w:r>
        <w:rPr>
          <w:w w:val="105"/>
          <w:sz w:val="19"/>
        </w:rPr>
        <w:t>M4 lending: sterling lending by UK monetary institutions (MFIs) to all UK residents other than the public sector and MFIs. M4 lending includes loans and advances as well as investments, acceptances and reverse repo transactions.</w:t>
      </w:r>
    </w:p>
    <w:p>
      <w:pPr>
        <w:spacing w:before="1"/>
        <w:ind w:left="582" w:right="0" w:firstLine="0"/>
        <w:jc w:val="left"/>
        <w:rPr>
          <w:sz w:val="19"/>
        </w:rPr>
      </w:pPr>
      <w:r>
        <w:rPr>
          <w:w w:val="105"/>
          <w:sz w:val="19"/>
        </w:rPr>
        <w:t>RPI inflation: inflation measured by the retail price index.</w:t>
      </w:r>
    </w:p>
    <w:p>
      <w:pPr>
        <w:spacing w:before="11"/>
        <w:ind w:left="582" w:right="0" w:firstLine="0"/>
        <w:jc w:val="left"/>
        <w:rPr>
          <w:sz w:val="19"/>
        </w:rPr>
      </w:pPr>
      <w:r>
        <w:rPr>
          <w:w w:val="105"/>
          <w:sz w:val="19"/>
        </w:rPr>
        <w:t>RPIX inflation: inflation measured by the RPI excluding mortgage interest payments.</w:t>
      </w:r>
    </w:p>
    <w:p>
      <w:pPr>
        <w:spacing w:line="252" w:lineRule="auto" w:before="12"/>
        <w:ind w:left="800" w:right="172" w:hanging="218"/>
        <w:jc w:val="left"/>
        <w:rPr>
          <w:sz w:val="19"/>
        </w:rPr>
      </w:pPr>
      <w:r>
        <w:rPr>
          <w:w w:val="105"/>
          <w:sz w:val="19"/>
        </w:rPr>
        <w:t>RPIY inflation: inflation measured by the RPI excluding mortgage interest payments and the following indirect taxes: council tax, VAT, duties, car purchase tax and vehicle excise duty, insurance tax and airport tax.</w:t>
      </w:r>
    </w:p>
    <w:p>
      <w:pPr>
        <w:spacing w:before="1"/>
        <w:ind w:left="582" w:right="0" w:firstLine="0"/>
        <w:jc w:val="left"/>
        <w:rPr>
          <w:sz w:val="19"/>
        </w:rPr>
      </w:pPr>
      <w:r>
        <w:rPr>
          <w:w w:val="105"/>
          <w:sz w:val="19"/>
        </w:rPr>
        <w:t>TPI: tax and price index.</w:t>
      </w:r>
    </w:p>
    <w:p>
      <w:pPr>
        <w:pStyle w:val="BodyText"/>
      </w:pPr>
    </w:p>
    <w:p>
      <w:pPr>
        <w:spacing w:after="0"/>
        <w:sectPr>
          <w:headerReference w:type="even" r:id="rId191"/>
          <w:footerReference w:type="even" r:id="rId192"/>
          <w:pgSz w:w="11900" w:h="16840"/>
          <w:pgMar w:header="0" w:footer="0" w:top="860" w:bottom="280" w:left="640" w:right="640"/>
        </w:sectPr>
      </w:pPr>
    </w:p>
    <w:p>
      <w:pPr>
        <w:pStyle w:val="BodyText"/>
        <w:spacing w:before="1"/>
        <w:rPr>
          <w:sz w:val="22"/>
        </w:rPr>
      </w:pPr>
    </w:p>
    <w:p>
      <w:pPr>
        <w:pStyle w:val="Heading4"/>
        <w:ind w:left="580"/>
      </w:pPr>
      <w:r>
        <w:rPr>
          <w:color w:val="0092C7"/>
        </w:rPr>
        <w:t>Abbreviations</w:t>
      </w:r>
    </w:p>
    <w:p>
      <w:pPr>
        <w:spacing w:line="252" w:lineRule="auto" w:before="139"/>
        <w:ind w:left="582" w:right="1004" w:firstLine="0"/>
        <w:jc w:val="left"/>
        <w:rPr>
          <w:sz w:val="19"/>
        </w:rPr>
      </w:pPr>
      <w:r>
        <w:rPr>
          <w:w w:val="105"/>
          <w:sz w:val="19"/>
        </w:rPr>
        <w:t>BCC: British Chambers of Commerce. BRC: British Retail Consortium.</w:t>
      </w:r>
    </w:p>
    <w:p>
      <w:pPr>
        <w:spacing w:line="252" w:lineRule="auto" w:before="2"/>
        <w:ind w:left="582" w:right="570" w:firstLine="0"/>
        <w:jc w:val="left"/>
        <w:rPr>
          <w:sz w:val="19"/>
        </w:rPr>
      </w:pPr>
      <w:r>
        <w:rPr>
          <w:w w:val="105"/>
          <w:sz w:val="19"/>
        </w:rPr>
        <w:t>CBI: Confederation of British Industry. CIPS: Chartered Institute of Purchasing and</w:t>
      </w:r>
    </w:p>
    <w:p>
      <w:pPr>
        <w:spacing w:before="1"/>
        <w:ind w:left="799" w:right="0" w:firstLine="0"/>
        <w:jc w:val="left"/>
        <w:rPr>
          <w:sz w:val="19"/>
        </w:rPr>
      </w:pPr>
      <w:r>
        <w:rPr>
          <w:sz w:val="19"/>
        </w:rPr>
        <w:t>Supply.</w:t>
      </w:r>
    </w:p>
    <w:p>
      <w:pPr>
        <w:spacing w:line="252" w:lineRule="auto" w:before="11"/>
        <w:ind w:left="582" w:right="1004" w:hanging="1"/>
        <w:jc w:val="left"/>
        <w:rPr>
          <w:sz w:val="19"/>
        </w:rPr>
      </w:pPr>
      <w:r>
        <w:rPr>
          <w:w w:val="105"/>
          <w:sz w:val="19"/>
        </w:rPr>
        <w:t>CML: Council of Mortgage Lenders. cob: close of business.</w:t>
      </w:r>
    </w:p>
    <w:p>
      <w:pPr>
        <w:spacing w:line="252" w:lineRule="auto" w:before="2"/>
        <w:ind w:left="799" w:right="0" w:hanging="218"/>
        <w:jc w:val="left"/>
        <w:rPr>
          <w:sz w:val="19"/>
        </w:rPr>
      </w:pPr>
      <w:r>
        <w:rPr>
          <w:w w:val="105"/>
          <w:sz w:val="19"/>
        </w:rPr>
        <w:t>DETR: Department of the Environment, Transport and the Regions.</w:t>
      </w:r>
    </w:p>
    <w:p>
      <w:pPr>
        <w:spacing w:line="252" w:lineRule="auto" w:before="1"/>
        <w:ind w:left="582" w:right="1004" w:firstLine="0"/>
        <w:jc w:val="left"/>
        <w:rPr>
          <w:sz w:val="19"/>
        </w:rPr>
      </w:pPr>
      <w:r>
        <w:rPr>
          <w:w w:val="105"/>
          <w:sz w:val="19"/>
        </w:rPr>
        <w:t>DHL: DHL International (UK) Ltd. ECB: European Central Bank.</w:t>
      </w:r>
    </w:p>
    <w:p>
      <w:pPr>
        <w:spacing w:line="252" w:lineRule="auto" w:before="1"/>
        <w:ind w:left="582" w:right="1004" w:firstLine="0"/>
        <w:jc w:val="left"/>
        <w:rPr>
          <w:sz w:val="19"/>
        </w:rPr>
      </w:pPr>
      <w:r>
        <w:rPr>
          <w:sz w:val="19"/>
        </w:rPr>
        <w:t>EEF: Engineering Employers’ Federation. EU: European Union.</w:t>
      </w:r>
    </w:p>
    <w:p>
      <w:pPr>
        <w:spacing w:line="252" w:lineRule="auto" w:before="1"/>
        <w:ind w:left="582" w:right="705" w:firstLine="0"/>
        <w:jc w:val="left"/>
        <w:rPr>
          <w:sz w:val="19"/>
        </w:rPr>
      </w:pPr>
      <w:r>
        <w:rPr>
          <w:w w:val="105"/>
          <w:sz w:val="19"/>
        </w:rPr>
        <w:t>FOMC: Federal Open Market Committee. FTSE: Financial Times Stock Exchange. GC: generalised collateral.</w:t>
      </w:r>
    </w:p>
    <w:p>
      <w:pPr>
        <w:spacing w:before="2"/>
        <w:ind w:left="582" w:right="0" w:firstLine="0"/>
        <w:jc w:val="left"/>
        <w:rPr>
          <w:sz w:val="19"/>
        </w:rPr>
      </w:pPr>
      <w:r>
        <w:rPr>
          <w:w w:val="110"/>
          <w:sz w:val="19"/>
        </w:rPr>
        <w:t>GDP: Gross domestic product.</w:t>
      </w:r>
    </w:p>
    <w:p>
      <w:pPr>
        <w:spacing w:line="252" w:lineRule="auto" w:before="11"/>
        <w:ind w:left="582" w:right="222" w:firstLine="0"/>
        <w:jc w:val="left"/>
        <w:rPr>
          <w:sz w:val="19"/>
        </w:rPr>
      </w:pPr>
      <w:r>
        <w:rPr>
          <w:w w:val="105"/>
          <w:sz w:val="19"/>
        </w:rPr>
        <w:t>Gf K: Gesellschaft für Konsum, Great Britain Ltd. HMT: Her Majesty’s Treasury.</w:t>
      </w:r>
    </w:p>
    <w:p>
      <w:pPr>
        <w:spacing w:line="252" w:lineRule="auto" w:before="2"/>
        <w:ind w:left="582" w:right="0" w:firstLine="0"/>
        <w:jc w:val="left"/>
        <w:rPr>
          <w:sz w:val="19"/>
        </w:rPr>
      </w:pPr>
      <w:r>
        <w:rPr>
          <w:spacing w:val="14"/>
          <w:w w:val="105"/>
          <w:sz w:val="19"/>
        </w:rPr>
        <w:t>ICPFs: </w:t>
      </w:r>
      <w:r>
        <w:rPr>
          <w:w w:val="105"/>
          <w:sz w:val="19"/>
        </w:rPr>
        <w:t>insurance companies and pension funds. </w:t>
      </w:r>
      <w:r>
        <w:rPr>
          <w:spacing w:val="14"/>
          <w:w w:val="105"/>
          <w:sz w:val="19"/>
        </w:rPr>
        <w:t>ICT: </w:t>
      </w:r>
      <w:r>
        <w:rPr>
          <w:w w:val="105"/>
          <w:sz w:val="19"/>
        </w:rPr>
        <w:t>information and communications </w:t>
      </w:r>
      <w:r>
        <w:rPr>
          <w:spacing w:val="-3"/>
          <w:w w:val="105"/>
          <w:sz w:val="19"/>
        </w:rPr>
        <w:t>technology. </w:t>
      </w:r>
      <w:r>
        <w:rPr>
          <w:spacing w:val="14"/>
          <w:w w:val="105"/>
          <w:sz w:val="19"/>
        </w:rPr>
        <w:t>IDS: </w:t>
      </w:r>
      <w:r>
        <w:rPr>
          <w:w w:val="105"/>
          <w:sz w:val="19"/>
        </w:rPr>
        <w:t>Incomes Data</w:t>
      </w:r>
      <w:r>
        <w:rPr>
          <w:spacing w:val="23"/>
          <w:w w:val="105"/>
          <w:sz w:val="19"/>
        </w:rPr>
        <w:t> </w:t>
      </w:r>
      <w:r>
        <w:rPr>
          <w:w w:val="105"/>
          <w:sz w:val="19"/>
        </w:rPr>
        <w:t>Services.</w:t>
      </w:r>
    </w:p>
    <w:p>
      <w:pPr>
        <w:spacing w:line="252" w:lineRule="auto" w:before="1"/>
        <w:ind w:left="582" w:right="1177" w:firstLine="0"/>
        <w:jc w:val="left"/>
        <w:rPr>
          <w:sz w:val="19"/>
        </w:rPr>
      </w:pPr>
      <w:r>
        <w:rPr>
          <w:spacing w:val="14"/>
          <w:w w:val="105"/>
          <w:sz w:val="19"/>
        </w:rPr>
        <w:t>IMF: </w:t>
      </w:r>
      <w:r>
        <w:rPr>
          <w:w w:val="105"/>
          <w:sz w:val="19"/>
        </w:rPr>
        <w:t>International Monetary Fund. </w:t>
      </w:r>
      <w:r>
        <w:rPr>
          <w:spacing w:val="14"/>
          <w:w w:val="105"/>
          <w:sz w:val="19"/>
        </w:rPr>
        <w:t>IRS: </w:t>
      </w:r>
      <w:r>
        <w:rPr>
          <w:w w:val="105"/>
          <w:sz w:val="19"/>
        </w:rPr>
        <w:t>Industrial Relations Services. </w:t>
      </w:r>
      <w:r>
        <w:rPr>
          <w:spacing w:val="13"/>
          <w:w w:val="105"/>
          <w:sz w:val="19"/>
        </w:rPr>
        <w:t>IT: </w:t>
      </w:r>
      <w:r>
        <w:rPr>
          <w:w w:val="105"/>
          <w:sz w:val="19"/>
        </w:rPr>
        <w:t>information</w:t>
      </w:r>
      <w:r>
        <w:rPr>
          <w:spacing w:val="-25"/>
          <w:w w:val="105"/>
          <w:sz w:val="19"/>
        </w:rPr>
        <w:t> </w:t>
      </w:r>
      <w:r>
        <w:rPr>
          <w:spacing w:val="-3"/>
          <w:w w:val="105"/>
          <w:sz w:val="19"/>
        </w:rPr>
        <w:t>technology.</w:t>
      </w:r>
    </w:p>
    <w:p>
      <w:pPr>
        <w:spacing w:line="252" w:lineRule="auto" w:before="2"/>
        <w:ind w:left="582" w:right="705" w:hanging="1"/>
        <w:jc w:val="left"/>
        <w:rPr>
          <w:sz w:val="19"/>
        </w:rPr>
      </w:pPr>
      <w:r>
        <w:rPr>
          <w:w w:val="105"/>
          <w:sz w:val="19"/>
        </w:rPr>
        <w:t>LAPFs: life assurance and pension funds. LFS: Labour Force Survey.</w:t>
      </w:r>
    </w:p>
    <w:p>
      <w:pPr>
        <w:spacing w:line="252" w:lineRule="auto" w:before="1"/>
        <w:ind w:left="799" w:right="0" w:hanging="218"/>
        <w:jc w:val="left"/>
        <w:rPr>
          <w:sz w:val="19"/>
        </w:rPr>
      </w:pPr>
      <w:r>
        <w:rPr>
          <w:w w:val="105"/>
          <w:sz w:val="19"/>
        </w:rPr>
        <w:t>LIFFE: London International Financial Futures and Options Exchange.</w:t>
      </w:r>
    </w:p>
    <w:p>
      <w:pPr>
        <w:pStyle w:val="BodyText"/>
        <w:rPr>
          <w:sz w:val="18"/>
        </w:rPr>
      </w:pPr>
      <w:r>
        <w:rPr/>
        <w:br w:type="column"/>
      </w:r>
      <w:r>
        <w:rPr>
          <w:sz w:val="18"/>
        </w:rPr>
      </w:r>
    </w:p>
    <w:p>
      <w:pPr>
        <w:pStyle w:val="BodyText"/>
        <w:rPr>
          <w:sz w:val="18"/>
        </w:rPr>
      </w:pPr>
    </w:p>
    <w:p>
      <w:pPr>
        <w:pStyle w:val="BodyText"/>
        <w:spacing w:before="5"/>
        <w:rPr>
          <w:sz w:val="22"/>
        </w:rPr>
      </w:pPr>
    </w:p>
    <w:p>
      <w:pPr>
        <w:spacing w:line="252" w:lineRule="auto" w:before="0"/>
        <w:ind w:left="580" w:right="1425" w:firstLine="0"/>
        <w:jc w:val="left"/>
        <w:rPr>
          <w:sz w:val="19"/>
        </w:rPr>
      </w:pPr>
      <w:r>
        <w:rPr>
          <w:sz w:val="19"/>
        </w:rPr>
        <w:t>M&amp; A: mergers  and  acquisitions. MEW: mortgage equity withdrawal. MFR: Minimum Funding Requirement. MORI: Market and Opinion Research</w:t>
      </w:r>
    </w:p>
    <w:p>
      <w:pPr>
        <w:spacing w:before="2"/>
        <w:ind w:left="797" w:right="0" w:firstLine="0"/>
        <w:jc w:val="left"/>
        <w:rPr>
          <w:sz w:val="19"/>
        </w:rPr>
      </w:pPr>
      <w:r>
        <w:rPr>
          <w:w w:val="110"/>
          <w:sz w:val="19"/>
        </w:rPr>
        <w:t>International.</w:t>
      </w:r>
    </w:p>
    <w:p>
      <w:pPr>
        <w:spacing w:before="12"/>
        <w:ind w:left="580" w:right="0" w:firstLine="0"/>
        <w:jc w:val="left"/>
        <w:rPr>
          <w:sz w:val="19"/>
        </w:rPr>
      </w:pPr>
      <w:r>
        <w:rPr>
          <w:w w:val="105"/>
          <w:sz w:val="19"/>
        </w:rPr>
        <w:t>MPC: Monetary Policy Committee.</w:t>
      </w:r>
    </w:p>
    <w:p>
      <w:pPr>
        <w:spacing w:line="252" w:lineRule="auto" w:before="11"/>
        <w:ind w:left="797" w:right="663" w:hanging="218"/>
        <w:jc w:val="left"/>
        <w:rPr>
          <w:sz w:val="19"/>
        </w:rPr>
      </w:pPr>
      <w:r>
        <w:rPr>
          <w:w w:val="105"/>
          <w:sz w:val="19"/>
        </w:rPr>
        <w:t>NAPM: National Association of Purchasing Managers.</w:t>
      </w:r>
    </w:p>
    <w:p>
      <w:pPr>
        <w:spacing w:line="252" w:lineRule="auto" w:before="2"/>
        <w:ind w:left="797" w:right="0" w:hanging="218"/>
        <w:jc w:val="left"/>
        <w:rPr>
          <w:sz w:val="19"/>
        </w:rPr>
      </w:pPr>
      <w:r>
        <w:rPr>
          <w:w w:val="105"/>
          <w:sz w:val="19"/>
        </w:rPr>
        <w:t>NASDAQ: National Association of Securities Dealers Automated Quotations system.</w:t>
      </w:r>
    </w:p>
    <w:p>
      <w:pPr>
        <w:spacing w:before="1"/>
        <w:ind w:left="580" w:right="0" w:firstLine="0"/>
        <w:jc w:val="left"/>
        <w:rPr>
          <w:sz w:val="19"/>
        </w:rPr>
      </w:pPr>
      <w:r>
        <w:rPr>
          <w:w w:val="105"/>
          <w:sz w:val="19"/>
        </w:rPr>
        <w:t>NHS: National Health Service.</w:t>
      </w:r>
    </w:p>
    <w:p>
      <w:pPr>
        <w:spacing w:line="252" w:lineRule="auto" w:before="11"/>
        <w:ind w:left="797" w:right="0" w:hanging="218"/>
        <w:jc w:val="left"/>
        <w:rPr>
          <w:sz w:val="19"/>
        </w:rPr>
      </w:pPr>
      <w:r>
        <w:rPr>
          <w:w w:val="105"/>
          <w:sz w:val="19"/>
        </w:rPr>
        <w:t>NIESR: National Institute of Economic and Social Research.</w:t>
      </w:r>
    </w:p>
    <w:p>
      <w:pPr>
        <w:spacing w:before="1"/>
        <w:ind w:left="580" w:right="0" w:firstLine="0"/>
        <w:jc w:val="left"/>
        <w:rPr>
          <w:sz w:val="19"/>
        </w:rPr>
      </w:pPr>
      <w:r>
        <w:rPr>
          <w:sz w:val="19"/>
        </w:rPr>
        <w:t>NYMEX: New York Mercantile Exchange.</w:t>
      </w:r>
    </w:p>
    <w:p>
      <w:pPr>
        <w:spacing w:line="252" w:lineRule="auto" w:before="12"/>
        <w:ind w:left="797" w:right="663" w:hanging="218"/>
        <w:jc w:val="left"/>
        <w:rPr>
          <w:sz w:val="19"/>
        </w:rPr>
      </w:pPr>
      <w:r>
        <w:rPr>
          <w:w w:val="105"/>
          <w:sz w:val="19"/>
        </w:rPr>
        <w:t>OECD: Organisation for Economic Co-operation and Development.</w:t>
      </w:r>
    </w:p>
    <w:p>
      <w:pPr>
        <w:spacing w:line="252" w:lineRule="auto" w:before="1"/>
        <w:ind w:left="580" w:right="1425" w:firstLine="0"/>
        <w:jc w:val="left"/>
        <w:rPr>
          <w:sz w:val="19"/>
        </w:rPr>
      </w:pPr>
      <w:r>
        <w:rPr>
          <w:w w:val="105"/>
          <w:sz w:val="19"/>
        </w:rPr>
        <w:t>OFCs: other financial corporations. ONS: Office for National Statistics.</w:t>
      </w:r>
    </w:p>
    <w:p>
      <w:pPr>
        <w:spacing w:line="252" w:lineRule="auto" w:before="1"/>
        <w:ind w:left="797" w:right="663" w:hanging="218"/>
        <w:jc w:val="left"/>
        <w:rPr>
          <w:sz w:val="19"/>
        </w:rPr>
      </w:pPr>
      <w:r>
        <w:rPr>
          <w:w w:val="105"/>
          <w:sz w:val="19"/>
        </w:rPr>
        <w:t>OPEC: Organisation of Petroleum Exporting Countries.</w:t>
      </w:r>
    </w:p>
    <w:p>
      <w:pPr>
        <w:spacing w:before="2"/>
        <w:ind w:left="580" w:right="0" w:firstLine="0"/>
        <w:jc w:val="left"/>
        <w:rPr>
          <w:sz w:val="19"/>
        </w:rPr>
      </w:pPr>
      <w:r>
        <w:rPr>
          <w:sz w:val="19"/>
        </w:rPr>
        <w:t>PBR: Pre-Budget Report.</w:t>
      </w:r>
    </w:p>
    <w:p>
      <w:pPr>
        <w:spacing w:line="252" w:lineRule="auto" w:before="11"/>
        <w:ind w:left="580" w:right="663" w:hanging="1"/>
        <w:jc w:val="left"/>
        <w:rPr>
          <w:sz w:val="19"/>
        </w:rPr>
      </w:pPr>
      <w:r>
        <w:rPr>
          <w:w w:val="105"/>
          <w:sz w:val="19"/>
        </w:rPr>
        <w:t>PNFCs: private non-financial corporations. PSNB: public sector net borrowing.</w:t>
      </w:r>
    </w:p>
    <w:p>
      <w:pPr>
        <w:spacing w:before="1"/>
        <w:ind w:left="580" w:right="0" w:firstLine="0"/>
        <w:jc w:val="left"/>
        <w:rPr>
          <w:sz w:val="19"/>
        </w:rPr>
      </w:pPr>
      <w:r>
        <w:rPr>
          <w:w w:val="110"/>
          <w:sz w:val="19"/>
        </w:rPr>
        <w:t>PSNCR: public sector net cash requirement.</w:t>
      </w:r>
    </w:p>
    <w:p>
      <w:pPr>
        <w:spacing w:line="252" w:lineRule="auto" w:before="12"/>
        <w:ind w:left="580" w:right="175" w:firstLine="0"/>
        <w:jc w:val="left"/>
        <w:rPr>
          <w:sz w:val="19"/>
        </w:rPr>
      </w:pPr>
      <w:r>
        <w:rPr>
          <w:w w:val="105"/>
          <w:sz w:val="19"/>
        </w:rPr>
        <w:t>REC: Recruitment and Employment Confederation. RICS: Royal Institution of Chartered Surveyors.</w:t>
      </w:r>
    </w:p>
    <w:p>
      <w:pPr>
        <w:spacing w:before="1"/>
        <w:ind w:left="580" w:right="0" w:firstLine="0"/>
        <w:jc w:val="left"/>
        <w:rPr>
          <w:sz w:val="19"/>
        </w:rPr>
      </w:pPr>
      <w:r>
        <w:rPr>
          <w:sz w:val="19"/>
        </w:rPr>
        <w:t>S&amp; P: Standard and Poor’s.</w:t>
      </w:r>
    </w:p>
    <w:p>
      <w:pPr>
        <w:spacing w:line="252" w:lineRule="auto" w:before="11"/>
        <w:ind w:left="580" w:right="175" w:firstLine="0"/>
        <w:jc w:val="left"/>
        <w:rPr>
          <w:sz w:val="19"/>
        </w:rPr>
      </w:pPr>
      <w:r>
        <w:rPr>
          <w:w w:val="105"/>
          <w:sz w:val="19"/>
        </w:rPr>
        <w:t>TMT: Technology, media and telecommunications. UIP: uncovered interest parity.</w:t>
      </w:r>
    </w:p>
    <w:p>
      <w:pPr>
        <w:spacing w:after="0" w:line="252" w:lineRule="auto"/>
        <w:jc w:val="left"/>
        <w:rPr>
          <w:sz w:val="19"/>
        </w:rPr>
        <w:sectPr>
          <w:type w:val="continuous"/>
          <w:pgSz w:w="11900" w:h="16840"/>
          <w:pgMar w:top="1260" w:bottom="280" w:left="640" w:right="640"/>
          <w:cols w:num="2" w:equalWidth="0">
            <w:col w:w="4852" w:space="545"/>
            <w:col w:w="5223"/>
          </w:cols>
        </w:sectPr>
      </w:pPr>
    </w:p>
    <w:p>
      <w:pPr>
        <w:pStyle w:val="BodyText"/>
        <w:spacing w:before="6"/>
      </w:pPr>
    </w:p>
    <w:p>
      <w:pPr>
        <w:pStyle w:val="Heading4"/>
        <w:spacing w:before="97"/>
        <w:ind w:left="580"/>
      </w:pPr>
      <w:r>
        <w:rPr>
          <w:color w:val="0092C7"/>
        </w:rPr>
        <w:t>Symbols and conventions</w:t>
      </w:r>
    </w:p>
    <w:p>
      <w:pPr>
        <w:pStyle w:val="BodyText"/>
        <w:spacing w:before="11"/>
        <w:rPr>
          <w:rFonts w:ascii="Trebuchet MS"/>
          <w:sz w:val="30"/>
        </w:rPr>
      </w:pPr>
    </w:p>
    <w:p>
      <w:pPr>
        <w:spacing w:before="0"/>
        <w:ind w:left="580" w:right="0" w:firstLine="0"/>
        <w:jc w:val="left"/>
        <w:rPr>
          <w:sz w:val="19"/>
        </w:rPr>
      </w:pPr>
      <w:r>
        <w:rPr>
          <w:w w:val="110"/>
          <w:sz w:val="19"/>
        </w:rPr>
        <w:t>Except</w:t>
      </w:r>
      <w:r>
        <w:rPr>
          <w:spacing w:val="-16"/>
          <w:w w:val="110"/>
          <w:sz w:val="19"/>
        </w:rPr>
        <w:t> </w:t>
      </w:r>
      <w:r>
        <w:rPr>
          <w:w w:val="110"/>
          <w:sz w:val="19"/>
        </w:rPr>
        <w:t>where</w:t>
      </w:r>
      <w:r>
        <w:rPr>
          <w:spacing w:val="-16"/>
          <w:w w:val="110"/>
          <w:sz w:val="19"/>
        </w:rPr>
        <w:t> </w:t>
      </w:r>
      <w:r>
        <w:rPr>
          <w:w w:val="110"/>
          <w:sz w:val="19"/>
        </w:rPr>
        <w:t>otherwise</w:t>
      </w:r>
      <w:r>
        <w:rPr>
          <w:spacing w:val="-15"/>
          <w:w w:val="110"/>
          <w:sz w:val="19"/>
        </w:rPr>
        <w:t> </w:t>
      </w:r>
      <w:r>
        <w:rPr>
          <w:spacing w:val="-3"/>
          <w:w w:val="110"/>
          <w:sz w:val="19"/>
        </w:rPr>
        <w:t>stated,</w:t>
      </w:r>
      <w:r>
        <w:rPr>
          <w:spacing w:val="-16"/>
          <w:w w:val="110"/>
          <w:sz w:val="19"/>
        </w:rPr>
        <w:t> </w:t>
      </w:r>
      <w:r>
        <w:rPr>
          <w:w w:val="110"/>
          <w:sz w:val="19"/>
        </w:rPr>
        <w:t>the</w:t>
      </w:r>
      <w:r>
        <w:rPr>
          <w:spacing w:val="-15"/>
          <w:w w:val="110"/>
          <w:sz w:val="19"/>
        </w:rPr>
        <w:t> </w:t>
      </w:r>
      <w:r>
        <w:rPr>
          <w:w w:val="110"/>
          <w:sz w:val="19"/>
        </w:rPr>
        <w:t>source</w:t>
      </w:r>
      <w:r>
        <w:rPr>
          <w:spacing w:val="-16"/>
          <w:w w:val="110"/>
          <w:sz w:val="19"/>
        </w:rPr>
        <w:t> </w:t>
      </w:r>
      <w:r>
        <w:rPr>
          <w:w w:val="110"/>
          <w:sz w:val="19"/>
        </w:rPr>
        <w:t>of</w:t>
      </w:r>
      <w:r>
        <w:rPr>
          <w:spacing w:val="-15"/>
          <w:w w:val="110"/>
          <w:sz w:val="19"/>
        </w:rPr>
        <w:t> </w:t>
      </w:r>
      <w:r>
        <w:rPr>
          <w:w w:val="110"/>
          <w:sz w:val="19"/>
        </w:rPr>
        <w:t>the</w:t>
      </w:r>
      <w:r>
        <w:rPr>
          <w:spacing w:val="-16"/>
          <w:w w:val="110"/>
          <w:sz w:val="19"/>
        </w:rPr>
        <w:t> </w:t>
      </w:r>
      <w:r>
        <w:rPr>
          <w:w w:val="110"/>
          <w:sz w:val="19"/>
        </w:rPr>
        <w:t>data</w:t>
      </w:r>
      <w:r>
        <w:rPr>
          <w:spacing w:val="-15"/>
          <w:w w:val="110"/>
          <w:sz w:val="19"/>
        </w:rPr>
        <w:t> </w:t>
      </w:r>
      <w:r>
        <w:rPr>
          <w:w w:val="110"/>
          <w:sz w:val="19"/>
        </w:rPr>
        <w:t>used</w:t>
      </w:r>
      <w:r>
        <w:rPr>
          <w:spacing w:val="-16"/>
          <w:w w:val="110"/>
          <w:sz w:val="19"/>
        </w:rPr>
        <w:t> </w:t>
      </w:r>
      <w:r>
        <w:rPr>
          <w:w w:val="110"/>
          <w:sz w:val="19"/>
        </w:rPr>
        <w:t>in</w:t>
      </w:r>
      <w:r>
        <w:rPr>
          <w:spacing w:val="-15"/>
          <w:w w:val="110"/>
          <w:sz w:val="19"/>
        </w:rPr>
        <w:t> </w:t>
      </w:r>
      <w:r>
        <w:rPr>
          <w:w w:val="110"/>
          <w:sz w:val="19"/>
        </w:rPr>
        <w:t>charts</w:t>
      </w:r>
      <w:r>
        <w:rPr>
          <w:spacing w:val="-16"/>
          <w:w w:val="110"/>
          <w:sz w:val="19"/>
        </w:rPr>
        <w:t> </w:t>
      </w:r>
      <w:r>
        <w:rPr>
          <w:w w:val="110"/>
          <w:sz w:val="19"/>
        </w:rPr>
        <w:t>and</w:t>
      </w:r>
      <w:r>
        <w:rPr>
          <w:spacing w:val="-15"/>
          <w:w w:val="110"/>
          <w:sz w:val="19"/>
        </w:rPr>
        <w:t> </w:t>
      </w:r>
      <w:r>
        <w:rPr>
          <w:w w:val="110"/>
          <w:sz w:val="19"/>
        </w:rPr>
        <w:t>tables</w:t>
      </w:r>
      <w:r>
        <w:rPr>
          <w:spacing w:val="-16"/>
          <w:w w:val="110"/>
          <w:sz w:val="19"/>
        </w:rPr>
        <w:t> </w:t>
      </w:r>
      <w:r>
        <w:rPr>
          <w:w w:val="110"/>
          <w:sz w:val="19"/>
        </w:rPr>
        <w:t>is</w:t>
      </w:r>
      <w:r>
        <w:rPr>
          <w:spacing w:val="-15"/>
          <w:w w:val="110"/>
          <w:sz w:val="19"/>
        </w:rPr>
        <w:t> </w:t>
      </w:r>
      <w:r>
        <w:rPr>
          <w:w w:val="110"/>
          <w:sz w:val="19"/>
        </w:rPr>
        <w:t>the</w:t>
      </w:r>
      <w:r>
        <w:rPr>
          <w:spacing w:val="-16"/>
          <w:w w:val="110"/>
          <w:sz w:val="19"/>
        </w:rPr>
        <w:t> </w:t>
      </w:r>
      <w:r>
        <w:rPr>
          <w:w w:val="110"/>
          <w:sz w:val="19"/>
        </w:rPr>
        <w:t>Office</w:t>
      </w:r>
      <w:r>
        <w:rPr>
          <w:spacing w:val="-15"/>
          <w:w w:val="110"/>
          <w:sz w:val="19"/>
        </w:rPr>
        <w:t> </w:t>
      </w:r>
      <w:r>
        <w:rPr>
          <w:w w:val="110"/>
          <w:sz w:val="19"/>
        </w:rPr>
        <w:t>for</w:t>
      </w:r>
      <w:r>
        <w:rPr>
          <w:spacing w:val="-16"/>
          <w:w w:val="110"/>
          <w:sz w:val="19"/>
        </w:rPr>
        <w:t> </w:t>
      </w:r>
      <w:r>
        <w:rPr>
          <w:w w:val="110"/>
          <w:sz w:val="19"/>
        </w:rPr>
        <w:t>National</w:t>
      </w:r>
      <w:r>
        <w:rPr>
          <w:spacing w:val="-15"/>
          <w:w w:val="110"/>
          <w:sz w:val="19"/>
        </w:rPr>
        <w:t> </w:t>
      </w:r>
      <w:r>
        <w:rPr>
          <w:w w:val="110"/>
          <w:sz w:val="19"/>
        </w:rPr>
        <w:t>Statistics</w:t>
      </w:r>
      <w:r>
        <w:rPr>
          <w:spacing w:val="-16"/>
          <w:w w:val="110"/>
          <w:sz w:val="19"/>
        </w:rPr>
        <w:t> </w:t>
      </w:r>
      <w:r>
        <w:rPr>
          <w:w w:val="110"/>
          <w:sz w:val="19"/>
        </w:rPr>
        <w:t>(ONS).</w:t>
      </w:r>
    </w:p>
    <w:p>
      <w:pPr>
        <w:spacing w:before="12"/>
        <w:ind w:left="580" w:right="0" w:firstLine="0"/>
        <w:jc w:val="left"/>
        <w:rPr>
          <w:sz w:val="19"/>
        </w:rPr>
      </w:pPr>
      <w:r>
        <w:rPr>
          <w:w w:val="105"/>
          <w:sz w:val="19"/>
        </w:rPr>
        <w:t>n.a. = not available.</w:t>
      </w:r>
    </w:p>
    <w:p>
      <w:pPr>
        <w:spacing w:before="11"/>
        <w:ind w:left="580" w:right="0" w:firstLine="0"/>
        <w:jc w:val="left"/>
        <w:rPr>
          <w:sz w:val="19"/>
        </w:rPr>
      </w:pPr>
      <w:r>
        <w:rPr>
          <w:w w:val="105"/>
          <w:sz w:val="19"/>
        </w:rPr>
        <w:t>Because of rounding, the sum of the separate items may sometimes differ from the total shown.</w:t>
      </w:r>
    </w:p>
    <w:p>
      <w:pPr>
        <w:spacing w:line="252" w:lineRule="auto" w:before="12"/>
        <w:ind w:left="580" w:right="1797" w:firstLine="0"/>
        <w:jc w:val="left"/>
        <w:rPr>
          <w:sz w:val="19"/>
        </w:rPr>
      </w:pPr>
      <w:r>
        <w:rPr>
          <w:w w:val="110"/>
          <w:sz w:val="19"/>
        </w:rPr>
        <w:t>On</w:t>
      </w:r>
      <w:r>
        <w:rPr>
          <w:spacing w:val="-17"/>
          <w:w w:val="110"/>
          <w:sz w:val="19"/>
        </w:rPr>
        <w:t> </w:t>
      </w:r>
      <w:r>
        <w:rPr>
          <w:w w:val="110"/>
          <w:sz w:val="19"/>
        </w:rPr>
        <w:t>the</w:t>
      </w:r>
      <w:r>
        <w:rPr>
          <w:spacing w:val="-17"/>
          <w:w w:val="110"/>
          <w:sz w:val="19"/>
        </w:rPr>
        <w:t> </w:t>
      </w:r>
      <w:r>
        <w:rPr>
          <w:w w:val="110"/>
          <w:sz w:val="19"/>
        </w:rPr>
        <w:t>horizontal</w:t>
      </w:r>
      <w:r>
        <w:rPr>
          <w:spacing w:val="-16"/>
          <w:w w:val="110"/>
          <w:sz w:val="19"/>
        </w:rPr>
        <w:t> </w:t>
      </w:r>
      <w:r>
        <w:rPr>
          <w:spacing w:val="-3"/>
          <w:w w:val="110"/>
          <w:sz w:val="19"/>
        </w:rPr>
        <w:t>axes</w:t>
      </w:r>
      <w:r>
        <w:rPr>
          <w:spacing w:val="-17"/>
          <w:w w:val="110"/>
          <w:sz w:val="19"/>
        </w:rPr>
        <w:t> </w:t>
      </w:r>
      <w:r>
        <w:rPr>
          <w:w w:val="110"/>
          <w:sz w:val="19"/>
        </w:rPr>
        <w:t>of</w:t>
      </w:r>
      <w:r>
        <w:rPr>
          <w:spacing w:val="-17"/>
          <w:w w:val="110"/>
          <w:sz w:val="19"/>
        </w:rPr>
        <w:t> </w:t>
      </w:r>
      <w:r>
        <w:rPr>
          <w:w w:val="110"/>
          <w:sz w:val="19"/>
        </w:rPr>
        <w:t>graphs,</w:t>
      </w:r>
      <w:r>
        <w:rPr>
          <w:spacing w:val="-16"/>
          <w:w w:val="110"/>
          <w:sz w:val="19"/>
        </w:rPr>
        <w:t> </w:t>
      </w:r>
      <w:r>
        <w:rPr>
          <w:w w:val="110"/>
          <w:sz w:val="19"/>
        </w:rPr>
        <w:t>larger</w:t>
      </w:r>
      <w:r>
        <w:rPr>
          <w:spacing w:val="-17"/>
          <w:w w:val="110"/>
          <w:sz w:val="19"/>
        </w:rPr>
        <w:t> </w:t>
      </w:r>
      <w:r>
        <w:rPr>
          <w:w w:val="110"/>
          <w:sz w:val="19"/>
        </w:rPr>
        <w:t>ticks</w:t>
      </w:r>
      <w:r>
        <w:rPr>
          <w:spacing w:val="-17"/>
          <w:w w:val="110"/>
          <w:sz w:val="19"/>
        </w:rPr>
        <w:t> </w:t>
      </w:r>
      <w:r>
        <w:rPr>
          <w:w w:val="110"/>
          <w:sz w:val="19"/>
        </w:rPr>
        <w:t>denote</w:t>
      </w:r>
      <w:r>
        <w:rPr>
          <w:spacing w:val="-16"/>
          <w:w w:val="110"/>
          <w:sz w:val="19"/>
        </w:rPr>
        <w:t> </w:t>
      </w:r>
      <w:r>
        <w:rPr>
          <w:w w:val="110"/>
          <w:sz w:val="19"/>
        </w:rPr>
        <w:t>the</w:t>
      </w:r>
      <w:r>
        <w:rPr>
          <w:spacing w:val="-17"/>
          <w:w w:val="110"/>
          <w:sz w:val="19"/>
        </w:rPr>
        <w:t> </w:t>
      </w:r>
      <w:r>
        <w:rPr>
          <w:w w:val="110"/>
          <w:sz w:val="19"/>
        </w:rPr>
        <w:t>first</w:t>
      </w:r>
      <w:r>
        <w:rPr>
          <w:spacing w:val="-17"/>
          <w:w w:val="110"/>
          <w:sz w:val="19"/>
        </w:rPr>
        <w:t> </w:t>
      </w:r>
      <w:r>
        <w:rPr>
          <w:w w:val="110"/>
          <w:sz w:val="19"/>
        </w:rPr>
        <w:t>observation</w:t>
      </w:r>
      <w:r>
        <w:rPr>
          <w:spacing w:val="-16"/>
          <w:w w:val="110"/>
          <w:sz w:val="19"/>
        </w:rPr>
        <w:t> </w:t>
      </w:r>
      <w:r>
        <w:rPr>
          <w:w w:val="110"/>
          <w:sz w:val="19"/>
        </w:rPr>
        <w:t>within</w:t>
      </w:r>
      <w:r>
        <w:rPr>
          <w:spacing w:val="-17"/>
          <w:w w:val="110"/>
          <w:sz w:val="19"/>
        </w:rPr>
        <w:t> </w:t>
      </w:r>
      <w:r>
        <w:rPr>
          <w:w w:val="110"/>
          <w:sz w:val="19"/>
        </w:rPr>
        <w:t>the</w:t>
      </w:r>
      <w:r>
        <w:rPr>
          <w:spacing w:val="-17"/>
          <w:w w:val="110"/>
          <w:sz w:val="19"/>
        </w:rPr>
        <w:t> </w:t>
      </w:r>
      <w:r>
        <w:rPr>
          <w:spacing w:val="-3"/>
          <w:w w:val="110"/>
          <w:sz w:val="19"/>
        </w:rPr>
        <w:t>relevant</w:t>
      </w:r>
      <w:r>
        <w:rPr>
          <w:spacing w:val="-16"/>
          <w:w w:val="110"/>
          <w:sz w:val="19"/>
        </w:rPr>
        <w:t> </w:t>
      </w:r>
      <w:r>
        <w:rPr>
          <w:w w:val="110"/>
          <w:sz w:val="19"/>
        </w:rPr>
        <w:t>period, eg</w:t>
      </w:r>
      <w:r>
        <w:rPr>
          <w:spacing w:val="-6"/>
          <w:w w:val="110"/>
          <w:sz w:val="19"/>
        </w:rPr>
        <w:t> </w:t>
      </w:r>
      <w:r>
        <w:rPr>
          <w:w w:val="110"/>
          <w:sz w:val="19"/>
        </w:rPr>
        <w:t>data</w:t>
      </w:r>
      <w:r>
        <w:rPr>
          <w:spacing w:val="-5"/>
          <w:w w:val="110"/>
          <w:sz w:val="19"/>
        </w:rPr>
        <w:t> </w:t>
      </w:r>
      <w:r>
        <w:rPr>
          <w:w w:val="110"/>
          <w:sz w:val="19"/>
        </w:rPr>
        <w:t>for</w:t>
      </w:r>
      <w:r>
        <w:rPr>
          <w:spacing w:val="-5"/>
          <w:w w:val="110"/>
          <w:sz w:val="19"/>
        </w:rPr>
        <w:t> </w:t>
      </w:r>
      <w:r>
        <w:rPr>
          <w:w w:val="110"/>
          <w:sz w:val="19"/>
        </w:rPr>
        <w:t>the</w:t>
      </w:r>
      <w:r>
        <w:rPr>
          <w:spacing w:val="-5"/>
          <w:w w:val="110"/>
          <w:sz w:val="19"/>
        </w:rPr>
        <w:t> </w:t>
      </w:r>
      <w:r>
        <w:rPr>
          <w:w w:val="110"/>
          <w:sz w:val="19"/>
        </w:rPr>
        <w:t>first</w:t>
      </w:r>
      <w:r>
        <w:rPr>
          <w:spacing w:val="-5"/>
          <w:w w:val="110"/>
          <w:sz w:val="19"/>
        </w:rPr>
        <w:t> </w:t>
      </w:r>
      <w:r>
        <w:rPr>
          <w:w w:val="110"/>
          <w:sz w:val="19"/>
        </w:rPr>
        <w:t>quarter</w:t>
      </w:r>
      <w:r>
        <w:rPr>
          <w:spacing w:val="-5"/>
          <w:w w:val="110"/>
          <w:sz w:val="19"/>
        </w:rPr>
        <w:t> </w:t>
      </w:r>
      <w:r>
        <w:rPr>
          <w:w w:val="110"/>
          <w:sz w:val="19"/>
        </w:rPr>
        <w:t>of</w:t>
      </w:r>
      <w:r>
        <w:rPr>
          <w:spacing w:val="-6"/>
          <w:w w:val="110"/>
          <w:sz w:val="19"/>
        </w:rPr>
        <w:t> </w:t>
      </w:r>
      <w:r>
        <w:rPr>
          <w:w w:val="110"/>
          <w:sz w:val="19"/>
        </w:rPr>
        <w:t>the</w:t>
      </w:r>
      <w:r>
        <w:rPr>
          <w:spacing w:val="-5"/>
          <w:w w:val="110"/>
          <w:sz w:val="19"/>
        </w:rPr>
        <w:t> </w:t>
      </w:r>
      <w:r>
        <w:rPr>
          <w:spacing w:val="-4"/>
          <w:w w:val="110"/>
          <w:sz w:val="19"/>
        </w:rPr>
        <w:t>year.</w:t>
      </w:r>
    </w:p>
    <w:sectPr>
      <w:type w:val="continuous"/>
      <w:pgSz w:w="11900" w:h="16840"/>
      <w:pgMar w:top="126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Wingdings">
    <w:altName w:val="Wingdings"/>
    <w:charset w:val="2"/>
    <w:family w:val="auto"/>
    <w:pitch w:val="variable"/>
  </w:font>
  <w:font w:name="Trebuchet MS">
    <w:altName w:val="Trebuchet MS"/>
    <w:charset w:val="0"/>
    <w:family w:val="swiss"/>
    <w:pitch w:val="variable"/>
  </w:font>
  <w:font w:name="Arial">
    <w:altName w:val="Arial"/>
    <w:charset w:val="0"/>
    <w:family w:val="swiss"/>
    <w:pitch w:val="variable"/>
  </w:font>
  <w:font w:name="UnDinaru">
    <w:altName w:val="UnDinaru"/>
    <w:charset w:val="0"/>
    <w:family w:val="swiss"/>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677002pt;margin-top:801.287903pt;width:11.25pt;height:9.950pt;mso-position-horizontal-relative:page;mso-position-vertical-relative:page;z-index:-23601152" type="#_x0000_t202" filled="false" stroked="false">
          <v:textbox inset="0,0,0,0">
            <w:txbxContent>
              <w:p>
                <w:pPr>
                  <w:spacing w:before="18"/>
                  <w:ind w:left="60" w:right="0" w:firstLine="0"/>
                  <w:jc w:val="left"/>
                  <w:rPr>
                    <w:rFonts w:ascii="Trebuchet MS"/>
                    <w:sz w:val="14"/>
                  </w:rPr>
                </w:pPr>
                <w:r>
                  <w:rPr/>
                  <w:fldChar w:fldCharType="begin"/>
                </w:r>
                <w:r>
                  <w:rPr>
                    <w:rFonts w:ascii="Trebuchet MS"/>
                    <w:w w:val="9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2.6pt;height:9.950pt;mso-position-horizontal-relative:page;mso-position-vertical-relative:page;z-index:-2358988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255981pt;margin-top:802.268005pt;width:9.75pt;height:9.950pt;mso-position-horizontal-relative:page;mso-position-vertical-relative:page;z-index:-23589376" type="#_x0000_t202" filled="false" stroked="false">
          <v:textbox inset="0,0,0,0">
            <w:txbxContent>
              <w:p>
                <w:pPr>
                  <w:spacing w:before="18"/>
                  <w:ind w:left="60" w:right="0" w:firstLine="0"/>
                  <w:jc w:val="left"/>
                  <w:rPr>
                    <w:rFonts w:ascii="Trebuchet MS"/>
                    <w:sz w:val="14"/>
                  </w:rPr>
                </w:pPr>
                <w:r>
                  <w:rPr/>
                  <w:fldChar w:fldCharType="begin"/>
                </w:r>
                <w:r>
                  <w:rPr>
                    <w:rFonts w:ascii="Trebuchet MS"/>
                    <w:w w:val="102"/>
                    <w:sz w:val="14"/>
                  </w:rPr>
                  <w:instrText> PAGE </w:instrText>
                </w:r>
                <w:r>
                  <w:rPr/>
                  <w:fldChar w:fldCharType="separate"/>
                </w:r>
                <w:r>
                  <w:rPr/>
                  <w:t>9</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2.6pt;height:9.950pt;mso-position-horizontal-relative:page;mso-position-vertical-relative:page;z-index:-2358681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29016pt;margin-top:802.268005pt;width:12.6pt;height:9.950pt;mso-position-horizontal-relative:page;mso-position-vertical-relative:page;z-index:-2358630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4893pt;width:12.75pt;height:9.950pt;mso-position-horizontal-relative:page;mso-position-vertical-relative:page;z-index:-2358425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14</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877991pt;margin-top:802.256714pt;width:12.6pt;height:9.950pt;mso-position-horizontal-relative:page;mso-position-vertical-relative:page;z-index:-2358374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15</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4893pt;width:12.6pt;height:9.950pt;mso-position-horizontal-relative:page;mso-position-vertical-relative:page;z-index:-2358118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16</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153015pt;margin-top:802.267212pt;width:12.6pt;height:9.950pt;mso-position-horizontal-relative:page;mso-position-vertical-relative:page;z-index:-2358067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19</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2.6pt;height:9.950pt;mso-position-horizontal-relative:page;mso-position-vertical-relative:page;z-index:-2357862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18</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153015pt;margin-top:802.268005pt;width:12.6pt;height:9.950pt;mso-position-horizontal-relative:page;mso-position-vertical-relative:page;z-index:-2357811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19</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3600640"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58118pt;width:13.95pt;height:9.950pt;mso-position-horizontal-relative:page;mso-position-vertical-relative:page;z-index:-23575040" type="#_x0000_t202" filled="false" stroked="false">
          <v:textbox inset="0,0,0,0">
            <w:txbxContent>
              <w:p>
                <w:pPr>
                  <w:spacing w:before="18"/>
                  <w:ind w:left="68" w:right="0" w:firstLine="0"/>
                  <w:jc w:val="left"/>
                  <w:rPr>
                    <w:rFonts w:ascii="Trebuchet MS"/>
                    <w:sz w:val="14"/>
                  </w:rPr>
                </w:pPr>
                <w:r>
                  <w:rPr/>
                  <w:fldChar w:fldCharType="begin"/>
                </w:r>
                <w:r>
                  <w:rPr>
                    <w:rFonts w:ascii="Trebuchet MS"/>
                    <w:smallCaps/>
                    <w:w w:val="102"/>
                    <w:sz w:val="14"/>
                  </w:rPr>
                  <w:instrText> PAGE </w:instrText>
                </w:r>
                <w:r>
                  <w:rPr/>
                  <w:fldChar w:fldCharType="separate"/>
                </w:r>
                <w:r>
                  <w:rPr/>
                  <w:t>20</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44873pt;width:13.5pt;height:10pt;mso-position-horizontal-relative:page;mso-position-vertical-relative:page;z-index:-2357452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23</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593pt;width:13.5pt;height:9.950pt;mso-position-horizontal-relative:page;mso-position-vertical-relative:page;z-index:-2357401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29</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3573504"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30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59705pt;width:13.5pt;height:9.950pt;mso-position-horizontal-relative:page;mso-position-vertical-relative:page;z-index:-23570432"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33</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58118pt;width:13.5pt;height:9.950pt;mso-position-horizontal-relative:page;mso-position-vertical-relative:page;z-index:-2356992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32</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3569408"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39</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3.5pt;height:9.950pt;mso-position-horizontal-relative:page;mso-position-vertical-relative:page;z-index:-23568896"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40</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3565824"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43</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3.5pt;height:9.950pt;mso-position-horizontal-relative:page;mso-position-vertical-relative:page;z-index:-2356531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42</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3597056"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3564800"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49</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3.5pt;height:9.950pt;mso-position-horizontal-relative:page;mso-position-vertical-relative:page;z-index:-23564288"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50</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3.5pt;height:9.950pt;mso-position-horizontal-relative:page;mso-position-vertical-relative:page;z-index:-2356070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52</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3560192"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53</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3557120"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54</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3556608"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55</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786987pt;margin-top:801.768005pt;width:13.5pt;height:9.950pt;mso-position-horizontal-relative:page;mso-position-vertical-relative:page;z-index:-23556096"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73</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0.768005pt;width:13.5pt;height:9.950pt;mso-position-horizontal-relative:page;mso-position-vertical-relative:page;z-index:-2355558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102"/>
                    <w:sz w:val="14"/>
                  </w:rPr>
                  <w:instrText> PAGE </w:instrText>
                </w:r>
                <w:r>
                  <w:rPr/>
                  <w:fldChar w:fldCharType="separate"/>
                </w:r>
                <w:r>
                  <w:rPr/>
                  <w:t>72</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0.768005pt;width:13.5pt;height:9.950pt;mso-position-horizontal-relative:page;mso-position-vertical-relative:page;z-index:-23552000" type="#_x0000_t202" filled="false" stroked="false">
          <v:textbox inset="0,0,0,0">
            <w:txbxContent>
              <w:p>
                <w:pPr>
                  <w:spacing w:before="18"/>
                  <w:ind w:left="60" w:right="0" w:firstLine="0"/>
                  <w:jc w:val="left"/>
                  <w:rPr>
                    <w:rFonts w:ascii="Trebuchet MS"/>
                    <w:sz w:val="14"/>
                  </w:rPr>
                </w:pPr>
                <w:r>
                  <w:rPr/>
                  <w:fldChar w:fldCharType="begin"/>
                </w:r>
                <w:r>
                  <w:rPr>
                    <w:rFonts w:ascii="Trebuchet MS"/>
                    <w:sz w:val="14"/>
                  </w:rPr>
                  <w:instrText> PAGE </w:instrText>
                </w:r>
                <w:r>
                  <w:rPr/>
                  <w:fldChar w:fldCharType="separate"/>
                </w:r>
                <w:r>
                  <w:rPr/>
                  <w:t>74</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255981pt;margin-top:802.268005pt;width:9.75pt;height:9.950pt;mso-position-horizontal-relative:page;mso-position-vertical-relative:page;z-index:-23596544" type="#_x0000_t202" filled="false" stroked="false">
          <v:textbox inset="0,0,0,0">
            <w:txbxContent>
              <w:p>
                <w:pPr>
                  <w:spacing w:before="18"/>
                  <w:ind w:left="60" w:right="0" w:firstLine="0"/>
                  <w:jc w:val="left"/>
                  <w:rPr>
                    <w:rFonts w:ascii="Trebuchet MS"/>
                    <w:sz w:val="14"/>
                  </w:rPr>
                </w:pPr>
                <w:r>
                  <w:rPr/>
                  <w:fldChar w:fldCharType="begin"/>
                </w:r>
                <w:r>
                  <w:rPr>
                    <w:rFonts w:ascii="Trebuchet MS"/>
                    <w:w w:val="102"/>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9.75pt;height:9.950pt;mso-position-horizontal-relative:page;mso-position-vertical-relative:page;z-index:-23596032" type="#_x0000_t202" filled="false" stroked="false">
          <v:textbox inset="0,0,0,0">
            <w:txbxContent>
              <w:p>
                <w:pPr>
                  <w:spacing w:before="18"/>
                  <w:ind w:left="60" w:right="0" w:firstLine="0"/>
                  <w:jc w:val="left"/>
                  <w:rPr>
                    <w:rFonts w:ascii="Trebuchet MS"/>
                    <w:sz w:val="14"/>
                  </w:rPr>
                </w:pPr>
                <w:r>
                  <w:rPr/>
                  <w:fldChar w:fldCharType="begin"/>
                </w:r>
                <w:r>
                  <w:rPr>
                    <w:rFonts w:ascii="Trebuchet MS"/>
                    <w:w w:val="102"/>
                    <w:sz w:val="14"/>
                  </w:rPr>
                  <w:instrText> PAGE </w:instrText>
                </w:r>
                <w:r>
                  <w:rPr/>
                  <w:fldChar w:fldCharType="separate"/>
                </w:r>
                <w:r>
                  <w:rPr/>
                  <w:t>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29016pt;margin-top:802.268005pt;width:12.6pt;height:9.950pt;mso-position-horizontal-relative:page;mso-position-vertical-relative:page;z-index:-2359347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w w:val="89"/>
                    <w:sz w:val="14"/>
                  </w:rPr>
                  <w:instrText> PAGE </w:instrText>
                </w:r>
                <w:r>
                  <w:rPr/>
                  <w:fldChar w:fldCharType="separate"/>
                </w:r>
                <w:r>
                  <w:rPr/>
                  <w:t>13</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9.75pt;height:9.950pt;mso-position-horizontal-relative:page;mso-position-vertical-relative:page;z-index:-23592960" type="#_x0000_t202" filled="false" stroked="false">
          <v:textbox inset="0,0,0,0">
            <w:txbxContent>
              <w:p>
                <w:pPr>
                  <w:spacing w:before="18"/>
                  <w:ind w:left="60" w:right="0" w:firstLine="0"/>
                  <w:jc w:val="left"/>
                  <w:rPr>
                    <w:rFonts w:ascii="Trebuchet MS"/>
                    <w:sz w:val="14"/>
                  </w:rPr>
                </w:pPr>
                <w:r>
                  <w:rPr/>
                  <w:fldChar w:fldCharType="begin"/>
                </w:r>
                <w:r>
                  <w:rPr>
                    <w:rFonts w:ascii="Trebuchet MS"/>
                    <w:w w:val="102"/>
                    <w:sz w:val="14"/>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00128" from="39.279999pt,40pt" to="557.279999pt,40pt" stroked="true" strokeweight=".125pt" strokecolor="#000000">
          <v:stroke dashstyle="solid"/>
          <w10:wrap type="none"/>
        </v:line>
      </w:pict>
    </w:r>
    <w:r>
      <w:rPr/>
      <w:pict>
        <v:shape style="position:absolute;margin-left:39.3806pt;margin-top:29.921pt;width:50.45pt;height:9.950pt;mso-position-horizontal-relative:page;mso-position-vertical-relative:page;z-index:-23599616"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43.8pt;height:9.950pt;mso-position-horizontal-relative:page;mso-position-vertical-relative:page;z-index:-23599104"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90912" from="39pt,40pt" to="556.5pt,40pt" stroked="true" strokeweight=".125pt" strokecolor="#000000">
          <v:stroke dashstyle="solid"/>
          <w10:wrap type="none"/>
        </v:line>
      </w:pict>
    </w:r>
    <w:r>
      <w:rPr/>
      <w:pict>
        <v:shape style="position:absolute;margin-left:468.588013pt;margin-top:29.881321pt;width:88.2pt;height:10.15pt;mso-position-horizontal-relative:page;mso-position-vertical-relative:page;z-index:-23590400" type="#_x0000_t202" filled="false" stroked="false">
          <v:textbox inset="0,0,0,0">
            <w:txbxContent>
              <w:p>
                <w:pPr>
                  <w:spacing w:before="21"/>
                  <w:ind w:left="20" w:right="0" w:firstLine="0"/>
                  <w:jc w:val="left"/>
                  <w:rPr>
                    <w:rFonts w:ascii="Arial"/>
                    <w:i/>
                    <w:sz w:val="14"/>
                  </w:rPr>
                </w:pPr>
                <w:r>
                  <w:rPr>
                    <w:rFonts w:ascii="Arial"/>
                    <w:i/>
                    <w:sz w:val="14"/>
                  </w:rPr>
                  <w:t>Money</w:t>
                </w:r>
                <w:r>
                  <w:rPr>
                    <w:rFonts w:ascii="Arial"/>
                    <w:i/>
                    <w:spacing w:val="-19"/>
                    <w:sz w:val="14"/>
                  </w:rPr>
                  <w:t> </w:t>
                </w:r>
                <w:r>
                  <w:rPr>
                    <w:rFonts w:ascii="Arial"/>
                    <w:i/>
                    <w:sz w:val="14"/>
                  </w:rPr>
                  <w:t>and</w:t>
                </w:r>
                <w:r>
                  <w:rPr>
                    <w:rFonts w:ascii="Arial"/>
                    <w:i/>
                    <w:spacing w:val="-19"/>
                    <w:sz w:val="14"/>
                  </w:rPr>
                  <w:t> </w:t>
                </w:r>
                <w:r>
                  <w:rPr>
                    <w:rFonts w:ascii="Arial"/>
                    <w:i/>
                    <w:sz w:val="14"/>
                  </w:rPr>
                  <w:t>financial</w:t>
                </w:r>
                <w:r>
                  <w:rPr>
                    <w:rFonts w:ascii="Arial"/>
                    <w:i/>
                    <w:spacing w:val="-19"/>
                    <w:sz w:val="14"/>
                  </w:rPr>
                  <w:t> </w:t>
                </w:r>
                <w:r>
                  <w:rPr>
                    <w:rFonts w:ascii="Arial"/>
                    <w:i/>
                    <w:sz w:val="14"/>
                  </w:rPr>
                  <w:t>markets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3806pt;margin-top:29.921pt;width:50.45pt;height:9.950pt;mso-position-horizontal-relative:page;mso-position-vertical-relative:page;z-index:-23588864"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43.8pt;height:9.950pt;mso-position-horizontal-relative:page;mso-position-vertical-relative:page;z-index:-23588352"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87840" from="39pt,40pt" to="556.5pt,40pt" stroked="true" strokeweight=".125pt" strokecolor="#000000">
          <v:stroke dashstyle="solid"/>
          <w10:wrap type="none"/>
        </v:line>
      </w:pict>
    </w:r>
    <w:r>
      <w:rPr/>
      <w:pict>
        <v:shape style="position:absolute;margin-left:468.588013pt;margin-top:29.881321pt;width:88.2pt;height:10.15pt;mso-position-horizontal-relative:page;mso-position-vertical-relative:page;z-index:-23587328" type="#_x0000_t202" filled="false" stroked="false">
          <v:textbox inset="0,0,0,0">
            <w:txbxContent>
              <w:p>
                <w:pPr>
                  <w:spacing w:before="21"/>
                  <w:ind w:left="20" w:right="0" w:firstLine="0"/>
                  <w:jc w:val="left"/>
                  <w:rPr>
                    <w:rFonts w:ascii="Arial"/>
                    <w:i/>
                    <w:sz w:val="14"/>
                  </w:rPr>
                </w:pPr>
                <w:r>
                  <w:rPr>
                    <w:rFonts w:ascii="Arial"/>
                    <w:i/>
                    <w:sz w:val="14"/>
                  </w:rPr>
                  <w:t>Money</w:t>
                </w:r>
                <w:r>
                  <w:rPr>
                    <w:rFonts w:ascii="Arial"/>
                    <w:i/>
                    <w:spacing w:val="-19"/>
                    <w:sz w:val="14"/>
                  </w:rPr>
                  <w:t> </w:t>
                </w:r>
                <w:r>
                  <w:rPr>
                    <w:rFonts w:ascii="Arial"/>
                    <w:i/>
                    <w:sz w:val="14"/>
                  </w:rPr>
                  <w:t>and</w:t>
                </w:r>
                <w:r>
                  <w:rPr>
                    <w:rFonts w:ascii="Arial"/>
                    <w:i/>
                    <w:spacing w:val="-19"/>
                    <w:sz w:val="14"/>
                  </w:rPr>
                  <w:t> </w:t>
                </w:r>
                <w:r>
                  <w:rPr>
                    <w:rFonts w:ascii="Arial"/>
                    <w:i/>
                    <w:sz w:val="14"/>
                  </w:rPr>
                  <w:t>financial</w:t>
                </w:r>
                <w:r>
                  <w:rPr>
                    <w:rFonts w:ascii="Arial"/>
                    <w:i/>
                    <w:spacing w:val="-19"/>
                    <w:sz w:val="14"/>
                  </w:rPr>
                  <w:t> </w:t>
                </w:r>
                <w:r>
                  <w:rPr>
                    <w:rFonts w:ascii="Arial"/>
                    <w:i/>
                    <w:sz w:val="14"/>
                  </w:rPr>
                  <w:t>markets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85792" from="39.279999pt,40pt" to="557.279999pt,40pt" stroked="true" strokeweight=".125pt" strokecolor="#000000">
          <v:stroke dashstyle="solid"/>
          <w10:wrap type="none"/>
        </v:line>
      </w:pict>
    </w:r>
    <w:r>
      <w:rPr/>
      <w:pict>
        <v:shape style="position:absolute;margin-left:39.3806pt;margin-top:29.921pt;width:50.45pt;height:9.950pt;mso-position-horizontal-relative:page;mso-position-vertical-relative:page;z-index:-23585280"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43.8pt;height:9.950pt;mso-position-horizontal-relative:page;mso-position-vertical-relative:page;z-index:-23584768"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83232" from="39.450001pt,40pt" to="557.450001pt,40pt" stroked="true" strokeweight=".125pt" strokecolor="#000000">
          <v:stroke dashstyle="solid"/>
          <w10:wrap type="none"/>
        </v:line>
      </w:pict>
    </w:r>
    <w:r>
      <w:rPr/>
      <w:pict>
        <v:shape style="position:absolute;margin-left:39.553799pt;margin-top:29.921pt;width:50.45pt;height:9.950pt;mso-position-horizontal-relative:page;mso-position-vertical-relative:page;z-index:-23582720"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7286pt;margin-top:30.025999pt;width:43.8pt;height:9.950pt;mso-position-horizontal-relative:page;mso-position-vertical-relative:page;z-index:-23582208"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5.481995pt;margin-top:29.881321pt;width:62.05pt;height:10.15pt;mso-position-horizontal-relative:page;mso-position-vertical-relative:page;z-index:-23581696" type="#_x0000_t202" filled="false" stroked="false">
          <v:textbox inset="0,0,0,0">
            <w:txbxContent>
              <w:p>
                <w:pPr>
                  <w:spacing w:before="21"/>
                  <w:ind w:left="20" w:right="0" w:firstLine="0"/>
                  <w:jc w:val="left"/>
                  <w:rPr>
                    <w:rFonts w:ascii="Trebuchet MS"/>
                    <w:i/>
                    <w:sz w:val="14"/>
                  </w:rPr>
                </w:pPr>
                <w:r>
                  <w:rPr>
                    <w:rFonts w:ascii="Trebuchet MS"/>
                    <w:i/>
                    <w:sz w:val="14"/>
                  </w:rPr>
                  <w:t>Demand</w:t>
                </w:r>
                <w:r>
                  <w:rPr>
                    <w:rFonts w:ascii="Trebuchet MS"/>
                    <w:i/>
                    <w:spacing w:val="-20"/>
                    <w:sz w:val="14"/>
                  </w:rPr>
                  <w:t> </w:t>
                </w:r>
                <w:r>
                  <w:rPr>
                    <w:rFonts w:ascii="Trebuchet MS"/>
                    <w:i/>
                    <w:sz w:val="14"/>
                  </w:rPr>
                  <w:t>and</w:t>
                </w:r>
                <w:r>
                  <w:rPr>
                    <w:rFonts w:ascii="Trebuchet MS"/>
                    <w:i/>
                    <w:spacing w:val="-20"/>
                    <w:sz w:val="14"/>
                  </w:rPr>
                  <w:t> </w:t>
                </w:r>
                <w:r>
                  <w:rPr>
                    <w:rFonts w:ascii="Trebuchet MS"/>
                    <w:i/>
                    <w:sz w:val="14"/>
                  </w:rPr>
                  <w:t>output</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553600pt;margin-top:29.9207pt;width:50.45pt;height:9.950pt;mso-position-horizontal-relative:page;mso-position-vertical-relative:page;z-index:-23580160"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728401pt;margin-top:30.0257pt;width:43.8pt;height:9.950pt;mso-position-horizontal-relative:page;mso-position-vertical-relative:page;z-index:-23579648"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5.481995pt;margin-top:29.881321pt;width:62.05pt;height:10.15pt;mso-position-horizontal-relative:page;mso-position-vertical-relative:page;z-index:-23579136" type="#_x0000_t202" filled="false" stroked="false">
          <v:textbox inset="0,0,0,0">
            <w:txbxContent>
              <w:p>
                <w:pPr>
                  <w:spacing w:before="21"/>
                  <w:ind w:left="20" w:right="0" w:firstLine="0"/>
                  <w:jc w:val="left"/>
                  <w:rPr>
                    <w:rFonts w:ascii="Trebuchet MS"/>
                    <w:i/>
                    <w:sz w:val="14"/>
                  </w:rPr>
                </w:pPr>
                <w:r>
                  <w:rPr>
                    <w:rFonts w:ascii="Trebuchet MS"/>
                    <w:i/>
                    <w:sz w:val="14"/>
                  </w:rPr>
                  <w:t>Demand</w:t>
                </w:r>
                <w:r>
                  <w:rPr>
                    <w:rFonts w:ascii="Trebuchet MS"/>
                    <w:i/>
                    <w:spacing w:val="-20"/>
                    <w:sz w:val="14"/>
                  </w:rPr>
                  <w:t> </w:t>
                </w:r>
                <w:r>
                  <w:rPr>
                    <w:rFonts w:ascii="Trebuchet MS"/>
                    <w:i/>
                    <w:sz w:val="14"/>
                  </w:rPr>
                  <w:t>and</w:t>
                </w:r>
                <w:r>
                  <w:rPr>
                    <w:rFonts w:ascii="Trebuchet MS"/>
                    <w:i/>
                    <w:spacing w:val="-20"/>
                    <w:sz w:val="14"/>
                  </w:rPr>
                  <w:t> </w:t>
                </w:r>
                <w:r>
                  <w:rPr>
                    <w:rFonts w:ascii="Trebuchet MS"/>
                    <w:i/>
                    <w:sz w:val="14"/>
                  </w:rPr>
                  <w:t>output</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77600" from="39.450001pt,40pt" to="557.450001pt,40pt" stroked="true" strokeweight=".125pt" strokecolor="#000000">
          <v:stroke dashstyle="solid"/>
          <w10:wrap type="none"/>
        </v:line>
      </w:pict>
    </w:r>
    <w:r>
      <w:rPr/>
      <w:pict>
        <v:shape style="position:absolute;margin-left:39.553799pt;margin-top:29.921pt;width:50.45pt;height:9.950pt;mso-position-horizontal-relative:page;mso-position-vertical-relative:page;z-index:-23577088"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7286pt;margin-top:30.025999pt;width:43.8pt;height:9.950pt;mso-position-horizontal-relative:page;mso-position-vertical-relative:page;z-index:-23576576"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76064" from="39.720001pt,40pt" to="557.220001pt,40pt" stroked="true" strokeweight=".125pt" strokecolor="#000000">
          <v:stroke dashstyle="solid"/>
          <w10:wrap type="none"/>
        </v:line>
      </w:pict>
    </w:r>
    <w:r>
      <w:rPr/>
      <w:pict>
        <v:shape style="position:absolute;margin-left:495.481995pt;margin-top:29.881321pt;width:62.05pt;height:10.15pt;mso-position-horizontal-relative:page;mso-position-vertical-relative:page;z-index:-23575552" type="#_x0000_t202" filled="false" stroked="false">
          <v:textbox inset="0,0,0,0">
            <w:txbxContent>
              <w:p>
                <w:pPr>
                  <w:spacing w:before="21"/>
                  <w:ind w:left="20" w:right="0" w:firstLine="0"/>
                  <w:jc w:val="left"/>
                  <w:rPr>
                    <w:rFonts w:ascii="Trebuchet MS"/>
                    <w:i/>
                    <w:sz w:val="14"/>
                  </w:rPr>
                </w:pPr>
                <w:r>
                  <w:rPr>
                    <w:rFonts w:ascii="Trebuchet MS"/>
                    <w:i/>
                    <w:sz w:val="14"/>
                  </w:rPr>
                  <w:t>Demand</w:t>
                </w:r>
                <w:r>
                  <w:rPr>
                    <w:rFonts w:ascii="Trebuchet MS"/>
                    <w:i/>
                    <w:spacing w:val="-20"/>
                    <w:sz w:val="14"/>
                  </w:rPr>
                  <w:t> </w:t>
                </w:r>
                <w:r>
                  <w:rPr>
                    <w:rFonts w:ascii="Trebuchet MS"/>
                    <w:i/>
                    <w:sz w:val="14"/>
                  </w:rPr>
                  <w:t>and</w:t>
                </w:r>
                <w:r>
                  <w:rPr>
                    <w:rFonts w:ascii="Trebuchet MS"/>
                    <w:i/>
                    <w:spacing w:val="-20"/>
                    <w:sz w:val="14"/>
                  </w:rPr>
                  <w:t> </w:t>
                </w:r>
                <w:r>
                  <w:rPr>
                    <w:rFonts w:ascii="Trebuchet MS"/>
                    <w:i/>
                    <w:sz w:val="14"/>
                  </w:rPr>
                  <w:t>output</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72992" from="39pt,40pt" to="557pt,40pt" stroked="true" strokeweight=".125pt" strokecolor="#000000">
          <v:stroke dashstyle="solid"/>
          <w10:wrap type="none"/>
        </v:line>
      </w:pict>
    </w:r>
    <w:r>
      <w:rPr/>
      <w:pict>
        <v:shape style="position:absolute;margin-left:39.105pt;margin-top:29.921pt;width:50.45pt;height:9.950pt;mso-position-horizontal-relative:page;mso-position-vertical-relative:page;z-index:-23572480"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2798pt;margin-top:30.025999pt;width:43.8pt;height:9.950pt;mso-position-horizontal-relative:page;mso-position-vertical-relative:page;z-index:-23571968"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71456" from="39.279999pt,40pt" to="556.779999pt,40pt" stroked="true" strokeweight=".125pt" strokecolor="#000000">
          <v:stroke dashstyle="solid"/>
          <w10:wrap type="none"/>
        </v:line>
      </w:pict>
    </w:r>
    <w:r>
      <w:rPr/>
      <w:pict>
        <v:shape style="position:absolute;margin-left:500.186005pt;margin-top:29.881321pt;width:56.9pt;height:10.15pt;mso-position-horizontal-relative:page;mso-position-vertical-relative:page;z-index:-23570944" type="#_x0000_t202" filled="false" stroked="false">
          <v:textbox inset="0,0,0,0">
            <w:txbxContent>
              <w:p>
                <w:pPr>
                  <w:spacing w:before="21"/>
                  <w:ind w:left="20" w:right="0" w:firstLine="0"/>
                  <w:jc w:val="left"/>
                  <w:rPr>
                    <w:rFonts w:ascii="Trebuchet MS"/>
                    <w:i/>
                    <w:sz w:val="14"/>
                  </w:rPr>
                </w:pPr>
                <w:r>
                  <w:rPr>
                    <w:rFonts w:ascii="Trebuchet MS"/>
                    <w:i/>
                    <w:w w:val="95"/>
                    <w:sz w:val="14"/>
                  </w:rPr>
                  <w:t>The labour</w:t>
                </w:r>
                <w:r>
                  <w:rPr>
                    <w:rFonts w:ascii="Trebuchet MS"/>
                    <w:i/>
                    <w:spacing w:val="-24"/>
                    <w:w w:val="95"/>
                    <w:sz w:val="14"/>
                  </w:rPr>
                  <w:t> </w:t>
                </w:r>
                <w:r>
                  <w:rPr>
                    <w:rFonts w:ascii="Trebuchet MS"/>
                    <w:i/>
                    <w:w w:val="95"/>
                    <w:sz w:val="14"/>
                  </w:rPr>
                  <w:t>market</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68384" from="39.279999pt,40pt" to="557.279999pt,40pt" stroked="true" strokeweight=".125pt" strokecolor="#000000">
          <v:stroke dashstyle="solid"/>
          <w10:wrap type="none"/>
        </v:line>
      </w:pict>
    </w:r>
    <w:r>
      <w:rPr/>
      <w:pict>
        <v:shape style="position:absolute;margin-left:39.3806pt;margin-top:29.921pt;width:50.45pt;height:9.950pt;mso-position-horizontal-relative:page;mso-position-vertical-relative:page;z-index:-23567872"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43.8pt;height:9.950pt;mso-position-horizontal-relative:page;mso-position-vertical-relative:page;z-index:-23567360"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66848" from="39pt,40pt" to="556.5pt,40pt" stroked="true" strokeweight=".125pt" strokecolor="#000000">
          <v:stroke dashstyle="solid"/>
          <w10:wrap type="none"/>
        </v:line>
      </w:pict>
    </w:r>
    <w:r>
      <w:rPr/>
      <w:pict>
        <v:shape style="position:absolute;margin-left:505.40799pt;margin-top:29.881321pt;width:51.4pt;height:10.15pt;mso-position-horizontal-relative:page;mso-position-vertical-relative:page;z-index:-23566336" type="#_x0000_t202" filled="false" stroked="false">
          <v:textbox inset="0,0,0,0">
            <w:txbxContent>
              <w:p>
                <w:pPr>
                  <w:spacing w:before="21"/>
                  <w:ind w:left="20" w:right="0" w:firstLine="0"/>
                  <w:jc w:val="left"/>
                  <w:rPr>
                    <w:rFonts w:ascii="Trebuchet MS"/>
                    <w:i/>
                    <w:sz w:val="14"/>
                  </w:rPr>
                </w:pPr>
                <w:r>
                  <w:rPr>
                    <w:rFonts w:ascii="Trebuchet MS"/>
                    <w:i/>
                    <w:sz w:val="14"/>
                  </w:rPr>
                  <w:t>Costs and</w:t>
                </w:r>
                <w:r>
                  <w:rPr>
                    <w:rFonts w:ascii="Trebuchet MS"/>
                    <w:i/>
                    <w:spacing w:val="-31"/>
                    <w:sz w:val="14"/>
                  </w:rPr>
                  <w:t> </w:t>
                </w:r>
                <w:r>
                  <w:rPr>
                    <w:rFonts w:ascii="Trebuchet MS"/>
                    <w:i/>
                    <w:sz w:val="14"/>
                  </w:rPr>
                  <w:t>prices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63776" from="39.279999pt,40pt" to="557.279999pt,40pt" stroked="true" strokeweight=".125pt" strokecolor="#000000">
          <v:stroke dashstyle="solid"/>
          <w10:wrap type="none"/>
        </v:line>
      </w:pict>
    </w:r>
    <w:r>
      <w:rPr/>
      <w:pict>
        <v:shape style="position:absolute;margin-left:39.3806pt;margin-top:29.921pt;width:50.45pt;height:9.950pt;mso-position-horizontal-relative:page;mso-position-vertical-relative:page;z-index:-23563264"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43.8pt;height:9.950pt;mso-position-horizontal-relative:page;mso-position-vertical-relative:page;z-index:-23562752"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98592" from="39.279999pt,40pt" to="557.279999pt,40pt" stroked="true" strokeweight=".125pt" strokecolor="#000000">
          <v:stroke dashstyle="solid"/>
          <w10:wrap type="none"/>
        </v:line>
      </w:pict>
    </w:r>
    <w:r>
      <w:rPr/>
      <w:pict>
        <v:shape style="position:absolute;margin-left:39.3806pt;margin-top:29.921pt;width:50.45pt;height:9.950pt;mso-position-horizontal-relative:page;mso-position-vertical-relative:page;z-index:-23598080"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43.8pt;height:9.950pt;mso-position-horizontal-relative:page;mso-position-vertical-relative:page;z-index:-23597568"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62240" from="39.279999pt,40pt" to="557.279999pt,40pt" stroked="true" strokeweight=".125pt" strokecolor="#000000">
          <v:stroke dashstyle="solid"/>
          <w10:wrap type="none"/>
        </v:line>
      </w:pict>
    </w:r>
    <w:r>
      <w:rPr/>
      <w:pict>
        <v:shape style="position:absolute;margin-left:39.3806pt;margin-top:29.921pt;width:50.45pt;height:9.950pt;mso-position-horizontal-relative:page;mso-position-vertical-relative:page;z-index:-23561728"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43.8pt;height:9.950pt;mso-position-horizontal-relative:page;mso-position-vertical-relative:page;z-index:-23561216"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59680" from="39pt,40pt" to="557pt,40pt" stroked="true" strokeweight=".125pt" strokecolor="#000000">
          <v:stroke dashstyle="solid"/>
          <w10:wrap type="none"/>
        </v:line>
      </w:pict>
    </w:r>
    <w:r>
      <w:rPr/>
      <w:pict>
        <v:shape style="position:absolute;margin-left:39.105pt;margin-top:29.921pt;width:50.45pt;height:9.950pt;mso-position-horizontal-relative:page;mso-position-vertical-relative:page;z-index:-23559168"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2798pt;margin-top:30.025999pt;width:43.8pt;height:9.950pt;mso-position-horizontal-relative:page;mso-position-vertical-relative:page;z-index:-23558656"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58144" from="39.279999pt,40pt" to="556.779999pt,40pt" stroked="true" strokeweight=".125pt" strokecolor="#000000">
          <v:stroke dashstyle="solid"/>
          <w10:wrap type="none"/>
        </v:line>
      </w:pict>
    </w:r>
    <w:r>
      <w:rPr/>
      <w:pict>
        <v:shape style="position:absolute;margin-left:488.998993pt;margin-top:29.881321pt;width:68.05pt;height:10.15pt;mso-position-horizontal-relative:page;mso-position-vertical-relative:page;z-index:-23557632" type="#_x0000_t202" filled="false" stroked="false">
          <v:textbox inset="0,0,0,0">
            <w:txbxContent>
              <w:p>
                <w:pPr>
                  <w:spacing w:before="21"/>
                  <w:ind w:left="20" w:right="0" w:firstLine="0"/>
                  <w:jc w:val="left"/>
                  <w:rPr>
                    <w:rFonts w:ascii="Arial"/>
                    <w:i/>
                    <w:sz w:val="14"/>
                  </w:rPr>
                </w:pPr>
                <w:r>
                  <w:rPr>
                    <w:rFonts w:ascii="Arial"/>
                    <w:i/>
                    <w:sz w:val="14"/>
                  </w:rPr>
                  <w:t>Prospects for</w:t>
                </w:r>
                <w:r>
                  <w:rPr>
                    <w:rFonts w:ascii="Arial"/>
                    <w:i/>
                    <w:spacing w:val="-28"/>
                    <w:sz w:val="14"/>
                  </w:rPr>
                  <w:t> </w:t>
                </w:r>
                <w:r>
                  <w:rPr>
                    <w:rFonts w:ascii="Arial"/>
                    <w:i/>
                    <w:sz w:val="14"/>
                  </w:rPr>
                  <w:t>inflation</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55072" from="39pt,40pt" to="557pt,40pt" stroked="true" strokeweight=".125pt" strokecolor="#000000">
          <v:stroke dashstyle="solid"/>
          <w10:wrap type="none"/>
        </v:line>
      </w:pict>
    </w:r>
    <w:r>
      <w:rPr/>
      <w:pict>
        <v:shape style="position:absolute;margin-left:39.105pt;margin-top:29.921pt;width:50.45pt;height:9.950pt;mso-position-horizontal-relative:page;mso-position-vertical-relative:page;z-index:-23554560"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2798pt;margin-top:30.025999pt;width:43.8pt;height:9.950pt;mso-position-horizontal-relative:page;mso-position-vertical-relative:page;z-index:-23554048"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53536" from="39pt,40pt" to="557pt,40pt" stroked="true" strokeweight=".125pt" strokecolor="#000000">
          <v:stroke dashstyle="solid"/>
          <w10:wrap type="none"/>
        </v:line>
      </w:pict>
    </w:r>
    <w:r>
      <w:rPr/>
      <w:pict>
        <v:shape style="position:absolute;margin-left:39.105pt;margin-top:29.921pt;width:50.45pt;height:9.950pt;mso-position-horizontal-relative:page;mso-position-vertical-relative:page;z-index:-23553024"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2798pt;margin-top:30.025999pt;width:43.8pt;height:9.950pt;mso-position-horizontal-relative:page;mso-position-vertical-relative:page;z-index:-23552512"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3806pt;margin-top:29.921pt;width:50.45pt;height:9.950pt;mso-position-horizontal-relative:page;mso-position-vertical-relative:page;z-index:-23595520"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43.8pt;height:9.950pt;mso-position-horizontal-relative:page;mso-position-vertical-relative:page;z-index:-23595008"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94496" from="39pt,40pt" to="556.5pt,40pt" stroked="true" strokeweight=".125pt" strokecolor="#000000">
          <v:stroke dashstyle="solid"/>
          <w10:wrap type="none"/>
        </v:line>
      </w:pict>
    </w:r>
    <w:r>
      <w:rPr/>
      <w:pict>
        <v:shape style="position:absolute;margin-left:468.588013pt;margin-top:29.881321pt;width:88.2pt;height:10.15pt;mso-position-horizontal-relative:page;mso-position-vertical-relative:page;z-index:-23593984" type="#_x0000_t202" filled="false" stroked="false">
          <v:textbox inset="0,0,0,0">
            <w:txbxContent>
              <w:p>
                <w:pPr>
                  <w:spacing w:before="21"/>
                  <w:ind w:left="20" w:right="0" w:firstLine="0"/>
                  <w:jc w:val="left"/>
                  <w:rPr>
                    <w:rFonts w:ascii="Arial"/>
                    <w:i/>
                    <w:sz w:val="14"/>
                  </w:rPr>
                </w:pPr>
                <w:r>
                  <w:rPr>
                    <w:rFonts w:ascii="Arial"/>
                    <w:i/>
                    <w:sz w:val="14"/>
                  </w:rPr>
                  <w:t>Money</w:t>
                </w:r>
                <w:r>
                  <w:rPr>
                    <w:rFonts w:ascii="Arial"/>
                    <w:i/>
                    <w:spacing w:val="-19"/>
                    <w:sz w:val="14"/>
                  </w:rPr>
                  <w:t> </w:t>
                </w:r>
                <w:r>
                  <w:rPr>
                    <w:rFonts w:ascii="Arial"/>
                    <w:i/>
                    <w:sz w:val="14"/>
                  </w:rPr>
                  <w:t>and</w:t>
                </w:r>
                <w:r>
                  <w:rPr>
                    <w:rFonts w:ascii="Arial"/>
                    <w:i/>
                    <w:spacing w:val="-19"/>
                    <w:sz w:val="14"/>
                  </w:rPr>
                  <w:t> </w:t>
                </w:r>
                <w:r>
                  <w:rPr>
                    <w:rFonts w:ascii="Arial"/>
                    <w:i/>
                    <w:sz w:val="14"/>
                  </w:rPr>
                  <w:t>financial</w:t>
                </w:r>
                <w:r>
                  <w:rPr>
                    <w:rFonts w:ascii="Arial"/>
                    <w:i/>
                    <w:spacing w:val="-19"/>
                    <w:sz w:val="14"/>
                  </w:rPr>
                  <w:t> </w:t>
                </w:r>
                <w:r>
                  <w:rPr>
                    <w:rFonts w:ascii="Arial"/>
                    <w:i/>
                    <w:sz w:val="14"/>
                  </w:rPr>
                  <w:t>markets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592448" from="39.279999pt,40pt" to="557.279999pt,40pt" stroked="true" strokeweight=".125pt" strokecolor="#000000">
          <v:stroke dashstyle="solid"/>
          <w10:wrap type="none"/>
        </v:line>
      </w:pict>
    </w:r>
    <w:r>
      <w:rPr/>
      <w:pict>
        <v:shape style="position:absolute;margin-left:39.3806pt;margin-top:29.921pt;width:50.45pt;height:9.950pt;mso-position-horizontal-relative:page;mso-position-vertical-relative:page;z-index:-23591936" type="#_x0000_t202" filled="false" stroked="false">
          <v:textbox inset="0,0,0,0">
            <w:txbxContent>
              <w:p>
                <w:pPr>
                  <w:spacing w:before="18"/>
                  <w:ind w:left="20" w:right="0" w:firstLine="0"/>
                  <w:jc w:val="left"/>
                  <w:rPr>
                    <w:rFonts w:ascii="Trebuchet MS"/>
                    <w:sz w:val="14"/>
                  </w:rPr>
                </w:pPr>
                <w:r>
                  <w:rPr>
                    <w:rFonts w:ascii="Trebuchet MS"/>
                    <w:w w:val="95"/>
                    <w:sz w:val="14"/>
                  </w:rPr>
                  <w:t>Inflation</w:t>
                </w:r>
                <w:r>
                  <w:rPr>
                    <w:rFonts w:ascii="Trebuchet MS"/>
                    <w:spacing w:val="-18"/>
                    <w:w w:val="95"/>
                    <w:sz w:val="14"/>
                  </w:rPr>
                  <w:t> </w:t>
                </w:r>
                <w:r>
                  <w:rPr>
                    <w:rFonts w:ascii="Trebuchet MS"/>
                    <w:w w:val="95"/>
                    <w:sz w:val="14"/>
                  </w:rPr>
                  <w:t>Report:</w:t>
                </w:r>
              </w:p>
            </w:txbxContent>
          </v:textbox>
          <w10:wrap type="none"/>
        </v:shape>
      </w:pict>
    </w:r>
    <w:r>
      <w:rPr/>
      <w:pict>
        <v:shape style="position:absolute;margin-left:92.554703pt;margin-top:30.025999pt;width:43.8pt;height:9.950pt;mso-position-horizontal-relative:page;mso-position-vertical-relative:page;z-index:-23591424" type="#_x0000_t202" filled="false" stroked="false">
          <v:textbox inset="0,0,0,0">
            <w:txbxContent>
              <w:p>
                <w:pPr>
                  <w:spacing w:before="18"/>
                  <w:ind w:left="20" w:right="0" w:firstLine="0"/>
                  <w:jc w:val="left"/>
                  <w:rPr>
                    <w:rFonts w:ascii="Trebuchet MS"/>
                    <w:sz w:val="14"/>
                  </w:rPr>
                </w:pPr>
                <w:r>
                  <w:rPr>
                    <w:rFonts w:ascii="Trebuchet MS"/>
                    <w:spacing w:val="-6"/>
                    <w:w w:val="88"/>
                    <w:sz w:val="14"/>
                  </w:rPr>
                  <w:t>F</w:t>
                </w:r>
                <w:r>
                  <w:rPr>
                    <w:rFonts w:ascii="Trebuchet MS"/>
                    <w:spacing w:val="-1"/>
                    <w:w w:val="92"/>
                    <w:sz w:val="14"/>
                  </w:rPr>
                  <w:t>ebruar</w:t>
                </w:r>
                <w:r>
                  <w:rPr>
                    <w:rFonts w:ascii="Trebuchet MS"/>
                    <w:w w:val="92"/>
                    <w:sz w:val="14"/>
                  </w:rPr>
                  <w:t>y</w:t>
                </w:r>
                <w:r>
                  <w:rPr>
                    <w:rFonts w:ascii="Trebuchet MS"/>
                    <w:spacing w:val="4"/>
                    <w:sz w:val="14"/>
                  </w:rPr>
                  <w:t> </w:t>
                </w:r>
                <w:r>
                  <w:rPr>
                    <w:rFonts w:ascii="Trebuchet MS"/>
                    <w:smallCaps/>
                    <w:spacing w:val="-1"/>
                    <w:w w:val="95"/>
                    <w:sz w:val="14"/>
                  </w:rPr>
                  <w:t>2001</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660" w:hanging="240"/>
        <w:jc w:val="left"/>
      </w:pPr>
      <w:rPr>
        <w:rFonts w:hint="default" w:ascii="Times New Roman" w:hAnsi="Times New Roman" w:eastAsia="Times New Roman" w:cs="Times New Roman"/>
        <w:spacing w:val="-1"/>
        <w:w w:val="109"/>
        <w:sz w:val="14"/>
        <w:szCs w:val="14"/>
        <w:lang w:val="en-US" w:eastAsia="en-US" w:bidi="ar-SA"/>
      </w:rPr>
    </w:lvl>
    <w:lvl w:ilvl="1">
      <w:start w:val="0"/>
      <w:numFmt w:val="bullet"/>
      <w:lvlText w:val="•"/>
      <w:lvlJc w:val="left"/>
      <w:pPr>
        <w:ind w:left="1656" w:hanging="240"/>
      </w:pPr>
      <w:rPr>
        <w:rFonts w:hint="default"/>
        <w:lang w:val="en-US" w:eastAsia="en-US" w:bidi="ar-SA"/>
      </w:rPr>
    </w:lvl>
    <w:lvl w:ilvl="2">
      <w:start w:val="0"/>
      <w:numFmt w:val="bullet"/>
      <w:lvlText w:val="•"/>
      <w:lvlJc w:val="left"/>
      <w:pPr>
        <w:ind w:left="2652" w:hanging="240"/>
      </w:pPr>
      <w:rPr>
        <w:rFonts w:hint="default"/>
        <w:lang w:val="en-US" w:eastAsia="en-US" w:bidi="ar-SA"/>
      </w:rPr>
    </w:lvl>
    <w:lvl w:ilvl="3">
      <w:start w:val="0"/>
      <w:numFmt w:val="bullet"/>
      <w:lvlText w:val="•"/>
      <w:lvlJc w:val="left"/>
      <w:pPr>
        <w:ind w:left="3648" w:hanging="240"/>
      </w:pPr>
      <w:rPr>
        <w:rFonts w:hint="default"/>
        <w:lang w:val="en-US" w:eastAsia="en-US" w:bidi="ar-SA"/>
      </w:rPr>
    </w:lvl>
    <w:lvl w:ilvl="4">
      <w:start w:val="0"/>
      <w:numFmt w:val="bullet"/>
      <w:lvlText w:val="•"/>
      <w:lvlJc w:val="left"/>
      <w:pPr>
        <w:ind w:left="4644" w:hanging="240"/>
      </w:pPr>
      <w:rPr>
        <w:rFonts w:hint="default"/>
        <w:lang w:val="en-US" w:eastAsia="en-US" w:bidi="ar-SA"/>
      </w:rPr>
    </w:lvl>
    <w:lvl w:ilvl="5">
      <w:start w:val="0"/>
      <w:numFmt w:val="bullet"/>
      <w:lvlText w:val="•"/>
      <w:lvlJc w:val="left"/>
      <w:pPr>
        <w:ind w:left="5640" w:hanging="240"/>
      </w:pPr>
      <w:rPr>
        <w:rFonts w:hint="default"/>
        <w:lang w:val="en-US" w:eastAsia="en-US" w:bidi="ar-SA"/>
      </w:rPr>
    </w:lvl>
    <w:lvl w:ilvl="6">
      <w:start w:val="0"/>
      <w:numFmt w:val="bullet"/>
      <w:lvlText w:val="•"/>
      <w:lvlJc w:val="left"/>
      <w:pPr>
        <w:ind w:left="6636" w:hanging="240"/>
      </w:pPr>
      <w:rPr>
        <w:rFonts w:hint="default"/>
        <w:lang w:val="en-US" w:eastAsia="en-US" w:bidi="ar-SA"/>
      </w:rPr>
    </w:lvl>
    <w:lvl w:ilvl="7">
      <w:start w:val="0"/>
      <w:numFmt w:val="bullet"/>
      <w:lvlText w:val="•"/>
      <w:lvlJc w:val="left"/>
      <w:pPr>
        <w:ind w:left="7632" w:hanging="240"/>
      </w:pPr>
      <w:rPr>
        <w:rFonts w:hint="default"/>
        <w:lang w:val="en-US" w:eastAsia="en-US" w:bidi="ar-SA"/>
      </w:rPr>
    </w:lvl>
    <w:lvl w:ilvl="8">
      <w:start w:val="0"/>
      <w:numFmt w:val="bullet"/>
      <w:lvlText w:val="•"/>
      <w:lvlJc w:val="left"/>
      <w:pPr>
        <w:ind w:left="8628" w:hanging="240"/>
      </w:pPr>
      <w:rPr>
        <w:rFonts w:hint="default"/>
        <w:lang w:val="en-US" w:eastAsia="en-US" w:bidi="ar-SA"/>
      </w:rPr>
    </w:lvl>
  </w:abstractNum>
  <w:abstractNum w:abstractNumId="37">
    <w:multiLevelType w:val="hybridMultilevel"/>
    <w:lvl w:ilvl="0">
      <w:start w:val="0"/>
      <w:numFmt w:val="bullet"/>
      <w:lvlText w:val=""/>
      <w:lvlJc w:val="left"/>
      <w:pPr>
        <w:ind w:left="645" w:hanging="480"/>
      </w:pPr>
      <w:rPr>
        <w:rFonts w:hint="default" w:ascii="Wingdings" w:hAnsi="Wingdings" w:eastAsia="Wingdings" w:cs="Wingdings"/>
        <w:color w:val="006CB4"/>
        <w:sz w:val="16"/>
        <w:szCs w:val="16"/>
        <w:lang w:val="en-US" w:eastAsia="en-US" w:bidi="ar-SA"/>
      </w:rPr>
    </w:lvl>
    <w:lvl w:ilvl="1">
      <w:start w:val="0"/>
      <w:numFmt w:val="bullet"/>
      <w:lvlText w:val="•"/>
      <w:lvlJc w:val="left"/>
      <w:pPr>
        <w:ind w:left="1638" w:hanging="480"/>
      </w:pPr>
      <w:rPr>
        <w:rFonts w:hint="default"/>
        <w:lang w:val="en-US" w:eastAsia="en-US" w:bidi="ar-SA"/>
      </w:rPr>
    </w:lvl>
    <w:lvl w:ilvl="2">
      <w:start w:val="0"/>
      <w:numFmt w:val="bullet"/>
      <w:lvlText w:val="•"/>
      <w:lvlJc w:val="left"/>
      <w:pPr>
        <w:ind w:left="2636" w:hanging="480"/>
      </w:pPr>
      <w:rPr>
        <w:rFonts w:hint="default"/>
        <w:lang w:val="en-US" w:eastAsia="en-US" w:bidi="ar-SA"/>
      </w:rPr>
    </w:lvl>
    <w:lvl w:ilvl="3">
      <w:start w:val="0"/>
      <w:numFmt w:val="bullet"/>
      <w:lvlText w:val="•"/>
      <w:lvlJc w:val="left"/>
      <w:pPr>
        <w:ind w:left="3634" w:hanging="480"/>
      </w:pPr>
      <w:rPr>
        <w:rFonts w:hint="default"/>
        <w:lang w:val="en-US" w:eastAsia="en-US" w:bidi="ar-SA"/>
      </w:rPr>
    </w:lvl>
    <w:lvl w:ilvl="4">
      <w:start w:val="0"/>
      <w:numFmt w:val="bullet"/>
      <w:lvlText w:val="•"/>
      <w:lvlJc w:val="left"/>
      <w:pPr>
        <w:ind w:left="4632" w:hanging="480"/>
      </w:pPr>
      <w:rPr>
        <w:rFonts w:hint="default"/>
        <w:lang w:val="en-US" w:eastAsia="en-US" w:bidi="ar-SA"/>
      </w:rPr>
    </w:lvl>
    <w:lvl w:ilvl="5">
      <w:start w:val="0"/>
      <w:numFmt w:val="bullet"/>
      <w:lvlText w:val="•"/>
      <w:lvlJc w:val="left"/>
      <w:pPr>
        <w:ind w:left="5630" w:hanging="480"/>
      </w:pPr>
      <w:rPr>
        <w:rFonts w:hint="default"/>
        <w:lang w:val="en-US" w:eastAsia="en-US" w:bidi="ar-SA"/>
      </w:rPr>
    </w:lvl>
    <w:lvl w:ilvl="6">
      <w:start w:val="0"/>
      <w:numFmt w:val="bullet"/>
      <w:lvlText w:val="•"/>
      <w:lvlJc w:val="left"/>
      <w:pPr>
        <w:ind w:left="6628" w:hanging="480"/>
      </w:pPr>
      <w:rPr>
        <w:rFonts w:hint="default"/>
        <w:lang w:val="en-US" w:eastAsia="en-US" w:bidi="ar-SA"/>
      </w:rPr>
    </w:lvl>
    <w:lvl w:ilvl="7">
      <w:start w:val="0"/>
      <w:numFmt w:val="bullet"/>
      <w:lvlText w:val="•"/>
      <w:lvlJc w:val="left"/>
      <w:pPr>
        <w:ind w:left="7626" w:hanging="480"/>
      </w:pPr>
      <w:rPr>
        <w:rFonts w:hint="default"/>
        <w:lang w:val="en-US" w:eastAsia="en-US" w:bidi="ar-SA"/>
      </w:rPr>
    </w:lvl>
    <w:lvl w:ilvl="8">
      <w:start w:val="0"/>
      <w:numFmt w:val="bullet"/>
      <w:lvlText w:val="•"/>
      <w:lvlJc w:val="left"/>
      <w:pPr>
        <w:ind w:left="8624" w:hanging="480"/>
      </w:pPr>
      <w:rPr>
        <w:rFonts w:hint="default"/>
        <w:lang w:val="en-US" w:eastAsia="en-US" w:bidi="ar-SA"/>
      </w:rPr>
    </w:lvl>
  </w:abstractNum>
  <w:abstractNum w:abstractNumId="36">
    <w:multiLevelType w:val="hybridMultilevel"/>
    <w:lvl w:ilvl="0">
      <w:start w:val="1"/>
      <w:numFmt w:val="lowerLetter"/>
      <w:lvlText w:val="(%1)"/>
      <w:lvlJc w:val="left"/>
      <w:pPr>
        <w:ind w:left="423" w:hanging="240"/>
        <w:jc w:val="left"/>
      </w:pPr>
      <w:rPr>
        <w:rFonts w:hint="default" w:ascii="Times New Roman" w:hAnsi="Times New Roman" w:eastAsia="Times New Roman" w:cs="Times New Roman"/>
        <w:spacing w:val="-1"/>
        <w:w w:val="103"/>
        <w:sz w:val="12"/>
        <w:szCs w:val="12"/>
        <w:lang w:val="en-US" w:eastAsia="en-US" w:bidi="ar-SA"/>
      </w:rPr>
    </w:lvl>
    <w:lvl w:ilvl="1">
      <w:start w:val="1"/>
      <w:numFmt w:val="decimal"/>
      <w:lvlText w:val="(%2)"/>
      <w:lvlJc w:val="left"/>
      <w:pPr>
        <w:ind w:left="415" w:hanging="240"/>
        <w:jc w:val="left"/>
      </w:pPr>
      <w:rPr>
        <w:rFonts w:hint="default" w:ascii="Times New Roman" w:hAnsi="Times New Roman" w:eastAsia="Times New Roman" w:cs="Times New Roman"/>
        <w:spacing w:val="-1"/>
        <w:w w:val="109"/>
        <w:sz w:val="14"/>
        <w:szCs w:val="14"/>
        <w:lang w:val="en-US" w:eastAsia="en-US" w:bidi="ar-SA"/>
      </w:rPr>
    </w:lvl>
    <w:lvl w:ilvl="2">
      <w:start w:val="0"/>
      <w:numFmt w:val="bullet"/>
      <w:lvlText w:val="•"/>
      <w:lvlJc w:val="left"/>
      <w:pPr>
        <w:ind w:left="1238" w:hanging="240"/>
      </w:pPr>
      <w:rPr>
        <w:rFonts w:hint="default"/>
        <w:lang w:val="en-US" w:eastAsia="en-US" w:bidi="ar-SA"/>
      </w:rPr>
    </w:lvl>
    <w:lvl w:ilvl="3">
      <w:start w:val="0"/>
      <w:numFmt w:val="bullet"/>
      <w:lvlText w:val="•"/>
      <w:lvlJc w:val="left"/>
      <w:pPr>
        <w:ind w:left="1648" w:hanging="240"/>
      </w:pPr>
      <w:rPr>
        <w:rFonts w:hint="default"/>
        <w:lang w:val="en-US" w:eastAsia="en-US" w:bidi="ar-SA"/>
      </w:rPr>
    </w:lvl>
    <w:lvl w:ilvl="4">
      <w:start w:val="0"/>
      <w:numFmt w:val="bullet"/>
      <w:lvlText w:val="•"/>
      <w:lvlJc w:val="left"/>
      <w:pPr>
        <w:ind w:left="2057" w:hanging="240"/>
      </w:pPr>
      <w:rPr>
        <w:rFonts w:hint="default"/>
        <w:lang w:val="en-US" w:eastAsia="en-US" w:bidi="ar-SA"/>
      </w:rPr>
    </w:lvl>
    <w:lvl w:ilvl="5">
      <w:start w:val="0"/>
      <w:numFmt w:val="bullet"/>
      <w:lvlText w:val="•"/>
      <w:lvlJc w:val="left"/>
      <w:pPr>
        <w:ind w:left="2466" w:hanging="240"/>
      </w:pPr>
      <w:rPr>
        <w:rFonts w:hint="default"/>
        <w:lang w:val="en-US" w:eastAsia="en-US" w:bidi="ar-SA"/>
      </w:rPr>
    </w:lvl>
    <w:lvl w:ilvl="6">
      <w:start w:val="0"/>
      <w:numFmt w:val="bullet"/>
      <w:lvlText w:val="•"/>
      <w:lvlJc w:val="left"/>
      <w:pPr>
        <w:ind w:left="2876" w:hanging="240"/>
      </w:pPr>
      <w:rPr>
        <w:rFonts w:hint="default"/>
        <w:lang w:val="en-US" w:eastAsia="en-US" w:bidi="ar-SA"/>
      </w:rPr>
    </w:lvl>
    <w:lvl w:ilvl="7">
      <w:start w:val="0"/>
      <w:numFmt w:val="bullet"/>
      <w:lvlText w:val="•"/>
      <w:lvlJc w:val="left"/>
      <w:pPr>
        <w:ind w:left="3285" w:hanging="240"/>
      </w:pPr>
      <w:rPr>
        <w:rFonts w:hint="default"/>
        <w:lang w:val="en-US" w:eastAsia="en-US" w:bidi="ar-SA"/>
      </w:rPr>
    </w:lvl>
    <w:lvl w:ilvl="8">
      <w:start w:val="0"/>
      <w:numFmt w:val="bullet"/>
      <w:lvlText w:val="•"/>
      <w:lvlJc w:val="left"/>
      <w:pPr>
        <w:ind w:left="3694" w:hanging="240"/>
      </w:pPr>
      <w:rPr>
        <w:rFonts w:hint="default"/>
        <w:lang w:val="en-US" w:eastAsia="en-US" w:bidi="ar-SA"/>
      </w:rPr>
    </w:lvl>
  </w:abstractNum>
  <w:abstractNum w:abstractNumId="35">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spacing w:val="-1"/>
        <w:w w:val="103"/>
        <w:sz w:val="14"/>
        <w:szCs w:val="14"/>
        <w:lang w:val="en-US" w:eastAsia="en-US" w:bidi="ar-SA"/>
      </w:rPr>
    </w:lvl>
    <w:lvl w:ilvl="1">
      <w:start w:val="0"/>
      <w:numFmt w:val="bullet"/>
      <w:lvlText w:val="•"/>
      <w:lvlJc w:val="left"/>
      <w:pPr>
        <w:ind w:left="1440" w:hanging="240"/>
      </w:pPr>
      <w:rPr>
        <w:rFonts w:hint="default"/>
        <w:lang w:val="en-US" w:eastAsia="en-US" w:bidi="ar-SA"/>
      </w:rPr>
    </w:lvl>
    <w:lvl w:ilvl="2">
      <w:start w:val="0"/>
      <w:numFmt w:val="bullet"/>
      <w:lvlText w:val="•"/>
      <w:lvlJc w:val="left"/>
      <w:pPr>
        <w:ind w:left="2460" w:hanging="240"/>
      </w:pPr>
      <w:rPr>
        <w:rFonts w:hint="default"/>
        <w:lang w:val="en-US" w:eastAsia="en-US" w:bidi="ar-SA"/>
      </w:rPr>
    </w:lvl>
    <w:lvl w:ilvl="3">
      <w:start w:val="0"/>
      <w:numFmt w:val="bullet"/>
      <w:lvlText w:val="•"/>
      <w:lvlJc w:val="left"/>
      <w:pPr>
        <w:ind w:left="3480" w:hanging="240"/>
      </w:pPr>
      <w:rPr>
        <w:rFonts w:hint="default"/>
        <w:lang w:val="en-US" w:eastAsia="en-US" w:bidi="ar-SA"/>
      </w:rPr>
    </w:lvl>
    <w:lvl w:ilvl="4">
      <w:start w:val="0"/>
      <w:numFmt w:val="bullet"/>
      <w:lvlText w:val="•"/>
      <w:lvlJc w:val="left"/>
      <w:pPr>
        <w:ind w:left="4500" w:hanging="240"/>
      </w:pPr>
      <w:rPr>
        <w:rFonts w:hint="default"/>
        <w:lang w:val="en-US" w:eastAsia="en-US" w:bidi="ar-SA"/>
      </w:rPr>
    </w:lvl>
    <w:lvl w:ilvl="5">
      <w:start w:val="0"/>
      <w:numFmt w:val="bullet"/>
      <w:lvlText w:val="•"/>
      <w:lvlJc w:val="left"/>
      <w:pPr>
        <w:ind w:left="5520" w:hanging="240"/>
      </w:pPr>
      <w:rPr>
        <w:rFonts w:hint="default"/>
        <w:lang w:val="en-US" w:eastAsia="en-US" w:bidi="ar-SA"/>
      </w:rPr>
    </w:lvl>
    <w:lvl w:ilvl="6">
      <w:start w:val="0"/>
      <w:numFmt w:val="bullet"/>
      <w:lvlText w:val="•"/>
      <w:lvlJc w:val="left"/>
      <w:pPr>
        <w:ind w:left="6540" w:hanging="240"/>
      </w:pPr>
      <w:rPr>
        <w:rFonts w:hint="default"/>
        <w:lang w:val="en-US" w:eastAsia="en-US" w:bidi="ar-SA"/>
      </w:rPr>
    </w:lvl>
    <w:lvl w:ilvl="7">
      <w:start w:val="0"/>
      <w:numFmt w:val="bullet"/>
      <w:lvlText w:val="•"/>
      <w:lvlJc w:val="left"/>
      <w:pPr>
        <w:ind w:left="7560" w:hanging="240"/>
      </w:pPr>
      <w:rPr>
        <w:rFonts w:hint="default"/>
        <w:lang w:val="en-US" w:eastAsia="en-US" w:bidi="ar-SA"/>
      </w:rPr>
    </w:lvl>
    <w:lvl w:ilvl="8">
      <w:start w:val="0"/>
      <w:numFmt w:val="bullet"/>
      <w:lvlText w:val="•"/>
      <w:lvlJc w:val="left"/>
      <w:pPr>
        <w:ind w:left="8580" w:hanging="240"/>
      </w:pPr>
      <w:rPr>
        <w:rFonts w:hint="default"/>
        <w:lang w:val="en-US" w:eastAsia="en-US" w:bidi="ar-SA"/>
      </w:rPr>
    </w:lvl>
  </w:abstractNum>
  <w:abstractNum w:abstractNumId="34">
    <w:multiLevelType w:val="hybridMultilevel"/>
    <w:lvl w:ilvl="0">
      <w:start w:val="6"/>
      <w:numFmt w:val="decimal"/>
      <w:lvlText w:val="%1"/>
      <w:lvlJc w:val="left"/>
      <w:pPr>
        <w:ind w:left="5580" w:hanging="600"/>
        <w:jc w:val="left"/>
      </w:pPr>
      <w:rPr>
        <w:rFonts w:hint="default"/>
        <w:lang w:val="en-US" w:eastAsia="en-US" w:bidi="ar-SA"/>
      </w:rPr>
    </w:lvl>
    <w:lvl w:ilvl="1">
      <w:start w:val="1"/>
      <w:numFmt w:val="decimal"/>
      <w:lvlText w:val="%1.%2"/>
      <w:lvlJc w:val="left"/>
      <w:pPr>
        <w:ind w:left="5580" w:hanging="600"/>
        <w:jc w:val="left"/>
      </w:pPr>
      <w:rPr>
        <w:rFonts w:hint="default"/>
        <w:b/>
        <w:bCs/>
        <w:spacing w:val="-1"/>
        <w:w w:val="76"/>
        <w:u w:val="single" w:color="006CB4"/>
        <w:lang w:val="en-US" w:eastAsia="en-US" w:bidi="ar-SA"/>
      </w:rPr>
    </w:lvl>
    <w:lvl w:ilvl="2">
      <w:start w:val="0"/>
      <w:numFmt w:val="bullet"/>
      <w:lvlText w:val="•"/>
      <w:lvlJc w:val="left"/>
      <w:pPr>
        <w:ind w:left="6588" w:hanging="600"/>
      </w:pPr>
      <w:rPr>
        <w:rFonts w:hint="default"/>
        <w:lang w:val="en-US" w:eastAsia="en-US" w:bidi="ar-SA"/>
      </w:rPr>
    </w:lvl>
    <w:lvl w:ilvl="3">
      <w:start w:val="0"/>
      <w:numFmt w:val="bullet"/>
      <w:lvlText w:val="•"/>
      <w:lvlJc w:val="left"/>
      <w:pPr>
        <w:ind w:left="7092" w:hanging="600"/>
      </w:pPr>
      <w:rPr>
        <w:rFonts w:hint="default"/>
        <w:lang w:val="en-US" w:eastAsia="en-US" w:bidi="ar-SA"/>
      </w:rPr>
    </w:lvl>
    <w:lvl w:ilvl="4">
      <w:start w:val="0"/>
      <w:numFmt w:val="bullet"/>
      <w:lvlText w:val="•"/>
      <w:lvlJc w:val="left"/>
      <w:pPr>
        <w:ind w:left="7596" w:hanging="600"/>
      </w:pPr>
      <w:rPr>
        <w:rFonts w:hint="default"/>
        <w:lang w:val="en-US" w:eastAsia="en-US" w:bidi="ar-SA"/>
      </w:rPr>
    </w:lvl>
    <w:lvl w:ilvl="5">
      <w:start w:val="0"/>
      <w:numFmt w:val="bullet"/>
      <w:lvlText w:val="•"/>
      <w:lvlJc w:val="left"/>
      <w:pPr>
        <w:ind w:left="8100" w:hanging="600"/>
      </w:pPr>
      <w:rPr>
        <w:rFonts w:hint="default"/>
        <w:lang w:val="en-US" w:eastAsia="en-US" w:bidi="ar-SA"/>
      </w:rPr>
    </w:lvl>
    <w:lvl w:ilvl="6">
      <w:start w:val="0"/>
      <w:numFmt w:val="bullet"/>
      <w:lvlText w:val="•"/>
      <w:lvlJc w:val="left"/>
      <w:pPr>
        <w:ind w:left="8604" w:hanging="600"/>
      </w:pPr>
      <w:rPr>
        <w:rFonts w:hint="default"/>
        <w:lang w:val="en-US" w:eastAsia="en-US" w:bidi="ar-SA"/>
      </w:rPr>
    </w:lvl>
    <w:lvl w:ilvl="7">
      <w:start w:val="0"/>
      <w:numFmt w:val="bullet"/>
      <w:lvlText w:val="•"/>
      <w:lvlJc w:val="left"/>
      <w:pPr>
        <w:ind w:left="9108" w:hanging="600"/>
      </w:pPr>
      <w:rPr>
        <w:rFonts w:hint="default"/>
        <w:lang w:val="en-US" w:eastAsia="en-US" w:bidi="ar-SA"/>
      </w:rPr>
    </w:lvl>
    <w:lvl w:ilvl="8">
      <w:start w:val="0"/>
      <w:numFmt w:val="bullet"/>
      <w:lvlText w:val="•"/>
      <w:lvlJc w:val="left"/>
      <w:pPr>
        <w:ind w:left="9612" w:hanging="600"/>
      </w:pPr>
      <w:rPr>
        <w:rFonts w:hint="default"/>
        <w:lang w:val="en-US" w:eastAsia="en-US" w:bidi="ar-SA"/>
      </w:rPr>
    </w:lvl>
  </w:abstractNum>
  <w:abstractNum w:abstractNumId="33">
    <w:multiLevelType w:val="hybridMultilevel"/>
    <w:lvl w:ilvl="0">
      <w:start w:val="1"/>
      <w:numFmt w:val="lowerLetter"/>
      <w:lvlText w:val="(%1)"/>
      <w:lvlJc w:val="left"/>
      <w:pPr>
        <w:ind w:left="430" w:hanging="240"/>
        <w:jc w:val="left"/>
      </w:pPr>
      <w:rPr>
        <w:rFonts w:hint="default" w:ascii="Times New Roman" w:hAnsi="Times New Roman" w:eastAsia="Times New Roman" w:cs="Times New Roman"/>
        <w:spacing w:val="-1"/>
        <w:w w:val="103"/>
        <w:sz w:val="12"/>
        <w:szCs w:val="12"/>
        <w:lang w:val="en-US" w:eastAsia="en-US" w:bidi="ar-SA"/>
      </w:rPr>
    </w:lvl>
    <w:lvl w:ilvl="1">
      <w:start w:val="1"/>
      <w:numFmt w:val="decimal"/>
      <w:lvlText w:val="(%2)"/>
      <w:lvlJc w:val="left"/>
      <w:pPr>
        <w:ind w:left="437" w:hanging="240"/>
        <w:jc w:val="left"/>
      </w:pPr>
      <w:rPr>
        <w:rFonts w:hint="default" w:ascii="Times New Roman" w:hAnsi="Times New Roman" w:eastAsia="Times New Roman" w:cs="Times New Roman"/>
        <w:spacing w:val="-1"/>
        <w:w w:val="109"/>
        <w:sz w:val="14"/>
        <w:szCs w:val="14"/>
        <w:lang w:val="en-US" w:eastAsia="en-US" w:bidi="ar-SA"/>
      </w:rPr>
    </w:lvl>
    <w:lvl w:ilvl="2">
      <w:start w:val="1"/>
      <w:numFmt w:val="decimal"/>
      <w:lvlText w:val="(%3)"/>
      <w:lvlJc w:val="left"/>
      <w:pPr>
        <w:ind w:left="5201" w:hanging="240"/>
        <w:jc w:val="left"/>
      </w:pPr>
      <w:rPr>
        <w:rFonts w:hint="default" w:ascii="Times New Roman" w:hAnsi="Times New Roman" w:eastAsia="Times New Roman" w:cs="Times New Roman"/>
        <w:w w:val="109"/>
        <w:sz w:val="14"/>
        <w:szCs w:val="14"/>
        <w:lang w:val="en-US" w:eastAsia="en-US" w:bidi="ar-SA"/>
      </w:rPr>
    </w:lvl>
    <w:lvl w:ilvl="3">
      <w:start w:val="0"/>
      <w:numFmt w:val="bullet"/>
      <w:lvlText w:val="•"/>
      <w:lvlJc w:val="left"/>
      <w:pPr>
        <w:ind w:left="3797" w:hanging="240"/>
      </w:pPr>
      <w:rPr>
        <w:rFonts w:hint="default"/>
        <w:lang w:val="en-US" w:eastAsia="en-US" w:bidi="ar-SA"/>
      </w:rPr>
    </w:lvl>
    <w:lvl w:ilvl="4">
      <w:start w:val="0"/>
      <w:numFmt w:val="bullet"/>
      <w:lvlText w:val="•"/>
      <w:lvlJc w:val="left"/>
      <w:pPr>
        <w:ind w:left="3095" w:hanging="240"/>
      </w:pPr>
      <w:rPr>
        <w:rFonts w:hint="default"/>
        <w:lang w:val="en-US" w:eastAsia="en-US" w:bidi="ar-SA"/>
      </w:rPr>
    </w:lvl>
    <w:lvl w:ilvl="5">
      <w:start w:val="0"/>
      <w:numFmt w:val="bullet"/>
      <w:lvlText w:val="•"/>
      <w:lvlJc w:val="left"/>
      <w:pPr>
        <w:ind w:left="2394" w:hanging="240"/>
      </w:pPr>
      <w:rPr>
        <w:rFonts w:hint="default"/>
        <w:lang w:val="en-US" w:eastAsia="en-US" w:bidi="ar-SA"/>
      </w:rPr>
    </w:lvl>
    <w:lvl w:ilvl="6">
      <w:start w:val="0"/>
      <w:numFmt w:val="bullet"/>
      <w:lvlText w:val="•"/>
      <w:lvlJc w:val="left"/>
      <w:pPr>
        <w:ind w:left="1693" w:hanging="240"/>
      </w:pPr>
      <w:rPr>
        <w:rFonts w:hint="default"/>
        <w:lang w:val="en-US" w:eastAsia="en-US" w:bidi="ar-SA"/>
      </w:rPr>
    </w:lvl>
    <w:lvl w:ilvl="7">
      <w:start w:val="0"/>
      <w:numFmt w:val="bullet"/>
      <w:lvlText w:val="•"/>
      <w:lvlJc w:val="left"/>
      <w:pPr>
        <w:ind w:left="991" w:hanging="240"/>
      </w:pPr>
      <w:rPr>
        <w:rFonts w:hint="default"/>
        <w:lang w:val="en-US" w:eastAsia="en-US" w:bidi="ar-SA"/>
      </w:rPr>
    </w:lvl>
    <w:lvl w:ilvl="8">
      <w:start w:val="0"/>
      <w:numFmt w:val="bullet"/>
      <w:lvlText w:val="•"/>
      <w:lvlJc w:val="left"/>
      <w:pPr>
        <w:ind w:left="290" w:hanging="240"/>
      </w:pPr>
      <w:rPr>
        <w:rFonts w:hint="default"/>
        <w:lang w:val="en-US" w:eastAsia="en-US" w:bidi="ar-SA"/>
      </w:rPr>
    </w:lvl>
  </w:abstractNum>
  <w:abstractNum w:abstractNumId="32">
    <w:multiLevelType w:val="hybridMultilevel"/>
    <w:lvl w:ilvl="0">
      <w:start w:val="1"/>
      <w:numFmt w:val="lowerLetter"/>
      <w:lvlText w:val="(%1)"/>
      <w:lvlJc w:val="left"/>
      <w:pPr>
        <w:ind w:left="421"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36" w:hanging="240"/>
      </w:pPr>
      <w:rPr>
        <w:rFonts w:hint="default"/>
        <w:lang w:val="en-US" w:eastAsia="en-US" w:bidi="ar-SA"/>
      </w:rPr>
    </w:lvl>
    <w:lvl w:ilvl="2">
      <w:start w:val="0"/>
      <w:numFmt w:val="bullet"/>
      <w:lvlText w:val="•"/>
      <w:lvlJc w:val="left"/>
      <w:pPr>
        <w:ind w:left="1052" w:hanging="240"/>
      </w:pPr>
      <w:rPr>
        <w:rFonts w:hint="default"/>
        <w:lang w:val="en-US" w:eastAsia="en-US" w:bidi="ar-SA"/>
      </w:rPr>
    </w:lvl>
    <w:lvl w:ilvl="3">
      <w:start w:val="0"/>
      <w:numFmt w:val="bullet"/>
      <w:lvlText w:val="•"/>
      <w:lvlJc w:val="left"/>
      <w:pPr>
        <w:ind w:left="1368" w:hanging="240"/>
      </w:pPr>
      <w:rPr>
        <w:rFonts w:hint="default"/>
        <w:lang w:val="en-US" w:eastAsia="en-US" w:bidi="ar-SA"/>
      </w:rPr>
    </w:lvl>
    <w:lvl w:ilvl="4">
      <w:start w:val="0"/>
      <w:numFmt w:val="bullet"/>
      <w:lvlText w:val="•"/>
      <w:lvlJc w:val="left"/>
      <w:pPr>
        <w:ind w:left="1684" w:hanging="240"/>
      </w:pPr>
      <w:rPr>
        <w:rFonts w:hint="default"/>
        <w:lang w:val="en-US" w:eastAsia="en-US" w:bidi="ar-SA"/>
      </w:rPr>
    </w:lvl>
    <w:lvl w:ilvl="5">
      <w:start w:val="0"/>
      <w:numFmt w:val="bullet"/>
      <w:lvlText w:val="•"/>
      <w:lvlJc w:val="left"/>
      <w:pPr>
        <w:ind w:left="2000" w:hanging="240"/>
      </w:pPr>
      <w:rPr>
        <w:rFonts w:hint="default"/>
        <w:lang w:val="en-US" w:eastAsia="en-US" w:bidi="ar-SA"/>
      </w:rPr>
    </w:lvl>
    <w:lvl w:ilvl="6">
      <w:start w:val="0"/>
      <w:numFmt w:val="bullet"/>
      <w:lvlText w:val="•"/>
      <w:lvlJc w:val="left"/>
      <w:pPr>
        <w:ind w:left="2316" w:hanging="240"/>
      </w:pPr>
      <w:rPr>
        <w:rFonts w:hint="default"/>
        <w:lang w:val="en-US" w:eastAsia="en-US" w:bidi="ar-SA"/>
      </w:rPr>
    </w:lvl>
    <w:lvl w:ilvl="7">
      <w:start w:val="0"/>
      <w:numFmt w:val="bullet"/>
      <w:lvlText w:val="•"/>
      <w:lvlJc w:val="left"/>
      <w:pPr>
        <w:ind w:left="2633" w:hanging="240"/>
      </w:pPr>
      <w:rPr>
        <w:rFonts w:hint="default"/>
        <w:lang w:val="en-US" w:eastAsia="en-US" w:bidi="ar-SA"/>
      </w:rPr>
    </w:lvl>
    <w:lvl w:ilvl="8">
      <w:start w:val="0"/>
      <w:numFmt w:val="bullet"/>
      <w:lvlText w:val="•"/>
      <w:lvlJc w:val="left"/>
      <w:pPr>
        <w:ind w:left="2949" w:hanging="240"/>
      </w:pPr>
      <w:rPr>
        <w:rFonts w:hint="default"/>
        <w:lang w:val="en-US" w:eastAsia="en-US" w:bidi="ar-SA"/>
      </w:rPr>
    </w:lvl>
  </w:abstractNum>
  <w:abstractNum w:abstractNumId="31">
    <w:multiLevelType w:val="hybridMultilevel"/>
    <w:lvl w:ilvl="0">
      <w:start w:val="4"/>
      <w:numFmt w:val="decimal"/>
      <w:lvlText w:val="%1"/>
      <w:lvlJc w:val="left"/>
      <w:pPr>
        <w:ind w:left="785" w:hanging="601"/>
        <w:jc w:val="left"/>
      </w:pPr>
      <w:rPr>
        <w:rFonts w:hint="default"/>
        <w:lang w:val="en-US" w:eastAsia="en-US" w:bidi="ar-SA"/>
      </w:rPr>
    </w:lvl>
    <w:lvl w:ilvl="1">
      <w:start w:val="5"/>
      <w:numFmt w:val="decimal"/>
      <w:lvlText w:val="%1.%2"/>
      <w:lvlJc w:val="left"/>
      <w:pPr>
        <w:ind w:left="785" w:hanging="601"/>
        <w:jc w:val="right"/>
      </w:pPr>
      <w:rPr>
        <w:rFonts w:hint="default" w:ascii="Trebuchet MS" w:hAnsi="Trebuchet MS" w:eastAsia="Trebuchet MS" w:cs="Trebuchet MS"/>
        <w:b/>
        <w:bCs/>
        <w:color w:val="89C6DC"/>
        <w:spacing w:val="-1"/>
        <w:w w:val="84"/>
        <w:sz w:val="28"/>
        <w:szCs w:val="28"/>
        <w:u w:val="single" w:color="006CB4"/>
        <w:lang w:val="en-US" w:eastAsia="en-US" w:bidi="ar-SA"/>
      </w:rPr>
    </w:lvl>
    <w:lvl w:ilvl="2">
      <w:start w:val="0"/>
      <w:numFmt w:val="bullet"/>
      <w:lvlText w:val="•"/>
      <w:lvlJc w:val="left"/>
      <w:pPr>
        <w:ind w:left="1789" w:hanging="601"/>
      </w:pPr>
      <w:rPr>
        <w:rFonts w:hint="default"/>
        <w:lang w:val="en-US" w:eastAsia="en-US" w:bidi="ar-SA"/>
      </w:rPr>
    </w:lvl>
    <w:lvl w:ilvl="3">
      <w:start w:val="0"/>
      <w:numFmt w:val="bullet"/>
      <w:lvlText w:val="•"/>
      <w:lvlJc w:val="left"/>
      <w:pPr>
        <w:ind w:left="2293" w:hanging="601"/>
      </w:pPr>
      <w:rPr>
        <w:rFonts w:hint="default"/>
        <w:lang w:val="en-US" w:eastAsia="en-US" w:bidi="ar-SA"/>
      </w:rPr>
    </w:lvl>
    <w:lvl w:ilvl="4">
      <w:start w:val="0"/>
      <w:numFmt w:val="bullet"/>
      <w:lvlText w:val="•"/>
      <w:lvlJc w:val="left"/>
      <w:pPr>
        <w:ind w:left="2798" w:hanging="601"/>
      </w:pPr>
      <w:rPr>
        <w:rFonts w:hint="default"/>
        <w:lang w:val="en-US" w:eastAsia="en-US" w:bidi="ar-SA"/>
      </w:rPr>
    </w:lvl>
    <w:lvl w:ilvl="5">
      <w:start w:val="0"/>
      <w:numFmt w:val="bullet"/>
      <w:lvlText w:val="•"/>
      <w:lvlJc w:val="left"/>
      <w:pPr>
        <w:ind w:left="3302" w:hanging="601"/>
      </w:pPr>
      <w:rPr>
        <w:rFonts w:hint="default"/>
        <w:lang w:val="en-US" w:eastAsia="en-US" w:bidi="ar-SA"/>
      </w:rPr>
    </w:lvl>
    <w:lvl w:ilvl="6">
      <w:start w:val="0"/>
      <w:numFmt w:val="bullet"/>
      <w:lvlText w:val="•"/>
      <w:lvlJc w:val="left"/>
      <w:pPr>
        <w:ind w:left="3807" w:hanging="601"/>
      </w:pPr>
      <w:rPr>
        <w:rFonts w:hint="default"/>
        <w:lang w:val="en-US" w:eastAsia="en-US" w:bidi="ar-SA"/>
      </w:rPr>
    </w:lvl>
    <w:lvl w:ilvl="7">
      <w:start w:val="0"/>
      <w:numFmt w:val="bullet"/>
      <w:lvlText w:val="•"/>
      <w:lvlJc w:val="left"/>
      <w:pPr>
        <w:ind w:left="4311" w:hanging="601"/>
      </w:pPr>
      <w:rPr>
        <w:rFonts w:hint="default"/>
        <w:lang w:val="en-US" w:eastAsia="en-US" w:bidi="ar-SA"/>
      </w:rPr>
    </w:lvl>
    <w:lvl w:ilvl="8">
      <w:start w:val="0"/>
      <w:numFmt w:val="bullet"/>
      <w:lvlText w:val="•"/>
      <w:lvlJc w:val="left"/>
      <w:pPr>
        <w:ind w:left="4816" w:hanging="601"/>
      </w:pPr>
      <w:rPr>
        <w:rFonts w:hint="default"/>
        <w:lang w:val="en-US" w:eastAsia="en-US" w:bidi="ar-SA"/>
      </w:rPr>
    </w:lvl>
  </w:abstractNum>
  <w:abstractNum w:abstractNumId="30">
    <w:multiLevelType w:val="hybridMultilevel"/>
    <w:lvl w:ilvl="0">
      <w:start w:val="1"/>
      <w:numFmt w:val="lowerLetter"/>
      <w:lvlText w:val="(%1)"/>
      <w:lvlJc w:val="left"/>
      <w:pPr>
        <w:ind w:left="400"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12" w:hanging="240"/>
      </w:pPr>
      <w:rPr>
        <w:rFonts w:hint="default"/>
        <w:lang w:val="en-US" w:eastAsia="en-US" w:bidi="ar-SA"/>
      </w:rPr>
    </w:lvl>
    <w:lvl w:ilvl="2">
      <w:start w:val="0"/>
      <w:numFmt w:val="bullet"/>
      <w:lvlText w:val="•"/>
      <w:lvlJc w:val="left"/>
      <w:pPr>
        <w:ind w:left="1224" w:hanging="240"/>
      </w:pPr>
      <w:rPr>
        <w:rFonts w:hint="default"/>
        <w:lang w:val="en-US" w:eastAsia="en-US" w:bidi="ar-SA"/>
      </w:rPr>
    </w:lvl>
    <w:lvl w:ilvl="3">
      <w:start w:val="0"/>
      <w:numFmt w:val="bullet"/>
      <w:lvlText w:val="•"/>
      <w:lvlJc w:val="left"/>
      <w:pPr>
        <w:ind w:left="1636" w:hanging="240"/>
      </w:pPr>
      <w:rPr>
        <w:rFonts w:hint="default"/>
        <w:lang w:val="en-US" w:eastAsia="en-US" w:bidi="ar-SA"/>
      </w:rPr>
    </w:lvl>
    <w:lvl w:ilvl="4">
      <w:start w:val="0"/>
      <w:numFmt w:val="bullet"/>
      <w:lvlText w:val="•"/>
      <w:lvlJc w:val="left"/>
      <w:pPr>
        <w:ind w:left="2048" w:hanging="240"/>
      </w:pPr>
      <w:rPr>
        <w:rFonts w:hint="default"/>
        <w:lang w:val="en-US" w:eastAsia="en-US" w:bidi="ar-SA"/>
      </w:rPr>
    </w:lvl>
    <w:lvl w:ilvl="5">
      <w:start w:val="0"/>
      <w:numFmt w:val="bullet"/>
      <w:lvlText w:val="•"/>
      <w:lvlJc w:val="left"/>
      <w:pPr>
        <w:ind w:left="2460" w:hanging="240"/>
      </w:pPr>
      <w:rPr>
        <w:rFonts w:hint="default"/>
        <w:lang w:val="en-US" w:eastAsia="en-US" w:bidi="ar-SA"/>
      </w:rPr>
    </w:lvl>
    <w:lvl w:ilvl="6">
      <w:start w:val="0"/>
      <w:numFmt w:val="bullet"/>
      <w:lvlText w:val="•"/>
      <w:lvlJc w:val="left"/>
      <w:pPr>
        <w:ind w:left="2872" w:hanging="240"/>
      </w:pPr>
      <w:rPr>
        <w:rFonts w:hint="default"/>
        <w:lang w:val="en-US" w:eastAsia="en-US" w:bidi="ar-SA"/>
      </w:rPr>
    </w:lvl>
    <w:lvl w:ilvl="7">
      <w:start w:val="0"/>
      <w:numFmt w:val="bullet"/>
      <w:lvlText w:val="•"/>
      <w:lvlJc w:val="left"/>
      <w:pPr>
        <w:ind w:left="3284" w:hanging="240"/>
      </w:pPr>
      <w:rPr>
        <w:rFonts w:hint="default"/>
        <w:lang w:val="en-US" w:eastAsia="en-US" w:bidi="ar-SA"/>
      </w:rPr>
    </w:lvl>
    <w:lvl w:ilvl="8">
      <w:start w:val="0"/>
      <w:numFmt w:val="bullet"/>
      <w:lvlText w:val="•"/>
      <w:lvlJc w:val="left"/>
      <w:pPr>
        <w:ind w:left="3696" w:hanging="240"/>
      </w:pPr>
      <w:rPr>
        <w:rFonts w:hint="default"/>
        <w:lang w:val="en-US" w:eastAsia="en-US" w:bidi="ar-SA"/>
      </w:rPr>
    </w:lvl>
  </w:abstractNum>
  <w:abstractNum w:abstractNumId="29">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w w:val="103"/>
        <w:sz w:val="12"/>
        <w:szCs w:val="12"/>
        <w:lang w:val="en-US" w:eastAsia="en-US" w:bidi="ar-SA"/>
      </w:rPr>
    </w:lvl>
    <w:lvl w:ilvl="1">
      <w:start w:val="0"/>
      <w:numFmt w:val="bullet"/>
      <w:lvlText w:val="•"/>
      <w:lvlJc w:val="left"/>
      <w:pPr>
        <w:ind w:left="830" w:hanging="240"/>
      </w:pPr>
      <w:rPr>
        <w:rFonts w:hint="default"/>
        <w:lang w:val="en-US" w:eastAsia="en-US" w:bidi="ar-SA"/>
      </w:rPr>
    </w:lvl>
    <w:lvl w:ilvl="2">
      <w:start w:val="0"/>
      <w:numFmt w:val="bullet"/>
      <w:lvlText w:val="•"/>
      <w:lvlJc w:val="left"/>
      <w:pPr>
        <w:ind w:left="1240" w:hanging="240"/>
      </w:pPr>
      <w:rPr>
        <w:rFonts w:hint="default"/>
        <w:lang w:val="en-US" w:eastAsia="en-US" w:bidi="ar-SA"/>
      </w:rPr>
    </w:lvl>
    <w:lvl w:ilvl="3">
      <w:start w:val="0"/>
      <w:numFmt w:val="bullet"/>
      <w:lvlText w:val="•"/>
      <w:lvlJc w:val="left"/>
      <w:pPr>
        <w:ind w:left="1650" w:hanging="240"/>
      </w:pPr>
      <w:rPr>
        <w:rFonts w:hint="default"/>
        <w:lang w:val="en-US" w:eastAsia="en-US" w:bidi="ar-SA"/>
      </w:rPr>
    </w:lvl>
    <w:lvl w:ilvl="4">
      <w:start w:val="0"/>
      <w:numFmt w:val="bullet"/>
      <w:lvlText w:val="•"/>
      <w:lvlJc w:val="left"/>
      <w:pPr>
        <w:ind w:left="2060" w:hanging="240"/>
      </w:pPr>
      <w:rPr>
        <w:rFonts w:hint="default"/>
        <w:lang w:val="en-US" w:eastAsia="en-US" w:bidi="ar-SA"/>
      </w:rPr>
    </w:lvl>
    <w:lvl w:ilvl="5">
      <w:start w:val="0"/>
      <w:numFmt w:val="bullet"/>
      <w:lvlText w:val="•"/>
      <w:lvlJc w:val="left"/>
      <w:pPr>
        <w:ind w:left="2470" w:hanging="240"/>
      </w:pPr>
      <w:rPr>
        <w:rFonts w:hint="default"/>
        <w:lang w:val="en-US" w:eastAsia="en-US" w:bidi="ar-SA"/>
      </w:rPr>
    </w:lvl>
    <w:lvl w:ilvl="6">
      <w:start w:val="0"/>
      <w:numFmt w:val="bullet"/>
      <w:lvlText w:val="•"/>
      <w:lvlJc w:val="left"/>
      <w:pPr>
        <w:ind w:left="2880" w:hanging="240"/>
      </w:pPr>
      <w:rPr>
        <w:rFonts w:hint="default"/>
        <w:lang w:val="en-US" w:eastAsia="en-US" w:bidi="ar-SA"/>
      </w:rPr>
    </w:lvl>
    <w:lvl w:ilvl="7">
      <w:start w:val="0"/>
      <w:numFmt w:val="bullet"/>
      <w:lvlText w:val="•"/>
      <w:lvlJc w:val="left"/>
      <w:pPr>
        <w:ind w:left="3290" w:hanging="240"/>
      </w:pPr>
      <w:rPr>
        <w:rFonts w:hint="default"/>
        <w:lang w:val="en-US" w:eastAsia="en-US" w:bidi="ar-SA"/>
      </w:rPr>
    </w:lvl>
    <w:lvl w:ilvl="8">
      <w:start w:val="0"/>
      <w:numFmt w:val="bullet"/>
      <w:lvlText w:val="•"/>
      <w:lvlJc w:val="left"/>
      <w:pPr>
        <w:ind w:left="3700" w:hanging="240"/>
      </w:pPr>
      <w:rPr>
        <w:rFonts w:hint="default"/>
        <w:lang w:val="en-US" w:eastAsia="en-US" w:bidi="ar-SA"/>
      </w:rPr>
    </w:lvl>
  </w:abstractNum>
  <w:abstractNum w:abstractNumId="28">
    <w:multiLevelType w:val="hybridMultilevel"/>
    <w:lvl w:ilvl="0">
      <w:start w:val="4"/>
      <w:numFmt w:val="decimal"/>
      <w:lvlText w:val="%1"/>
      <w:lvlJc w:val="left"/>
      <w:pPr>
        <w:ind w:left="777" w:hanging="601"/>
        <w:jc w:val="left"/>
      </w:pPr>
      <w:rPr>
        <w:rFonts w:hint="default"/>
        <w:lang w:val="en-US" w:eastAsia="en-US" w:bidi="ar-SA"/>
      </w:rPr>
    </w:lvl>
    <w:lvl w:ilvl="1">
      <w:start w:val="2"/>
      <w:numFmt w:val="decimal"/>
      <w:lvlText w:val="%1.%2"/>
      <w:lvlJc w:val="left"/>
      <w:pPr>
        <w:ind w:left="777" w:hanging="601"/>
        <w:jc w:val="right"/>
      </w:pPr>
      <w:rPr>
        <w:rFonts w:hint="default"/>
        <w:b/>
        <w:bCs/>
        <w:spacing w:val="-1"/>
        <w:w w:val="84"/>
        <w:u w:val="single" w:color="006CB4"/>
        <w:lang w:val="en-US" w:eastAsia="en-US" w:bidi="ar-SA"/>
      </w:rPr>
    </w:lvl>
    <w:lvl w:ilvl="2">
      <w:start w:val="1"/>
      <w:numFmt w:val="decimal"/>
      <w:lvlText w:val="(%3)"/>
      <w:lvlJc w:val="left"/>
      <w:pPr>
        <w:ind w:left="5200" w:hanging="240"/>
        <w:jc w:val="left"/>
      </w:pPr>
      <w:rPr>
        <w:rFonts w:hint="default" w:ascii="Times New Roman" w:hAnsi="Times New Roman" w:eastAsia="Times New Roman" w:cs="Times New Roman"/>
        <w:spacing w:val="-1"/>
        <w:w w:val="109"/>
        <w:sz w:val="14"/>
        <w:szCs w:val="14"/>
        <w:lang w:val="en-US" w:eastAsia="en-US" w:bidi="ar-SA"/>
      </w:rPr>
    </w:lvl>
    <w:lvl w:ilvl="3">
      <w:start w:val="0"/>
      <w:numFmt w:val="bullet"/>
      <w:lvlText w:val="•"/>
      <w:lvlJc w:val="left"/>
      <w:pPr>
        <w:ind w:left="5337" w:hanging="240"/>
      </w:pPr>
      <w:rPr>
        <w:rFonts w:hint="default"/>
        <w:lang w:val="en-US" w:eastAsia="en-US" w:bidi="ar-SA"/>
      </w:rPr>
    </w:lvl>
    <w:lvl w:ilvl="4">
      <w:start w:val="0"/>
      <w:numFmt w:val="bullet"/>
      <w:lvlText w:val="•"/>
      <w:lvlJc w:val="left"/>
      <w:pPr>
        <w:ind w:left="5405" w:hanging="240"/>
      </w:pPr>
      <w:rPr>
        <w:rFonts w:hint="default"/>
        <w:lang w:val="en-US" w:eastAsia="en-US" w:bidi="ar-SA"/>
      </w:rPr>
    </w:lvl>
    <w:lvl w:ilvl="5">
      <w:start w:val="0"/>
      <w:numFmt w:val="bullet"/>
      <w:lvlText w:val="•"/>
      <w:lvlJc w:val="left"/>
      <w:pPr>
        <w:ind w:left="5474" w:hanging="240"/>
      </w:pPr>
      <w:rPr>
        <w:rFonts w:hint="default"/>
        <w:lang w:val="en-US" w:eastAsia="en-US" w:bidi="ar-SA"/>
      </w:rPr>
    </w:lvl>
    <w:lvl w:ilvl="6">
      <w:start w:val="0"/>
      <w:numFmt w:val="bullet"/>
      <w:lvlText w:val="•"/>
      <w:lvlJc w:val="left"/>
      <w:pPr>
        <w:ind w:left="5542" w:hanging="240"/>
      </w:pPr>
      <w:rPr>
        <w:rFonts w:hint="default"/>
        <w:lang w:val="en-US" w:eastAsia="en-US" w:bidi="ar-SA"/>
      </w:rPr>
    </w:lvl>
    <w:lvl w:ilvl="7">
      <w:start w:val="0"/>
      <w:numFmt w:val="bullet"/>
      <w:lvlText w:val="•"/>
      <w:lvlJc w:val="left"/>
      <w:pPr>
        <w:ind w:left="5611" w:hanging="240"/>
      </w:pPr>
      <w:rPr>
        <w:rFonts w:hint="default"/>
        <w:lang w:val="en-US" w:eastAsia="en-US" w:bidi="ar-SA"/>
      </w:rPr>
    </w:lvl>
    <w:lvl w:ilvl="8">
      <w:start w:val="0"/>
      <w:numFmt w:val="bullet"/>
      <w:lvlText w:val="•"/>
      <w:lvlJc w:val="left"/>
      <w:pPr>
        <w:ind w:left="5680" w:hanging="240"/>
      </w:pPr>
      <w:rPr>
        <w:rFonts w:hint="default"/>
        <w:lang w:val="en-US" w:eastAsia="en-US" w:bidi="ar-SA"/>
      </w:rPr>
    </w:lvl>
  </w:abstractNum>
  <w:abstractNum w:abstractNumId="27">
    <w:multiLevelType w:val="hybridMultilevel"/>
    <w:lvl w:ilvl="0">
      <w:start w:val="1"/>
      <w:numFmt w:val="lowerLetter"/>
      <w:lvlText w:val="(%1)"/>
      <w:lvlJc w:val="left"/>
      <w:pPr>
        <w:ind w:left="405" w:hanging="240"/>
        <w:jc w:val="left"/>
      </w:pPr>
      <w:rPr>
        <w:rFonts w:hint="default" w:ascii="Times New Roman" w:hAnsi="Times New Roman" w:eastAsia="Times New Roman" w:cs="Times New Roman"/>
        <w:w w:val="103"/>
        <w:sz w:val="12"/>
        <w:szCs w:val="12"/>
        <w:lang w:val="en-US" w:eastAsia="en-US" w:bidi="ar-SA"/>
      </w:rPr>
    </w:lvl>
    <w:lvl w:ilvl="1">
      <w:start w:val="1"/>
      <w:numFmt w:val="decimal"/>
      <w:lvlText w:val="(%2)"/>
      <w:lvlJc w:val="left"/>
      <w:pPr>
        <w:ind w:left="5219" w:hanging="240"/>
        <w:jc w:val="left"/>
      </w:pPr>
      <w:rPr>
        <w:rFonts w:hint="default" w:ascii="Times New Roman" w:hAnsi="Times New Roman" w:eastAsia="Times New Roman" w:cs="Times New Roman"/>
        <w:w w:val="109"/>
        <w:sz w:val="14"/>
        <w:szCs w:val="14"/>
        <w:lang w:val="en-US" w:eastAsia="en-US" w:bidi="ar-SA"/>
      </w:rPr>
    </w:lvl>
    <w:lvl w:ilvl="2">
      <w:start w:val="0"/>
      <w:numFmt w:val="bullet"/>
      <w:lvlText w:val="•"/>
      <w:lvlJc w:val="left"/>
      <w:pPr>
        <w:ind w:left="4970" w:hanging="240"/>
      </w:pPr>
      <w:rPr>
        <w:rFonts w:hint="default"/>
        <w:lang w:val="en-US" w:eastAsia="en-US" w:bidi="ar-SA"/>
      </w:rPr>
    </w:lvl>
    <w:lvl w:ilvl="3">
      <w:start w:val="0"/>
      <w:numFmt w:val="bullet"/>
      <w:lvlText w:val="•"/>
      <w:lvlJc w:val="left"/>
      <w:pPr>
        <w:ind w:left="4720" w:hanging="240"/>
      </w:pPr>
      <w:rPr>
        <w:rFonts w:hint="default"/>
        <w:lang w:val="en-US" w:eastAsia="en-US" w:bidi="ar-SA"/>
      </w:rPr>
    </w:lvl>
    <w:lvl w:ilvl="4">
      <w:start w:val="0"/>
      <w:numFmt w:val="bullet"/>
      <w:lvlText w:val="•"/>
      <w:lvlJc w:val="left"/>
      <w:pPr>
        <w:ind w:left="4471" w:hanging="240"/>
      </w:pPr>
      <w:rPr>
        <w:rFonts w:hint="default"/>
        <w:lang w:val="en-US" w:eastAsia="en-US" w:bidi="ar-SA"/>
      </w:rPr>
    </w:lvl>
    <w:lvl w:ilvl="5">
      <w:start w:val="0"/>
      <w:numFmt w:val="bullet"/>
      <w:lvlText w:val="•"/>
      <w:lvlJc w:val="left"/>
      <w:pPr>
        <w:ind w:left="4221" w:hanging="240"/>
      </w:pPr>
      <w:rPr>
        <w:rFonts w:hint="default"/>
        <w:lang w:val="en-US" w:eastAsia="en-US" w:bidi="ar-SA"/>
      </w:rPr>
    </w:lvl>
    <w:lvl w:ilvl="6">
      <w:start w:val="0"/>
      <w:numFmt w:val="bullet"/>
      <w:lvlText w:val="•"/>
      <w:lvlJc w:val="left"/>
      <w:pPr>
        <w:ind w:left="3972" w:hanging="240"/>
      </w:pPr>
      <w:rPr>
        <w:rFonts w:hint="default"/>
        <w:lang w:val="en-US" w:eastAsia="en-US" w:bidi="ar-SA"/>
      </w:rPr>
    </w:lvl>
    <w:lvl w:ilvl="7">
      <w:start w:val="0"/>
      <w:numFmt w:val="bullet"/>
      <w:lvlText w:val="•"/>
      <w:lvlJc w:val="left"/>
      <w:pPr>
        <w:ind w:left="3722" w:hanging="240"/>
      </w:pPr>
      <w:rPr>
        <w:rFonts w:hint="default"/>
        <w:lang w:val="en-US" w:eastAsia="en-US" w:bidi="ar-SA"/>
      </w:rPr>
    </w:lvl>
    <w:lvl w:ilvl="8">
      <w:start w:val="0"/>
      <w:numFmt w:val="bullet"/>
      <w:lvlText w:val="•"/>
      <w:lvlJc w:val="left"/>
      <w:pPr>
        <w:ind w:left="3473" w:hanging="240"/>
      </w:pPr>
      <w:rPr>
        <w:rFonts w:hint="default"/>
        <w:lang w:val="en-US" w:eastAsia="en-US" w:bidi="ar-SA"/>
      </w:rPr>
    </w:lvl>
  </w:abstractNum>
  <w:abstractNum w:abstractNumId="26">
    <w:multiLevelType w:val="hybridMultilevel"/>
    <w:lvl w:ilvl="0">
      <w:start w:val="1"/>
      <w:numFmt w:val="lowerLetter"/>
      <w:lvlText w:val="(%1)"/>
      <w:lvlJc w:val="left"/>
      <w:pPr>
        <w:ind w:left="435" w:hanging="240"/>
        <w:jc w:val="left"/>
      </w:pPr>
      <w:rPr>
        <w:rFonts w:hint="default" w:ascii="Times New Roman" w:hAnsi="Times New Roman" w:eastAsia="Times New Roman" w:cs="Times New Roman"/>
        <w:w w:val="103"/>
        <w:sz w:val="12"/>
        <w:szCs w:val="12"/>
        <w:lang w:val="en-US" w:eastAsia="en-US" w:bidi="ar-SA"/>
      </w:rPr>
    </w:lvl>
    <w:lvl w:ilvl="1">
      <w:start w:val="0"/>
      <w:numFmt w:val="bullet"/>
      <w:lvlText w:val="•"/>
      <w:lvlJc w:val="left"/>
      <w:pPr>
        <w:ind w:left="784" w:hanging="240"/>
      </w:pPr>
      <w:rPr>
        <w:rFonts w:hint="default"/>
        <w:lang w:val="en-US" w:eastAsia="en-US" w:bidi="ar-SA"/>
      </w:rPr>
    </w:lvl>
    <w:lvl w:ilvl="2">
      <w:start w:val="0"/>
      <w:numFmt w:val="bullet"/>
      <w:lvlText w:val="•"/>
      <w:lvlJc w:val="left"/>
      <w:pPr>
        <w:ind w:left="1128" w:hanging="240"/>
      </w:pPr>
      <w:rPr>
        <w:rFonts w:hint="default"/>
        <w:lang w:val="en-US" w:eastAsia="en-US" w:bidi="ar-SA"/>
      </w:rPr>
    </w:lvl>
    <w:lvl w:ilvl="3">
      <w:start w:val="0"/>
      <w:numFmt w:val="bullet"/>
      <w:lvlText w:val="•"/>
      <w:lvlJc w:val="left"/>
      <w:pPr>
        <w:ind w:left="1472" w:hanging="240"/>
      </w:pPr>
      <w:rPr>
        <w:rFonts w:hint="default"/>
        <w:lang w:val="en-US" w:eastAsia="en-US" w:bidi="ar-SA"/>
      </w:rPr>
    </w:lvl>
    <w:lvl w:ilvl="4">
      <w:start w:val="0"/>
      <w:numFmt w:val="bullet"/>
      <w:lvlText w:val="•"/>
      <w:lvlJc w:val="left"/>
      <w:pPr>
        <w:ind w:left="1816" w:hanging="240"/>
      </w:pPr>
      <w:rPr>
        <w:rFonts w:hint="default"/>
        <w:lang w:val="en-US" w:eastAsia="en-US" w:bidi="ar-SA"/>
      </w:rPr>
    </w:lvl>
    <w:lvl w:ilvl="5">
      <w:start w:val="0"/>
      <w:numFmt w:val="bullet"/>
      <w:lvlText w:val="•"/>
      <w:lvlJc w:val="left"/>
      <w:pPr>
        <w:ind w:left="2160" w:hanging="240"/>
      </w:pPr>
      <w:rPr>
        <w:rFonts w:hint="default"/>
        <w:lang w:val="en-US" w:eastAsia="en-US" w:bidi="ar-SA"/>
      </w:rPr>
    </w:lvl>
    <w:lvl w:ilvl="6">
      <w:start w:val="0"/>
      <w:numFmt w:val="bullet"/>
      <w:lvlText w:val="•"/>
      <w:lvlJc w:val="left"/>
      <w:pPr>
        <w:ind w:left="2505" w:hanging="240"/>
      </w:pPr>
      <w:rPr>
        <w:rFonts w:hint="default"/>
        <w:lang w:val="en-US" w:eastAsia="en-US" w:bidi="ar-SA"/>
      </w:rPr>
    </w:lvl>
    <w:lvl w:ilvl="7">
      <w:start w:val="0"/>
      <w:numFmt w:val="bullet"/>
      <w:lvlText w:val="•"/>
      <w:lvlJc w:val="left"/>
      <w:pPr>
        <w:ind w:left="2849" w:hanging="240"/>
      </w:pPr>
      <w:rPr>
        <w:rFonts w:hint="default"/>
        <w:lang w:val="en-US" w:eastAsia="en-US" w:bidi="ar-SA"/>
      </w:rPr>
    </w:lvl>
    <w:lvl w:ilvl="8">
      <w:start w:val="0"/>
      <w:numFmt w:val="bullet"/>
      <w:lvlText w:val="•"/>
      <w:lvlJc w:val="left"/>
      <w:pPr>
        <w:ind w:left="3193" w:hanging="240"/>
      </w:pPr>
      <w:rPr>
        <w:rFonts w:hint="default"/>
        <w:lang w:val="en-US" w:eastAsia="en-US" w:bidi="ar-SA"/>
      </w:rPr>
    </w:lvl>
  </w:abstractNum>
  <w:abstractNum w:abstractNumId="25">
    <w:multiLevelType w:val="hybridMultilevel"/>
    <w:lvl w:ilvl="0">
      <w:start w:val="3"/>
      <w:numFmt w:val="decimal"/>
      <w:lvlText w:val="%1"/>
      <w:lvlJc w:val="left"/>
      <w:pPr>
        <w:ind w:left="776" w:hanging="601"/>
        <w:jc w:val="left"/>
      </w:pPr>
      <w:rPr>
        <w:rFonts w:hint="default"/>
        <w:lang w:val="en-US" w:eastAsia="en-US" w:bidi="ar-SA"/>
      </w:rPr>
    </w:lvl>
    <w:lvl w:ilvl="1">
      <w:start w:val="3"/>
      <w:numFmt w:val="decimal"/>
      <w:lvlText w:val="%1.%2"/>
      <w:lvlJc w:val="left"/>
      <w:pPr>
        <w:ind w:left="776" w:hanging="601"/>
        <w:jc w:val="left"/>
      </w:pPr>
      <w:rPr>
        <w:rFonts w:hint="default" w:ascii="Trebuchet MS" w:hAnsi="Trebuchet MS" w:eastAsia="Trebuchet MS" w:cs="Trebuchet MS"/>
        <w:b/>
        <w:bCs/>
        <w:color w:val="89C6DC"/>
        <w:spacing w:val="-1"/>
        <w:w w:val="84"/>
        <w:sz w:val="28"/>
        <w:szCs w:val="28"/>
        <w:u w:val="single" w:color="006CB4"/>
        <w:lang w:val="en-US" w:eastAsia="en-US" w:bidi="ar-SA"/>
      </w:rPr>
    </w:lvl>
    <w:lvl w:ilvl="2">
      <w:start w:val="0"/>
      <w:numFmt w:val="bullet"/>
      <w:lvlText w:val="•"/>
      <w:lvlJc w:val="left"/>
      <w:pPr>
        <w:ind w:left="1786" w:hanging="601"/>
      </w:pPr>
      <w:rPr>
        <w:rFonts w:hint="default"/>
        <w:lang w:val="en-US" w:eastAsia="en-US" w:bidi="ar-SA"/>
      </w:rPr>
    </w:lvl>
    <w:lvl w:ilvl="3">
      <w:start w:val="0"/>
      <w:numFmt w:val="bullet"/>
      <w:lvlText w:val="•"/>
      <w:lvlJc w:val="left"/>
      <w:pPr>
        <w:ind w:left="2289" w:hanging="601"/>
      </w:pPr>
      <w:rPr>
        <w:rFonts w:hint="default"/>
        <w:lang w:val="en-US" w:eastAsia="en-US" w:bidi="ar-SA"/>
      </w:rPr>
    </w:lvl>
    <w:lvl w:ilvl="4">
      <w:start w:val="0"/>
      <w:numFmt w:val="bullet"/>
      <w:lvlText w:val="•"/>
      <w:lvlJc w:val="left"/>
      <w:pPr>
        <w:ind w:left="2792" w:hanging="601"/>
      </w:pPr>
      <w:rPr>
        <w:rFonts w:hint="default"/>
        <w:lang w:val="en-US" w:eastAsia="en-US" w:bidi="ar-SA"/>
      </w:rPr>
    </w:lvl>
    <w:lvl w:ilvl="5">
      <w:start w:val="0"/>
      <w:numFmt w:val="bullet"/>
      <w:lvlText w:val="•"/>
      <w:lvlJc w:val="left"/>
      <w:pPr>
        <w:ind w:left="3295" w:hanging="601"/>
      </w:pPr>
      <w:rPr>
        <w:rFonts w:hint="default"/>
        <w:lang w:val="en-US" w:eastAsia="en-US" w:bidi="ar-SA"/>
      </w:rPr>
    </w:lvl>
    <w:lvl w:ilvl="6">
      <w:start w:val="0"/>
      <w:numFmt w:val="bullet"/>
      <w:lvlText w:val="•"/>
      <w:lvlJc w:val="left"/>
      <w:pPr>
        <w:ind w:left="3798" w:hanging="601"/>
      </w:pPr>
      <w:rPr>
        <w:rFonts w:hint="default"/>
        <w:lang w:val="en-US" w:eastAsia="en-US" w:bidi="ar-SA"/>
      </w:rPr>
    </w:lvl>
    <w:lvl w:ilvl="7">
      <w:start w:val="0"/>
      <w:numFmt w:val="bullet"/>
      <w:lvlText w:val="•"/>
      <w:lvlJc w:val="left"/>
      <w:pPr>
        <w:ind w:left="4301" w:hanging="601"/>
      </w:pPr>
      <w:rPr>
        <w:rFonts w:hint="default"/>
        <w:lang w:val="en-US" w:eastAsia="en-US" w:bidi="ar-SA"/>
      </w:rPr>
    </w:lvl>
    <w:lvl w:ilvl="8">
      <w:start w:val="0"/>
      <w:numFmt w:val="bullet"/>
      <w:lvlText w:val="•"/>
      <w:lvlJc w:val="left"/>
      <w:pPr>
        <w:ind w:left="4805" w:hanging="601"/>
      </w:pPr>
      <w:rPr>
        <w:rFonts w:hint="default"/>
        <w:lang w:val="en-US" w:eastAsia="en-US" w:bidi="ar-SA"/>
      </w:rPr>
    </w:lvl>
  </w:abstractNum>
  <w:abstractNum w:abstractNumId="24">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24" w:hanging="240"/>
      </w:pPr>
      <w:rPr>
        <w:rFonts w:hint="default"/>
        <w:lang w:val="en-US" w:eastAsia="en-US" w:bidi="ar-SA"/>
      </w:rPr>
    </w:lvl>
    <w:lvl w:ilvl="2">
      <w:start w:val="0"/>
      <w:numFmt w:val="bullet"/>
      <w:lvlText w:val="•"/>
      <w:lvlJc w:val="left"/>
      <w:pPr>
        <w:ind w:left="1229" w:hanging="240"/>
      </w:pPr>
      <w:rPr>
        <w:rFonts w:hint="default"/>
        <w:lang w:val="en-US" w:eastAsia="en-US" w:bidi="ar-SA"/>
      </w:rPr>
    </w:lvl>
    <w:lvl w:ilvl="3">
      <w:start w:val="0"/>
      <w:numFmt w:val="bullet"/>
      <w:lvlText w:val="•"/>
      <w:lvlJc w:val="left"/>
      <w:pPr>
        <w:ind w:left="1634" w:hanging="240"/>
      </w:pPr>
      <w:rPr>
        <w:rFonts w:hint="default"/>
        <w:lang w:val="en-US" w:eastAsia="en-US" w:bidi="ar-SA"/>
      </w:rPr>
    </w:lvl>
    <w:lvl w:ilvl="4">
      <w:start w:val="0"/>
      <w:numFmt w:val="bullet"/>
      <w:lvlText w:val="•"/>
      <w:lvlJc w:val="left"/>
      <w:pPr>
        <w:ind w:left="2038" w:hanging="240"/>
      </w:pPr>
      <w:rPr>
        <w:rFonts w:hint="default"/>
        <w:lang w:val="en-US" w:eastAsia="en-US" w:bidi="ar-SA"/>
      </w:rPr>
    </w:lvl>
    <w:lvl w:ilvl="5">
      <w:start w:val="0"/>
      <w:numFmt w:val="bullet"/>
      <w:lvlText w:val="•"/>
      <w:lvlJc w:val="left"/>
      <w:pPr>
        <w:ind w:left="2443" w:hanging="240"/>
      </w:pPr>
      <w:rPr>
        <w:rFonts w:hint="default"/>
        <w:lang w:val="en-US" w:eastAsia="en-US" w:bidi="ar-SA"/>
      </w:rPr>
    </w:lvl>
    <w:lvl w:ilvl="6">
      <w:start w:val="0"/>
      <w:numFmt w:val="bullet"/>
      <w:lvlText w:val="•"/>
      <w:lvlJc w:val="left"/>
      <w:pPr>
        <w:ind w:left="2848" w:hanging="240"/>
      </w:pPr>
      <w:rPr>
        <w:rFonts w:hint="default"/>
        <w:lang w:val="en-US" w:eastAsia="en-US" w:bidi="ar-SA"/>
      </w:rPr>
    </w:lvl>
    <w:lvl w:ilvl="7">
      <w:start w:val="0"/>
      <w:numFmt w:val="bullet"/>
      <w:lvlText w:val="•"/>
      <w:lvlJc w:val="left"/>
      <w:pPr>
        <w:ind w:left="3253" w:hanging="240"/>
      </w:pPr>
      <w:rPr>
        <w:rFonts w:hint="default"/>
        <w:lang w:val="en-US" w:eastAsia="en-US" w:bidi="ar-SA"/>
      </w:rPr>
    </w:lvl>
    <w:lvl w:ilvl="8">
      <w:start w:val="0"/>
      <w:numFmt w:val="bullet"/>
      <w:lvlText w:val="•"/>
      <w:lvlJc w:val="left"/>
      <w:pPr>
        <w:ind w:left="3657" w:hanging="240"/>
      </w:pPr>
      <w:rPr>
        <w:rFonts w:hint="default"/>
        <w:lang w:val="en-US" w:eastAsia="en-US" w:bidi="ar-SA"/>
      </w:rPr>
    </w:lvl>
  </w:abstractNum>
  <w:abstractNum w:abstractNumId="23">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22" w:hanging="240"/>
      </w:pPr>
      <w:rPr>
        <w:rFonts w:hint="default"/>
        <w:lang w:val="en-US" w:eastAsia="en-US" w:bidi="ar-SA"/>
      </w:rPr>
    </w:lvl>
    <w:lvl w:ilvl="2">
      <w:start w:val="0"/>
      <w:numFmt w:val="bullet"/>
      <w:lvlText w:val="•"/>
      <w:lvlJc w:val="left"/>
      <w:pPr>
        <w:ind w:left="1024" w:hanging="240"/>
      </w:pPr>
      <w:rPr>
        <w:rFonts w:hint="default"/>
        <w:lang w:val="en-US" w:eastAsia="en-US" w:bidi="ar-SA"/>
      </w:rPr>
    </w:lvl>
    <w:lvl w:ilvl="3">
      <w:start w:val="0"/>
      <w:numFmt w:val="bullet"/>
      <w:lvlText w:val="•"/>
      <w:lvlJc w:val="left"/>
      <w:pPr>
        <w:ind w:left="1326" w:hanging="240"/>
      </w:pPr>
      <w:rPr>
        <w:rFonts w:hint="default"/>
        <w:lang w:val="en-US" w:eastAsia="en-US" w:bidi="ar-SA"/>
      </w:rPr>
    </w:lvl>
    <w:lvl w:ilvl="4">
      <w:start w:val="0"/>
      <w:numFmt w:val="bullet"/>
      <w:lvlText w:val="•"/>
      <w:lvlJc w:val="left"/>
      <w:pPr>
        <w:ind w:left="1628" w:hanging="240"/>
      </w:pPr>
      <w:rPr>
        <w:rFonts w:hint="default"/>
        <w:lang w:val="en-US" w:eastAsia="en-US" w:bidi="ar-SA"/>
      </w:rPr>
    </w:lvl>
    <w:lvl w:ilvl="5">
      <w:start w:val="0"/>
      <w:numFmt w:val="bullet"/>
      <w:lvlText w:val="•"/>
      <w:lvlJc w:val="left"/>
      <w:pPr>
        <w:ind w:left="1930" w:hanging="240"/>
      </w:pPr>
      <w:rPr>
        <w:rFonts w:hint="default"/>
        <w:lang w:val="en-US" w:eastAsia="en-US" w:bidi="ar-SA"/>
      </w:rPr>
    </w:lvl>
    <w:lvl w:ilvl="6">
      <w:start w:val="0"/>
      <w:numFmt w:val="bullet"/>
      <w:lvlText w:val="•"/>
      <w:lvlJc w:val="left"/>
      <w:pPr>
        <w:ind w:left="2232" w:hanging="240"/>
      </w:pPr>
      <w:rPr>
        <w:rFonts w:hint="default"/>
        <w:lang w:val="en-US" w:eastAsia="en-US" w:bidi="ar-SA"/>
      </w:rPr>
    </w:lvl>
    <w:lvl w:ilvl="7">
      <w:start w:val="0"/>
      <w:numFmt w:val="bullet"/>
      <w:lvlText w:val="•"/>
      <w:lvlJc w:val="left"/>
      <w:pPr>
        <w:ind w:left="2535" w:hanging="240"/>
      </w:pPr>
      <w:rPr>
        <w:rFonts w:hint="default"/>
        <w:lang w:val="en-US" w:eastAsia="en-US" w:bidi="ar-SA"/>
      </w:rPr>
    </w:lvl>
    <w:lvl w:ilvl="8">
      <w:start w:val="0"/>
      <w:numFmt w:val="bullet"/>
      <w:lvlText w:val="•"/>
      <w:lvlJc w:val="left"/>
      <w:pPr>
        <w:ind w:left="2837" w:hanging="240"/>
      </w:pPr>
      <w:rPr>
        <w:rFonts w:hint="default"/>
        <w:lang w:val="en-US" w:eastAsia="en-US" w:bidi="ar-SA"/>
      </w:rPr>
    </w:lvl>
  </w:abstractNum>
  <w:abstractNum w:abstractNumId="22">
    <w:multiLevelType w:val="hybridMultilevel"/>
    <w:lvl w:ilvl="0">
      <w:start w:val="1"/>
      <w:numFmt w:val="lowerLetter"/>
      <w:lvlText w:val="(%1)"/>
      <w:lvlJc w:val="left"/>
      <w:pPr>
        <w:ind w:left="423"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17" w:hanging="240"/>
      </w:pPr>
      <w:rPr>
        <w:rFonts w:hint="default"/>
        <w:lang w:val="en-US" w:eastAsia="en-US" w:bidi="ar-SA"/>
      </w:rPr>
    </w:lvl>
    <w:lvl w:ilvl="2">
      <w:start w:val="0"/>
      <w:numFmt w:val="bullet"/>
      <w:lvlText w:val="•"/>
      <w:lvlJc w:val="left"/>
      <w:pPr>
        <w:ind w:left="1014" w:hanging="240"/>
      </w:pPr>
      <w:rPr>
        <w:rFonts w:hint="default"/>
        <w:lang w:val="en-US" w:eastAsia="en-US" w:bidi="ar-SA"/>
      </w:rPr>
    </w:lvl>
    <w:lvl w:ilvl="3">
      <w:start w:val="0"/>
      <w:numFmt w:val="bullet"/>
      <w:lvlText w:val="•"/>
      <w:lvlJc w:val="left"/>
      <w:pPr>
        <w:ind w:left="1312" w:hanging="240"/>
      </w:pPr>
      <w:rPr>
        <w:rFonts w:hint="default"/>
        <w:lang w:val="en-US" w:eastAsia="en-US" w:bidi="ar-SA"/>
      </w:rPr>
    </w:lvl>
    <w:lvl w:ilvl="4">
      <w:start w:val="0"/>
      <w:numFmt w:val="bullet"/>
      <w:lvlText w:val="•"/>
      <w:lvlJc w:val="left"/>
      <w:pPr>
        <w:ind w:left="1609" w:hanging="240"/>
      </w:pPr>
      <w:rPr>
        <w:rFonts w:hint="default"/>
        <w:lang w:val="en-US" w:eastAsia="en-US" w:bidi="ar-SA"/>
      </w:rPr>
    </w:lvl>
    <w:lvl w:ilvl="5">
      <w:start w:val="0"/>
      <w:numFmt w:val="bullet"/>
      <w:lvlText w:val="•"/>
      <w:lvlJc w:val="left"/>
      <w:pPr>
        <w:ind w:left="1907" w:hanging="240"/>
      </w:pPr>
      <w:rPr>
        <w:rFonts w:hint="default"/>
        <w:lang w:val="en-US" w:eastAsia="en-US" w:bidi="ar-SA"/>
      </w:rPr>
    </w:lvl>
    <w:lvl w:ilvl="6">
      <w:start w:val="0"/>
      <w:numFmt w:val="bullet"/>
      <w:lvlText w:val="•"/>
      <w:lvlJc w:val="left"/>
      <w:pPr>
        <w:ind w:left="2204" w:hanging="240"/>
      </w:pPr>
      <w:rPr>
        <w:rFonts w:hint="default"/>
        <w:lang w:val="en-US" w:eastAsia="en-US" w:bidi="ar-SA"/>
      </w:rPr>
    </w:lvl>
    <w:lvl w:ilvl="7">
      <w:start w:val="0"/>
      <w:numFmt w:val="bullet"/>
      <w:lvlText w:val="•"/>
      <w:lvlJc w:val="left"/>
      <w:pPr>
        <w:ind w:left="2502" w:hanging="240"/>
      </w:pPr>
      <w:rPr>
        <w:rFonts w:hint="default"/>
        <w:lang w:val="en-US" w:eastAsia="en-US" w:bidi="ar-SA"/>
      </w:rPr>
    </w:lvl>
    <w:lvl w:ilvl="8">
      <w:start w:val="0"/>
      <w:numFmt w:val="bullet"/>
      <w:lvlText w:val="•"/>
      <w:lvlJc w:val="left"/>
      <w:pPr>
        <w:ind w:left="2799" w:hanging="240"/>
      </w:pPr>
      <w:rPr>
        <w:rFonts w:hint="default"/>
        <w:lang w:val="en-US" w:eastAsia="en-US" w:bidi="ar-SA"/>
      </w:rPr>
    </w:lvl>
  </w:abstractNum>
  <w:abstractNum w:abstractNumId="21">
    <w:multiLevelType w:val="hybridMultilevel"/>
    <w:lvl w:ilvl="0">
      <w:start w:val="1"/>
      <w:numFmt w:val="lowerLetter"/>
      <w:lvlText w:val="(%1)"/>
      <w:lvlJc w:val="left"/>
      <w:pPr>
        <w:ind w:left="407"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33" w:hanging="240"/>
      </w:pPr>
      <w:rPr>
        <w:rFonts w:hint="default"/>
        <w:lang w:val="en-US" w:eastAsia="en-US" w:bidi="ar-SA"/>
      </w:rPr>
    </w:lvl>
    <w:lvl w:ilvl="2">
      <w:start w:val="0"/>
      <w:numFmt w:val="bullet"/>
      <w:lvlText w:val="•"/>
      <w:lvlJc w:val="left"/>
      <w:pPr>
        <w:ind w:left="1066" w:hanging="240"/>
      </w:pPr>
      <w:rPr>
        <w:rFonts w:hint="default"/>
        <w:lang w:val="en-US" w:eastAsia="en-US" w:bidi="ar-SA"/>
      </w:rPr>
    </w:lvl>
    <w:lvl w:ilvl="3">
      <w:start w:val="0"/>
      <w:numFmt w:val="bullet"/>
      <w:lvlText w:val="•"/>
      <w:lvlJc w:val="left"/>
      <w:pPr>
        <w:ind w:left="1399" w:hanging="240"/>
      </w:pPr>
      <w:rPr>
        <w:rFonts w:hint="default"/>
        <w:lang w:val="en-US" w:eastAsia="en-US" w:bidi="ar-SA"/>
      </w:rPr>
    </w:lvl>
    <w:lvl w:ilvl="4">
      <w:start w:val="0"/>
      <w:numFmt w:val="bullet"/>
      <w:lvlText w:val="•"/>
      <w:lvlJc w:val="left"/>
      <w:pPr>
        <w:ind w:left="1732" w:hanging="240"/>
      </w:pPr>
      <w:rPr>
        <w:rFonts w:hint="default"/>
        <w:lang w:val="en-US" w:eastAsia="en-US" w:bidi="ar-SA"/>
      </w:rPr>
    </w:lvl>
    <w:lvl w:ilvl="5">
      <w:start w:val="0"/>
      <w:numFmt w:val="bullet"/>
      <w:lvlText w:val="•"/>
      <w:lvlJc w:val="left"/>
      <w:pPr>
        <w:ind w:left="2066" w:hanging="240"/>
      </w:pPr>
      <w:rPr>
        <w:rFonts w:hint="default"/>
        <w:lang w:val="en-US" w:eastAsia="en-US" w:bidi="ar-SA"/>
      </w:rPr>
    </w:lvl>
    <w:lvl w:ilvl="6">
      <w:start w:val="0"/>
      <w:numFmt w:val="bullet"/>
      <w:lvlText w:val="•"/>
      <w:lvlJc w:val="left"/>
      <w:pPr>
        <w:ind w:left="2399" w:hanging="240"/>
      </w:pPr>
      <w:rPr>
        <w:rFonts w:hint="default"/>
        <w:lang w:val="en-US" w:eastAsia="en-US" w:bidi="ar-SA"/>
      </w:rPr>
    </w:lvl>
    <w:lvl w:ilvl="7">
      <w:start w:val="0"/>
      <w:numFmt w:val="bullet"/>
      <w:lvlText w:val="•"/>
      <w:lvlJc w:val="left"/>
      <w:pPr>
        <w:ind w:left="2732" w:hanging="240"/>
      </w:pPr>
      <w:rPr>
        <w:rFonts w:hint="default"/>
        <w:lang w:val="en-US" w:eastAsia="en-US" w:bidi="ar-SA"/>
      </w:rPr>
    </w:lvl>
    <w:lvl w:ilvl="8">
      <w:start w:val="0"/>
      <w:numFmt w:val="bullet"/>
      <w:lvlText w:val="•"/>
      <w:lvlJc w:val="left"/>
      <w:pPr>
        <w:ind w:left="3065" w:hanging="240"/>
      </w:pPr>
      <w:rPr>
        <w:rFonts w:hint="default"/>
        <w:lang w:val="en-US" w:eastAsia="en-US" w:bidi="ar-SA"/>
      </w:rPr>
    </w:lvl>
  </w:abstractNum>
  <w:abstractNum w:abstractNumId="20">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16" w:hanging="240"/>
      </w:pPr>
      <w:rPr>
        <w:rFonts w:hint="default"/>
        <w:lang w:val="en-US" w:eastAsia="en-US" w:bidi="ar-SA"/>
      </w:rPr>
    </w:lvl>
    <w:lvl w:ilvl="2">
      <w:start w:val="0"/>
      <w:numFmt w:val="bullet"/>
      <w:lvlText w:val="•"/>
      <w:lvlJc w:val="left"/>
      <w:pPr>
        <w:ind w:left="1212" w:hanging="240"/>
      </w:pPr>
      <w:rPr>
        <w:rFonts w:hint="default"/>
        <w:lang w:val="en-US" w:eastAsia="en-US" w:bidi="ar-SA"/>
      </w:rPr>
    </w:lvl>
    <w:lvl w:ilvl="3">
      <w:start w:val="0"/>
      <w:numFmt w:val="bullet"/>
      <w:lvlText w:val="•"/>
      <w:lvlJc w:val="left"/>
      <w:pPr>
        <w:ind w:left="1608" w:hanging="240"/>
      </w:pPr>
      <w:rPr>
        <w:rFonts w:hint="default"/>
        <w:lang w:val="en-US" w:eastAsia="en-US" w:bidi="ar-SA"/>
      </w:rPr>
    </w:lvl>
    <w:lvl w:ilvl="4">
      <w:start w:val="0"/>
      <w:numFmt w:val="bullet"/>
      <w:lvlText w:val="•"/>
      <w:lvlJc w:val="left"/>
      <w:pPr>
        <w:ind w:left="2004" w:hanging="240"/>
      </w:pPr>
      <w:rPr>
        <w:rFonts w:hint="default"/>
        <w:lang w:val="en-US" w:eastAsia="en-US" w:bidi="ar-SA"/>
      </w:rPr>
    </w:lvl>
    <w:lvl w:ilvl="5">
      <w:start w:val="0"/>
      <w:numFmt w:val="bullet"/>
      <w:lvlText w:val="•"/>
      <w:lvlJc w:val="left"/>
      <w:pPr>
        <w:ind w:left="2400" w:hanging="240"/>
      </w:pPr>
      <w:rPr>
        <w:rFonts w:hint="default"/>
        <w:lang w:val="en-US" w:eastAsia="en-US" w:bidi="ar-SA"/>
      </w:rPr>
    </w:lvl>
    <w:lvl w:ilvl="6">
      <w:start w:val="0"/>
      <w:numFmt w:val="bullet"/>
      <w:lvlText w:val="•"/>
      <w:lvlJc w:val="left"/>
      <w:pPr>
        <w:ind w:left="2796" w:hanging="240"/>
      </w:pPr>
      <w:rPr>
        <w:rFonts w:hint="default"/>
        <w:lang w:val="en-US" w:eastAsia="en-US" w:bidi="ar-SA"/>
      </w:rPr>
    </w:lvl>
    <w:lvl w:ilvl="7">
      <w:start w:val="0"/>
      <w:numFmt w:val="bullet"/>
      <w:lvlText w:val="•"/>
      <w:lvlJc w:val="left"/>
      <w:pPr>
        <w:ind w:left="3192" w:hanging="240"/>
      </w:pPr>
      <w:rPr>
        <w:rFonts w:hint="default"/>
        <w:lang w:val="en-US" w:eastAsia="en-US" w:bidi="ar-SA"/>
      </w:rPr>
    </w:lvl>
    <w:lvl w:ilvl="8">
      <w:start w:val="0"/>
      <w:numFmt w:val="bullet"/>
      <w:lvlText w:val="•"/>
      <w:lvlJc w:val="left"/>
      <w:pPr>
        <w:ind w:left="3588" w:hanging="240"/>
      </w:pPr>
      <w:rPr>
        <w:rFonts w:hint="default"/>
        <w:lang w:val="en-US" w:eastAsia="en-US" w:bidi="ar-SA"/>
      </w:rPr>
    </w:lvl>
  </w:abstractNum>
  <w:abstractNum w:abstractNumId="19">
    <w:multiLevelType w:val="hybridMultilevel"/>
    <w:lvl w:ilvl="0">
      <w:start w:val="1"/>
      <w:numFmt w:val="decimal"/>
      <w:lvlText w:val="(%1)"/>
      <w:lvlJc w:val="left"/>
      <w:pPr>
        <w:ind w:left="415" w:hanging="240"/>
        <w:jc w:val="left"/>
      </w:pPr>
      <w:rPr>
        <w:rFonts w:hint="default" w:ascii="Times New Roman" w:hAnsi="Times New Roman" w:eastAsia="Times New Roman" w:cs="Times New Roman"/>
        <w:spacing w:val="-1"/>
        <w:w w:val="109"/>
        <w:sz w:val="14"/>
        <w:szCs w:val="14"/>
        <w:lang w:val="en-US" w:eastAsia="en-US" w:bidi="ar-SA"/>
      </w:rPr>
    </w:lvl>
    <w:lvl w:ilvl="1">
      <w:start w:val="1"/>
      <w:numFmt w:val="lowerLetter"/>
      <w:lvlText w:val="(%2)"/>
      <w:lvlJc w:val="left"/>
      <w:pPr>
        <w:ind w:left="430" w:hanging="240"/>
        <w:jc w:val="left"/>
      </w:pPr>
      <w:rPr>
        <w:rFonts w:hint="default" w:ascii="Times New Roman" w:hAnsi="Times New Roman" w:eastAsia="Times New Roman" w:cs="Times New Roman"/>
        <w:spacing w:val="-1"/>
        <w:w w:val="103"/>
        <w:sz w:val="12"/>
        <w:szCs w:val="12"/>
        <w:lang w:val="en-US" w:eastAsia="en-US" w:bidi="ar-SA"/>
      </w:rPr>
    </w:lvl>
    <w:lvl w:ilvl="2">
      <w:start w:val="0"/>
      <w:numFmt w:val="bullet"/>
      <w:lvlText w:val="•"/>
      <w:lvlJc w:val="left"/>
      <w:pPr>
        <w:ind w:left="301" w:hanging="240"/>
      </w:pPr>
      <w:rPr>
        <w:rFonts w:hint="default"/>
        <w:lang w:val="en-US" w:eastAsia="en-US" w:bidi="ar-SA"/>
      </w:rPr>
    </w:lvl>
    <w:lvl w:ilvl="3">
      <w:start w:val="0"/>
      <w:numFmt w:val="bullet"/>
      <w:lvlText w:val="•"/>
      <w:lvlJc w:val="left"/>
      <w:pPr>
        <w:ind w:left="163" w:hanging="240"/>
      </w:pPr>
      <w:rPr>
        <w:rFonts w:hint="default"/>
        <w:lang w:val="en-US" w:eastAsia="en-US" w:bidi="ar-SA"/>
      </w:rPr>
    </w:lvl>
    <w:lvl w:ilvl="4">
      <w:start w:val="0"/>
      <w:numFmt w:val="bullet"/>
      <w:lvlText w:val="•"/>
      <w:lvlJc w:val="left"/>
      <w:pPr>
        <w:ind w:left="25" w:hanging="240"/>
      </w:pPr>
      <w:rPr>
        <w:rFonts w:hint="default"/>
        <w:lang w:val="en-US" w:eastAsia="en-US" w:bidi="ar-SA"/>
      </w:rPr>
    </w:lvl>
    <w:lvl w:ilvl="5">
      <w:start w:val="0"/>
      <w:numFmt w:val="bullet"/>
      <w:lvlText w:val="•"/>
      <w:lvlJc w:val="left"/>
      <w:pPr>
        <w:ind w:left="-113" w:hanging="240"/>
      </w:pPr>
      <w:rPr>
        <w:rFonts w:hint="default"/>
        <w:lang w:val="en-US" w:eastAsia="en-US" w:bidi="ar-SA"/>
      </w:rPr>
    </w:lvl>
    <w:lvl w:ilvl="6">
      <w:start w:val="0"/>
      <w:numFmt w:val="bullet"/>
      <w:lvlText w:val="•"/>
      <w:lvlJc w:val="left"/>
      <w:pPr>
        <w:ind w:left="-251" w:hanging="240"/>
      </w:pPr>
      <w:rPr>
        <w:rFonts w:hint="default"/>
        <w:lang w:val="en-US" w:eastAsia="en-US" w:bidi="ar-SA"/>
      </w:rPr>
    </w:lvl>
    <w:lvl w:ilvl="7">
      <w:start w:val="0"/>
      <w:numFmt w:val="bullet"/>
      <w:lvlText w:val="•"/>
      <w:lvlJc w:val="left"/>
      <w:pPr>
        <w:ind w:left="-390" w:hanging="240"/>
      </w:pPr>
      <w:rPr>
        <w:rFonts w:hint="default"/>
        <w:lang w:val="en-US" w:eastAsia="en-US" w:bidi="ar-SA"/>
      </w:rPr>
    </w:lvl>
    <w:lvl w:ilvl="8">
      <w:start w:val="0"/>
      <w:numFmt w:val="bullet"/>
      <w:lvlText w:val="•"/>
      <w:lvlJc w:val="left"/>
      <w:pPr>
        <w:ind w:left="-528" w:hanging="240"/>
      </w:pPr>
      <w:rPr>
        <w:rFonts w:hint="default"/>
        <w:lang w:val="en-US" w:eastAsia="en-US" w:bidi="ar-SA"/>
      </w:rPr>
    </w:lvl>
  </w:abstractNum>
  <w:abstractNum w:abstractNumId="18">
    <w:multiLevelType w:val="hybridMultilevel"/>
    <w:lvl w:ilvl="0">
      <w:start w:val="3"/>
      <w:numFmt w:val="decimal"/>
      <w:lvlText w:val="%1"/>
      <w:lvlJc w:val="left"/>
      <w:pPr>
        <w:ind w:left="5571" w:hanging="601"/>
        <w:jc w:val="left"/>
      </w:pPr>
      <w:rPr>
        <w:rFonts w:hint="default"/>
        <w:lang w:val="en-US" w:eastAsia="en-US" w:bidi="ar-SA"/>
      </w:rPr>
    </w:lvl>
    <w:lvl w:ilvl="1">
      <w:start w:val="1"/>
      <w:numFmt w:val="decimal"/>
      <w:lvlText w:val="%1.%2"/>
      <w:lvlJc w:val="left"/>
      <w:pPr>
        <w:ind w:left="5571" w:hanging="601"/>
        <w:jc w:val="right"/>
      </w:pPr>
      <w:rPr>
        <w:rFonts w:hint="default"/>
        <w:b/>
        <w:bCs/>
        <w:spacing w:val="-1"/>
        <w:w w:val="76"/>
        <w:u w:val="single" w:color="006CB4"/>
        <w:lang w:val="en-US" w:eastAsia="en-US" w:bidi="ar-SA"/>
      </w:rPr>
    </w:lvl>
    <w:lvl w:ilvl="2">
      <w:start w:val="0"/>
      <w:numFmt w:val="bullet"/>
      <w:lvlText w:val="•"/>
      <w:lvlJc w:val="left"/>
      <w:pPr>
        <w:ind w:left="6588" w:hanging="601"/>
      </w:pPr>
      <w:rPr>
        <w:rFonts w:hint="default"/>
        <w:lang w:val="en-US" w:eastAsia="en-US" w:bidi="ar-SA"/>
      </w:rPr>
    </w:lvl>
    <w:lvl w:ilvl="3">
      <w:start w:val="0"/>
      <w:numFmt w:val="bullet"/>
      <w:lvlText w:val="•"/>
      <w:lvlJc w:val="left"/>
      <w:pPr>
        <w:ind w:left="7092" w:hanging="601"/>
      </w:pPr>
      <w:rPr>
        <w:rFonts w:hint="default"/>
        <w:lang w:val="en-US" w:eastAsia="en-US" w:bidi="ar-SA"/>
      </w:rPr>
    </w:lvl>
    <w:lvl w:ilvl="4">
      <w:start w:val="0"/>
      <w:numFmt w:val="bullet"/>
      <w:lvlText w:val="•"/>
      <w:lvlJc w:val="left"/>
      <w:pPr>
        <w:ind w:left="7596" w:hanging="601"/>
      </w:pPr>
      <w:rPr>
        <w:rFonts w:hint="default"/>
        <w:lang w:val="en-US" w:eastAsia="en-US" w:bidi="ar-SA"/>
      </w:rPr>
    </w:lvl>
    <w:lvl w:ilvl="5">
      <w:start w:val="0"/>
      <w:numFmt w:val="bullet"/>
      <w:lvlText w:val="•"/>
      <w:lvlJc w:val="left"/>
      <w:pPr>
        <w:ind w:left="8100" w:hanging="601"/>
      </w:pPr>
      <w:rPr>
        <w:rFonts w:hint="default"/>
        <w:lang w:val="en-US" w:eastAsia="en-US" w:bidi="ar-SA"/>
      </w:rPr>
    </w:lvl>
    <w:lvl w:ilvl="6">
      <w:start w:val="0"/>
      <w:numFmt w:val="bullet"/>
      <w:lvlText w:val="•"/>
      <w:lvlJc w:val="left"/>
      <w:pPr>
        <w:ind w:left="8604" w:hanging="601"/>
      </w:pPr>
      <w:rPr>
        <w:rFonts w:hint="default"/>
        <w:lang w:val="en-US" w:eastAsia="en-US" w:bidi="ar-SA"/>
      </w:rPr>
    </w:lvl>
    <w:lvl w:ilvl="7">
      <w:start w:val="0"/>
      <w:numFmt w:val="bullet"/>
      <w:lvlText w:val="•"/>
      <w:lvlJc w:val="left"/>
      <w:pPr>
        <w:ind w:left="9108" w:hanging="601"/>
      </w:pPr>
      <w:rPr>
        <w:rFonts w:hint="default"/>
        <w:lang w:val="en-US" w:eastAsia="en-US" w:bidi="ar-SA"/>
      </w:rPr>
    </w:lvl>
    <w:lvl w:ilvl="8">
      <w:start w:val="0"/>
      <w:numFmt w:val="bullet"/>
      <w:lvlText w:val="•"/>
      <w:lvlJc w:val="left"/>
      <w:pPr>
        <w:ind w:left="9612" w:hanging="601"/>
      </w:pPr>
      <w:rPr>
        <w:rFonts w:hint="default"/>
        <w:lang w:val="en-US" w:eastAsia="en-US" w:bidi="ar-SA"/>
      </w:rPr>
    </w:lvl>
  </w:abstractNum>
  <w:abstractNum w:abstractNumId="17">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1458" w:hanging="240"/>
      </w:pPr>
      <w:rPr>
        <w:rFonts w:hint="default"/>
        <w:lang w:val="en-US" w:eastAsia="en-US" w:bidi="ar-SA"/>
      </w:rPr>
    </w:lvl>
    <w:lvl w:ilvl="2">
      <w:start w:val="0"/>
      <w:numFmt w:val="bullet"/>
      <w:lvlText w:val="•"/>
      <w:lvlJc w:val="left"/>
      <w:pPr>
        <w:ind w:left="2476" w:hanging="240"/>
      </w:pPr>
      <w:rPr>
        <w:rFonts w:hint="default"/>
        <w:lang w:val="en-US" w:eastAsia="en-US" w:bidi="ar-SA"/>
      </w:rPr>
    </w:lvl>
    <w:lvl w:ilvl="3">
      <w:start w:val="0"/>
      <w:numFmt w:val="bullet"/>
      <w:lvlText w:val="•"/>
      <w:lvlJc w:val="left"/>
      <w:pPr>
        <w:ind w:left="3494" w:hanging="240"/>
      </w:pPr>
      <w:rPr>
        <w:rFonts w:hint="default"/>
        <w:lang w:val="en-US" w:eastAsia="en-US" w:bidi="ar-SA"/>
      </w:rPr>
    </w:lvl>
    <w:lvl w:ilvl="4">
      <w:start w:val="0"/>
      <w:numFmt w:val="bullet"/>
      <w:lvlText w:val="•"/>
      <w:lvlJc w:val="left"/>
      <w:pPr>
        <w:ind w:left="4512" w:hanging="240"/>
      </w:pPr>
      <w:rPr>
        <w:rFonts w:hint="default"/>
        <w:lang w:val="en-US" w:eastAsia="en-US" w:bidi="ar-SA"/>
      </w:rPr>
    </w:lvl>
    <w:lvl w:ilvl="5">
      <w:start w:val="0"/>
      <w:numFmt w:val="bullet"/>
      <w:lvlText w:val="•"/>
      <w:lvlJc w:val="left"/>
      <w:pPr>
        <w:ind w:left="5530" w:hanging="240"/>
      </w:pPr>
      <w:rPr>
        <w:rFonts w:hint="default"/>
        <w:lang w:val="en-US" w:eastAsia="en-US" w:bidi="ar-SA"/>
      </w:rPr>
    </w:lvl>
    <w:lvl w:ilvl="6">
      <w:start w:val="0"/>
      <w:numFmt w:val="bullet"/>
      <w:lvlText w:val="•"/>
      <w:lvlJc w:val="left"/>
      <w:pPr>
        <w:ind w:left="6548" w:hanging="240"/>
      </w:pPr>
      <w:rPr>
        <w:rFonts w:hint="default"/>
        <w:lang w:val="en-US" w:eastAsia="en-US" w:bidi="ar-SA"/>
      </w:rPr>
    </w:lvl>
    <w:lvl w:ilvl="7">
      <w:start w:val="0"/>
      <w:numFmt w:val="bullet"/>
      <w:lvlText w:val="•"/>
      <w:lvlJc w:val="left"/>
      <w:pPr>
        <w:ind w:left="7566" w:hanging="240"/>
      </w:pPr>
      <w:rPr>
        <w:rFonts w:hint="default"/>
        <w:lang w:val="en-US" w:eastAsia="en-US" w:bidi="ar-SA"/>
      </w:rPr>
    </w:lvl>
    <w:lvl w:ilvl="8">
      <w:start w:val="0"/>
      <w:numFmt w:val="bullet"/>
      <w:lvlText w:val="•"/>
      <w:lvlJc w:val="left"/>
      <w:pPr>
        <w:ind w:left="8584" w:hanging="240"/>
      </w:pPr>
      <w:rPr>
        <w:rFonts w:hint="default"/>
        <w:lang w:val="en-US" w:eastAsia="en-US" w:bidi="ar-SA"/>
      </w:rPr>
    </w:lvl>
  </w:abstractNum>
  <w:abstractNum w:abstractNumId="16">
    <w:multiLevelType w:val="hybridMultilevel"/>
    <w:lvl w:ilvl="0">
      <w:start w:val="1"/>
      <w:numFmt w:val="lowerLetter"/>
      <w:lvlText w:val="(%1)"/>
      <w:lvlJc w:val="left"/>
      <w:pPr>
        <w:ind w:left="406"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02" w:hanging="240"/>
      </w:pPr>
      <w:rPr>
        <w:rFonts w:hint="default"/>
        <w:lang w:val="en-US" w:eastAsia="en-US" w:bidi="ar-SA"/>
      </w:rPr>
    </w:lvl>
    <w:lvl w:ilvl="2">
      <w:start w:val="0"/>
      <w:numFmt w:val="bullet"/>
      <w:lvlText w:val="•"/>
      <w:lvlJc w:val="left"/>
      <w:pPr>
        <w:ind w:left="1204" w:hanging="240"/>
      </w:pPr>
      <w:rPr>
        <w:rFonts w:hint="default"/>
        <w:lang w:val="en-US" w:eastAsia="en-US" w:bidi="ar-SA"/>
      </w:rPr>
    </w:lvl>
    <w:lvl w:ilvl="3">
      <w:start w:val="0"/>
      <w:numFmt w:val="bullet"/>
      <w:lvlText w:val="•"/>
      <w:lvlJc w:val="left"/>
      <w:pPr>
        <w:ind w:left="1607" w:hanging="240"/>
      </w:pPr>
      <w:rPr>
        <w:rFonts w:hint="default"/>
        <w:lang w:val="en-US" w:eastAsia="en-US" w:bidi="ar-SA"/>
      </w:rPr>
    </w:lvl>
    <w:lvl w:ilvl="4">
      <w:start w:val="0"/>
      <w:numFmt w:val="bullet"/>
      <w:lvlText w:val="•"/>
      <w:lvlJc w:val="left"/>
      <w:pPr>
        <w:ind w:left="2009" w:hanging="240"/>
      </w:pPr>
      <w:rPr>
        <w:rFonts w:hint="default"/>
        <w:lang w:val="en-US" w:eastAsia="en-US" w:bidi="ar-SA"/>
      </w:rPr>
    </w:lvl>
    <w:lvl w:ilvl="5">
      <w:start w:val="0"/>
      <w:numFmt w:val="bullet"/>
      <w:lvlText w:val="•"/>
      <w:lvlJc w:val="left"/>
      <w:pPr>
        <w:ind w:left="2411" w:hanging="240"/>
      </w:pPr>
      <w:rPr>
        <w:rFonts w:hint="default"/>
        <w:lang w:val="en-US" w:eastAsia="en-US" w:bidi="ar-SA"/>
      </w:rPr>
    </w:lvl>
    <w:lvl w:ilvl="6">
      <w:start w:val="0"/>
      <w:numFmt w:val="bullet"/>
      <w:lvlText w:val="•"/>
      <w:lvlJc w:val="left"/>
      <w:pPr>
        <w:ind w:left="2814" w:hanging="240"/>
      </w:pPr>
      <w:rPr>
        <w:rFonts w:hint="default"/>
        <w:lang w:val="en-US" w:eastAsia="en-US" w:bidi="ar-SA"/>
      </w:rPr>
    </w:lvl>
    <w:lvl w:ilvl="7">
      <w:start w:val="0"/>
      <w:numFmt w:val="bullet"/>
      <w:lvlText w:val="•"/>
      <w:lvlJc w:val="left"/>
      <w:pPr>
        <w:ind w:left="3216" w:hanging="240"/>
      </w:pPr>
      <w:rPr>
        <w:rFonts w:hint="default"/>
        <w:lang w:val="en-US" w:eastAsia="en-US" w:bidi="ar-SA"/>
      </w:rPr>
    </w:lvl>
    <w:lvl w:ilvl="8">
      <w:start w:val="0"/>
      <w:numFmt w:val="bullet"/>
      <w:lvlText w:val="•"/>
      <w:lvlJc w:val="left"/>
      <w:pPr>
        <w:ind w:left="3618" w:hanging="240"/>
      </w:pPr>
      <w:rPr>
        <w:rFonts w:hint="default"/>
        <w:lang w:val="en-US" w:eastAsia="en-US" w:bidi="ar-SA"/>
      </w:rPr>
    </w:lvl>
  </w:abstractNum>
  <w:abstractNum w:abstractNumId="15">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20" w:hanging="240"/>
      </w:pPr>
      <w:rPr>
        <w:rFonts w:hint="default"/>
        <w:lang w:val="en-US" w:eastAsia="en-US" w:bidi="ar-SA"/>
      </w:rPr>
    </w:lvl>
    <w:lvl w:ilvl="2">
      <w:start w:val="0"/>
      <w:numFmt w:val="bullet"/>
      <w:lvlText w:val="•"/>
      <w:lvlJc w:val="left"/>
      <w:pPr>
        <w:ind w:left="1220" w:hanging="240"/>
      </w:pPr>
      <w:rPr>
        <w:rFonts w:hint="default"/>
        <w:lang w:val="en-US" w:eastAsia="en-US" w:bidi="ar-SA"/>
      </w:rPr>
    </w:lvl>
    <w:lvl w:ilvl="3">
      <w:start w:val="0"/>
      <w:numFmt w:val="bullet"/>
      <w:lvlText w:val="•"/>
      <w:lvlJc w:val="left"/>
      <w:pPr>
        <w:ind w:left="1621" w:hanging="240"/>
      </w:pPr>
      <w:rPr>
        <w:rFonts w:hint="default"/>
        <w:lang w:val="en-US" w:eastAsia="en-US" w:bidi="ar-SA"/>
      </w:rPr>
    </w:lvl>
    <w:lvl w:ilvl="4">
      <w:start w:val="0"/>
      <w:numFmt w:val="bullet"/>
      <w:lvlText w:val="•"/>
      <w:lvlJc w:val="left"/>
      <w:pPr>
        <w:ind w:left="2021" w:hanging="240"/>
      </w:pPr>
      <w:rPr>
        <w:rFonts w:hint="default"/>
        <w:lang w:val="en-US" w:eastAsia="en-US" w:bidi="ar-SA"/>
      </w:rPr>
    </w:lvl>
    <w:lvl w:ilvl="5">
      <w:start w:val="0"/>
      <w:numFmt w:val="bullet"/>
      <w:lvlText w:val="•"/>
      <w:lvlJc w:val="left"/>
      <w:pPr>
        <w:ind w:left="2421" w:hanging="240"/>
      </w:pPr>
      <w:rPr>
        <w:rFonts w:hint="default"/>
        <w:lang w:val="en-US" w:eastAsia="en-US" w:bidi="ar-SA"/>
      </w:rPr>
    </w:lvl>
    <w:lvl w:ilvl="6">
      <w:start w:val="0"/>
      <w:numFmt w:val="bullet"/>
      <w:lvlText w:val="•"/>
      <w:lvlJc w:val="left"/>
      <w:pPr>
        <w:ind w:left="2822" w:hanging="240"/>
      </w:pPr>
      <w:rPr>
        <w:rFonts w:hint="default"/>
        <w:lang w:val="en-US" w:eastAsia="en-US" w:bidi="ar-SA"/>
      </w:rPr>
    </w:lvl>
    <w:lvl w:ilvl="7">
      <w:start w:val="0"/>
      <w:numFmt w:val="bullet"/>
      <w:lvlText w:val="•"/>
      <w:lvlJc w:val="left"/>
      <w:pPr>
        <w:ind w:left="3222" w:hanging="240"/>
      </w:pPr>
      <w:rPr>
        <w:rFonts w:hint="default"/>
        <w:lang w:val="en-US" w:eastAsia="en-US" w:bidi="ar-SA"/>
      </w:rPr>
    </w:lvl>
    <w:lvl w:ilvl="8">
      <w:start w:val="0"/>
      <w:numFmt w:val="bullet"/>
      <w:lvlText w:val="•"/>
      <w:lvlJc w:val="left"/>
      <w:pPr>
        <w:ind w:left="3622" w:hanging="240"/>
      </w:pPr>
      <w:rPr>
        <w:rFonts w:hint="default"/>
        <w:lang w:val="en-US" w:eastAsia="en-US" w:bidi="ar-SA"/>
      </w:rPr>
    </w:lvl>
  </w:abstractNum>
  <w:abstractNum w:abstractNumId="14">
    <w:multiLevelType w:val="hybridMultilevel"/>
    <w:lvl w:ilvl="0">
      <w:start w:val="1"/>
      <w:numFmt w:val="lowerLetter"/>
      <w:lvlText w:val="(%1)"/>
      <w:lvlJc w:val="left"/>
      <w:pPr>
        <w:ind w:left="408"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23" w:hanging="240"/>
      </w:pPr>
      <w:rPr>
        <w:rFonts w:hint="default"/>
        <w:lang w:val="en-US" w:eastAsia="en-US" w:bidi="ar-SA"/>
      </w:rPr>
    </w:lvl>
    <w:lvl w:ilvl="2">
      <w:start w:val="0"/>
      <w:numFmt w:val="bullet"/>
      <w:lvlText w:val="•"/>
      <w:lvlJc w:val="left"/>
      <w:pPr>
        <w:ind w:left="1046" w:hanging="240"/>
      </w:pPr>
      <w:rPr>
        <w:rFonts w:hint="default"/>
        <w:lang w:val="en-US" w:eastAsia="en-US" w:bidi="ar-SA"/>
      </w:rPr>
    </w:lvl>
    <w:lvl w:ilvl="3">
      <w:start w:val="0"/>
      <w:numFmt w:val="bullet"/>
      <w:lvlText w:val="•"/>
      <w:lvlJc w:val="left"/>
      <w:pPr>
        <w:ind w:left="1370" w:hanging="240"/>
      </w:pPr>
      <w:rPr>
        <w:rFonts w:hint="default"/>
        <w:lang w:val="en-US" w:eastAsia="en-US" w:bidi="ar-SA"/>
      </w:rPr>
    </w:lvl>
    <w:lvl w:ilvl="4">
      <w:start w:val="0"/>
      <w:numFmt w:val="bullet"/>
      <w:lvlText w:val="•"/>
      <w:lvlJc w:val="left"/>
      <w:pPr>
        <w:ind w:left="1693" w:hanging="240"/>
      </w:pPr>
      <w:rPr>
        <w:rFonts w:hint="default"/>
        <w:lang w:val="en-US" w:eastAsia="en-US" w:bidi="ar-SA"/>
      </w:rPr>
    </w:lvl>
    <w:lvl w:ilvl="5">
      <w:start w:val="0"/>
      <w:numFmt w:val="bullet"/>
      <w:lvlText w:val="•"/>
      <w:lvlJc w:val="left"/>
      <w:pPr>
        <w:ind w:left="2017" w:hanging="240"/>
      </w:pPr>
      <w:rPr>
        <w:rFonts w:hint="default"/>
        <w:lang w:val="en-US" w:eastAsia="en-US" w:bidi="ar-SA"/>
      </w:rPr>
    </w:lvl>
    <w:lvl w:ilvl="6">
      <w:start w:val="0"/>
      <w:numFmt w:val="bullet"/>
      <w:lvlText w:val="•"/>
      <w:lvlJc w:val="left"/>
      <w:pPr>
        <w:ind w:left="2340" w:hanging="240"/>
      </w:pPr>
      <w:rPr>
        <w:rFonts w:hint="default"/>
        <w:lang w:val="en-US" w:eastAsia="en-US" w:bidi="ar-SA"/>
      </w:rPr>
    </w:lvl>
    <w:lvl w:ilvl="7">
      <w:start w:val="0"/>
      <w:numFmt w:val="bullet"/>
      <w:lvlText w:val="•"/>
      <w:lvlJc w:val="left"/>
      <w:pPr>
        <w:ind w:left="2663" w:hanging="240"/>
      </w:pPr>
      <w:rPr>
        <w:rFonts w:hint="default"/>
        <w:lang w:val="en-US" w:eastAsia="en-US" w:bidi="ar-SA"/>
      </w:rPr>
    </w:lvl>
    <w:lvl w:ilvl="8">
      <w:start w:val="0"/>
      <w:numFmt w:val="bullet"/>
      <w:lvlText w:val="•"/>
      <w:lvlJc w:val="left"/>
      <w:pPr>
        <w:ind w:left="2987" w:hanging="240"/>
      </w:pPr>
      <w:rPr>
        <w:rFonts w:hint="default"/>
        <w:lang w:val="en-US" w:eastAsia="en-US" w:bidi="ar-SA"/>
      </w:rPr>
    </w:lvl>
  </w:abstractNum>
  <w:abstractNum w:abstractNumId="13">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29" w:hanging="240"/>
      </w:pPr>
      <w:rPr>
        <w:rFonts w:hint="default"/>
        <w:lang w:val="en-US" w:eastAsia="en-US" w:bidi="ar-SA"/>
      </w:rPr>
    </w:lvl>
    <w:lvl w:ilvl="2">
      <w:start w:val="0"/>
      <w:numFmt w:val="bullet"/>
      <w:lvlText w:val="•"/>
      <w:lvlJc w:val="left"/>
      <w:pPr>
        <w:ind w:left="1239" w:hanging="240"/>
      </w:pPr>
      <w:rPr>
        <w:rFonts w:hint="default"/>
        <w:lang w:val="en-US" w:eastAsia="en-US" w:bidi="ar-SA"/>
      </w:rPr>
    </w:lvl>
    <w:lvl w:ilvl="3">
      <w:start w:val="0"/>
      <w:numFmt w:val="bullet"/>
      <w:lvlText w:val="•"/>
      <w:lvlJc w:val="left"/>
      <w:pPr>
        <w:ind w:left="1649" w:hanging="240"/>
      </w:pPr>
      <w:rPr>
        <w:rFonts w:hint="default"/>
        <w:lang w:val="en-US" w:eastAsia="en-US" w:bidi="ar-SA"/>
      </w:rPr>
    </w:lvl>
    <w:lvl w:ilvl="4">
      <w:start w:val="0"/>
      <w:numFmt w:val="bullet"/>
      <w:lvlText w:val="•"/>
      <w:lvlJc w:val="left"/>
      <w:pPr>
        <w:ind w:left="2059" w:hanging="240"/>
      </w:pPr>
      <w:rPr>
        <w:rFonts w:hint="default"/>
        <w:lang w:val="en-US" w:eastAsia="en-US" w:bidi="ar-SA"/>
      </w:rPr>
    </w:lvl>
    <w:lvl w:ilvl="5">
      <w:start w:val="0"/>
      <w:numFmt w:val="bullet"/>
      <w:lvlText w:val="•"/>
      <w:lvlJc w:val="left"/>
      <w:pPr>
        <w:ind w:left="2469" w:hanging="240"/>
      </w:pPr>
      <w:rPr>
        <w:rFonts w:hint="default"/>
        <w:lang w:val="en-US" w:eastAsia="en-US" w:bidi="ar-SA"/>
      </w:rPr>
    </w:lvl>
    <w:lvl w:ilvl="6">
      <w:start w:val="0"/>
      <w:numFmt w:val="bullet"/>
      <w:lvlText w:val="•"/>
      <w:lvlJc w:val="left"/>
      <w:pPr>
        <w:ind w:left="2879" w:hanging="240"/>
      </w:pPr>
      <w:rPr>
        <w:rFonts w:hint="default"/>
        <w:lang w:val="en-US" w:eastAsia="en-US" w:bidi="ar-SA"/>
      </w:rPr>
    </w:lvl>
    <w:lvl w:ilvl="7">
      <w:start w:val="0"/>
      <w:numFmt w:val="bullet"/>
      <w:lvlText w:val="•"/>
      <w:lvlJc w:val="left"/>
      <w:pPr>
        <w:ind w:left="3289" w:hanging="240"/>
      </w:pPr>
      <w:rPr>
        <w:rFonts w:hint="default"/>
        <w:lang w:val="en-US" w:eastAsia="en-US" w:bidi="ar-SA"/>
      </w:rPr>
    </w:lvl>
    <w:lvl w:ilvl="8">
      <w:start w:val="0"/>
      <w:numFmt w:val="bullet"/>
      <w:lvlText w:val="•"/>
      <w:lvlJc w:val="left"/>
      <w:pPr>
        <w:ind w:left="3699" w:hanging="240"/>
      </w:pPr>
      <w:rPr>
        <w:rFonts w:hint="default"/>
        <w:lang w:val="en-US" w:eastAsia="en-US" w:bidi="ar-SA"/>
      </w:rPr>
    </w:lvl>
  </w:abstractNum>
  <w:abstractNum w:abstractNumId="12">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w w:val="103"/>
        <w:sz w:val="12"/>
        <w:szCs w:val="12"/>
        <w:lang w:val="en-US" w:eastAsia="en-US" w:bidi="ar-SA"/>
      </w:rPr>
    </w:lvl>
    <w:lvl w:ilvl="1">
      <w:start w:val="0"/>
      <w:numFmt w:val="bullet"/>
      <w:lvlText w:val="•"/>
      <w:lvlJc w:val="left"/>
      <w:pPr>
        <w:ind w:left="829" w:hanging="240"/>
      </w:pPr>
      <w:rPr>
        <w:rFonts w:hint="default"/>
        <w:lang w:val="en-US" w:eastAsia="en-US" w:bidi="ar-SA"/>
      </w:rPr>
    </w:lvl>
    <w:lvl w:ilvl="2">
      <w:start w:val="0"/>
      <w:numFmt w:val="bullet"/>
      <w:lvlText w:val="•"/>
      <w:lvlJc w:val="left"/>
      <w:pPr>
        <w:ind w:left="1239" w:hanging="240"/>
      </w:pPr>
      <w:rPr>
        <w:rFonts w:hint="default"/>
        <w:lang w:val="en-US" w:eastAsia="en-US" w:bidi="ar-SA"/>
      </w:rPr>
    </w:lvl>
    <w:lvl w:ilvl="3">
      <w:start w:val="0"/>
      <w:numFmt w:val="bullet"/>
      <w:lvlText w:val="•"/>
      <w:lvlJc w:val="left"/>
      <w:pPr>
        <w:ind w:left="1649" w:hanging="240"/>
      </w:pPr>
      <w:rPr>
        <w:rFonts w:hint="default"/>
        <w:lang w:val="en-US" w:eastAsia="en-US" w:bidi="ar-SA"/>
      </w:rPr>
    </w:lvl>
    <w:lvl w:ilvl="4">
      <w:start w:val="0"/>
      <w:numFmt w:val="bullet"/>
      <w:lvlText w:val="•"/>
      <w:lvlJc w:val="left"/>
      <w:pPr>
        <w:ind w:left="2059" w:hanging="240"/>
      </w:pPr>
      <w:rPr>
        <w:rFonts w:hint="default"/>
        <w:lang w:val="en-US" w:eastAsia="en-US" w:bidi="ar-SA"/>
      </w:rPr>
    </w:lvl>
    <w:lvl w:ilvl="5">
      <w:start w:val="0"/>
      <w:numFmt w:val="bullet"/>
      <w:lvlText w:val="•"/>
      <w:lvlJc w:val="left"/>
      <w:pPr>
        <w:ind w:left="2469" w:hanging="240"/>
      </w:pPr>
      <w:rPr>
        <w:rFonts w:hint="default"/>
        <w:lang w:val="en-US" w:eastAsia="en-US" w:bidi="ar-SA"/>
      </w:rPr>
    </w:lvl>
    <w:lvl w:ilvl="6">
      <w:start w:val="0"/>
      <w:numFmt w:val="bullet"/>
      <w:lvlText w:val="•"/>
      <w:lvlJc w:val="left"/>
      <w:pPr>
        <w:ind w:left="2879" w:hanging="240"/>
      </w:pPr>
      <w:rPr>
        <w:rFonts w:hint="default"/>
        <w:lang w:val="en-US" w:eastAsia="en-US" w:bidi="ar-SA"/>
      </w:rPr>
    </w:lvl>
    <w:lvl w:ilvl="7">
      <w:start w:val="0"/>
      <w:numFmt w:val="bullet"/>
      <w:lvlText w:val="•"/>
      <w:lvlJc w:val="left"/>
      <w:pPr>
        <w:ind w:left="3289" w:hanging="240"/>
      </w:pPr>
      <w:rPr>
        <w:rFonts w:hint="default"/>
        <w:lang w:val="en-US" w:eastAsia="en-US" w:bidi="ar-SA"/>
      </w:rPr>
    </w:lvl>
    <w:lvl w:ilvl="8">
      <w:start w:val="0"/>
      <w:numFmt w:val="bullet"/>
      <w:lvlText w:val="•"/>
      <w:lvlJc w:val="left"/>
      <w:pPr>
        <w:ind w:left="3699" w:hanging="240"/>
      </w:pPr>
      <w:rPr>
        <w:rFonts w:hint="default"/>
        <w:lang w:val="en-US" w:eastAsia="en-US" w:bidi="ar-SA"/>
      </w:rPr>
    </w:lvl>
  </w:abstractNum>
  <w:abstractNum w:abstractNumId="11">
    <w:multiLevelType w:val="hybridMultilevel"/>
    <w:lvl w:ilvl="0">
      <w:start w:val="1"/>
      <w:numFmt w:val="lowerLetter"/>
      <w:lvlText w:val="(%1)"/>
      <w:lvlJc w:val="left"/>
      <w:pPr>
        <w:ind w:left="428"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29" w:hanging="240"/>
      </w:pPr>
      <w:rPr>
        <w:rFonts w:hint="default"/>
        <w:lang w:val="en-US" w:eastAsia="en-US" w:bidi="ar-SA"/>
      </w:rPr>
    </w:lvl>
    <w:lvl w:ilvl="2">
      <w:start w:val="0"/>
      <w:numFmt w:val="bullet"/>
      <w:lvlText w:val="•"/>
      <w:lvlJc w:val="left"/>
      <w:pPr>
        <w:ind w:left="1239" w:hanging="240"/>
      </w:pPr>
      <w:rPr>
        <w:rFonts w:hint="default"/>
        <w:lang w:val="en-US" w:eastAsia="en-US" w:bidi="ar-SA"/>
      </w:rPr>
    </w:lvl>
    <w:lvl w:ilvl="3">
      <w:start w:val="0"/>
      <w:numFmt w:val="bullet"/>
      <w:lvlText w:val="•"/>
      <w:lvlJc w:val="left"/>
      <w:pPr>
        <w:ind w:left="1649" w:hanging="240"/>
      </w:pPr>
      <w:rPr>
        <w:rFonts w:hint="default"/>
        <w:lang w:val="en-US" w:eastAsia="en-US" w:bidi="ar-SA"/>
      </w:rPr>
    </w:lvl>
    <w:lvl w:ilvl="4">
      <w:start w:val="0"/>
      <w:numFmt w:val="bullet"/>
      <w:lvlText w:val="•"/>
      <w:lvlJc w:val="left"/>
      <w:pPr>
        <w:ind w:left="2059" w:hanging="240"/>
      </w:pPr>
      <w:rPr>
        <w:rFonts w:hint="default"/>
        <w:lang w:val="en-US" w:eastAsia="en-US" w:bidi="ar-SA"/>
      </w:rPr>
    </w:lvl>
    <w:lvl w:ilvl="5">
      <w:start w:val="0"/>
      <w:numFmt w:val="bullet"/>
      <w:lvlText w:val="•"/>
      <w:lvlJc w:val="left"/>
      <w:pPr>
        <w:ind w:left="2469" w:hanging="240"/>
      </w:pPr>
      <w:rPr>
        <w:rFonts w:hint="default"/>
        <w:lang w:val="en-US" w:eastAsia="en-US" w:bidi="ar-SA"/>
      </w:rPr>
    </w:lvl>
    <w:lvl w:ilvl="6">
      <w:start w:val="0"/>
      <w:numFmt w:val="bullet"/>
      <w:lvlText w:val="•"/>
      <w:lvlJc w:val="left"/>
      <w:pPr>
        <w:ind w:left="2879" w:hanging="240"/>
      </w:pPr>
      <w:rPr>
        <w:rFonts w:hint="default"/>
        <w:lang w:val="en-US" w:eastAsia="en-US" w:bidi="ar-SA"/>
      </w:rPr>
    </w:lvl>
    <w:lvl w:ilvl="7">
      <w:start w:val="0"/>
      <w:numFmt w:val="bullet"/>
      <w:lvlText w:val="•"/>
      <w:lvlJc w:val="left"/>
      <w:pPr>
        <w:ind w:left="3289" w:hanging="240"/>
      </w:pPr>
      <w:rPr>
        <w:rFonts w:hint="default"/>
        <w:lang w:val="en-US" w:eastAsia="en-US" w:bidi="ar-SA"/>
      </w:rPr>
    </w:lvl>
    <w:lvl w:ilvl="8">
      <w:start w:val="0"/>
      <w:numFmt w:val="bullet"/>
      <w:lvlText w:val="•"/>
      <w:lvlJc w:val="left"/>
      <w:pPr>
        <w:ind w:left="3699" w:hanging="240"/>
      </w:pPr>
      <w:rPr>
        <w:rFonts w:hint="default"/>
        <w:lang w:val="en-US" w:eastAsia="en-US" w:bidi="ar-SA"/>
      </w:rPr>
    </w:lvl>
  </w:abstractNum>
  <w:abstractNum w:abstractNumId="10">
    <w:multiLevelType w:val="hybridMultilevel"/>
    <w:lvl w:ilvl="0">
      <w:start w:val="1"/>
      <w:numFmt w:val="lowerLetter"/>
      <w:lvlText w:val="(%1)"/>
      <w:lvlJc w:val="left"/>
      <w:pPr>
        <w:ind w:left="371" w:hanging="199"/>
        <w:jc w:val="left"/>
      </w:pPr>
      <w:rPr>
        <w:rFonts w:hint="default" w:ascii="Times New Roman" w:hAnsi="Times New Roman" w:eastAsia="Times New Roman" w:cs="Times New Roman"/>
        <w:w w:val="103"/>
        <w:sz w:val="12"/>
        <w:szCs w:val="12"/>
        <w:lang w:val="en-US" w:eastAsia="en-US" w:bidi="ar-SA"/>
      </w:rPr>
    </w:lvl>
    <w:lvl w:ilvl="1">
      <w:start w:val="0"/>
      <w:numFmt w:val="bullet"/>
      <w:lvlText w:val="•"/>
      <w:lvlJc w:val="left"/>
      <w:pPr>
        <w:ind w:left="714" w:hanging="199"/>
      </w:pPr>
      <w:rPr>
        <w:rFonts w:hint="default"/>
        <w:lang w:val="en-US" w:eastAsia="en-US" w:bidi="ar-SA"/>
      </w:rPr>
    </w:lvl>
    <w:lvl w:ilvl="2">
      <w:start w:val="0"/>
      <w:numFmt w:val="bullet"/>
      <w:lvlText w:val="•"/>
      <w:lvlJc w:val="left"/>
      <w:pPr>
        <w:ind w:left="1049" w:hanging="199"/>
      </w:pPr>
      <w:rPr>
        <w:rFonts w:hint="default"/>
        <w:lang w:val="en-US" w:eastAsia="en-US" w:bidi="ar-SA"/>
      </w:rPr>
    </w:lvl>
    <w:lvl w:ilvl="3">
      <w:start w:val="0"/>
      <w:numFmt w:val="bullet"/>
      <w:lvlText w:val="•"/>
      <w:lvlJc w:val="left"/>
      <w:pPr>
        <w:ind w:left="1384" w:hanging="199"/>
      </w:pPr>
      <w:rPr>
        <w:rFonts w:hint="default"/>
        <w:lang w:val="en-US" w:eastAsia="en-US" w:bidi="ar-SA"/>
      </w:rPr>
    </w:lvl>
    <w:lvl w:ilvl="4">
      <w:start w:val="0"/>
      <w:numFmt w:val="bullet"/>
      <w:lvlText w:val="•"/>
      <w:lvlJc w:val="left"/>
      <w:pPr>
        <w:ind w:left="1719" w:hanging="199"/>
      </w:pPr>
      <w:rPr>
        <w:rFonts w:hint="default"/>
        <w:lang w:val="en-US" w:eastAsia="en-US" w:bidi="ar-SA"/>
      </w:rPr>
    </w:lvl>
    <w:lvl w:ilvl="5">
      <w:start w:val="0"/>
      <w:numFmt w:val="bullet"/>
      <w:lvlText w:val="•"/>
      <w:lvlJc w:val="left"/>
      <w:pPr>
        <w:ind w:left="2054" w:hanging="199"/>
      </w:pPr>
      <w:rPr>
        <w:rFonts w:hint="default"/>
        <w:lang w:val="en-US" w:eastAsia="en-US" w:bidi="ar-SA"/>
      </w:rPr>
    </w:lvl>
    <w:lvl w:ilvl="6">
      <w:start w:val="0"/>
      <w:numFmt w:val="bullet"/>
      <w:lvlText w:val="•"/>
      <w:lvlJc w:val="left"/>
      <w:pPr>
        <w:ind w:left="2388" w:hanging="199"/>
      </w:pPr>
      <w:rPr>
        <w:rFonts w:hint="default"/>
        <w:lang w:val="en-US" w:eastAsia="en-US" w:bidi="ar-SA"/>
      </w:rPr>
    </w:lvl>
    <w:lvl w:ilvl="7">
      <w:start w:val="0"/>
      <w:numFmt w:val="bullet"/>
      <w:lvlText w:val="•"/>
      <w:lvlJc w:val="left"/>
      <w:pPr>
        <w:ind w:left="2723" w:hanging="199"/>
      </w:pPr>
      <w:rPr>
        <w:rFonts w:hint="default"/>
        <w:lang w:val="en-US" w:eastAsia="en-US" w:bidi="ar-SA"/>
      </w:rPr>
    </w:lvl>
    <w:lvl w:ilvl="8">
      <w:start w:val="0"/>
      <w:numFmt w:val="bullet"/>
      <w:lvlText w:val="•"/>
      <w:lvlJc w:val="left"/>
      <w:pPr>
        <w:ind w:left="3058" w:hanging="199"/>
      </w:pPr>
      <w:rPr>
        <w:rFonts w:hint="default"/>
        <w:lang w:val="en-US" w:eastAsia="en-US" w:bidi="ar-SA"/>
      </w:rPr>
    </w:lvl>
  </w:abstractNum>
  <w:abstractNum w:abstractNumId="9">
    <w:multiLevelType w:val="hybridMultilevel"/>
    <w:lvl w:ilvl="0">
      <w:start w:val="1"/>
      <w:numFmt w:val="lowerLetter"/>
      <w:lvlText w:val="(%1)"/>
      <w:lvlJc w:val="left"/>
      <w:pPr>
        <w:ind w:left="423"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853" w:hanging="240"/>
      </w:pPr>
      <w:rPr>
        <w:rFonts w:hint="default"/>
        <w:lang w:val="en-US" w:eastAsia="en-US" w:bidi="ar-SA"/>
      </w:rPr>
    </w:lvl>
    <w:lvl w:ilvl="2">
      <w:start w:val="0"/>
      <w:numFmt w:val="bullet"/>
      <w:lvlText w:val="•"/>
      <w:lvlJc w:val="left"/>
      <w:pPr>
        <w:ind w:left="1286" w:hanging="240"/>
      </w:pPr>
      <w:rPr>
        <w:rFonts w:hint="default"/>
        <w:lang w:val="en-US" w:eastAsia="en-US" w:bidi="ar-SA"/>
      </w:rPr>
    </w:lvl>
    <w:lvl w:ilvl="3">
      <w:start w:val="0"/>
      <w:numFmt w:val="bullet"/>
      <w:lvlText w:val="•"/>
      <w:lvlJc w:val="left"/>
      <w:pPr>
        <w:ind w:left="1719" w:hanging="240"/>
      </w:pPr>
      <w:rPr>
        <w:rFonts w:hint="default"/>
        <w:lang w:val="en-US" w:eastAsia="en-US" w:bidi="ar-SA"/>
      </w:rPr>
    </w:lvl>
    <w:lvl w:ilvl="4">
      <w:start w:val="0"/>
      <w:numFmt w:val="bullet"/>
      <w:lvlText w:val="•"/>
      <w:lvlJc w:val="left"/>
      <w:pPr>
        <w:ind w:left="2153" w:hanging="240"/>
      </w:pPr>
      <w:rPr>
        <w:rFonts w:hint="default"/>
        <w:lang w:val="en-US" w:eastAsia="en-US" w:bidi="ar-SA"/>
      </w:rPr>
    </w:lvl>
    <w:lvl w:ilvl="5">
      <w:start w:val="0"/>
      <w:numFmt w:val="bullet"/>
      <w:lvlText w:val="•"/>
      <w:lvlJc w:val="left"/>
      <w:pPr>
        <w:ind w:left="2586" w:hanging="240"/>
      </w:pPr>
      <w:rPr>
        <w:rFonts w:hint="default"/>
        <w:lang w:val="en-US" w:eastAsia="en-US" w:bidi="ar-SA"/>
      </w:rPr>
    </w:lvl>
    <w:lvl w:ilvl="6">
      <w:start w:val="0"/>
      <w:numFmt w:val="bullet"/>
      <w:lvlText w:val="•"/>
      <w:lvlJc w:val="left"/>
      <w:pPr>
        <w:ind w:left="3019" w:hanging="240"/>
      </w:pPr>
      <w:rPr>
        <w:rFonts w:hint="default"/>
        <w:lang w:val="en-US" w:eastAsia="en-US" w:bidi="ar-SA"/>
      </w:rPr>
    </w:lvl>
    <w:lvl w:ilvl="7">
      <w:start w:val="0"/>
      <w:numFmt w:val="bullet"/>
      <w:lvlText w:val="•"/>
      <w:lvlJc w:val="left"/>
      <w:pPr>
        <w:ind w:left="3453" w:hanging="240"/>
      </w:pPr>
      <w:rPr>
        <w:rFonts w:hint="default"/>
        <w:lang w:val="en-US" w:eastAsia="en-US" w:bidi="ar-SA"/>
      </w:rPr>
    </w:lvl>
    <w:lvl w:ilvl="8">
      <w:start w:val="0"/>
      <w:numFmt w:val="bullet"/>
      <w:lvlText w:val="•"/>
      <w:lvlJc w:val="left"/>
      <w:pPr>
        <w:ind w:left="3886" w:hanging="240"/>
      </w:pPr>
      <w:rPr>
        <w:rFonts w:hint="default"/>
        <w:lang w:val="en-US" w:eastAsia="en-US" w:bidi="ar-SA"/>
      </w:rPr>
    </w:lvl>
  </w:abstractNum>
  <w:abstractNum w:abstractNumId="8">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w w:val="103"/>
        <w:sz w:val="12"/>
        <w:szCs w:val="12"/>
        <w:lang w:val="en-US" w:eastAsia="en-US" w:bidi="ar-SA"/>
      </w:rPr>
    </w:lvl>
    <w:lvl w:ilvl="1">
      <w:start w:val="0"/>
      <w:numFmt w:val="bullet"/>
      <w:lvlText w:val="•"/>
      <w:lvlJc w:val="left"/>
      <w:pPr>
        <w:ind w:left="460" w:hanging="240"/>
      </w:pPr>
      <w:rPr>
        <w:rFonts w:hint="default"/>
        <w:lang w:val="en-US" w:eastAsia="en-US" w:bidi="ar-SA"/>
      </w:rPr>
    </w:lvl>
    <w:lvl w:ilvl="2">
      <w:start w:val="0"/>
      <w:numFmt w:val="bullet"/>
      <w:lvlText w:val="•"/>
      <w:lvlJc w:val="left"/>
      <w:pPr>
        <w:ind w:left="328" w:hanging="240"/>
      </w:pPr>
      <w:rPr>
        <w:rFonts w:hint="default"/>
        <w:lang w:val="en-US" w:eastAsia="en-US" w:bidi="ar-SA"/>
      </w:rPr>
    </w:lvl>
    <w:lvl w:ilvl="3">
      <w:start w:val="0"/>
      <w:numFmt w:val="bullet"/>
      <w:lvlText w:val="•"/>
      <w:lvlJc w:val="left"/>
      <w:pPr>
        <w:ind w:left="196" w:hanging="240"/>
      </w:pPr>
      <w:rPr>
        <w:rFonts w:hint="default"/>
        <w:lang w:val="en-US" w:eastAsia="en-US" w:bidi="ar-SA"/>
      </w:rPr>
    </w:lvl>
    <w:lvl w:ilvl="4">
      <w:start w:val="0"/>
      <w:numFmt w:val="bullet"/>
      <w:lvlText w:val="•"/>
      <w:lvlJc w:val="left"/>
      <w:pPr>
        <w:ind w:left="64" w:hanging="240"/>
      </w:pPr>
      <w:rPr>
        <w:rFonts w:hint="default"/>
        <w:lang w:val="en-US" w:eastAsia="en-US" w:bidi="ar-SA"/>
      </w:rPr>
    </w:lvl>
    <w:lvl w:ilvl="5">
      <w:start w:val="0"/>
      <w:numFmt w:val="bullet"/>
      <w:lvlText w:val="•"/>
      <w:lvlJc w:val="left"/>
      <w:pPr>
        <w:ind w:left="-68" w:hanging="240"/>
      </w:pPr>
      <w:rPr>
        <w:rFonts w:hint="default"/>
        <w:lang w:val="en-US" w:eastAsia="en-US" w:bidi="ar-SA"/>
      </w:rPr>
    </w:lvl>
    <w:lvl w:ilvl="6">
      <w:start w:val="0"/>
      <w:numFmt w:val="bullet"/>
      <w:lvlText w:val="•"/>
      <w:lvlJc w:val="left"/>
      <w:pPr>
        <w:ind w:left="-200" w:hanging="240"/>
      </w:pPr>
      <w:rPr>
        <w:rFonts w:hint="default"/>
        <w:lang w:val="en-US" w:eastAsia="en-US" w:bidi="ar-SA"/>
      </w:rPr>
    </w:lvl>
    <w:lvl w:ilvl="7">
      <w:start w:val="0"/>
      <w:numFmt w:val="bullet"/>
      <w:lvlText w:val="•"/>
      <w:lvlJc w:val="left"/>
      <w:pPr>
        <w:ind w:left="-332" w:hanging="240"/>
      </w:pPr>
      <w:rPr>
        <w:rFonts w:hint="default"/>
        <w:lang w:val="en-US" w:eastAsia="en-US" w:bidi="ar-SA"/>
      </w:rPr>
    </w:lvl>
    <w:lvl w:ilvl="8">
      <w:start w:val="0"/>
      <w:numFmt w:val="bullet"/>
      <w:lvlText w:val="•"/>
      <w:lvlJc w:val="left"/>
      <w:pPr>
        <w:ind w:left="-464" w:hanging="240"/>
      </w:pPr>
      <w:rPr>
        <w:rFonts w:hint="default"/>
        <w:lang w:val="en-US" w:eastAsia="en-US" w:bidi="ar-SA"/>
      </w:rPr>
    </w:lvl>
  </w:abstractNum>
  <w:abstractNum w:abstractNumId="7">
    <w:multiLevelType w:val="hybridMultilevel"/>
    <w:lvl w:ilvl="0">
      <w:start w:val="2"/>
      <w:numFmt w:val="decimal"/>
      <w:lvlText w:val="%1"/>
      <w:lvlJc w:val="left"/>
      <w:pPr>
        <w:ind w:left="5588" w:hanging="600"/>
        <w:jc w:val="left"/>
      </w:pPr>
      <w:rPr>
        <w:rFonts w:hint="default"/>
        <w:lang w:val="en-US" w:eastAsia="en-US" w:bidi="ar-SA"/>
      </w:rPr>
    </w:lvl>
    <w:lvl w:ilvl="1">
      <w:start w:val="1"/>
      <w:numFmt w:val="decimal"/>
      <w:lvlText w:val="%1.%2"/>
      <w:lvlJc w:val="left"/>
      <w:pPr>
        <w:ind w:left="5588" w:hanging="600"/>
        <w:jc w:val="right"/>
      </w:pPr>
      <w:rPr>
        <w:rFonts w:hint="default" w:ascii="Trebuchet MS" w:hAnsi="Trebuchet MS" w:eastAsia="Trebuchet MS" w:cs="Trebuchet MS"/>
        <w:b/>
        <w:bCs/>
        <w:color w:val="89C6DC"/>
        <w:spacing w:val="-1"/>
        <w:w w:val="76"/>
        <w:sz w:val="28"/>
        <w:szCs w:val="28"/>
        <w:u w:val="single" w:color="006CB4"/>
        <w:lang w:val="en-US" w:eastAsia="en-US" w:bidi="ar-SA"/>
      </w:rPr>
    </w:lvl>
    <w:lvl w:ilvl="2">
      <w:start w:val="0"/>
      <w:numFmt w:val="bullet"/>
      <w:lvlText w:val="•"/>
      <w:lvlJc w:val="left"/>
      <w:pPr>
        <w:ind w:left="6588" w:hanging="600"/>
      </w:pPr>
      <w:rPr>
        <w:rFonts w:hint="default"/>
        <w:lang w:val="en-US" w:eastAsia="en-US" w:bidi="ar-SA"/>
      </w:rPr>
    </w:lvl>
    <w:lvl w:ilvl="3">
      <w:start w:val="0"/>
      <w:numFmt w:val="bullet"/>
      <w:lvlText w:val="•"/>
      <w:lvlJc w:val="left"/>
      <w:pPr>
        <w:ind w:left="7092" w:hanging="600"/>
      </w:pPr>
      <w:rPr>
        <w:rFonts w:hint="default"/>
        <w:lang w:val="en-US" w:eastAsia="en-US" w:bidi="ar-SA"/>
      </w:rPr>
    </w:lvl>
    <w:lvl w:ilvl="4">
      <w:start w:val="0"/>
      <w:numFmt w:val="bullet"/>
      <w:lvlText w:val="•"/>
      <w:lvlJc w:val="left"/>
      <w:pPr>
        <w:ind w:left="7596" w:hanging="600"/>
      </w:pPr>
      <w:rPr>
        <w:rFonts w:hint="default"/>
        <w:lang w:val="en-US" w:eastAsia="en-US" w:bidi="ar-SA"/>
      </w:rPr>
    </w:lvl>
    <w:lvl w:ilvl="5">
      <w:start w:val="0"/>
      <w:numFmt w:val="bullet"/>
      <w:lvlText w:val="•"/>
      <w:lvlJc w:val="left"/>
      <w:pPr>
        <w:ind w:left="8100" w:hanging="600"/>
      </w:pPr>
      <w:rPr>
        <w:rFonts w:hint="default"/>
        <w:lang w:val="en-US" w:eastAsia="en-US" w:bidi="ar-SA"/>
      </w:rPr>
    </w:lvl>
    <w:lvl w:ilvl="6">
      <w:start w:val="0"/>
      <w:numFmt w:val="bullet"/>
      <w:lvlText w:val="•"/>
      <w:lvlJc w:val="left"/>
      <w:pPr>
        <w:ind w:left="8604" w:hanging="600"/>
      </w:pPr>
      <w:rPr>
        <w:rFonts w:hint="default"/>
        <w:lang w:val="en-US" w:eastAsia="en-US" w:bidi="ar-SA"/>
      </w:rPr>
    </w:lvl>
    <w:lvl w:ilvl="7">
      <w:start w:val="0"/>
      <w:numFmt w:val="bullet"/>
      <w:lvlText w:val="•"/>
      <w:lvlJc w:val="left"/>
      <w:pPr>
        <w:ind w:left="9108" w:hanging="600"/>
      </w:pPr>
      <w:rPr>
        <w:rFonts w:hint="default"/>
        <w:lang w:val="en-US" w:eastAsia="en-US" w:bidi="ar-SA"/>
      </w:rPr>
    </w:lvl>
    <w:lvl w:ilvl="8">
      <w:start w:val="0"/>
      <w:numFmt w:val="bullet"/>
      <w:lvlText w:val="•"/>
      <w:lvlJc w:val="left"/>
      <w:pPr>
        <w:ind w:left="9612" w:hanging="600"/>
      </w:pPr>
      <w:rPr>
        <w:rFonts w:hint="default"/>
        <w:lang w:val="en-US" w:eastAsia="en-US" w:bidi="ar-SA"/>
      </w:rPr>
    </w:lvl>
  </w:abstractNum>
  <w:abstractNum w:abstractNumId="5">
    <w:multiLevelType w:val="hybridMultilevel"/>
    <w:lvl w:ilvl="0">
      <w:start w:val="1"/>
      <w:numFmt w:val="lowerLetter"/>
      <w:lvlText w:val="(%1)"/>
      <w:lvlJc w:val="left"/>
      <w:pPr>
        <w:ind w:left="404"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10" w:hanging="240"/>
      </w:pPr>
      <w:rPr>
        <w:rFonts w:hint="default"/>
        <w:lang w:val="en-US" w:eastAsia="en-US" w:bidi="ar-SA"/>
      </w:rPr>
    </w:lvl>
    <w:lvl w:ilvl="2">
      <w:start w:val="0"/>
      <w:numFmt w:val="bullet"/>
      <w:lvlText w:val="•"/>
      <w:lvlJc w:val="left"/>
      <w:pPr>
        <w:ind w:left="1020" w:hanging="240"/>
      </w:pPr>
      <w:rPr>
        <w:rFonts w:hint="default"/>
        <w:lang w:val="en-US" w:eastAsia="en-US" w:bidi="ar-SA"/>
      </w:rPr>
    </w:lvl>
    <w:lvl w:ilvl="3">
      <w:start w:val="0"/>
      <w:numFmt w:val="bullet"/>
      <w:lvlText w:val="•"/>
      <w:lvlJc w:val="left"/>
      <w:pPr>
        <w:ind w:left="1331" w:hanging="240"/>
      </w:pPr>
      <w:rPr>
        <w:rFonts w:hint="default"/>
        <w:lang w:val="en-US" w:eastAsia="en-US" w:bidi="ar-SA"/>
      </w:rPr>
    </w:lvl>
    <w:lvl w:ilvl="4">
      <w:start w:val="0"/>
      <w:numFmt w:val="bullet"/>
      <w:lvlText w:val="•"/>
      <w:lvlJc w:val="left"/>
      <w:pPr>
        <w:ind w:left="1641" w:hanging="240"/>
      </w:pPr>
      <w:rPr>
        <w:rFonts w:hint="default"/>
        <w:lang w:val="en-US" w:eastAsia="en-US" w:bidi="ar-SA"/>
      </w:rPr>
    </w:lvl>
    <w:lvl w:ilvl="5">
      <w:start w:val="0"/>
      <w:numFmt w:val="bullet"/>
      <w:lvlText w:val="•"/>
      <w:lvlJc w:val="left"/>
      <w:pPr>
        <w:ind w:left="1951" w:hanging="240"/>
      </w:pPr>
      <w:rPr>
        <w:rFonts w:hint="default"/>
        <w:lang w:val="en-US" w:eastAsia="en-US" w:bidi="ar-SA"/>
      </w:rPr>
    </w:lvl>
    <w:lvl w:ilvl="6">
      <w:start w:val="0"/>
      <w:numFmt w:val="bullet"/>
      <w:lvlText w:val="•"/>
      <w:lvlJc w:val="left"/>
      <w:pPr>
        <w:ind w:left="2262" w:hanging="240"/>
      </w:pPr>
      <w:rPr>
        <w:rFonts w:hint="default"/>
        <w:lang w:val="en-US" w:eastAsia="en-US" w:bidi="ar-SA"/>
      </w:rPr>
    </w:lvl>
    <w:lvl w:ilvl="7">
      <w:start w:val="0"/>
      <w:numFmt w:val="bullet"/>
      <w:lvlText w:val="•"/>
      <w:lvlJc w:val="left"/>
      <w:pPr>
        <w:ind w:left="2572" w:hanging="240"/>
      </w:pPr>
      <w:rPr>
        <w:rFonts w:hint="default"/>
        <w:lang w:val="en-US" w:eastAsia="en-US" w:bidi="ar-SA"/>
      </w:rPr>
    </w:lvl>
    <w:lvl w:ilvl="8">
      <w:start w:val="0"/>
      <w:numFmt w:val="bullet"/>
      <w:lvlText w:val="•"/>
      <w:lvlJc w:val="left"/>
      <w:pPr>
        <w:ind w:left="2882" w:hanging="240"/>
      </w:pPr>
      <w:rPr>
        <w:rFonts w:hint="default"/>
        <w:lang w:val="en-US" w:eastAsia="en-US" w:bidi="ar-SA"/>
      </w:rPr>
    </w:lvl>
  </w:abstractNum>
  <w:abstractNum w:abstractNumId="4">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69" w:hanging="240"/>
      </w:pPr>
      <w:rPr>
        <w:rFonts w:hint="default"/>
        <w:lang w:val="en-US" w:eastAsia="en-US" w:bidi="ar-SA"/>
      </w:rPr>
    </w:lvl>
    <w:lvl w:ilvl="2">
      <w:start w:val="0"/>
      <w:numFmt w:val="bullet"/>
      <w:lvlText w:val="•"/>
      <w:lvlJc w:val="left"/>
      <w:pPr>
        <w:ind w:left="1118" w:hanging="240"/>
      </w:pPr>
      <w:rPr>
        <w:rFonts w:hint="default"/>
        <w:lang w:val="en-US" w:eastAsia="en-US" w:bidi="ar-SA"/>
      </w:rPr>
    </w:lvl>
    <w:lvl w:ilvl="3">
      <w:start w:val="0"/>
      <w:numFmt w:val="bullet"/>
      <w:lvlText w:val="•"/>
      <w:lvlJc w:val="left"/>
      <w:pPr>
        <w:ind w:left="1468" w:hanging="240"/>
      </w:pPr>
      <w:rPr>
        <w:rFonts w:hint="default"/>
        <w:lang w:val="en-US" w:eastAsia="en-US" w:bidi="ar-SA"/>
      </w:rPr>
    </w:lvl>
    <w:lvl w:ilvl="4">
      <w:start w:val="0"/>
      <w:numFmt w:val="bullet"/>
      <w:lvlText w:val="•"/>
      <w:lvlJc w:val="left"/>
      <w:pPr>
        <w:ind w:left="1817" w:hanging="240"/>
      </w:pPr>
      <w:rPr>
        <w:rFonts w:hint="default"/>
        <w:lang w:val="en-US" w:eastAsia="en-US" w:bidi="ar-SA"/>
      </w:rPr>
    </w:lvl>
    <w:lvl w:ilvl="5">
      <w:start w:val="0"/>
      <w:numFmt w:val="bullet"/>
      <w:lvlText w:val="•"/>
      <w:lvlJc w:val="left"/>
      <w:pPr>
        <w:ind w:left="2167" w:hanging="240"/>
      </w:pPr>
      <w:rPr>
        <w:rFonts w:hint="default"/>
        <w:lang w:val="en-US" w:eastAsia="en-US" w:bidi="ar-SA"/>
      </w:rPr>
    </w:lvl>
    <w:lvl w:ilvl="6">
      <w:start w:val="0"/>
      <w:numFmt w:val="bullet"/>
      <w:lvlText w:val="•"/>
      <w:lvlJc w:val="left"/>
      <w:pPr>
        <w:ind w:left="2516" w:hanging="240"/>
      </w:pPr>
      <w:rPr>
        <w:rFonts w:hint="default"/>
        <w:lang w:val="en-US" w:eastAsia="en-US" w:bidi="ar-SA"/>
      </w:rPr>
    </w:lvl>
    <w:lvl w:ilvl="7">
      <w:start w:val="0"/>
      <w:numFmt w:val="bullet"/>
      <w:lvlText w:val="•"/>
      <w:lvlJc w:val="left"/>
      <w:pPr>
        <w:ind w:left="2865" w:hanging="240"/>
      </w:pPr>
      <w:rPr>
        <w:rFonts w:hint="default"/>
        <w:lang w:val="en-US" w:eastAsia="en-US" w:bidi="ar-SA"/>
      </w:rPr>
    </w:lvl>
    <w:lvl w:ilvl="8">
      <w:start w:val="0"/>
      <w:numFmt w:val="bullet"/>
      <w:lvlText w:val="•"/>
      <w:lvlJc w:val="left"/>
      <w:pPr>
        <w:ind w:left="3215" w:hanging="240"/>
      </w:pPr>
      <w:rPr>
        <w:rFonts w:hint="default"/>
        <w:lang w:val="en-US" w:eastAsia="en-US" w:bidi="ar-SA"/>
      </w:rPr>
    </w:lvl>
  </w:abstractNum>
  <w:abstractNum w:abstractNumId="3">
    <w:multiLevelType w:val="hybridMultilevel"/>
    <w:lvl w:ilvl="0">
      <w:start w:val="1"/>
      <w:numFmt w:val="lowerLetter"/>
      <w:lvlText w:val="(%1)"/>
      <w:lvlJc w:val="left"/>
      <w:pPr>
        <w:ind w:left="434" w:hanging="240"/>
        <w:jc w:val="left"/>
      </w:pPr>
      <w:rPr>
        <w:rFonts w:hint="default" w:ascii="Times New Roman" w:hAnsi="Times New Roman" w:eastAsia="Times New Roman" w:cs="Times New Roman"/>
        <w:spacing w:val="-1"/>
        <w:w w:val="103"/>
        <w:sz w:val="12"/>
        <w:szCs w:val="12"/>
        <w:lang w:val="en-US" w:eastAsia="en-US" w:bidi="ar-SA"/>
      </w:rPr>
    </w:lvl>
    <w:lvl w:ilvl="1">
      <w:start w:val="1"/>
      <w:numFmt w:val="lowerRoman"/>
      <w:lvlText w:val="(%2)"/>
      <w:lvlJc w:val="left"/>
      <w:pPr>
        <w:ind w:left="563" w:hanging="161"/>
        <w:jc w:val="left"/>
      </w:pPr>
      <w:rPr>
        <w:rFonts w:hint="default" w:ascii="Georgia" w:hAnsi="Georgia" w:eastAsia="Georgia" w:cs="Georgia"/>
        <w:w w:val="103"/>
        <w:position w:val="6"/>
        <w:sz w:val="12"/>
        <w:szCs w:val="12"/>
        <w:lang w:val="en-US" w:eastAsia="en-US" w:bidi="ar-SA"/>
      </w:rPr>
    </w:lvl>
    <w:lvl w:ilvl="2">
      <w:start w:val="0"/>
      <w:numFmt w:val="bullet"/>
      <w:lvlText w:val="•"/>
      <w:lvlJc w:val="left"/>
      <w:pPr>
        <w:ind w:left="929" w:hanging="161"/>
      </w:pPr>
      <w:rPr>
        <w:rFonts w:hint="default"/>
        <w:lang w:val="en-US" w:eastAsia="en-US" w:bidi="ar-SA"/>
      </w:rPr>
    </w:lvl>
    <w:lvl w:ilvl="3">
      <w:start w:val="0"/>
      <w:numFmt w:val="bullet"/>
      <w:lvlText w:val="•"/>
      <w:lvlJc w:val="left"/>
      <w:pPr>
        <w:ind w:left="1299" w:hanging="161"/>
      </w:pPr>
      <w:rPr>
        <w:rFonts w:hint="default"/>
        <w:lang w:val="en-US" w:eastAsia="en-US" w:bidi="ar-SA"/>
      </w:rPr>
    </w:lvl>
    <w:lvl w:ilvl="4">
      <w:start w:val="0"/>
      <w:numFmt w:val="bullet"/>
      <w:lvlText w:val="•"/>
      <w:lvlJc w:val="left"/>
      <w:pPr>
        <w:ind w:left="1668" w:hanging="161"/>
      </w:pPr>
      <w:rPr>
        <w:rFonts w:hint="default"/>
        <w:lang w:val="en-US" w:eastAsia="en-US" w:bidi="ar-SA"/>
      </w:rPr>
    </w:lvl>
    <w:lvl w:ilvl="5">
      <w:start w:val="0"/>
      <w:numFmt w:val="bullet"/>
      <w:lvlText w:val="•"/>
      <w:lvlJc w:val="left"/>
      <w:pPr>
        <w:ind w:left="2038" w:hanging="161"/>
      </w:pPr>
      <w:rPr>
        <w:rFonts w:hint="default"/>
        <w:lang w:val="en-US" w:eastAsia="en-US" w:bidi="ar-SA"/>
      </w:rPr>
    </w:lvl>
    <w:lvl w:ilvl="6">
      <w:start w:val="0"/>
      <w:numFmt w:val="bullet"/>
      <w:lvlText w:val="•"/>
      <w:lvlJc w:val="left"/>
      <w:pPr>
        <w:ind w:left="2407" w:hanging="161"/>
      </w:pPr>
      <w:rPr>
        <w:rFonts w:hint="default"/>
        <w:lang w:val="en-US" w:eastAsia="en-US" w:bidi="ar-SA"/>
      </w:rPr>
    </w:lvl>
    <w:lvl w:ilvl="7">
      <w:start w:val="0"/>
      <w:numFmt w:val="bullet"/>
      <w:lvlText w:val="•"/>
      <w:lvlJc w:val="left"/>
      <w:pPr>
        <w:ind w:left="2777" w:hanging="161"/>
      </w:pPr>
      <w:rPr>
        <w:rFonts w:hint="default"/>
        <w:lang w:val="en-US" w:eastAsia="en-US" w:bidi="ar-SA"/>
      </w:rPr>
    </w:lvl>
    <w:lvl w:ilvl="8">
      <w:start w:val="0"/>
      <w:numFmt w:val="bullet"/>
      <w:lvlText w:val="•"/>
      <w:lvlJc w:val="left"/>
      <w:pPr>
        <w:ind w:left="3146" w:hanging="161"/>
      </w:pPr>
      <w:rPr>
        <w:rFonts w:hint="default"/>
        <w:lang w:val="en-US" w:eastAsia="en-US" w:bidi="ar-SA"/>
      </w:rPr>
    </w:lvl>
  </w:abstractNum>
  <w:abstractNum w:abstractNumId="2">
    <w:multiLevelType w:val="hybridMultilevel"/>
    <w:lvl w:ilvl="0">
      <w:start w:val="1"/>
      <w:numFmt w:val="decimal"/>
      <w:lvlText w:val="%1"/>
      <w:lvlJc w:val="left"/>
      <w:pPr>
        <w:ind w:left="640" w:hanging="480"/>
        <w:jc w:val="left"/>
      </w:pPr>
      <w:rPr>
        <w:rFonts w:hint="default"/>
        <w:lang w:val="en-US" w:eastAsia="en-US" w:bidi="ar-SA"/>
      </w:rPr>
    </w:lvl>
    <w:lvl w:ilvl="1">
      <w:start w:val="1"/>
      <w:numFmt w:val="decimal"/>
      <w:lvlText w:val="%1.%2"/>
      <w:lvlJc w:val="left"/>
      <w:pPr>
        <w:ind w:left="640" w:hanging="480"/>
        <w:jc w:val="right"/>
      </w:pPr>
      <w:rPr>
        <w:rFonts w:hint="default" w:ascii="Trebuchet MS" w:hAnsi="Trebuchet MS" w:eastAsia="Trebuchet MS" w:cs="Trebuchet MS"/>
        <w:b/>
        <w:bCs/>
        <w:color w:val="89C6DC"/>
        <w:spacing w:val="-1"/>
        <w:w w:val="75"/>
        <w:sz w:val="28"/>
        <w:szCs w:val="28"/>
        <w:u w:val="single" w:color="006CB4"/>
        <w:lang w:val="en-US" w:eastAsia="en-US" w:bidi="ar-SA"/>
      </w:rPr>
    </w:lvl>
    <w:lvl w:ilvl="2">
      <w:start w:val="0"/>
      <w:numFmt w:val="bullet"/>
      <w:lvlText w:val="•"/>
      <w:lvlJc w:val="left"/>
      <w:pPr>
        <w:ind w:left="1672" w:hanging="480"/>
      </w:pPr>
      <w:rPr>
        <w:rFonts w:hint="default"/>
        <w:lang w:val="en-US" w:eastAsia="en-US" w:bidi="ar-SA"/>
      </w:rPr>
    </w:lvl>
    <w:lvl w:ilvl="3">
      <w:start w:val="0"/>
      <w:numFmt w:val="bullet"/>
      <w:lvlText w:val="•"/>
      <w:lvlJc w:val="left"/>
      <w:pPr>
        <w:ind w:left="2188" w:hanging="480"/>
      </w:pPr>
      <w:rPr>
        <w:rFonts w:hint="default"/>
        <w:lang w:val="en-US" w:eastAsia="en-US" w:bidi="ar-SA"/>
      </w:rPr>
    </w:lvl>
    <w:lvl w:ilvl="4">
      <w:start w:val="0"/>
      <w:numFmt w:val="bullet"/>
      <w:lvlText w:val="•"/>
      <w:lvlJc w:val="left"/>
      <w:pPr>
        <w:ind w:left="2704" w:hanging="480"/>
      </w:pPr>
      <w:rPr>
        <w:rFonts w:hint="default"/>
        <w:lang w:val="en-US" w:eastAsia="en-US" w:bidi="ar-SA"/>
      </w:rPr>
    </w:lvl>
    <w:lvl w:ilvl="5">
      <w:start w:val="0"/>
      <w:numFmt w:val="bullet"/>
      <w:lvlText w:val="•"/>
      <w:lvlJc w:val="left"/>
      <w:pPr>
        <w:ind w:left="3220" w:hanging="480"/>
      </w:pPr>
      <w:rPr>
        <w:rFonts w:hint="default"/>
        <w:lang w:val="en-US" w:eastAsia="en-US" w:bidi="ar-SA"/>
      </w:rPr>
    </w:lvl>
    <w:lvl w:ilvl="6">
      <w:start w:val="0"/>
      <w:numFmt w:val="bullet"/>
      <w:lvlText w:val="•"/>
      <w:lvlJc w:val="left"/>
      <w:pPr>
        <w:ind w:left="3736" w:hanging="480"/>
      </w:pPr>
      <w:rPr>
        <w:rFonts w:hint="default"/>
        <w:lang w:val="en-US" w:eastAsia="en-US" w:bidi="ar-SA"/>
      </w:rPr>
    </w:lvl>
    <w:lvl w:ilvl="7">
      <w:start w:val="0"/>
      <w:numFmt w:val="bullet"/>
      <w:lvlText w:val="•"/>
      <w:lvlJc w:val="left"/>
      <w:pPr>
        <w:ind w:left="4252" w:hanging="480"/>
      </w:pPr>
      <w:rPr>
        <w:rFonts w:hint="default"/>
        <w:lang w:val="en-US" w:eastAsia="en-US" w:bidi="ar-SA"/>
      </w:rPr>
    </w:lvl>
    <w:lvl w:ilvl="8">
      <w:start w:val="0"/>
      <w:numFmt w:val="bullet"/>
      <w:lvlText w:val="•"/>
      <w:lvlJc w:val="left"/>
      <w:pPr>
        <w:ind w:left="4768" w:hanging="480"/>
      </w:pPr>
      <w:rPr>
        <w:rFonts w:hint="default"/>
        <w:lang w:val="en-US" w:eastAsia="en-US" w:bidi="ar-SA"/>
      </w:rPr>
    </w:lvl>
  </w:abstractNum>
  <w:abstractNum w:abstractNumId="1">
    <w:multiLevelType w:val="hybridMultilevel"/>
    <w:lvl w:ilvl="0">
      <w:start w:val="1"/>
      <w:numFmt w:val="lowerLetter"/>
      <w:lvlText w:val="(%1)"/>
      <w:lvlJc w:val="left"/>
      <w:pPr>
        <w:ind w:left="399" w:hanging="240"/>
        <w:jc w:val="left"/>
      </w:pPr>
      <w:rPr>
        <w:rFonts w:hint="default" w:ascii="Times New Roman" w:hAnsi="Times New Roman" w:eastAsia="Times New Roman" w:cs="Times New Roman"/>
        <w:spacing w:val="-1"/>
        <w:w w:val="103"/>
        <w:sz w:val="12"/>
        <w:szCs w:val="12"/>
        <w:lang w:val="en-US" w:eastAsia="en-US" w:bidi="ar-SA"/>
      </w:rPr>
    </w:lvl>
    <w:lvl w:ilvl="1">
      <w:start w:val="0"/>
      <w:numFmt w:val="bullet"/>
      <w:lvlText w:val="•"/>
      <w:lvlJc w:val="left"/>
      <w:pPr>
        <w:ind w:left="767" w:hanging="240"/>
      </w:pPr>
      <w:rPr>
        <w:rFonts w:hint="default"/>
        <w:lang w:val="en-US" w:eastAsia="en-US" w:bidi="ar-SA"/>
      </w:rPr>
    </w:lvl>
    <w:lvl w:ilvl="2">
      <w:start w:val="0"/>
      <w:numFmt w:val="bullet"/>
      <w:lvlText w:val="•"/>
      <w:lvlJc w:val="left"/>
      <w:pPr>
        <w:ind w:left="1134" w:hanging="240"/>
      </w:pPr>
      <w:rPr>
        <w:rFonts w:hint="default"/>
        <w:lang w:val="en-US" w:eastAsia="en-US" w:bidi="ar-SA"/>
      </w:rPr>
    </w:lvl>
    <w:lvl w:ilvl="3">
      <w:start w:val="0"/>
      <w:numFmt w:val="bullet"/>
      <w:lvlText w:val="•"/>
      <w:lvlJc w:val="left"/>
      <w:pPr>
        <w:ind w:left="1501" w:hanging="240"/>
      </w:pPr>
      <w:rPr>
        <w:rFonts w:hint="default"/>
        <w:lang w:val="en-US" w:eastAsia="en-US" w:bidi="ar-SA"/>
      </w:rPr>
    </w:lvl>
    <w:lvl w:ilvl="4">
      <w:start w:val="0"/>
      <w:numFmt w:val="bullet"/>
      <w:lvlText w:val="•"/>
      <w:lvlJc w:val="left"/>
      <w:pPr>
        <w:ind w:left="1868" w:hanging="240"/>
      </w:pPr>
      <w:rPr>
        <w:rFonts w:hint="default"/>
        <w:lang w:val="en-US" w:eastAsia="en-US" w:bidi="ar-SA"/>
      </w:rPr>
    </w:lvl>
    <w:lvl w:ilvl="5">
      <w:start w:val="0"/>
      <w:numFmt w:val="bullet"/>
      <w:lvlText w:val="•"/>
      <w:lvlJc w:val="left"/>
      <w:pPr>
        <w:ind w:left="2235" w:hanging="240"/>
      </w:pPr>
      <w:rPr>
        <w:rFonts w:hint="default"/>
        <w:lang w:val="en-US" w:eastAsia="en-US" w:bidi="ar-SA"/>
      </w:rPr>
    </w:lvl>
    <w:lvl w:ilvl="6">
      <w:start w:val="0"/>
      <w:numFmt w:val="bullet"/>
      <w:lvlText w:val="•"/>
      <w:lvlJc w:val="left"/>
      <w:pPr>
        <w:ind w:left="2602" w:hanging="240"/>
      </w:pPr>
      <w:rPr>
        <w:rFonts w:hint="default"/>
        <w:lang w:val="en-US" w:eastAsia="en-US" w:bidi="ar-SA"/>
      </w:rPr>
    </w:lvl>
    <w:lvl w:ilvl="7">
      <w:start w:val="0"/>
      <w:numFmt w:val="bullet"/>
      <w:lvlText w:val="•"/>
      <w:lvlJc w:val="left"/>
      <w:pPr>
        <w:ind w:left="2969" w:hanging="240"/>
      </w:pPr>
      <w:rPr>
        <w:rFonts w:hint="default"/>
        <w:lang w:val="en-US" w:eastAsia="en-US" w:bidi="ar-SA"/>
      </w:rPr>
    </w:lvl>
    <w:lvl w:ilvl="8">
      <w:start w:val="0"/>
      <w:numFmt w:val="bullet"/>
      <w:lvlText w:val="•"/>
      <w:lvlJc w:val="left"/>
      <w:pPr>
        <w:ind w:left="3336" w:hanging="240"/>
      </w:pPr>
      <w:rPr>
        <w:rFonts w:hint="default"/>
        <w:lang w:val="en-US" w:eastAsia="en-US" w:bidi="ar-SA"/>
      </w:rPr>
    </w:lvl>
  </w:abstractNum>
  <w:abstractNum w:abstractNumId="0">
    <w:multiLevelType w:val="hybridMultilevel"/>
    <w:lvl w:ilvl="0">
      <w:start w:val="1"/>
      <w:numFmt w:val="decimal"/>
      <w:lvlText w:val="%1"/>
      <w:lvlJc w:val="left"/>
      <w:pPr>
        <w:ind w:left="5374" w:hanging="380"/>
        <w:jc w:val="left"/>
      </w:pPr>
      <w:rPr>
        <w:rFonts w:hint="default"/>
        <w:b/>
        <w:bCs/>
        <w:w w:val="76"/>
        <w:lang w:val="en-US" w:eastAsia="en-US" w:bidi="ar-SA"/>
      </w:rPr>
    </w:lvl>
    <w:lvl w:ilvl="1">
      <w:start w:val="1"/>
      <w:numFmt w:val="decimal"/>
      <w:lvlText w:val="%1.%2"/>
      <w:lvlJc w:val="left"/>
      <w:pPr>
        <w:ind w:left="5925" w:hanging="560"/>
        <w:jc w:val="left"/>
      </w:pPr>
      <w:rPr>
        <w:rFonts w:hint="default"/>
        <w:b/>
        <w:bCs/>
        <w:spacing w:val="-1"/>
        <w:w w:val="81"/>
        <w:lang w:val="en-US" w:eastAsia="en-US" w:bidi="ar-SA"/>
      </w:rPr>
    </w:lvl>
    <w:lvl w:ilvl="2">
      <w:start w:val="0"/>
      <w:numFmt w:val="bullet"/>
      <w:lvlText w:val="•"/>
      <w:lvlJc w:val="left"/>
      <w:pPr>
        <w:ind w:left="5940" w:hanging="560"/>
      </w:pPr>
      <w:rPr>
        <w:rFonts w:hint="default"/>
        <w:lang w:val="en-US" w:eastAsia="en-US" w:bidi="ar-SA"/>
      </w:rPr>
    </w:lvl>
    <w:lvl w:ilvl="3">
      <w:start w:val="0"/>
      <w:numFmt w:val="bullet"/>
      <w:lvlText w:val="•"/>
      <w:lvlJc w:val="left"/>
      <w:pPr>
        <w:ind w:left="6525" w:hanging="560"/>
      </w:pPr>
      <w:rPr>
        <w:rFonts w:hint="default"/>
        <w:lang w:val="en-US" w:eastAsia="en-US" w:bidi="ar-SA"/>
      </w:rPr>
    </w:lvl>
    <w:lvl w:ilvl="4">
      <w:start w:val="0"/>
      <w:numFmt w:val="bullet"/>
      <w:lvlText w:val="•"/>
      <w:lvlJc w:val="left"/>
      <w:pPr>
        <w:ind w:left="7110" w:hanging="560"/>
      </w:pPr>
      <w:rPr>
        <w:rFonts w:hint="default"/>
        <w:lang w:val="en-US" w:eastAsia="en-US" w:bidi="ar-SA"/>
      </w:rPr>
    </w:lvl>
    <w:lvl w:ilvl="5">
      <w:start w:val="0"/>
      <w:numFmt w:val="bullet"/>
      <w:lvlText w:val="•"/>
      <w:lvlJc w:val="left"/>
      <w:pPr>
        <w:ind w:left="7695" w:hanging="560"/>
      </w:pPr>
      <w:rPr>
        <w:rFonts w:hint="default"/>
        <w:lang w:val="en-US" w:eastAsia="en-US" w:bidi="ar-SA"/>
      </w:rPr>
    </w:lvl>
    <w:lvl w:ilvl="6">
      <w:start w:val="0"/>
      <w:numFmt w:val="bullet"/>
      <w:lvlText w:val="•"/>
      <w:lvlJc w:val="left"/>
      <w:pPr>
        <w:ind w:left="8280" w:hanging="560"/>
      </w:pPr>
      <w:rPr>
        <w:rFonts w:hint="default"/>
        <w:lang w:val="en-US" w:eastAsia="en-US" w:bidi="ar-SA"/>
      </w:rPr>
    </w:lvl>
    <w:lvl w:ilvl="7">
      <w:start w:val="0"/>
      <w:numFmt w:val="bullet"/>
      <w:lvlText w:val="•"/>
      <w:lvlJc w:val="left"/>
      <w:pPr>
        <w:ind w:left="8865" w:hanging="560"/>
      </w:pPr>
      <w:rPr>
        <w:rFonts w:hint="default"/>
        <w:lang w:val="en-US" w:eastAsia="en-US" w:bidi="ar-SA"/>
      </w:rPr>
    </w:lvl>
    <w:lvl w:ilvl="8">
      <w:start w:val="0"/>
      <w:numFmt w:val="bullet"/>
      <w:lvlText w:val="•"/>
      <w:lvlJc w:val="left"/>
      <w:pPr>
        <w:ind w:left="9450" w:hanging="560"/>
      </w:pPr>
      <w:rPr>
        <w:rFonts w:hint="default"/>
        <w:lang w:val="en-US" w:eastAsia="en-US" w:bidi="ar-SA"/>
      </w:rPr>
    </w:lvl>
  </w:abstractNum>
  <w:num w:numId="7">
    <w:abstractNumId w:val="6"/>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1"/>
      <w:ind w:left="5374" w:hanging="381"/>
    </w:pPr>
    <w:rPr>
      <w:rFonts w:ascii="Trebuchet MS" w:hAnsi="Trebuchet MS" w:eastAsia="Trebuchet MS" w:cs="Trebuchet MS"/>
      <w:b/>
      <w:bCs/>
      <w:sz w:val="24"/>
      <w:szCs w:val="24"/>
      <w:lang w:val="en-US" w:eastAsia="en-US" w:bidi="ar-SA"/>
    </w:rPr>
  </w:style>
  <w:style w:styleId="TOC2" w:type="paragraph">
    <w:name w:val="TOC 2"/>
    <w:basedOn w:val="Normal"/>
    <w:uiPriority w:val="1"/>
    <w:qFormat/>
    <w:pPr>
      <w:spacing w:before="41"/>
      <w:ind w:left="5934" w:hanging="561"/>
    </w:pPr>
    <w:rPr>
      <w:rFonts w:ascii="Trebuchet MS" w:hAnsi="Trebuchet MS" w:eastAsia="Trebuchet MS" w:cs="Trebuchet MS"/>
      <w:b/>
      <w:bCs/>
      <w:sz w:val="24"/>
      <w:szCs w:val="24"/>
      <w:lang w:val="en-US" w:eastAsia="en-US" w:bidi="ar-SA"/>
    </w:rPr>
  </w:style>
  <w:style w:styleId="TOC3" w:type="paragraph">
    <w:name w:val="TOC 3"/>
    <w:basedOn w:val="Normal"/>
    <w:uiPriority w:val="1"/>
    <w:qFormat/>
    <w:pPr>
      <w:spacing w:before="22"/>
      <w:ind w:left="6234" w:right="1312" w:hanging="860"/>
    </w:pPr>
    <w:rPr>
      <w:rFonts w:ascii="Trebuchet MS" w:hAnsi="Trebuchet MS" w:eastAsia="Trebuchet MS" w:cs="Trebuchet MS"/>
      <w:i/>
      <w:sz w:val="24"/>
      <w:szCs w:val="24"/>
      <w:lang w:val="en-US" w:eastAsia="en-US" w:bidi="ar-SA"/>
    </w:rPr>
  </w:style>
  <w:style w:styleId="TOC4" w:type="paragraph">
    <w:name w:val="TOC 4"/>
    <w:basedOn w:val="Normal"/>
    <w:uiPriority w:val="1"/>
    <w:qFormat/>
    <w:pPr>
      <w:spacing w:before="41"/>
      <w:ind w:left="6234"/>
    </w:pPr>
    <w:rPr>
      <w:rFonts w:ascii="Trebuchet MS" w:hAnsi="Trebuchet MS" w:eastAsia="Trebuchet MS" w:cs="Trebuchet MS"/>
      <w:sz w:val="24"/>
      <w:szCs w:val="24"/>
      <w:lang w:val="en-US" w:eastAsia="en-US" w:bidi="ar-SA"/>
    </w:rPr>
  </w:style>
  <w:style w:styleId="TOC5" w:type="paragraph">
    <w:name w:val="TOC 5"/>
    <w:basedOn w:val="Normal"/>
    <w:uiPriority w:val="1"/>
    <w:qFormat/>
    <w:pPr>
      <w:ind w:left="6234"/>
    </w:pPr>
    <w:rPr>
      <w:rFonts w:ascii="Trebuchet MS" w:hAnsi="Trebuchet MS" w:eastAsia="Trebuchet MS" w:cs="Trebuchet MS"/>
      <w:i/>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82"/>
      <w:ind w:left="183"/>
      <w:outlineLvl w:val="1"/>
    </w:pPr>
    <w:rPr>
      <w:rFonts w:ascii="Trebuchet MS" w:hAnsi="Trebuchet MS" w:eastAsia="Trebuchet MS" w:cs="Trebuchet MS"/>
      <w:b/>
      <w:bCs/>
      <w:sz w:val="36"/>
      <w:szCs w:val="36"/>
      <w:lang w:val="en-US" w:eastAsia="en-US" w:bidi="ar-SA"/>
    </w:rPr>
  </w:style>
  <w:style w:styleId="Heading2" w:type="paragraph">
    <w:name w:val="Heading 2"/>
    <w:basedOn w:val="Normal"/>
    <w:uiPriority w:val="1"/>
    <w:qFormat/>
    <w:pPr>
      <w:ind w:left="180"/>
      <w:outlineLvl w:val="2"/>
    </w:pPr>
    <w:rPr>
      <w:rFonts w:ascii="Trebuchet MS" w:hAnsi="Trebuchet MS" w:eastAsia="Trebuchet MS" w:cs="Trebuchet MS"/>
      <w:b/>
      <w:bCs/>
      <w:sz w:val="30"/>
      <w:szCs w:val="30"/>
      <w:lang w:val="en-US" w:eastAsia="en-US" w:bidi="ar-SA"/>
    </w:rPr>
  </w:style>
  <w:style w:styleId="Heading3" w:type="paragraph">
    <w:name w:val="Heading 3"/>
    <w:basedOn w:val="Normal"/>
    <w:uiPriority w:val="1"/>
    <w:qFormat/>
    <w:pPr>
      <w:ind w:left="177" w:hanging="601"/>
      <w:outlineLvl w:val="3"/>
    </w:pPr>
    <w:rPr>
      <w:rFonts w:ascii="Trebuchet MS" w:hAnsi="Trebuchet MS" w:eastAsia="Trebuchet MS" w:cs="Trebuchet MS"/>
      <w:b/>
      <w:bCs/>
      <w:sz w:val="28"/>
      <w:szCs w:val="28"/>
      <w:u w:val="single" w:color="000000"/>
      <w:lang w:val="en-US" w:eastAsia="en-US" w:bidi="ar-SA"/>
    </w:rPr>
  </w:style>
  <w:style w:styleId="Heading4" w:type="paragraph">
    <w:name w:val="Heading 4"/>
    <w:basedOn w:val="Normal"/>
    <w:uiPriority w:val="1"/>
    <w:qFormat/>
    <w:pPr>
      <w:ind w:left="177"/>
      <w:outlineLvl w:val="4"/>
    </w:pPr>
    <w:rPr>
      <w:rFonts w:ascii="Trebuchet MS" w:hAnsi="Trebuchet MS" w:eastAsia="Trebuchet MS" w:cs="Trebuchet MS"/>
      <w:sz w:val="24"/>
      <w:szCs w:val="24"/>
      <w:lang w:val="en-US" w:eastAsia="en-US" w:bidi="ar-SA"/>
    </w:rPr>
  </w:style>
  <w:style w:styleId="Heading5" w:type="paragraph">
    <w:name w:val="Heading 5"/>
    <w:basedOn w:val="Normal"/>
    <w:uiPriority w:val="1"/>
    <w:qFormat/>
    <w:pPr>
      <w:ind w:left="414"/>
      <w:outlineLvl w:val="5"/>
    </w:pPr>
    <w:rPr>
      <w:rFonts w:ascii="Times New Roman" w:hAnsi="Times New Roman" w:eastAsia="Times New Roman" w:cs="Times New Roman"/>
      <w:sz w:val="21"/>
      <w:szCs w:val="21"/>
      <w:lang w:val="en-US" w:eastAsia="en-US" w:bidi="ar-SA"/>
    </w:rPr>
  </w:style>
  <w:style w:styleId="Heading6" w:type="paragraph">
    <w:name w:val="Heading 6"/>
    <w:basedOn w:val="Normal"/>
    <w:uiPriority w:val="1"/>
    <w:qFormat/>
    <w:pPr>
      <w:ind w:left="178"/>
      <w:outlineLvl w:val="6"/>
    </w:pPr>
    <w:rPr>
      <w:rFonts w:ascii="Trebuchet MS" w:hAnsi="Trebuchet MS" w:eastAsia="Trebuchet MS" w:cs="Trebuchet MS"/>
      <w:b/>
      <w:bCs/>
      <w:sz w:val="20"/>
      <w:szCs w:val="20"/>
      <w:lang w:val="en-US" w:eastAsia="en-US" w:bidi="ar-SA"/>
    </w:rPr>
  </w:style>
  <w:style w:styleId="Title" w:type="paragraph">
    <w:name w:val="Title"/>
    <w:basedOn w:val="Normal"/>
    <w:uiPriority w:val="1"/>
    <w:qFormat/>
    <w:pPr>
      <w:spacing w:before="68"/>
      <w:ind w:left="3619"/>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5925"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lationreport/infrep.htm" TargetMode="External"/><Relationship Id="rId6" Type="http://schemas.openxmlformats.org/officeDocument/2006/relationships/hyperlink" Target="http://www.bankofengland.co.uk/inflationreport/index.htm"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header" Target="header6.xml"/><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footer" Target="footer8.xml"/><Relationship Id="rId39" Type="http://schemas.openxmlformats.org/officeDocument/2006/relationships/footer" Target="footer9.xm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header" Target="header9.xml"/><Relationship Id="rId47" Type="http://schemas.openxmlformats.org/officeDocument/2006/relationships/header" Target="header10.xml"/><Relationship Id="rId48" Type="http://schemas.openxmlformats.org/officeDocument/2006/relationships/footer" Target="footer10.xml"/><Relationship Id="rId49" Type="http://schemas.openxmlformats.org/officeDocument/2006/relationships/footer" Target="footer11.xml"/><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image" Target="media/image32.png"/><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image" Target="media/image35.png"/><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header" Target="header11.xml"/><Relationship Id="rId68" Type="http://schemas.openxmlformats.org/officeDocument/2006/relationships/header" Target="header12.xml"/><Relationship Id="rId69" Type="http://schemas.openxmlformats.org/officeDocument/2006/relationships/footer" Target="footer12.xml"/><Relationship Id="rId70" Type="http://schemas.openxmlformats.org/officeDocument/2006/relationships/footer" Target="footer13.xml"/><Relationship Id="rId71" Type="http://schemas.openxmlformats.org/officeDocument/2006/relationships/image" Target="media/image40.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6.png"/><Relationship Id="rId78" Type="http://schemas.openxmlformats.org/officeDocument/2006/relationships/image" Target="media/image47.png"/><Relationship Id="rId79" Type="http://schemas.openxmlformats.org/officeDocument/2006/relationships/header" Target="header13.xml"/><Relationship Id="rId80" Type="http://schemas.openxmlformats.org/officeDocument/2006/relationships/footer" Target="footer14.xml"/><Relationship Id="rId81" Type="http://schemas.openxmlformats.org/officeDocument/2006/relationships/footer" Target="footer15.xml"/><Relationship Id="rId82" Type="http://schemas.openxmlformats.org/officeDocument/2006/relationships/header" Target="header14.xml"/><Relationship Id="rId83" Type="http://schemas.openxmlformats.org/officeDocument/2006/relationships/image" Target="media/image48.png"/><Relationship Id="rId84" Type="http://schemas.openxmlformats.org/officeDocument/2006/relationships/image" Target="media/image49.png"/><Relationship Id="rId85" Type="http://schemas.openxmlformats.org/officeDocument/2006/relationships/header" Target="header15.xml"/><Relationship Id="rId86" Type="http://schemas.openxmlformats.org/officeDocument/2006/relationships/header" Target="header16.xml"/><Relationship Id="rId87" Type="http://schemas.openxmlformats.org/officeDocument/2006/relationships/footer" Target="footer16.xml"/><Relationship Id="rId88" Type="http://schemas.openxmlformats.org/officeDocument/2006/relationships/footer" Target="footer17.xml"/><Relationship Id="rId89" Type="http://schemas.openxmlformats.org/officeDocument/2006/relationships/image" Target="media/image50.png"/><Relationship Id="rId90" Type="http://schemas.openxmlformats.org/officeDocument/2006/relationships/image" Target="media/image51.png"/><Relationship Id="rId91" Type="http://schemas.openxmlformats.org/officeDocument/2006/relationships/image" Target="media/image52.png"/><Relationship Id="rId92" Type="http://schemas.openxmlformats.org/officeDocument/2006/relationships/header" Target="header17.xml"/><Relationship Id="rId93" Type="http://schemas.openxmlformats.org/officeDocument/2006/relationships/header" Target="header18.xml"/><Relationship Id="rId94" Type="http://schemas.openxmlformats.org/officeDocument/2006/relationships/footer" Target="footer18.xml"/><Relationship Id="rId95" Type="http://schemas.openxmlformats.org/officeDocument/2006/relationships/footer" Target="footer19.xml"/><Relationship Id="rId96" Type="http://schemas.openxmlformats.org/officeDocument/2006/relationships/image" Target="media/image53.png"/><Relationship Id="rId97" Type="http://schemas.openxmlformats.org/officeDocument/2006/relationships/image" Target="media/image54.png"/><Relationship Id="rId98" Type="http://schemas.openxmlformats.org/officeDocument/2006/relationships/image" Target="media/image55.png"/><Relationship Id="rId99" Type="http://schemas.openxmlformats.org/officeDocument/2006/relationships/image" Target="media/image56.png"/><Relationship Id="rId100" Type="http://schemas.openxmlformats.org/officeDocument/2006/relationships/header" Target="header19.xml"/><Relationship Id="rId101" Type="http://schemas.openxmlformats.org/officeDocument/2006/relationships/header" Target="header20.xml"/><Relationship Id="rId102" Type="http://schemas.openxmlformats.org/officeDocument/2006/relationships/footer" Target="footer20.xml"/><Relationship Id="rId103" Type="http://schemas.openxmlformats.org/officeDocument/2006/relationships/footer" Target="footer21.xml"/><Relationship Id="rId104" Type="http://schemas.openxmlformats.org/officeDocument/2006/relationships/image" Target="media/image57.png"/><Relationship Id="rId105" Type="http://schemas.openxmlformats.org/officeDocument/2006/relationships/image" Target="media/image58.png"/><Relationship Id="rId106" Type="http://schemas.openxmlformats.org/officeDocument/2006/relationships/image" Target="media/image59.png"/><Relationship Id="rId107" Type="http://schemas.openxmlformats.org/officeDocument/2006/relationships/image" Target="media/image60.png"/><Relationship Id="rId108" Type="http://schemas.openxmlformats.org/officeDocument/2006/relationships/image" Target="media/image61.png"/><Relationship Id="rId109" Type="http://schemas.openxmlformats.org/officeDocument/2006/relationships/image" Target="media/image62.png"/><Relationship Id="rId110" Type="http://schemas.openxmlformats.org/officeDocument/2006/relationships/image" Target="media/image63.png"/><Relationship Id="rId111" Type="http://schemas.openxmlformats.org/officeDocument/2006/relationships/image" Target="media/image64.png"/><Relationship Id="rId112" Type="http://schemas.openxmlformats.org/officeDocument/2006/relationships/image" Target="media/image65.png"/><Relationship Id="rId113" Type="http://schemas.openxmlformats.org/officeDocument/2006/relationships/image" Target="media/image66.png"/><Relationship Id="rId114" Type="http://schemas.openxmlformats.org/officeDocument/2006/relationships/header" Target="header21.xml"/><Relationship Id="rId115" Type="http://schemas.openxmlformats.org/officeDocument/2006/relationships/footer" Target="footer22.xml"/><Relationship Id="rId116" Type="http://schemas.openxmlformats.org/officeDocument/2006/relationships/footer" Target="footer23.xml"/><Relationship Id="rId117" Type="http://schemas.openxmlformats.org/officeDocument/2006/relationships/header" Target="header22.xml"/><Relationship Id="rId118" Type="http://schemas.openxmlformats.org/officeDocument/2006/relationships/header" Target="header23.xml"/><Relationship Id="rId119" Type="http://schemas.openxmlformats.org/officeDocument/2006/relationships/image" Target="media/image67.png"/><Relationship Id="rId120" Type="http://schemas.openxmlformats.org/officeDocument/2006/relationships/image" Target="media/image68.png"/><Relationship Id="rId121" Type="http://schemas.openxmlformats.org/officeDocument/2006/relationships/image" Target="media/image69.png"/><Relationship Id="rId122" Type="http://schemas.openxmlformats.org/officeDocument/2006/relationships/footer" Target="footer24.xml"/><Relationship Id="rId123" Type="http://schemas.openxmlformats.org/officeDocument/2006/relationships/footer" Target="footer25.xml"/><Relationship Id="rId124" Type="http://schemas.openxmlformats.org/officeDocument/2006/relationships/image" Target="media/image70.png"/><Relationship Id="rId125" Type="http://schemas.openxmlformats.org/officeDocument/2006/relationships/image" Target="media/image71.png"/><Relationship Id="rId126" Type="http://schemas.openxmlformats.org/officeDocument/2006/relationships/image" Target="media/image72.png"/><Relationship Id="rId127" Type="http://schemas.openxmlformats.org/officeDocument/2006/relationships/image" Target="media/image73.png"/><Relationship Id="rId128" Type="http://schemas.openxmlformats.org/officeDocument/2006/relationships/image" Target="media/image74.png"/><Relationship Id="rId129" Type="http://schemas.openxmlformats.org/officeDocument/2006/relationships/header" Target="header24.xml"/><Relationship Id="rId130" Type="http://schemas.openxmlformats.org/officeDocument/2006/relationships/footer" Target="footer26.xml"/><Relationship Id="rId131" Type="http://schemas.openxmlformats.org/officeDocument/2006/relationships/footer" Target="footer27.xml"/><Relationship Id="rId132" Type="http://schemas.openxmlformats.org/officeDocument/2006/relationships/image" Target="media/image75.png"/><Relationship Id="rId133" Type="http://schemas.openxmlformats.org/officeDocument/2006/relationships/image" Target="media/image76.png"/><Relationship Id="rId134" Type="http://schemas.openxmlformats.org/officeDocument/2006/relationships/image" Target="media/image77.png"/><Relationship Id="rId135" Type="http://schemas.openxmlformats.org/officeDocument/2006/relationships/image" Target="media/image78.png"/><Relationship Id="rId136" Type="http://schemas.openxmlformats.org/officeDocument/2006/relationships/image" Target="media/image79.png"/><Relationship Id="rId137" Type="http://schemas.openxmlformats.org/officeDocument/2006/relationships/image" Target="media/image80.png"/><Relationship Id="rId138" Type="http://schemas.openxmlformats.org/officeDocument/2006/relationships/header" Target="header25.xml"/><Relationship Id="rId139" Type="http://schemas.openxmlformats.org/officeDocument/2006/relationships/header" Target="header26.xml"/><Relationship Id="rId140" Type="http://schemas.openxmlformats.org/officeDocument/2006/relationships/footer" Target="footer28.xml"/><Relationship Id="rId141" Type="http://schemas.openxmlformats.org/officeDocument/2006/relationships/footer" Target="footer29.xml"/><Relationship Id="rId142" Type="http://schemas.openxmlformats.org/officeDocument/2006/relationships/image" Target="media/image81.png"/><Relationship Id="rId143" Type="http://schemas.openxmlformats.org/officeDocument/2006/relationships/image" Target="media/image82.png"/><Relationship Id="rId144" Type="http://schemas.openxmlformats.org/officeDocument/2006/relationships/image" Target="media/image83.png"/><Relationship Id="rId145" Type="http://schemas.openxmlformats.org/officeDocument/2006/relationships/image" Target="media/image84.png"/><Relationship Id="rId146" Type="http://schemas.openxmlformats.org/officeDocument/2006/relationships/image" Target="media/image85.png"/><Relationship Id="rId147" Type="http://schemas.openxmlformats.org/officeDocument/2006/relationships/image" Target="media/image86.png"/><Relationship Id="rId148" Type="http://schemas.openxmlformats.org/officeDocument/2006/relationships/image" Target="media/image87.png"/><Relationship Id="rId149" Type="http://schemas.openxmlformats.org/officeDocument/2006/relationships/image" Target="media/image88.png"/><Relationship Id="rId150" Type="http://schemas.openxmlformats.org/officeDocument/2006/relationships/image" Target="media/image89.png"/><Relationship Id="rId151" Type="http://schemas.openxmlformats.org/officeDocument/2006/relationships/image" Target="media/image90.png"/><Relationship Id="rId152" Type="http://schemas.openxmlformats.org/officeDocument/2006/relationships/image" Target="media/image91.png"/><Relationship Id="rId153" Type="http://schemas.openxmlformats.org/officeDocument/2006/relationships/image" Target="media/image92.png"/><Relationship Id="rId154" Type="http://schemas.openxmlformats.org/officeDocument/2006/relationships/image" Target="media/image93.png"/><Relationship Id="rId155" Type="http://schemas.openxmlformats.org/officeDocument/2006/relationships/image" Target="media/image94.png"/><Relationship Id="rId156" Type="http://schemas.openxmlformats.org/officeDocument/2006/relationships/header" Target="header27.xml"/><Relationship Id="rId157" Type="http://schemas.openxmlformats.org/officeDocument/2006/relationships/footer" Target="footer30.xml"/><Relationship Id="rId158" Type="http://schemas.openxmlformats.org/officeDocument/2006/relationships/footer" Target="footer31.xml"/><Relationship Id="rId159" Type="http://schemas.openxmlformats.org/officeDocument/2006/relationships/header" Target="header28.xml"/><Relationship Id="rId160" Type="http://schemas.openxmlformats.org/officeDocument/2006/relationships/header" Target="header29.xml"/><Relationship Id="rId161" Type="http://schemas.openxmlformats.org/officeDocument/2006/relationships/header" Target="header30.xml"/><Relationship Id="rId162" Type="http://schemas.openxmlformats.org/officeDocument/2006/relationships/footer" Target="footer32.xml"/><Relationship Id="rId163" Type="http://schemas.openxmlformats.org/officeDocument/2006/relationships/footer" Target="footer33.xml"/><Relationship Id="rId164" Type="http://schemas.openxmlformats.org/officeDocument/2006/relationships/header" Target="header31.xml"/><Relationship Id="rId165" Type="http://schemas.openxmlformats.org/officeDocument/2006/relationships/header" Target="header32.xml"/><Relationship Id="rId166" Type="http://schemas.openxmlformats.org/officeDocument/2006/relationships/header" Target="header33.xml"/><Relationship Id="rId167" Type="http://schemas.openxmlformats.org/officeDocument/2006/relationships/footer" Target="footer34.xml"/><Relationship Id="rId168" Type="http://schemas.openxmlformats.org/officeDocument/2006/relationships/footer" Target="footer35.xml"/><Relationship Id="rId169" Type="http://schemas.openxmlformats.org/officeDocument/2006/relationships/hyperlink" Target="http://www.bankofengland.co.uk/inflationreport/irfanch.htm" TargetMode="External"/><Relationship Id="rId170" Type="http://schemas.openxmlformats.org/officeDocument/2006/relationships/image" Target="media/image95.png"/><Relationship Id="rId171" Type="http://schemas.openxmlformats.org/officeDocument/2006/relationships/image" Target="media/image96.png"/><Relationship Id="rId172" Type="http://schemas.openxmlformats.org/officeDocument/2006/relationships/image" Target="media/image97.png"/><Relationship Id="rId173" Type="http://schemas.openxmlformats.org/officeDocument/2006/relationships/image" Target="media/image98.png"/><Relationship Id="rId174" Type="http://schemas.openxmlformats.org/officeDocument/2006/relationships/image" Target="media/image99.png"/><Relationship Id="rId175" Type="http://schemas.openxmlformats.org/officeDocument/2006/relationships/image" Target="media/image100.png"/><Relationship Id="rId176" Type="http://schemas.openxmlformats.org/officeDocument/2006/relationships/image" Target="media/image101.png"/><Relationship Id="rId177" Type="http://schemas.openxmlformats.org/officeDocument/2006/relationships/image" Target="media/image102.png"/><Relationship Id="rId178" Type="http://schemas.openxmlformats.org/officeDocument/2006/relationships/image" Target="media/image103.png"/><Relationship Id="rId179" Type="http://schemas.openxmlformats.org/officeDocument/2006/relationships/image" Target="media/image104.png"/><Relationship Id="rId180" Type="http://schemas.openxmlformats.org/officeDocument/2006/relationships/image" Target="media/image105.png"/><Relationship Id="rId181" Type="http://schemas.openxmlformats.org/officeDocument/2006/relationships/image" Target="media/image106.png"/><Relationship Id="rId182" Type="http://schemas.openxmlformats.org/officeDocument/2006/relationships/header" Target="header34.xml"/><Relationship Id="rId183" Type="http://schemas.openxmlformats.org/officeDocument/2006/relationships/footer" Target="footer36.xml"/><Relationship Id="rId184" Type="http://schemas.openxmlformats.org/officeDocument/2006/relationships/footer" Target="footer37.xml"/><Relationship Id="rId185" Type="http://schemas.openxmlformats.org/officeDocument/2006/relationships/header" Target="header35.xml"/><Relationship Id="rId186" Type="http://schemas.openxmlformats.org/officeDocument/2006/relationships/header" Target="header36.xml"/><Relationship Id="rId187" Type="http://schemas.openxmlformats.org/officeDocument/2006/relationships/header" Target="header37.xml"/><Relationship Id="rId188" Type="http://schemas.openxmlformats.org/officeDocument/2006/relationships/footer" Target="footer38.xml"/><Relationship Id="rId189" Type="http://schemas.openxmlformats.org/officeDocument/2006/relationships/header" Target="header38.xml"/><Relationship Id="rId190" Type="http://schemas.openxmlformats.org/officeDocument/2006/relationships/footer" Target="footer39.xml"/><Relationship Id="rId191" Type="http://schemas.openxmlformats.org/officeDocument/2006/relationships/header" Target="header39.xml"/><Relationship Id="rId192" Type="http://schemas.openxmlformats.org/officeDocument/2006/relationships/footer" Target="footer40.xml"/><Relationship Id="rId19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2020-06-02T23:02:55Z</dcterms:created>
  <dcterms:modified xsi:type="dcterms:W3CDTF">2020-06-02T23:02:55Z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2001-02-12T00:00:00Z</vt:filetime>
  </property>
  <property fmtid="{D5CDD505-2E9C-101B-9397-08002B2CF9AE}" pid="3" name="LastSaved">
    <vt:filetime>2020-06-02T00:00:00Z</vt:filetime>
  </property>
</Properties>
</file>